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11.gif" ContentType="image/gif"/>
  <Override PartName="/word/media/image109.jpeg" ContentType="image/jpeg"/>
  <Override PartName="/word/media/image108.jpeg" ContentType="image/jpeg"/>
  <Override PartName="/word/media/image107.jpeg" ContentType="image/jpeg"/>
  <Override PartName="/word/media/image106.jpeg" ContentType="image/jpeg"/>
  <Override PartName="/word/media/image105.jpeg" ContentType="image/jpeg"/>
  <Override PartName="/word/media/image104.jpeg" ContentType="image/jpeg"/>
  <Override PartName="/word/media/image103.jpeg" ContentType="image/jpeg"/>
  <Override PartName="/word/media/image102.jpeg" ContentType="image/jpeg"/>
  <Override PartName="/word/media/image101.jpeg" ContentType="image/jpeg"/>
  <Override PartName="/word/media/image100.jpeg" ContentType="image/jpeg"/>
  <Override PartName="/word/media/image97.jpeg" ContentType="image/jpeg"/>
  <Override PartName="/word/media/image52.jpeg" ContentType="image/jpeg"/>
  <Override PartName="/word/media/image51.jpeg" ContentType="image/jpeg"/>
  <Override PartName="/word/media/image34.jpeg" ContentType="image/jpeg"/>
  <Override PartName="/word/media/image77.jpeg" ContentType="image/jpeg"/>
  <Override PartName="/word/media/image33.jpeg" ContentType="image/jpeg"/>
  <Override PartName="/word/media/image76.jpeg" ContentType="image/jpeg"/>
  <Override PartName="/word/media/image32.jpeg" ContentType="image/jpeg"/>
  <Override PartName="/word/media/image2.jpeg" ContentType="image/jpeg"/>
  <Override PartName="/word/media/image19.jpeg" ContentType="image/jpeg"/>
  <Override PartName="/word/media/image75.jpeg" ContentType="image/jpeg"/>
  <Override PartName="/word/media/image31.jpeg" ContentType="image/jpeg"/>
  <Override PartName="/word/media/image1.jpeg" ContentType="image/jpeg"/>
  <Override PartName="/word/media/image18.jpeg" ContentType="image/jpeg"/>
  <Override PartName="/word/media/image74.jpeg" ContentType="image/jpeg"/>
  <Override PartName="/word/media/image30.jpeg" ContentType="image/jpeg"/>
  <Override PartName="/word/media/image17.jpeg" ContentType="image/jpeg"/>
  <Override PartName="/word/media/image73.jpeg" ContentType="image/jpeg"/>
  <Override PartName="/word/media/image29.jpeg" ContentType="image/jpeg"/>
  <Override PartName="/word/media/image28.jpeg" ContentType="image/jpeg"/>
  <Override PartName="/word/media/image88.jpeg" ContentType="image/jpeg"/>
  <Override PartName="/word/media/image27.jpeg" ContentType="image/jpeg"/>
  <Override PartName="/word/media/image87.jpeg" ContentType="image/jpeg"/>
  <Override PartName="/word/media/image26.jpeg" ContentType="image/jpeg"/>
  <Override PartName="/word/media/image9.jpeg" ContentType="image/jpeg"/>
  <Override PartName="/word/media/image8.jpeg" ContentType="image/jpeg"/>
  <Override PartName="/word/media/image7.jpeg" ContentType="image/jpeg"/>
  <Override PartName="/word/media/image3.jpeg" ContentType="image/jpeg"/>
  <Override PartName="/word/media/image35.jpeg" ContentType="image/jpeg"/>
  <Override PartName="/word/media/image78.jpeg" ContentType="image/jpeg"/>
  <Override PartName="/word/media/image5.jpeg" ContentType="image/jpeg"/>
  <Override PartName="/word/media/image37.jpeg" ContentType="image/jpeg"/>
  <Override PartName="/word/media/image10.jpeg" ContentType="image/jpeg"/>
  <Override PartName="/word/media/image53.jpeg" ContentType="image/jpeg"/>
  <Override PartName="/word/media/image4.jpeg" ContentType="image/jpeg"/>
  <Override PartName="/word/media/image36.jpeg" ContentType="image/jpeg"/>
  <Override PartName="/word/media/image79.jpeg" ContentType="image/jpeg"/>
  <Override PartName="/word/media/image6.jpeg" ContentType="image/jpeg"/>
  <Override PartName="/word/media/image11.jpeg" ContentType="image/jpeg"/>
  <Override PartName="/word/media/image54.jpeg" ContentType="image/jpeg"/>
  <Override PartName="/word/media/image42.jpeg" ContentType="image/jpeg"/>
  <Override PartName="/word/media/image12.jpeg" ContentType="image/jpeg"/>
  <Override PartName="/word/media/image55.jpeg" ContentType="image/jpeg"/>
  <Override PartName="/word/media/image43.jpeg" ContentType="image/jpeg"/>
  <Override PartName="/word/media/image13.jpeg" ContentType="image/jpeg"/>
  <Override PartName="/word/media/image56.jpeg" ContentType="image/jpeg"/>
  <Override PartName="/word/media/image44.jpeg" ContentType="image/jpeg"/>
  <Override PartName="/word/media/image14.jpeg" ContentType="image/jpeg"/>
  <Override PartName="/word/media/image90.jpeg" ContentType="image/jpeg"/>
  <Override PartName="/word/media/image57.jpeg" ContentType="image/jpeg"/>
  <Override PartName="/word/media/image98.jpeg" ContentType="image/jpeg"/>
  <Override PartName="/word/media/image70.jpeg" ContentType="image/jpeg"/>
  <Override PartName="/word/media/image45.jpeg" ContentType="image/jpeg"/>
  <Override PartName="/word/media/image15.jpeg" ContentType="image/jpeg"/>
  <Override PartName="/word/media/image91.jpeg" ContentType="image/jpeg"/>
  <Override PartName="/word/media/image58.jpeg" ContentType="image/jpeg"/>
  <Override PartName="/word/media/image99.jpeg" ContentType="image/jpeg"/>
  <Override PartName="/word/media/image38.jpeg" ContentType="image/jpeg"/>
  <Override PartName="/word/media/image71.jpeg" ContentType="image/jpeg"/>
  <Override PartName="/word/media/image46.jpeg" ContentType="image/jpeg"/>
  <Override PartName="/word/media/image89.jpeg" ContentType="image/jpeg"/>
  <Override PartName="/word/media/image16.jpeg" ContentType="image/jpeg"/>
  <Override PartName="/word/media/image92.jpeg" ContentType="image/jpeg"/>
  <Override PartName="/word/media/image59.jpeg" ContentType="image/jpeg"/>
  <Override PartName="/word/media/image39.jpeg" ContentType="image/jpeg"/>
  <Override PartName="/word/media/image72.jpeg" ContentType="image/jpeg"/>
  <Override PartName="/word/media/image60.jpeg" ContentType="image/jpeg"/>
  <Override PartName="/word/media/image61.jpeg" ContentType="image/jpeg"/>
  <Override PartName="/word/media/image62.jpeg" ContentType="image/jpeg"/>
  <Override PartName="/word/media/image50.jpeg" ContentType="image/jpeg"/>
  <Override PartName="/word/media/image25.jpeg" ContentType="image/jpeg"/>
  <Override PartName="/word/media/image86.jpeg" ContentType="image/jpeg"/>
  <Override PartName="/word/media/image63.jpeg" ContentType="image/jpeg"/>
  <Override PartName="/word/media/image64.jpeg" ContentType="image/jpeg"/>
  <Override PartName="/word/media/image110.gif" ContentType="image/gif"/>
  <Override PartName="/word/media/image65.jpeg" ContentType="image/jpeg"/>
  <Override PartName="/word/media/image66.jpeg" ContentType="image/jpeg"/>
  <Override PartName="/word/media/image67.jpeg" ContentType="image/jpeg"/>
  <Override PartName="/word/media/image47.jpeg" ContentType="image/jpeg"/>
  <Override PartName="/word/media/image80.jpeg" ContentType="image/jpeg"/>
  <Override PartName="/word/media/image40.jpeg" ContentType="image/jpeg"/>
  <Override PartName="/word/media/image68.jpeg" ContentType="image/jpeg"/>
  <Override PartName="/word/media/image20.jpeg" ContentType="image/jpeg"/>
  <Override PartName="/word/media/image48.jpeg" ContentType="image/jpeg"/>
  <Override PartName="/word/media/image81.jpeg" ContentType="image/jpeg"/>
  <Override PartName="/word/media/image41.jpeg" ContentType="image/jpeg"/>
  <Override PartName="/word/media/image69.jpeg" ContentType="image/jpeg"/>
  <Override PartName="/word/media/image21.jpeg" ContentType="image/jpeg"/>
  <Override PartName="/word/media/image49.jpeg" ContentType="image/jpeg"/>
  <Override PartName="/word/media/image82.jpeg" ContentType="image/jpeg"/>
  <Override PartName="/word/media/image22.jpeg" ContentType="image/jpeg"/>
  <Override PartName="/word/media/image83.jpeg" ContentType="image/jpeg"/>
  <Override PartName="/word/media/image23.jpeg" ContentType="image/jpeg"/>
  <Override PartName="/word/media/image84.jpeg" ContentType="image/jpeg"/>
  <Override PartName="/word/media/image24.jpeg" ContentType="image/jpeg"/>
  <Override PartName="/word/media/image85.jpeg" ContentType="image/jpeg"/>
  <Override PartName="/word/media/image93.jpeg" ContentType="image/jpeg"/>
  <Override PartName="/word/media/image94.jpeg" ContentType="image/jpeg"/>
  <Override PartName="/word/media/image95.jpeg" ContentType="image/jpeg"/>
  <Override PartName="/word/media/image96.jpeg" ContentType="image/jpeg"/>
  <Override PartName="/word/comments.xml" ContentType="application/vnd.openxmlformats-officedocument.wordprocessingml.comment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bookmarkStart w:id="0" w:name="a2243116zpre14a.htm"/>
      <w:bookmarkStart w:id="1" w:name="ksa2243116zpre14a"/>
      <w:bookmarkStart w:id="2" w:name="a2243116zpre14a.htm"/>
      <w:bookmarkStart w:id="3" w:name="ksa2243116zpre14a"/>
      <w:bookmarkEnd w:id="2"/>
      <w:bookmarkEnd w:id="3"/>
    </w:p>
    <w:p>
      <w:pPr>
        <w:pStyle w:val="TextBody"/>
        <w:rPr/>
      </w:pPr>
      <w:r>
        <w:rPr>
          <w:sz w:val="24"/>
        </w:rPr>
        <w:t>Use these links to rapidly review the document</w:t>
        <w:br/>
      </w:r>
      <w:hyperlink w:anchor="bg45301_table_of_contents">
        <w:r>
          <w:rPr>
            <w:rStyle w:val="InternetLink"/>
            <w:sz w:val="24"/>
          </w:rPr>
          <w:t>TABLE OF CONTENTS</w:t>
        </w:r>
      </w:hyperlink>
    </w:p>
    <w:p>
      <w:pPr>
        <w:pStyle w:val="TextBody"/>
        <w:rPr/>
      </w:pPr>
      <w:hyperlink w:anchor="bg45301a_main_toc">
        <w:r>
          <w:rPr>
            <w:rStyle w:val="InternetLink"/>
            <w:rFonts w:ascii="arial" w:hAnsi="arial"/>
            <w:sz w:val="20"/>
          </w:rPr>
          <w:t>Table of Contents</w:t>
        </w:r>
      </w:hyperlink>
      <w:r>
        <w:rPr>
          <w:rFonts w:ascii="arial" w:hAnsi="arial"/>
          <w:sz w:val="20"/>
        </w:rPr>
        <w:t xml:space="preserve"> </w:t>
      </w:r>
    </w:p>
    <w:p>
      <w:pPr>
        <w:pStyle w:val="TextBody"/>
        <w:jc w:val="center"/>
        <w:rPr>
          <w:rFonts w:ascii="arial" w:hAnsi="arial"/>
          <w:b/>
          <w:sz w:val="20"/>
        </w:rPr>
      </w:pPr>
      <w:r>
        <w:rPr>
          <w:rFonts w:ascii="arial" w:hAnsi="arial"/>
          <w:b/>
          <w:sz w:val="20"/>
        </w:rPr>
        <w:t>UNITED STATES</w:t>
        <w:br/>
        <w:t>SECURITIES AND EXCHANGE COMMISSION</w:t>
        <w:br/>
        <w:t xml:space="preserve">Washington, D.C. 20549 </w:t>
      </w:r>
    </w:p>
    <w:p>
      <w:pPr>
        <w:pStyle w:val="TextBody"/>
        <w:jc w:val="center"/>
        <w:rPr>
          <w:rFonts w:ascii="arial" w:hAnsi="arial"/>
          <w:b/>
          <w:sz w:val="28"/>
        </w:rPr>
      </w:pPr>
      <w:r>
        <w:rPr>
          <w:rFonts w:ascii="arial" w:hAnsi="arial"/>
          <w:b/>
          <w:sz w:val="28"/>
        </w:rPr>
        <w:t>SCHEDULE 14A INFORMATION</w:t>
      </w:r>
    </w:p>
    <w:p>
      <w:pPr>
        <w:pStyle w:val="TextBody"/>
        <w:jc w:val="center"/>
        <w:rPr>
          <w:rFonts w:ascii="arial" w:hAnsi="arial"/>
          <w:sz w:val="20"/>
        </w:rPr>
      </w:pPr>
      <w:r>
        <w:rPr>
          <w:rFonts w:ascii="arial" w:hAnsi="arial"/>
          <w:sz w:val="20"/>
        </w:rPr>
        <w:t>Proxy Statement Pursuant to Section 14(a) of the</w:t>
        <w:br/>
        <w:t xml:space="preserve">Securities Exchange Act of 1934 </w:t>
      </w:r>
    </w:p>
    <w:tbl>
      <w:tblPr>
        <w:tblW w:w="5000" w:type="pct"/>
        <w:jc w:val="center"/>
        <w:tblInd w:w="0" w:type="dxa"/>
        <w:tblCellMar>
          <w:top w:w="0" w:type="dxa"/>
          <w:left w:w="0" w:type="dxa"/>
          <w:bottom w:w="0" w:type="dxa"/>
          <w:right w:w="0" w:type="dxa"/>
        </w:tblCellMar>
      </w:tblPr>
      <w:tblGrid>
        <w:gridCol w:w="230"/>
        <w:gridCol w:w="23"/>
        <w:gridCol w:w="9952"/>
      </w:tblGrid>
      <w:tr>
        <w:trPr/>
        <w:tc>
          <w:tcPr>
            <w:tcW w:w="23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9952"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Pr>
          <w:p>
            <w:pPr>
              <w:pStyle w:val="TableContents"/>
              <w:spacing w:before="0" w:after="283"/>
              <w:rPr>
                <w:rFonts w:ascii="arial" w:hAnsi="arial"/>
                <w:sz w:val="20"/>
              </w:rPr>
            </w:pPr>
            <w:r>
              <w:rPr>
                <w:rFonts w:ascii="arial" w:hAnsi="arial"/>
                <w:sz w:val="20"/>
              </w:rPr>
              <w:t>Filed by the Registrant ☒</w:t>
            </w:r>
          </w:p>
        </w:tc>
      </w:tr>
      <w:tr>
        <w:trPr/>
        <w:tc>
          <w:tcPr>
            <w:tcW w:w="10205" w:type="dxa"/>
            <w:gridSpan w:val="3"/>
            <w:tcBorders/>
            <w:shd w:fill="auto" w:val="clear"/>
          </w:tcPr>
          <w:p>
            <w:pPr>
              <w:pStyle w:val="TableContents"/>
              <w:spacing w:before="0" w:after="283"/>
              <w:rPr>
                <w:rFonts w:ascii="arial" w:hAnsi="arial"/>
              </w:rPr>
            </w:pPr>
            <w:r>
              <w:rPr>
                <w:rFonts w:ascii="arial" w:hAnsi="arial"/>
              </w:rPr>
              <w:br/>
            </w:r>
            <w:r>
              <w:rPr>
                <w:rFonts w:ascii="arial" w:hAnsi="arial"/>
                <w:sz w:val="20"/>
              </w:rPr>
              <w:t xml:space="preserve">Filed by a Party other than the Registrant </w:t>
            </w:r>
            <w:r>
              <w:rPr>
                <w:rFonts w:ascii="WINGDINGS" w:hAnsi="WINGDINGS"/>
                <w:sz w:val="20"/>
              </w:rPr>
              <w:t>o</w:t>
            </w:r>
          </w:p>
        </w:tc>
      </w:tr>
      <w:tr>
        <w:trPr/>
        <w:tc>
          <w:tcPr>
            <w:tcW w:w="10205" w:type="dxa"/>
            <w:gridSpan w:val="3"/>
            <w:tcBorders/>
            <w:shd w:fill="auto" w:val="clear"/>
          </w:tcPr>
          <w:p>
            <w:pPr>
              <w:pStyle w:val="TableContents"/>
              <w:spacing w:before="0" w:after="283"/>
              <w:rPr>
                <w:rFonts w:ascii="arial" w:hAnsi="arial"/>
                <w:sz w:val="20"/>
              </w:rPr>
            </w:pPr>
            <w:r>
              <w:rPr>
                <w:rFonts w:ascii="arial" w:hAnsi="arial"/>
                <w:sz w:val="20"/>
              </w:rPr>
              <w:br/>
              <w:t>Check the appropriate box:</w:t>
            </w:r>
          </w:p>
        </w:tc>
      </w:tr>
      <w:tr>
        <w:trPr/>
        <w:tc>
          <w:tcPr>
            <w:tcW w:w="230" w:type="dxa"/>
            <w:tcBorders/>
            <w:shd w:fill="auto" w:val="clear"/>
          </w:tcPr>
          <w:p>
            <w:pPr>
              <w:pStyle w:val="TableContents"/>
              <w:spacing w:before="0" w:after="283"/>
              <w:rPr>
                <w:rFonts w:ascii="arial" w:hAnsi="arial"/>
              </w:rPr>
            </w:pPr>
            <w:r>
              <w:rPr>
                <w:rFonts w:ascii="arial" w:hAnsi="arial"/>
              </w:rPr>
              <w:br/>
              <w:t>☒</w:t>
            </w:r>
          </w:p>
        </w:tc>
        <w:tc>
          <w:tcPr>
            <w:tcW w:w="23" w:type="dxa"/>
            <w:tcBorders/>
            <w:shd w:fill="auto" w:val="clear"/>
          </w:tcPr>
          <w:p>
            <w:pPr>
              <w:pStyle w:val="TableContents"/>
              <w:spacing w:before="0" w:after="283"/>
              <w:rPr>
                <w:rFonts w:ascii="arial" w:hAnsi="arial"/>
                <w:sz w:val="20"/>
              </w:rPr>
            </w:pPr>
            <w:r>
              <w:rPr>
                <w:rFonts w:ascii="arial" w:hAnsi="arial"/>
                <w:sz w:val="20"/>
              </w:rPr>
              <w:br/>
              <w:t>​</w:t>
            </w:r>
          </w:p>
        </w:tc>
        <w:tc>
          <w:tcPr>
            <w:tcW w:w="9952" w:type="dxa"/>
            <w:tcBorders/>
            <w:shd w:fill="auto" w:val="clear"/>
          </w:tcPr>
          <w:p>
            <w:pPr>
              <w:pStyle w:val="TableContents"/>
              <w:spacing w:before="0" w:after="283"/>
              <w:rPr>
                <w:rFonts w:ascii="arial" w:hAnsi="arial"/>
              </w:rPr>
            </w:pPr>
            <w:r>
              <w:rPr>
                <w:rFonts w:ascii="arial" w:hAnsi="arial"/>
              </w:rPr>
              <w:br/>
            </w:r>
            <w:r>
              <w:rPr>
                <w:rFonts w:ascii="arial" w:hAnsi="arial"/>
                <w:sz w:val="20"/>
              </w:rPr>
              <w:t>Preliminary Proxy Statement</w:t>
            </w:r>
          </w:p>
        </w:tc>
      </w:tr>
      <w:tr>
        <w:trPr/>
        <w:tc>
          <w:tcPr>
            <w:tcW w:w="230" w:type="dxa"/>
            <w:tcBorders/>
            <w:shd w:fill="auto" w:val="clear"/>
          </w:tcPr>
          <w:p>
            <w:pPr>
              <w:pStyle w:val="TableContents"/>
              <w:spacing w:before="0" w:after="283"/>
              <w:rPr>
                <w:rFonts w:ascii="arial" w:hAnsi="arial"/>
              </w:rPr>
            </w:pPr>
            <w:r>
              <w:rPr>
                <w:rFonts w:ascii="arial" w:hAnsi="arial"/>
              </w:rPr>
              <w:br/>
            </w:r>
            <w:r>
              <w:rPr>
                <w:rFonts w:ascii="WINGDINGS" w:hAnsi="WINGDINGS"/>
                <w:sz w:val="20"/>
              </w:rPr>
              <w:t>o</w:t>
            </w:r>
          </w:p>
        </w:tc>
        <w:tc>
          <w:tcPr>
            <w:tcW w:w="23" w:type="dxa"/>
            <w:tcBorders/>
            <w:shd w:fill="auto" w:val="clear"/>
          </w:tcPr>
          <w:p>
            <w:pPr>
              <w:pStyle w:val="TableContents"/>
              <w:spacing w:before="0" w:after="283"/>
              <w:rPr>
                <w:rFonts w:ascii="arial" w:hAnsi="arial"/>
                <w:sz w:val="20"/>
              </w:rPr>
            </w:pPr>
            <w:r>
              <w:rPr>
                <w:rFonts w:ascii="arial" w:hAnsi="arial"/>
                <w:sz w:val="20"/>
              </w:rPr>
              <w:br/>
              <w:t>​</w:t>
            </w:r>
          </w:p>
        </w:tc>
        <w:tc>
          <w:tcPr>
            <w:tcW w:w="9952" w:type="dxa"/>
            <w:tcBorders/>
            <w:shd w:fill="auto" w:val="clear"/>
          </w:tcPr>
          <w:p>
            <w:pPr>
              <w:pStyle w:val="TableContents"/>
              <w:spacing w:before="0" w:after="283"/>
              <w:rPr>
                <w:rFonts w:ascii="arial" w:hAnsi="arial"/>
              </w:rPr>
            </w:pPr>
            <w:r>
              <w:rPr>
                <w:rFonts w:ascii="arial" w:hAnsi="arial"/>
              </w:rPr>
              <w:br/>
            </w:r>
            <w:r>
              <w:rPr>
                <w:rFonts w:ascii="arial" w:hAnsi="arial"/>
                <w:b/>
                <w:sz w:val="20"/>
              </w:rPr>
              <w:t>Confidential, For Use of the Commission only (as permitted by Rule 14a-6(e)(2))</w:t>
            </w:r>
          </w:p>
        </w:tc>
      </w:tr>
      <w:tr>
        <w:trPr/>
        <w:tc>
          <w:tcPr>
            <w:tcW w:w="230" w:type="dxa"/>
            <w:tcBorders/>
            <w:shd w:fill="auto" w:val="clear"/>
          </w:tcPr>
          <w:p>
            <w:pPr>
              <w:pStyle w:val="TableContents"/>
              <w:spacing w:before="0" w:after="283"/>
              <w:rPr>
                <w:rFonts w:ascii="arial" w:hAnsi="arial"/>
              </w:rPr>
            </w:pPr>
            <w:r>
              <w:rPr>
                <w:rFonts w:ascii="arial" w:hAnsi="arial"/>
              </w:rPr>
              <w:br/>
            </w:r>
            <w:r>
              <w:rPr>
                <w:rFonts w:ascii="WINGDINGS" w:hAnsi="WINGDINGS"/>
                <w:sz w:val="20"/>
              </w:rPr>
              <w:t>o</w:t>
            </w:r>
          </w:p>
        </w:tc>
        <w:tc>
          <w:tcPr>
            <w:tcW w:w="23" w:type="dxa"/>
            <w:tcBorders/>
            <w:shd w:fill="auto" w:val="clear"/>
          </w:tcPr>
          <w:p>
            <w:pPr>
              <w:pStyle w:val="TableContents"/>
              <w:spacing w:before="0" w:after="283"/>
              <w:rPr>
                <w:rFonts w:ascii="arial" w:hAnsi="arial"/>
                <w:sz w:val="20"/>
              </w:rPr>
            </w:pPr>
            <w:r>
              <w:rPr>
                <w:rFonts w:ascii="arial" w:hAnsi="arial"/>
                <w:sz w:val="20"/>
              </w:rPr>
              <w:br/>
              <w:t>​</w:t>
            </w:r>
          </w:p>
        </w:tc>
        <w:tc>
          <w:tcPr>
            <w:tcW w:w="9952" w:type="dxa"/>
            <w:tcBorders/>
            <w:shd w:fill="auto" w:val="clear"/>
          </w:tcPr>
          <w:p>
            <w:pPr>
              <w:pStyle w:val="TableContents"/>
              <w:spacing w:before="0" w:after="283"/>
              <w:rPr>
                <w:rFonts w:ascii="arial" w:hAnsi="arial"/>
              </w:rPr>
            </w:pPr>
            <w:r>
              <w:rPr>
                <w:rFonts w:ascii="arial" w:hAnsi="arial"/>
              </w:rPr>
              <w:br/>
            </w:r>
            <w:r>
              <w:rPr>
                <w:rFonts w:ascii="arial" w:hAnsi="arial"/>
                <w:sz w:val="20"/>
              </w:rPr>
              <w:t>Definitive Proxy Statement</w:t>
            </w:r>
          </w:p>
        </w:tc>
      </w:tr>
      <w:tr>
        <w:trPr/>
        <w:tc>
          <w:tcPr>
            <w:tcW w:w="230" w:type="dxa"/>
            <w:tcBorders/>
            <w:shd w:fill="auto" w:val="clear"/>
          </w:tcPr>
          <w:p>
            <w:pPr>
              <w:pStyle w:val="TableContents"/>
              <w:spacing w:before="0" w:after="283"/>
              <w:rPr>
                <w:rFonts w:ascii="arial" w:hAnsi="arial"/>
              </w:rPr>
            </w:pPr>
            <w:r>
              <w:rPr>
                <w:rFonts w:ascii="arial" w:hAnsi="arial"/>
              </w:rPr>
              <w:br/>
            </w:r>
            <w:r>
              <w:rPr>
                <w:rFonts w:ascii="WINGDINGS" w:hAnsi="WINGDINGS"/>
                <w:sz w:val="20"/>
              </w:rPr>
              <w:t>o</w:t>
            </w:r>
          </w:p>
        </w:tc>
        <w:tc>
          <w:tcPr>
            <w:tcW w:w="23" w:type="dxa"/>
            <w:tcBorders/>
            <w:shd w:fill="auto" w:val="clear"/>
          </w:tcPr>
          <w:p>
            <w:pPr>
              <w:pStyle w:val="TableContents"/>
              <w:spacing w:before="0" w:after="283"/>
              <w:rPr>
                <w:rFonts w:ascii="arial" w:hAnsi="arial"/>
                <w:sz w:val="20"/>
              </w:rPr>
            </w:pPr>
            <w:r>
              <w:rPr>
                <w:rFonts w:ascii="arial" w:hAnsi="arial"/>
                <w:sz w:val="20"/>
              </w:rPr>
              <w:br/>
              <w:t>​</w:t>
            </w:r>
          </w:p>
        </w:tc>
        <w:tc>
          <w:tcPr>
            <w:tcW w:w="9952" w:type="dxa"/>
            <w:tcBorders/>
            <w:shd w:fill="auto" w:val="clear"/>
          </w:tcPr>
          <w:p>
            <w:pPr>
              <w:pStyle w:val="TableContents"/>
              <w:spacing w:before="0" w:after="283"/>
              <w:rPr>
                <w:rFonts w:ascii="arial" w:hAnsi="arial"/>
              </w:rPr>
            </w:pPr>
            <w:r>
              <w:rPr>
                <w:rFonts w:ascii="arial" w:hAnsi="arial"/>
              </w:rPr>
              <w:br/>
            </w:r>
            <w:r>
              <w:rPr>
                <w:rFonts w:ascii="arial" w:hAnsi="arial"/>
                <w:sz w:val="20"/>
              </w:rPr>
              <w:t>Definitive Additional Materials</w:t>
            </w:r>
          </w:p>
        </w:tc>
      </w:tr>
      <w:tr>
        <w:trPr/>
        <w:tc>
          <w:tcPr>
            <w:tcW w:w="230" w:type="dxa"/>
            <w:tcBorders/>
            <w:shd w:fill="auto" w:val="clear"/>
          </w:tcPr>
          <w:p>
            <w:pPr>
              <w:pStyle w:val="TableContents"/>
              <w:spacing w:before="0" w:after="283"/>
              <w:rPr>
                <w:rFonts w:ascii="arial" w:hAnsi="arial"/>
              </w:rPr>
            </w:pPr>
            <w:r>
              <w:rPr>
                <w:rFonts w:ascii="arial" w:hAnsi="arial"/>
              </w:rPr>
              <w:br/>
            </w:r>
            <w:r>
              <w:rPr>
                <w:rFonts w:ascii="WINGDINGS" w:hAnsi="WINGDINGS"/>
                <w:sz w:val="20"/>
              </w:rPr>
              <w:t>o</w:t>
            </w:r>
          </w:p>
        </w:tc>
        <w:tc>
          <w:tcPr>
            <w:tcW w:w="23" w:type="dxa"/>
            <w:tcBorders/>
            <w:shd w:fill="auto" w:val="clear"/>
          </w:tcPr>
          <w:p>
            <w:pPr>
              <w:pStyle w:val="TableContents"/>
              <w:spacing w:before="0" w:after="283"/>
              <w:rPr>
                <w:rFonts w:ascii="arial" w:hAnsi="arial"/>
                <w:sz w:val="20"/>
              </w:rPr>
            </w:pPr>
            <w:r>
              <w:rPr>
                <w:rFonts w:ascii="arial" w:hAnsi="arial"/>
                <w:sz w:val="20"/>
              </w:rPr>
              <w:br/>
              <w:t>​</w:t>
            </w:r>
          </w:p>
        </w:tc>
        <w:tc>
          <w:tcPr>
            <w:tcW w:w="9952" w:type="dxa"/>
            <w:tcBorders/>
            <w:shd w:fill="auto" w:val="clear"/>
          </w:tcPr>
          <w:p>
            <w:pPr>
              <w:pStyle w:val="TableContents"/>
              <w:spacing w:before="0" w:after="283"/>
              <w:rPr>
                <w:rFonts w:ascii="arial" w:hAnsi="arial"/>
              </w:rPr>
            </w:pPr>
            <w:r>
              <w:rPr>
                <w:rFonts w:ascii="arial" w:hAnsi="arial"/>
              </w:rPr>
              <w:br/>
            </w:r>
            <w:r>
              <w:rPr>
                <w:rFonts w:ascii="arial" w:hAnsi="arial"/>
                <w:sz w:val="20"/>
              </w:rPr>
              <w:t>Soliciting Material under §240.14a-12</w:t>
            </w:r>
          </w:p>
        </w:tc>
      </w:tr>
    </w:tbl>
    <w:p>
      <w:pPr>
        <w:pStyle w:val="TextBody"/>
        <w:rPr/>
      </w:pPr>
      <w:r>
        <w:rPr/>
        <w:t> </w:t>
      </w:r>
    </w:p>
    <w:tbl>
      <w:tblPr>
        <w:tblW w:w="5000" w:type="pct"/>
        <w:jc w:val="center"/>
        <w:tblInd w:w="0" w:type="dxa"/>
        <w:tblCellMar>
          <w:top w:w="0" w:type="dxa"/>
          <w:left w:w="0" w:type="dxa"/>
          <w:bottom w:w="0" w:type="dxa"/>
          <w:right w:w="0" w:type="dxa"/>
        </w:tblCellMar>
      </w:tblPr>
      <w:tblGrid>
        <w:gridCol w:w="230"/>
        <w:gridCol w:w="180"/>
        <w:gridCol w:w="195"/>
        <w:gridCol w:w="25"/>
        <w:gridCol w:w="9575"/>
      </w:tblGrid>
      <w:tr>
        <w:trPr/>
        <w:tc>
          <w:tcPr>
            <w:tcW w:w="23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25" w:type="dxa"/>
            <w:tcBorders/>
            <w:shd w:fill="auto" w:val="clear"/>
            <w:vAlign w:val="center"/>
          </w:tcPr>
          <w:p>
            <w:pPr>
              <w:pStyle w:val="TableContents"/>
              <w:spacing w:before="0" w:after="283"/>
              <w:rPr>
                <w:sz w:val="4"/>
                <w:szCs w:val="4"/>
              </w:rPr>
            </w:pPr>
            <w:r>
              <w:rPr>
                <w:sz w:val="4"/>
                <w:szCs w:val="4"/>
              </w:rPr>
            </w:r>
          </w:p>
        </w:tc>
        <w:tc>
          <w:tcPr>
            <w:tcW w:w="9575" w:type="dxa"/>
            <w:tcBorders/>
            <w:shd w:fill="auto" w:val="clear"/>
            <w:vAlign w:val="cente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jc w:val="center"/>
              <w:rPr>
                <w:rFonts w:ascii="arial" w:hAnsi="arial"/>
                <w:b/>
                <w:sz w:val="20"/>
              </w:rPr>
            </w:pPr>
            <w:r>
              <w:rPr>
                <w:rFonts w:ascii="arial" w:hAnsi="arial"/>
                <w:b/>
                <w:sz w:val="20"/>
              </w:rPr>
              <w:t>ALTISOURCE PORTFOLIO SOLUTIONS S.A.</w:t>
            </w:r>
          </w:p>
        </w:tc>
      </w:tr>
      <w:tr>
        <w:trPr/>
        <w:tc>
          <w:tcPr>
            <w:tcW w:w="10205" w:type="dxa"/>
            <w:gridSpan w:val="5"/>
            <w:tcBorders/>
            <w:shd w:fill="auto" w:val="clear"/>
          </w:tcPr>
          <w:p>
            <w:pPr>
              <w:pStyle w:val="HorizontalLine"/>
              <w:pBdr>
                <w:bottom w:val="single" w:sz="6" w:space="0" w:color="000000"/>
              </w:pBdr>
              <w:jc w:val="center"/>
              <w:rPr/>
            </w:pPr>
            <w:r>
              <w:rPr/>
            </w:r>
          </w:p>
          <w:p>
            <w:pPr>
              <w:pStyle w:val="TableContents"/>
              <w:spacing w:before="0" w:after="283"/>
              <w:jc w:val="center"/>
              <w:rPr>
                <w:rFonts w:ascii="arial" w:hAnsi="arial"/>
                <w:sz w:val="20"/>
              </w:rPr>
            </w:pPr>
            <w:r>
              <w:rPr>
                <w:rFonts w:ascii="arial" w:hAnsi="arial"/>
                <w:sz w:val="20"/>
              </w:rPr>
              <w:t>(Name of Registrant as Specified in its Charter)</w:t>
            </w:r>
          </w:p>
        </w:tc>
      </w:tr>
      <w:tr>
        <w:trPr/>
        <w:tc>
          <w:tcPr>
            <w:tcW w:w="10205" w:type="dxa"/>
            <w:gridSpan w:val="5"/>
            <w:tcBorders/>
            <w:shd w:fill="auto" w:val="clear"/>
          </w:tcPr>
          <w:p>
            <w:pPr>
              <w:pStyle w:val="TableContents"/>
              <w:spacing w:before="0" w:after="283"/>
              <w:jc w:val="center"/>
              <w:rPr>
                <w:rFonts w:ascii="arial" w:hAnsi="arial"/>
              </w:rPr>
            </w:pPr>
            <w:r>
              <w:rPr>
                <w:rFonts w:ascii="arial" w:hAnsi="arial"/>
              </w:rPr>
              <w:br/>
            </w:r>
            <w:r>
              <w:rPr>
                <w:rFonts w:ascii="arial" w:hAnsi="arial"/>
                <w:b/>
                <w:sz w:val="20"/>
              </w:rPr>
              <w:t>N/A</w:t>
            </w:r>
          </w:p>
        </w:tc>
      </w:tr>
      <w:tr>
        <w:trPr/>
        <w:tc>
          <w:tcPr>
            <w:tcW w:w="10205" w:type="dxa"/>
            <w:gridSpan w:val="5"/>
            <w:tcBorders/>
            <w:shd w:fill="auto" w:val="clear"/>
          </w:tcPr>
          <w:p>
            <w:pPr>
              <w:pStyle w:val="HorizontalLine"/>
              <w:pBdr>
                <w:bottom w:val="single" w:sz="6" w:space="0" w:color="000000"/>
              </w:pBdr>
              <w:jc w:val="center"/>
              <w:rPr/>
            </w:pPr>
            <w:r>
              <w:rPr/>
            </w:r>
          </w:p>
          <w:p>
            <w:pPr>
              <w:pStyle w:val="TableContents"/>
              <w:spacing w:before="0" w:after="283"/>
              <w:jc w:val="center"/>
              <w:rPr>
                <w:rFonts w:ascii="arial" w:hAnsi="arial"/>
                <w:sz w:val="20"/>
              </w:rPr>
            </w:pPr>
            <w:r>
              <w:rPr>
                <w:rFonts w:ascii="arial" w:hAnsi="arial"/>
                <w:sz w:val="20"/>
              </w:rPr>
              <w:t>(Name of Person(s) Filing Proxy Statement, if other than the Registrant)</w:t>
            </w:r>
          </w:p>
        </w:tc>
      </w:tr>
      <w:tr>
        <w:trPr/>
        <w:tc>
          <w:tcPr>
            <w:tcW w:w="10205" w:type="dxa"/>
            <w:gridSpan w:val="5"/>
            <w:tcBorders/>
            <w:shd w:fill="auto" w:val="clear"/>
          </w:tcPr>
          <w:p>
            <w:pPr>
              <w:pStyle w:val="TableContents"/>
              <w:spacing w:before="0" w:after="283"/>
              <w:rPr>
                <w:rFonts w:ascii="arial" w:hAnsi="arial"/>
                <w:sz w:val="20"/>
              </w:rPr>
            </w:pPr>
            <w:r>
              <w:rPr>
                <w:rFonts w:ascii="arial" w:hAnsi="arial"/>
                <w:sz w:val="20"/>
              </w:rPr>
              <w:br/>
              <w:t>Payment of Filing Fee (Check the appropriate box):</w:t>
            </w:r>
          </w:p>
        </w:tc>
      </w:tr>
      <w:tr>
        <w:trPr/>
        <w:tc>
          <w:tcPr>
            <w:tcW w:w="230" w:type="dxa"/>
            <w:tcBorders/>
            <w:shd w:fill="auto" w:val="clear"/>
          </w:tcPr>
          <w:p>
            <w:pPr>
              <w:pStyle w:val="TableContents"/>
              <w:spacing w:before="0" w:after="283"/>
              <w:rPr>
                <w:rFonts w:ascii="arial" w:hAnsi="arial"/>
              </w:rPr>
            </w:pPr>
            <w:r>
              <w:rPr>
                <w:rFonts w:ascii="arial" w:hAnsi="arial"/>
              </w:rPr>
              <w:br/>
              <w:t>☒</w:t>
            </w:r>
          </w:p>
        </w:tc>
        <w:tc>
          <w:tcPr>
            <w:tcW w:w="180" w:type="dxa"/>
            <w:tcBorders/>
            <w:shd w:fill="auto" w:val="clear"/>
          </w:tcPr>
          <w:p>
            <w:pPr>
              <w:pStyle w:val="TableContents"/>
              <w:spacing w:before="0" w:after="283"/>
              <w:rPr>
                <w:rFonts w:ascii="arial" w:hAnsi="arial"/>
                <w:sz w:val="20"/>
              </w:rPr>
            </w:pPr>
            <w:r>
              <w:rPr>
                <w:rFonts w:ascii="arial" w:hAnsi="arial"/>
                <w:sz w:val="20"/>
              </w:rPr>
              <w:br/>
              <w:t>​</w:t>
            </w:r>
          </w:p>
        </w:tc>
        <w:tc>
          <w:tcPr>
            <w:tcW w:w="9795" w:type="dxa"/>
            <w:gridSpan w:val="3"/>
            <w:tcBorders/>
            <w:shd w:fill="auto" w:val="clear"/>
          </w:tcPr>
          <w:p>
            <w:pPr>
              <w:pStyle w:val="TableContents"/>
              <w:spacing w:before="0" w:after="283"/>
              <w:rPr>
                <w:rFonts w:ascii="arial" w:hAnsi="arial"/>
              </w:rPr>
            </w:pPr>
            <w:r>
              <w:rPr>
                <w:rFonts w:ascii="arial" w:hAnsi="arial"/>
              </w:rPr>
              <w:br/>
            </w:r>
            <w:r>
              <w:rPr>
                <w:rFonts w:ascii="arial" w:hAnsi="arial"/>
                <w:sz w:val="20"/>
              </w:rPr>
              <w:t>No Fee Required</w:t>
            </w:r>
          </w:p>
        </w:tc>
      </w:tr>
      <w:tr>
        <w:trPr/>
        <w:tc>
          <w:tcPr>
            <w:tcW w:w="230" w:type="dxa"/>
            <w:tcBorders/>
            <w:shd w:fill="auto" w:val="clear"/>
          </w:tcPr>
          <w:p>
            <w:pPr>
              <w:pStyle w:val="TableContents"/>
              <w:spacing w:before="0" w:after="283"/>
              <w:rPr>
                <w:rFonts w:ascii="arial" w:hAnsi="arial"/>
              </w:rPr>
            </w:pPr>
            <w:r>
              <w:rPr>
                <w:rFonts w:ascii="arial" w:hAnsi="arial"/>
              </w:rPr>
              <w:br/>
            </w:r>
            <w:r>
              <w:rPr>
                <w:rFonts w:ascii="WINGDINGS" w:hAnsi="WINGDINGS"/>
                <w:sz w:val="20"/>
              </w:rPr>
              <w:t>o</w:t>
            </w:r>
          </w:p>
        </w:tc>
        <w:tc>
          <w:tcPr>
            <w:tcW w:w="180" w:type="dxa"/>
            <w:tcBorders/>
            <w:shd w:fill="auto" w:val="clear"/>
          </w:tcPr>
          <w:p>
            <w:pPr>
              <w:pStyle w:val="TableContents"/>
              <w:spacing w:before="0" w:after="283"/>
              <w:rPr>
                <w:rFonts w:ascii="arial" w:hAnsi="arial"/>
                <w:sz w:val="20"/>
              </w:rPr>
            </w:pPr>
            <w:r>
              <w:rPr>
                <w:rFonts w:ascii="arial" w:hAnsi="arial"/>
                <w:sz w:val="20"/>
              </w:rPr>
              <w:br/>
              <w:t>​</w:t>
            </w:r>
          </w:p>
        </w:tc>
        <w:tc>
          <w:tcPr>
            <w:tcW w:w="9795" w:type="dxa"/>
            <w:gridSpan w:val="3"/>
            <w:tcBorders/>
            <w:shd w:fill="auto" w:val="clear"/>
          </w:tcPr>
          <w:p>
            <w:pPr>
              <w:pStyle w:val="TableContents"/>
              <w:spacing w:before="0" w:after="283"/>
              <w:rPr>
                <w:rFonts w:ascii="arial" w:hAnsi="arial"/>
              </w:rPr>
            </w:pPr>
            <w:r>
              <w:rPr>
                <w:rFonts w:ascii="arial" w:hAnsi="arial"/>
              </w:rPr>
              <w:br/>
            </w:r>
            <w:r>
              <w:rPr>
                <w:rFonts w:ascii="arial" w:hAnsi="arial"/>
                <w:sz w:val="20"/>
              </w:rPr>
              <w:t>Fee computed on table below per Exchange Act Rules 14a-6(i)(1) and 0-11.</w:t>
            </w:r>
          </w:p>
        </w:tc>
      </w:tr>
      <w:tr>
        <w:trPr/>
        <w:tc>
          <w:tcPr>
            <w:tcW w:w="230" w:type="dxa"/>
            <w:tcBorders/>
            <w:shd w:fill="auto" w:val="clear"/>
          </w:tcPr>
          <w:p>
            <w:pPr>
              <w:pStyle w:val="TableContents"/>
              <w:spacing w:before="0" w:after="283"/>
              <w:rPr>
                <w:rFonts w:ascii="arial" w:hAnsi="arial"/>
              </w:rPr>
            </w:pPr>
            <w:r>
              <w:rPr>
                <w:rFonts w:ascii="arial" w:hAnsi="arial"/>
              </w:rPr>
              <w:br/>
            </w:r>
            <w:r>
              <w:rPr>
                <w:rFonts w:ascii="arial" w:hAnsi="arial"/>
                <w:sz w:val="20"/>
              </w:rPr>
              <w:t>(1)</w:t>
            </w:r>
          </w:p>
        </w:tc>
        <w:tc>
          <w:tcPr>
            <w:tcW w:w="180" w:type="dxa"/>
            <w:tcBorders/>
            <w:shd w:fill="auto" w:val="clear"/>
          </w:tcPr>
          <w:p>
            <w:pPr>
              <w:pStyle w:val="TableContents"/>
              <w:spacing w:before="0" w:after="283"/>
              <w:rPr>
                <w:rFonts w:ascii="arial" w:hAnsi="arial"/>
                <w:sz w:val="20"/>
              </w:rPr>
            </w:pPr>
            <w:r>
              <w:rPr>
                <w:rFonts w:ascii="arial" w:hAnsi="arial"/>
                <w:sz w:val="20"/>
              </w:rPr>
              <w:br/>
              <w:t>​</w:t>
            </w:r>
          </w:p>
        </w:tc>
        <w:tc>
          <w:tcPr>
            <w:tcW w:w="9795" w:type="dxa"/>
            <w:gridSpan w:val="3"/>
            <w:tcBorders>
              <w:bottom w:val="single" w:sz="8" w:space="0" w:color="000000"/>
            </w:tcBorders>
            <w:shd w:fill="auto" w:val="clear"/>
            <w:tcMar>
              <w:bottom w:w="28" w:type="dxa"/>
            </w:tcMar>
          </w:tcPr>
          <w:p>
            <w:pPr>
              <w:pStyle w:val="TableContents"/>
              <w:spacing w:before="0" w:after="283"/>
              <w:rPr>
                <w:rFonts w:ascii="arial" w:hAnsi="arial"/>
              </w:rPr>
            </w:pPr>
            <w:r>
              <w:rPr>
                <w:rFonts w:ascii="arial" w:hAnsi="arial"/>
              </w:rPr>
              <w:br/>
            </w:r>
            <w:r>
              <w:rPr>
                <w:rFonts w:ascii="arial" w:hAnsi="arial"/>
                <w:sz w:val="20"/>
              </w:rPr>
              <w:t>Title of each class of securities to which transaction applies:</w:t>
              <w:br/>
              <w:t>        N/A</w:t>
            </w:r>
          </w:p>
        </w:tc>
      </w:tr>
      <w:tr>
        <w:trPr/>
        <w:tc>
          <w:tcPr>
            <w:tcW w:w="230" w:type="dxa"/>
            <w:tcBorders/>
            <w:shd w:fill="auto" w:val="clear"/>
          </w:tcPr>
          <w:p>
            <w:pPr>
              <w:pStyle w:val="TableContents"/>
              <w:spacing w:before="0" w:after="283"/>
              <w:rPr>
                <w:rFonts w:ascii="arial" w:hAnsi="arial"/>
                <w:sz w:val="20"/>
              </w:rPr>
            </w:pPr>
            <w:r>
              <w:rPr>
                <w:rFonts w:ascii="arial" w:hAnsi="arial"/>
                <w:sz w:val="20"/>
              </w:rPr>
              <w:t>(2)</w:t>
            </w:r>
          </w:p>
        </w:tc>
        <w:tc>
          <w:tcPr>
            <w:tcW w:w="180" w:type="dxa"/>
            <w:tcBorders/>
            <w:shd w:fill="auto" w:val="clear"/>
          </w:tcPr>
          <w:p>
            <w:pPr>
              <w:pStyle w:val="TableContents"/>
              <w:spacing w:before="0" w:after="283"/>
              <w:rPr/>
            </w:pPr>
            <w:r>
              <w:rPr/>
              <w:t>​</w:t>
            </w:r>
          </w:p>
        </w:tc>
        <w:tc>
          <w:tcPr>
            <w:tcW w:w="9795" w:type="dxa"/>
            <w:gridSpan w:val="3"/>
            <w:tcBorders>
              <w:bottom w:val="single" w:sz="8" w:space="0" w:color="000000"/>
            </w:tcBorders>
            <w:shd w:fill="auto" w:val="clear"/>
            <w:tcMar>
              <w:bottom w:w="28" w:type="dxa"/>
            </w:tcMar>
          </w:tcPr>
          <w:p>
            <w:pPr>
              <w:pStyle w:val="TableContents"/>
              <w:spacing w:before="0" w:after="283"/>
              <w:rPr>
                <w:rFonts w:ascii="arial" w:hAnsi="arial"/>
                <w:sz w:val="20"/>
              </w:rPr>
            </w:pPr>
            <w:r>
              <w:rPr>
                <w:rFonts w:ascii="arial" w:hAnsi="arial"/>
                <w:sz w:val="20"/>
              </w:rPr>
              <w:t>Aggregate number of securities to which the transaction applies:</w:t>
              <w:br/>
              <w:t>        N/A</w:t>
            </w:r>
          </w:p>
        </w:tc>
      </w:tr>
      <w:tr>
        <w:trPr/>
        <w:tc>
          <w:tcPr>
            <w:tcW w:w="230" w:type="dxa"/>
            <w:tcBorders/>
            <w:shd w:fill="auto" w:val="clear"/>
          </w:tcPr>
          <w:p>
            <w:pPr>
              <w:pStyle w:val="TableContents"/>
              <w:spacing w:before="0" w:after="283"/>
              <w:rPr>
                <w:rFonts w:ascii="arial" w:hAnsi="arial"/>
                <w:sz w:val="20"/>
              </w:rPr>
            </w:pPr>
            <w:r>
              <w:rPr>
                <w:rFonts w:ascii="arial" w:hAnsi="arial"/>
                <w:sz w:val="20"/>
              </w:rPr>
              <w:t>(3)</w:t>
            </w:r>
          </w:p>
        </w:tc>
        <w:tc>
          <w:tcPr>
            <w:tcW w:w="180" w:type="dxa"/>
            <w:tcBorders/>
            <w:shd w:fill="auto" w:val="clear"/>
          </w:tcPr>
          <w:p>
            <w:pPr>
              <w:pStyle w:val="TableContents"/>
              <w:spacing w:before="0" w:after="283"/>
              <w:rPr/>
            </w:pPr>
            <w:r>
              <w:rPr/>
              <w:t>​</w:t>
            </w:r>
          </w:p>
        </w:tc>
        <w:tc>
          <w:tcPr>
            <w:tcW w:w="9795" w:type="dxa"/>
            <w:gridSpan w:val="3"/>
            <w:tcBorders>
              <w:bottom w:val="single" w:sz="8" w:space="0" w:color="000000"/>
            </w:tcBorders>
            <w:shd w:fill="auto" w:val="clear"/>
            <w:tcMar>
              <w:bottom w:w="28" w:type="dxa"/>
            </w:tcMar>
          </w:tcPr>
          <w:p>
            <w:pPr>
              <w:pStyle w:val="TableContents"/>
              <w:spacing w:before="0" w:after="283"/>
              <w:rPr>
                <w:rFonts w:ascii="arial" w:hAnsi="arial"/>
                <w:sz w:val="20"/>
              </w:rPr>
            </w:pPr>
            <w:r>
              <w:rPr>
                <w:rFonts w:ascii="arial" w:hAnsi="arial"/>
                <w:sz w:val="20"/>
              </w:rPr>
              <w:t>Per unit price or other underlying value of transaction computed pursuant to Exchange Act Rule 0-11 (set forth the amount on which the filing fee is calculated and state how it was determined):</w:t>
              <w:br/>
              <w:t>        N/A</w:t>
            </w:r>
          </w:p>
        </w:tc>
      </w:tr>
      <w:tr>
        <w:trPr/>
        <w:tc>
          <w:tcPr>
            <w:tcW w:w="230" w:type="dxa"/>
            <w:tcBorders/>
            <w:shd w:fill="auto" w:val="clear"/>
          </w:tcPr>
          <w:p>
            <w:pPr>
              <w:pStyle w:val="TableContents"/>
              <w:spacing w:before="0" w:after="283"/>
              <w:rPr>
                <w:rFonts w:ascii="arial" w:hAnsi="arial"/>
                <w:sz w:val="20"/>
              </w:rPr>
            </w:pPr>
            <w:r>
              <w:rPr>
                <w:rFonts w:ascii="arial" w:hAnsi="arial"/>
                <w:sz w:val="20"/>
              </w:rPr>
              <w:t>(4)</w:t>
            </w:r>
          </w:p>
        </w:tc>
        <w:tc>
          <w:tcPr>
            <w:tcW w:w="180" w:type="dxa"/>
            <w:tcBorders/>
            <w:shd w:fill="auto" w:val="clear"/>
          </w:tcPr>
          <w:p>
            <w:pPr>
              <w:pStyle w:val="TableContents"/>
              <w:spacing w:before="0" w:after="283"/>
              <w:rPr/>
            </w:pPr>
            <w:r>
              <w:rPr/>
              <w:t>​</w:t>
            </w:r>
          </w:p>
        </w:tc>
        <w:tc>
          <w:tcPr>
            <w:tcW w:w="9795" w:type="dxa"/>
            <w:gridSpan w:val="3"/>
            <w:tcBorders>
              <w:bottom w:val="single" w:sz="8" w:space="0" w:color="000000"/>
            </w:tcBorders>
            <w:shd w:fill="auto" w:val="clear"/>
            <w:tcMar>
              <w:bottom w:w="28" w:type="dxa"/>
            </w:tcMar>
          </w:tcPr>
          <w:p>
            <w:pPr>
              <w:pStyle w:val="TableContents"/>
              <w:spacing w:before="0" w:after="283"/>
              <w:rPr>
                <w:rFonts w:ascii="arial" w:hAnsi="arial"/>
                <w:sz w:val="20"/>
              </w:rPr>
            </w:pPr>
            <w:r>
              <w:rPr>
                <w:rFonts w:ascii="arial" w:hAnsi="arial"/>
                <w:sz w:val="20"/>
              </w:rPr>
              <w:t>Proposed maximum aggregate value of transaction:</w:t>
              <w:br/>
              <w:t>        N/A</w:t>
            </w:r>
          </w:p>
        </w:tc>
      </w:tr>
      <w:tr>
        <w:trPr/>
        <w:tc>
          <w:tcPr>
            <w:tcW w:w="230" w:type="dxa"/>
            <w:tcBorders/>
            <w:shd w:fill="auto" w:val="clear"/>
          </w:tcPr>
          <w:p>
            <w:pPr>
              <w:pStyle w:val="TableContents"/>
              <w:spacing w:before="0" w:after="283"/>
              <w:rPr>
                <w:rFonts w:ascii="arial" w:hAnsi="arial"/>
                <w:sz w:val="20"/>
              </w:rPr>
            </w:pPr>
            <w:r>
              <w:rPr>
                <w:rFonts w:ascii="arial" w:hAnsi="arial"/>
                <w:sz w:val="20"/>
              </w:rPr>
              <w:t>(5)</w:t>
            </w:r>
          </w:p>
        </w:tc>
        <w:tc>
          <w:tcPr>
            <w:tcW w:w="180" w:type="dxa"/>
            <w:tcBorders/>
            <w:shd w:fill="auto" w:val="clear"/>
          </w:tcPr>
          <w:p>
            <w:pPr>
              <w:pStyle w:val="TableContents"/>
              <w:spacing w:before="0" w:after="283"/>
              <w:rPr/>
            </w:pPr>
            <w:r>
              <w:rPr/>
              <w:t>​</w:t>
            </w:r>
          </w:p>
        </w:tc>
        <w:tc>
          <w:tcPr>
            <w:tcW w:w="9795" w:type="dxa"/>
            <w:gridSpan w:val="3"/>
            <w:tcBorders/>
            <w:shd w:fill="auto" w:val="clear"/>
          </w:tcPr>
          <w:p>
            <w:pPr>
              <w:pStyle w:val="TableContents"/>
              <w:spacing w:before="0" w:after="283"/>
              <w:rPr>
                <w:rFonts w:ascii="arial" w:hAnsi="arial"/>
                <w:sz w:val="20"/>
              </w:rPr>
            </w:pPr>
            <w:r>
              <w:rPr>
                <w:rFonts w:ascii="arial" w:hAnsi="arial"/>
                <w:sz w:val="20"/>
              </w:rPr>
              <w:t>Total fee paid:</w:t>
            </w:r>
          </w:p>
        </w:tc>
      </w:tr>
      <w:tr>
        <w:trPr/>
        <w:tc>
          <w:tcPr>
            <w:tcW w:w="230" w:type="dxa"/>
            <w:tcBorders/>
            <w:shd w:fill="auto" w:val="clear"/>
          </w:tcPr>
          <w:p>
            <w:pPr>
              <w:pStyle w:val="TableContents"/>
              <w:spacing w:before="0" w:after="283"/>
              <w:rPr>
                <w:rFonts w:ascii="arial" w:hAnsi="arial"/>
                <w:sz w:val="20"/>
              </w:rPr>
            </w:pPr>
            <w:r>
              <w:rPr>
                <w:rFonts w:ascii="arial" w:hAnsi="arial"/>
                <w:sz w:val="20"/>
              </w:rPr>
              <w:br/>
              <w:t> </w:t>
            </w:r>
          </w:p>
        </w:tc>
        <w:tc>
          <w:tcPr>
            <w:tcW w:w="180" w:type="dxa"/>
            <w:tcBorders/>
            <w:shd w:fill="auto" w:val="clear"/>
          </w:tcPr>
          <w:p>
            <w:pPr>
              <w:pStyle w:val="TableContents"/>
              <w:spacing w:before="0" w:after="283"/>
              <w:rPr>
                <w:rFonts w:ascii="arial" w:hAnsi="arial"/>
                <w:sz w:val="20"/>
              </w:rPr>
            </w:pPr>
            <w:r>
              <w:rPr>
                <w:rFonts w:ascii="arial" w:hAnsi="arial"/>
                <w:sz w:val="20"/>
              </w:rPr>
              <w:br/>
              <w:t>​</w:t>
            </w:r>
          </w:p>
        </w:tc>
        <w:tc>
          <w:tcPr>
            <w:tcW w:w="195" w:type="dxa"/>
            <w:tcBorders/>
            <w:shd w:fill="auto" w:val="clear"/>
          </w:tcPr>
          <w:p>
            <w:pPr>
              <w:pStyle w:val="TableContents"/>
              <w:spacing w:before="0" w:after="283"/>
              <w:rPr>
                <w:rFonts w:ascii="arial" w:hAnsi="arial"/>
              </w:rPr>
            </w:pPr>
            <w:r>
              <w:rPr>
                <w:rFonts w:ascii="arial" w:hAnsi="arial"/>
              </w:rPr>
              <w:br/>
            </w:r>
            <w:r>
              <w:rPr>
                <w:rFonts w:ascii="WINGDINGS" w:hAnsi="WINGDINGS"/>
                <w:sz w:val="20"/>
              </w:rPr>
              <w:t>o</w:t>
            </w:r>
          </w:p>
        </w:tc>
        <w:tc>
          <w:tcPr>
            <w:tcW w:w="25" w:type="dxa"/>
            <w:tcBorders/>
            <w:shd w:fill="auto" w:val="clear"/>
          </w:tcPr>
          <w:p>
            <w:pPr>
              <w:pStyle w:val="TableContents"/>
              <w:spacing w:before="0" w:after="283"/>
              <w:rPr>
                <w:rFonts w:ascii="arial" w:hAnsi="arial"/>
                <w:sz w:val="20"/>
              </w:rPr>
            </w:pPr>
            <w:r>
              <w:rPr>
                <w:rFonts w:ascii="arial" w:hAnsi="arial"/>
                <w:sz w:val="20"/>
              </w:rPr>
              <w:br/>
              <w:t>​</w:t>
            </w:r>
          </w:p>
        </w:tc>
        <w:tc>
          <w:tcPr>
            <w:tcW w:w="9575" w:type="dxa"/>
            <w:tcBorders/>
            <w:shd w:fill="auto" w:val="clear"/>
          </w:tcPr>
          <w:p>
            <w:pPr>
              <w:pStyle w:val="TableContents"/>
              <w:spacing w:before="0" w:after="283"/>
              <w:rPr>
                <w:rFonts w:ascii="arial" w:hAnsi="arial"/>
              </w:rPr>
            </w:pPr>
            <w:r>
              <w:rPr>
                <w:rFonts w:ascii="arial" w:hAnsi="arial"/>
              </w:rPr>
              <w:br/>
            </w:r>
            <w:r>
              <w:rPr>
                <w:rFonts w:ascii="arial" w:hAnsi="arial"/>
                <w:sz w:val="20"/>
              </w:rPr>
              <w:t>Fee paid previously with preliminary materials.</w:t>
            </w:r>
          </w:p>
        </w:tc>
      </w:tr>
      <w:tr>
        <w:trPr/>
        <w:tc>
          <w:tcPr>
            <w:tcW w:w="230" w:type="dxa"/>
            <w:tcBorders/>
            <w:shd w:fill="auto" w:val="clear"/>
          </w:tcPr>
          <w:p>
            <w:pPr>
              <w:pStyle w:val="TableContents"/>
              <w:spacing w:before="0" w:after="283"/>
              <w:rPr>
                <w:rFonts w:ascii="arial" w:hAnsi="arial"/>
                <w:sz w:val="20"/>
              </w:rPr>
            </w:pPr>
            <w:r>
              <w:rPr>
                <w:rFonts w:ascii="arial" w:hAnsi="arial"/>
                <w:sz w:val="20"/>
              </w:rPr>
              <w:br/>
              <w:t> </w:t>
            </w:r>
          </w:p>
        </w:tc>
        <w:tc>
          <w:tcPr>
            <w:tcW w:w="180" w:type="dxa"/>
            <w:tcBorders/>
            <w:shd w:fill="auto" w:val="clear"/>
          </w:tcPr>
          <w:p>
            <w:pPr>
              <w:pStyle w:val="TableContents"/>
              <w:spacing w:before="0" w:after="283"/>
              <w:rPr>
                <w:rFonts w:ascii="arial" w:hAnsi="arial"/>
                <w:sz w:val="20"/>
              </w:rPr>
            </w:pPr>
            <w:r>
              <w:rPr>
                <w:rFonts w:ascii="arial" w:hAnsi="arial"/>
                <w:sz w:val="20"/>
              </w:rPr>
              <w:br/>
              <w:t>​</w:t>
            </w:r>
          </w:p>
        </w:tc>
        <w:tc>
          <w:tcPr>
            <w:tcW w:w="195" w:type="dxa"/>
            <w:tcBorders/>
            <w:shd w:fill="auto" w:val="clear"/>
          </w:tcPr>
          <w:p>
            <w:pPr>
              <w:pStyle w:val="TableContents"/>
              <w:spacing w:before="0" w:after="283"/>
              <w:rPr>
                <w:rFonts w:ascii="arial" w:hAnsi="arial"/>
              </w:rPr>
            </w:pPr>
            <w:r>
              <w:rPr>
                <w:rFonts w:ascii="arial" w:hAnsi="arial"/>
              </w:rPr>
              <w:br/>
            </w:r>
            <w:r>
              <w:rPr>
                <w:rFonts w:ascii="WINGDINGS" w:hAnsi="WINGDINGS"/>
                <w:sz w:val="20"/>
              </w:rPr>
              <w:t>o</w:t>
            </w:r>
          </w:p>
        </w:tc>
        <w:tc>
          <w:tcPr>
            <w:tcW w:w="25" w:type="dxa"/>
            <w:tcBorders/>
            <w:shd w:fill="auto" w:val="clear"/>
          </w:tcPr>
          <w:p>
            <w:pPr>
              <w:pStyle w:val="TableContents"/>
              <w:spacing w:before="0" w:after="283"/>
              <w:rPr>
                <w:rFonts w:ascii="arial" w:hAnsi="arial"/>
                <w:sz w:val="20"/>
              </w:rPr>
            </w:pPr>
            <w:r>
              <w:rPr>
                <w:rFonts w:ascii="arial" w:hAnsi="arial"/>
                <w:sz w:val="20"/>
              </w:rPr>
              <w:br/>
              <w:t>​</w:t>
            </w:r>
          </w:p>
        </w:tc>
        <w:tc>
          <w:tcPr>
            <w:tcW w:w="9575" w:type="dxa"/>
            <w:tcBorders/>
            <w:shd w:fill="auto" w:val="clear"/>
          </w:tcPr>
          <w:p>
            <w:pPr>
              <w:pStyle w:val="TableContents"/>
              <w:spacing w:before="0" w:after="283"/>
              <w:rPr>
                <w:rFonts w:ascii="arial" w:hAnsi="arial"/>
              </w:rPr>
            </w:pPr>
            <w:r>
              <w:rPr>
                <w:rFonts w:ascii="arial" w:hAnsi="arial"/>
              </w:rPr>
              <w:br/>
            </w:r>
            <w:r>
              <w:rPr>
                <w:rFonts w:ascii="arial" w:hAnsi="arial"/>
                <w:sz w:val="20"/>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tc>
      </w:tr>
      <w:tr>
        <w:trPr/>
        <w:tc>
          <w:tcPr>
            <w:tcW w:w="230" w:type="dxa"/>
            <w:tcBorders/>
            <w:shd w:fill="auto" w:val="clear"/>
          </w:tcPr>
          <w:p>
            <w:pPr>
              <w:pStyle w:val="TableContents"/>
              <w:spacing w:before="0" w:after="283"/>
              <w:rPr>
                <w:rFonts w:ascii="arial" w:hAnsi="arial"/>
              </w:rPr>
            </w:pPr>
            <w:r>
              <w:rPr>
                <w:rFonts w:ascii="arial" w:hAnsi="arial"/>
              </w:rPr>
              <w:br/>
            </w:r>
            <w:r>
              <w:rPr>
                <w:rFonts w:ascii="arial" w:hAnsi="arial"/>
                <w:sz w:val="20"/>
              </w:rPr>
              <w:t>(1)</w:t>
            </w:r>
          </w:p>
        </w:tc>
        <w:tc>
          <w:tcPr>
            <w:tcW w:w="180" w:type="dxa"/>
            <w:tcBorders/>
            <w:shd w:fill="auto" w:val="clear"/>
          </w:tcPr>
          <w:p>
            <w:pPr>
              <w:pStyle w:val="TableContents"/>
              <w:spacing w:before="0" w:after="283"/>
              <w:rPr>
                <w:rFonts w:ascii="arial" w:hAnsi="arial"/>
                <w:sz w:val="20"/>
              </w:rPr>
            </w:pPr>
            <w:r>
              <w:rPr>
                <w:rFonts w:ascii="arial" w:hAnsi="arial"/>
                <w:sz w:val="20"/>
              </w:rPr>
              <w:br/>
              <w:t>​</w:t>
            </w:r>
          </w:p>
        </w:tc>
        <w:tc>
          <w:tcPr>
            <w:tcW w:w="9795" w:type="dxa"/>
            <w:gridSpan w:val="3"/>
            <w:tcBorders>
              <w:bottom w:val="single" w:sz="8" w:space="0" w:color="000000"/>
            </w:tcBorders>
            <w:shd w:fill="auto" w:val="clear"/>
            <w:tcMar>
              <w:bottom w:w="28" w:type="dxa"/>
            </w:tcMar>
          </w:tcPr>
          <w:p>
            <w:pPr>
              <w:pStyle w:val="TableContents"/>
              <w:spacing w:before="0" w:after="283"/>
              <w:rPr>
                <w:rFonts w:ascii="arial" w:hAnsi="arial"/>
              </w:rPr>
            </w:pPr>
            <w:r>
              <w:rPr>
                <w:rFonts w:ascii="arial" w:hAnsi="arial"/>
              </w:rPr>
              <w:br/>
            </w:r>
            <w:r>
              <w:rPr>
                <w:rFonts w:ascii="arial" w:hAnsi="arial"/>
                <w:sz w:val="20"/>
              </w:rPr>
              <w:t>Amount Previously Paid:</w:t>
              <w:br/>
              <w:t>        N/A</w:t>
            </w:r>
          </w:p>
        </w:tc>
      </w:tr>
      <w:tr>
        <w:trPr/>
        <w:tc>
          <w:tcPr>
            <w:tcW w:w="230" w:type="dxa"/>
            <w:tcBorders/>
            <w:shd w:fill="auto" w:val="clear"/>
          </w:tcPr>
          <w:p>
            <w:pPr>
              <w:pStyle w:val="TableContents"/>
              <w:spacing w:before="0" w:after="283"/>
              <w:rPr>
                <w:rFonts w:ascii="arial" w:hAnsi="arial"/>
                <w:sz w:val="20"/>
              </w:rPr>
            </w:pPr>
            <w:r>
              <w:rPr>
                <w:rFonts w:ascii="arial" w:hAnsi="arial"/>
                <w:sz w:val="20"/>
              </w:rPr>
              <w:t>(2)</w:t>
            </w:r>
          </w:p>
        </w:tc>
        <w:tc>
          <w:tcPr>
            <w:tcW w:w="180" w:type="dxa"/>
            <w:tcBorders/>
            <w:shd w:fill="auto" w:val="clear"/>
          </w:tcPr>
          <w:p>
            <w:pPr>
              <w:pStyle w:val="TableContents"/>
              <w:spacing w:before="0" w:after="283"/>
              <w:rPr/>
            </w:pPr>
            <w:r>
              <w:rPr/>
              <w:t>​</w:t>
            </w:r>
          </w:p>
        </w:tc>
        <w:tc>
          <w:tcPr>
            <w:tcW w:w="9795" w:type="dxa"/>
            <w:gridSpan w:val="3"/>
            <w:tcBorders>
              <w:bottom w:val="single" w:sz="8" w:space="0" w:color="000000"/>
            </w:tcBorders>
            <w:shd w:fill="auto" w:val="clear"/>
            <w:tcMar>
              <w:bottom w:w="28" w:type="dxa"/>
            </w:tcMar>
          </w:tcPr>
          <w:p>
            <w:pPr>
              <w:pStyle w:val="TableContents"/>
              <w:spacing w:before="0" w:after="283"/>
              <w:rPr>
                <w:rFonts w:ascii="arial" w:hAnsi="arial"/>
                <w:sz w:val="20"/>
              </w:rPr>
            </w:pPr>
            <w:r>
              <w:rPr>
                <w:rFonts w:ascii="arial" w:hAnsi="arial"/>
                <w:sz w:val="20"/>
              </w:rPr>
              <w:t>Form, Schedule or Registration Statement No.:</w:t>
              <w:br/>
              <w:t>        N/A</w:t>
            </w:r>
          </w:p>
        </w:tc>
      </w:tr>
      <w:tr>
        <w:trPr/>
        <w:tc>
          <w:tcPr>
            <w:tcW w:w="230" w:type="dxa"/>
            <w:tcBorders/>
            <w:shd w:fill="auto" w:val="clear"/>
          </w:tcPr>
          <w:p>
            <w:pPr>
              <w:pStyle w:val="TableContents"/>
              <w:spacing w:before="0" w:after="283"/>
              <w:rPr>
                <w:rFonts w:ascii="arial" w:hAnsi="arial"/>
                <w:sz w:val="20"/>
              </w:rPr>
            </w:pPr>
            <w:r>
              <w:rPr>
                <w:rFonts w:ascii="arial" w:hAnsi="arial"/>
                <w:sz w:val="20"/>
              </w:rPr>
              <w:t>(3)</w:t>
            </w:r>
          </w:p>
        </w:tc>
        <w:tc>
          <w:tcPr>
            <w:tcW w:w="180" w:type="dxa"/>
            <w:tcBorders/>
            <w:shd w:fill="auto" w:val="clear"/>
          </w:tcPr>
          <w:p>
            <w:pPr>
              <w:pStyle w:val="TableContents"/>
              <w:spacing w:before="0" w:after="283"/>
              <w:rPr/>
            </w:pPr>
            <w:r>
              <w:rPr/>
              <w:t>​</w:t>
            </w:r>
          </w:p>
        </w:tc>
        <w:tc>
          <w:tcPr>
            <w:tcW w:w="9795" w:type="dxa"/>
            <w:gridSpan w:val="3"/>
            <w:tcBorders>
              <w:bottom w:val="single" w:sz="8" w:space="0" w:color="000000"/>
            </w:tcBorders>
            <w:shd w:fill="auto" w:val="clear"/>
            <w:tcMar>
              <w:bottom w:w="28" w:type="dxa"/>
            </w:tcMar>
          </w:tcPr>
          <w:p>
            <w:pPr>
              <w:pStyle w:val="TableContents"/>
              <w:spacing w:before="0" w:after="283"/>
              <w:rPr>
                <w:rFonts w:ascii="arial" w:hAnsi="arial"/>
                <w:sz w:val="20"/>
              </w:rPr>
            </w:pPr>
            <w:r>
              <w:rPr>
                <w:rFonts w:ascii="arial" w:hAnsi="arial"/>
                <w:sz w:val="20"/>
              </w:rPr>
              <w:t>Filing Party:</w:t>
              <w:br/>
              <w:t>        N/A</w:t>
            </w:r>
          </w:p>
        </w:tc>
      </w:tr>
      <w:tr>
        <w:trPr/>
        <w:tc>
          <w:tcPr>
            <w:tcW w:w="230" w:type="dxa"/>
            <w:tcBorders/>
            <w:shd w:fill="auto" w:val="clear"/>
          </w:tcPr>
          <w:p>
            <w:pPr>
              <w:pStyle w:val="TableContents"/>
              <w:spacing w:before="0" w:after="283"/>
              <w:rPr>
                <w:rFonts w:ascii="arial" w:hAnsi="arial"/>
                <w:sz w:val="20"/>
              </w:rPr>
            </w:pPr>
            <w:r>
              <w:rPr>
                <w:rFonts w:ascii="arial" w:hAnsi="arial"/>
                <w:sz w:val="20"/>
              </w:rPr>
              <w:t>(4)</w:t>
            </w:r>
          </w:p>
        </w:tc>
        <w:tc>
          <w:tcPr>
            <w:tcW w:w="180" w:type="dxa"/>
            <w:tcBorders/>
            <w:shd w:fill="auto" w:val="clear"/>
          </w:tcPr>
          <w:p>
            <w:pPr>
              <w:pStyle w:val="TableContents"/>
              <w:spacing w:before="0" w:after="283"/>
              <w:rPr/>
            </w:pPr>
            <w:r>
              <w:rPr/>
              <w:t>​</w:t>
            </w:r>
          </w:p>
        </w:tc>
        <w:tc>
          <w:tcPr>
            <w:tcW w:w="9795" w:type="dxa"/>
            <w:gridSpan w:val="3"/>
            <w:tcBorders>
              <w:bottom w:val="single" w:sz="8" w:space="0" w:color="000000"/>
            </w:tcBorders>
            <w:shd w:fill="auto" w:val="clear"/>
            <w:tcMar>
              <w:bottom w:w="28" w:type="dxa"/>
            </w:tcMar>
          </w:tcPr>
          <w:p>
            <w:pPr>
              <w:pStyle w:val="TableContents"/>
              <w:spacing w:before="0" w:after="283"/>
              <w:rPr>
                <w:rFonts w:ascii="arial" w:hAnsi="arial"/>
                <w:sz w:val="20"/>
              </w:rPr>
            </w:pPr>
            <w:r>
              <w:rPr>
                <w:rFonts w:ascii="arial" w:hAnsi="arial"/>
                <w:sz w:val="20"/>
              </w:rPr>
              <w:t>Date Filed:</w:t>
              <w:br/>
              <w:t>        N/A</w:t>
            </w:r>
          </w:p>
        </w:tc>
      </w:tr>
    </w:tbl>
    <w:p>
      <w:pPr>
        <w:pStyle w:val="HorizontalLine"/>
        <w:pBdr>
          <w:bottom w:val="single" w:sz="20" w:space="0" w:color="808080"/>
        </w:pBdr>
        <w:rPr/>
      </w:pPr>
      <w:r>
        <w:rPr/>
      </w:r>
      <w:r>
        <w:br w:type="page"/>
      </w:r>
    </w:p>
    <w:p>
      <w:pPr>
        <w:pStyle w:val="TextBody"/>
        <w:rPr/>
      </w:pPr>
      <w:hyperlink w:anchor="bg45301a_main_toc">
        <w:r>
          <w:rPr>
            <w:rStyle w:val="InternetLink"/>
            <w:rFonts w:ascii="arial" w:hAnsi="arial"/>
            <w:sz w:val="20"/>
          </w:rPr>
          <w:t>Table of Contents</w:t>
        </w:r>
      </w:hyperlink>
      <w:r>
        <w:rPr>
          <w:rFonts w:ascii="arial" w:hAnsi="arial"/>
          <w:sz w:val="20"/>
        </w:rPr>
        <w:t xml:space="preserve"> </w:t>
      </w:r>
    </w:p>
    <w:p>
      <w:pPr>
        <w:pStyle w:val="TextBody"/>
        <w:jc w:val="right"/>
        <w:rPr/>
      </w:pPr>
      <w:r>
        <w:rPr/>
        <w:drawing>
          <wp:inline distT="0" distB="0" distL="0" distR="0">
            <wp:extent cx="1895475" cy="952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95475" cy="952500"/>
                    </a:xfrm>
                    <a:prstGeom prst="rect">
                      <a:avLst/>
                    </a:prstGeom>
                  </pic:spPr>
                </pic:pic>
              </a:graphicData>
            </a:graphic>
          </wp:inline>
        </w:drawing>
      </w:r>
      <w:r>
        <w:rPr/>
        <w:t xml:space="preserve"> </w:t>
      </w:r>
    </w:p>
    <w:p>
      <w:pPr>
        <w:pStyle w:val="TextBody"/>
        <w:jc w:val="center"/>
        <w:rPr>
          <w:rFonts w:ascii="arial" w:hAnsi="arial"/>
          <w:sz w:val="20"/>
        </w:rPr>
      </w:pPr>
      <w:r>
        <w:rPr>
          <w:rFonts w:ascii="arial" w:hAnsi="arial"/>
          <w:sz w:val="20"/>
        </w:rPr>
        <w:t xml:space="preserve">April 5, 2021 </w:t>
      </w:r>
    </w:p>
    <w:p>
      <w:pPr>
        <w:pStyle w:val="TextBody"/>
        <w:rPr>
          <w:rFonts w:ascii="arial" w:hAnsi="arial"/>
          <w:sz w:val="20"/>
        </w:rPr>
      </w:pPr>
      <w:r>
        <w:rPr>
          <w:rFonts w:ascii="arial" w:hAnsi="arial"/>
          <w:sz w:val="20"/>
        </w:rPr>
        <w:t xml:space="preserve">Dear Fellow Shareholder: </w:t>
      </w:r>
    </w:p>
    <w:p>
      <w:pPr>
        <w:pStyle w:val="TextBody"/>
        <w:rPr>
          <w:rFonts w:ascii="arial" w:hAnsi="arial"/>
          <w:sz w:val="20"/>
        </w:rPr>
      </w:pPr>
      <w:r>
        <w:rPr>
          <w:rFonts w:ascii="arial" w:hAnsi="arial"/>
          <w:sz w:val="20"/>
        </w:rPr>
        <w:t xml:space="preserve">On behalf of the Board of Directors, I cordially invite you to attend the Annual Meeting of Shareholders of Altisource Portfolio Solutions S.A. (the "Annual Meeting"), which will be held at the registered office of the Company located at 40, avenue Monterey, L-2163 Luxembourg City, Grand Duchy of Luxembourg on Tuesday, May 18, 2021, at 9:00 a.m. Central European Time. The accompanying materials provide details regarding admission to the Annual Meeting as well as the business to be conducted at the meeting. </w:t>
      </w:r>
    </w:p>
    <w:p>
      <w:pPr>
        <w:pStyle w:val="TextBody"/>
        <w:rPr>
          <w:rFonts w:ascii="arial" w:hAnsi="arial"/>
          <w:sz w:val="20"/>
        </w:rPr>
      </w:pPr>
      <w:r>
        <w:rPr>
          <w:rFonts w:ascii="arial" w:hAnsi="arial"/>
          <w:sz w:val="20"/>
        </w:rPr>
        <w:t xml:space="preserve">We intend to hold the Annual Meeting in person, however, we are actively monitoring the protocols and restrictions that the Luxembourg government may implement in response to the COVID-19 pandemic that could prevent us from having an in-person meeting. If it is not possible to hold the Annual Meeting in person, or if we conclude that providing alternatives for access by remote communication is appropriate, we will announce alternative or additional arrangements as promptly as practicable, which may include conducting the Annual Meeting solely by means of remote attendance or conducting a hybrid Annual Meeting with alternatives for in-person or remote attendance. If you are planning to attend our Annual Meeting, please monitor protocols and restrictions implemented by the Luxembourg government and check our press releases at </w:t>
      </w:r>
      <w:r>
        <w:rPr>
          <w:rFonts w:ascii="arial" w:hAnsi="arial"/>
          <w:sz w:val="20"/>
          <w:u w:val="single"/>
        </w:rPr>
        <w:t>http://ir.altisource.com/press-releases</w:t>
      </w:r>
      <w:r>
        <w:rPr>
          <w:rFonts w:ascii="arial" w:hAnsi="arial"/>
          <w:sz w:val="20"/>
        </w:rPr>
        <w:t xml:space="preserve"> for updated information. </w:t>
      </w:r>
    </w:p>
    <w:p>
      <w:pPr>
        <w:pStyle w:val="TextBody"/>
        <w:rPr>
          <w:rFonts w:ascii="arial" w:hAnsi="arial"/>
          <w:sz w:val="20"/>
        </w:rPr>
      </w:pPr>
      <w:r>
        <w:rPr>
          <w:rFonts w:ascii="arial" w:hAnsi="arial"/>
          <w:sz w:val="20"/>
        </w:rPr>
        <w:t xml:space="preserve">It is very important that you be represented at the Annual Meeting regardless of the number of shares you own or whether you are able to attend in person. If you are a shareholder of record (that is, you hold your shares in your name as a holder of record with our transfer agent), you may authorize your proxy by the Internet or by mail as described in the accompanying materials. If you hold your shares through a bank or broker, please follow the voting instructions you receive from your bank or broker. This will not prevent you from voting in person but will ensure that your vote is counted if you are unable to attend or are limited to remote attendance. </w:t>
      </w:r>
    </w:p>
    <w:p>
      <w:pPr>
        <w:pStyle w:val="TextBody"/>
        <w:rPr>
          <w:rFonts w:ascii="arial" w:hAnsi="arial"/>
          <w:sz w:val="20"/>
        </w:rPr>
      </w:pPr>
      <w:r>
        <w:rPr>
          <w:rFonts w:ascii="arial" w:hAnsi="arial"/>
          <w:sz w:val="20"/>
        </w:rPr>
        <w:t xml:space="preserve">Thank you for your support of and interest in Altisource Portfolio Solutions S.A. </w:t>
      </w:r>
    </w:p>
    <w:p>
      <w:pPr>
        <w:pStyle w:val="TextBody"/>
        <w:rPr>
          <w:rFonts w:ascii="arial" w:hAnsi="arial"/>
          <w:sz w:val="20"/>
        </w:rPr>
      </w:pPr>
      <w:r>
        <w:rPr>
          <w:rFonts w:ascii="arial" w:hAnsi="arial"/>
          <w:sz w:val="20"/>
        </w:rPr>
        <w:t xml:space="preserve">Sincerely, </w:t>
      </w:r>
    </w:p>
    <w:p>
      <w:pPr>
        <w:pStyle w:val="TextBody"/>
        <w:rPr>
          <w:rFonts w:ascii="arial" w:hAnsi="arial"/>
          <w:sz w:val="20"/>
        </w:rPr>
      </w:pPr>
      <w:r>
        <w:rPr>
          <w:rFonts w:ascii="arial" w:hAnsi="arial"/>
          <w:sz w:val="20"/>
        </w:rPr>
        <w:t xml:space="preserve">William B. Shepro </w:t>
      </w:r>
    </w:p>
    <w:p>
      <w:pPr>
        <w:pStyle w:val="TextBody"/>
        <w:rPr>
          <w:rFonts w:ascii="arial" w:hAnsi="arial"/>
          <w:sz w:val="20"/>
        </w:rPr>
      </w:pPr>
      <w:r>
        <w:rPr>
          <w:rFonts w:ascii="arial" w:hAnsi="arial"/>
          <w:sz w:val="20"/>
        </w:rPr>
        <w:t xml:space="preserve">Chairman and Chief Executive Officer </w:t>
      </w:r>
    </w:p>
    <w:p>
      <w:pPr>
        <w:pStyle w:val="HorizontalLine"/>
        <w:pBdr>
          <w:bottom w:val="single" w:sz="20" w:space="0" w:color="808080"/>
        </w:pBdr>
        <w:rPr/>
      </w:pPr>
      <w:r>
        <w:rPr/>
      </w:r>
      <w:r>
        <w:br w:type="page"/>
      </w:r>
    </w:p>
    <w:p>
      <w:pPr>
        <w:pStyle w:val="TextBody"/>
        <w:rPr/>
      </w:pPr>
      <w:hyperlink w:anchor="bg45301a_main_toc">
        <w:r>
          <w:rPr>
            <w:rStyle w:val="InternetLink"/>
            <w:rFonts w:ascii="arial" w:hAnsi="arial"/>
            <w:sz w:val="20"/>
          </w:rPr>
          <w:t>Table of Contents</w:t>
        </w:r>
      </w:hyperlink>
      <w:r>
        <w:rPr>
          <w:rFonts w:ascii="arial" w:hAnsi="arial"/>
          <w:sz w:val="20"/>
        </w:rPr>
        <w:t xml:space="preserve"> </w:t>
      </w:r>
    </w:p>
    <w:p>
      <w:pPr>
        <w:pStyle w:val="TextBody"/>
        <w:jc w:val="center"/>
        <w:rPr>
          <w:rFonts w:ascii="arial" w:hAnsi="arial"/>
        </w:rPr>
      </w:pPr>
      <w:bookmarkStart w:id="4" w:name="toc_be45301_1"/>
      <w:bookmarkStart w:id="5" w:name="be45301_altisource_portfolio_solutions__"/>
      <w:bookmarkEnd w:id="4"/>
      <w:bookmarkEnd w:id="5"/>
      <w:r>
        <w:rPr>
          <w:rFonts w:ascii="arial" w:hAnsi="arial"/>
          <w:sz w:val="20"/>
        </w:rPr>
        <w:br/>
      </w:r>
      <w:r>
        <w:rPr>
          <w:rFonts w:ascii="arial" w:hAnsi="arial"/>
          <w:b/>
          <w:sz w:val="20"/>
        </w:rPr>
        <w:t>ALTISOURCE PORTFOLIO SOLUTIONS S.A.</w:t>
        <w:br/>
        <w:t>40, avenue Monterey</w:t>
        <w:br/>
        <w:t>L-2163 Luxembourg City</w:t>
        <w:br/>
        <w:t>Grand Duchy of Luxembourg</w:t>
        <w:br/>
        <w:t xml:space="preserve">R.C.S. Luxembourg B 72 391 </w:t>
      </w:r>
    </w:p>
    <w:p>
      <w:pPr>
        <w:pStyle w:val="TextBody"/>
        <w:jc w:val="center"/>
        <w:rPr>
          <w:rFonts w:ascii="arial" w:hAnsi="arial"/>
        </w:rPr>
      </w:pPr>
      <w:bookmarkStart w:id="6" w:name="toc_be45301_2"/>
      <w:bookmarkStart w:id="7" w:name="be45301_notice_of_annual_meeting_of_sh__"/>
      <w:bookmarkEnd w:id="6"/>
      <w:bookmarkEnd w:id="7"/>
      <w:r>
        <w:rPr>
          <w:rFonts w:ascii="arial" w:hAnsi="arial"/>
          <w:sz w:val="20"/>
        </w:rPr>
        <w:br/>
      </w:r>
      <w:r>
        <w:rPr>
          <w:rFonts w:ascii="arial" w:hAnsi="arial"/>
          <w:b/>
          <w:sz w:val="20"/>
        </w:rPr>
        <w:t>NOTICE OF ANNUAL MEETING OF SHAREHOLDERS AND</w:t>
        <w:br/>
        <w:t>IMPORTANT NOTICE REGARDING THE AVAILABILITY OF PROXY MATERIALS</w:t>
        <w:br/>
        <w:t xml:space="preserve">FOR THE ANNUAL MEETING OF SHAREHOLDERS TO BE HELD ON MAY 18, 2021 </w:t>
      </w:r>
    </w:p>
    <w:p>
      <w:pPr>
        <w:pStyle w:val="TextBody"/>
        <w:ind w:left="200" w:right="0" w:hanging="200"/>
        <w:rPr>
          <w:rFonts w:ascii="arial" w:hAnsi="arial"/>
          <w:b/>
          <w:sz w:val="20"/>
        </w:rPr>
      </w:pPr>
      <w:r>
        <w:rPr>
          <w:rFonts w:ascii="arial" w:hAnsi="arial"/>
          <w:b/>
          <w:sz w:val="20"/>
          <w:u w:val="single"/>
        </w:rPr>
        <w:t>NOTICE</w:t>
      </w:r>
      <w:r>
        <w:rPr>
          <w:rFonts w:ascii="arial" w:hAnsi="arial"/>
          <w:b/>
          <w:sz w:val="20"/>
        </w:rPr>
        <w:t xml:space="preserve"> </w:t>
      </w:r>
    </w:p>
    <w:p>
      <w:pPr>
        <w:pStyle w:val="TextBody"/>
        <w:rPr>
          <w:rFonts w:ascii="arial" w:hAnsi="arial"/>
          <w:sz w:val="20"/>
        </w:rPr>
      </w:pPr>
      <w:r>
        <w:rPr>
          <w:rFonts w:ascii="arial" w:hAnsi="arial"/>
          <w:sz w:val="20"/>
        </w:rPr>
        <w:t xml:space="preserve">Our Annual Meeting of Shareholders ("Annual Meeting") will be held: </w:t>
      </w:r>
    </w:p>
    <w:tbl>
      <w:tblPr>
        <w:tblW w:w="5000" w:type="pct"/>
        <w:jc w:val="left"/>
        <w:tblInd w:w="0" w:type="dxa"/>
        <w:tblCellMar>
          <w:top w:w="0" w:type="dxa"/>
          <w:left w:w="0" w:type="dxa"/>
          <w:bottom w:w="0" w:type="dxa"/>
          <w:right w:w="0" w:type="dxa"/>
        </w:tblCellMar>
      </w:tblPr>
      <w:tblGrid>
        <w:gridCol w:w="630"/>
        <w:gridCol w:w="23"/>
        <w:gridCol w:w="9552"/>
      </w:tblGrid>
      <w:tr>
        <w:trPr/>
        <w:tc>
          <w:tcPr>
            <w:tcW w:w="63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9552" w:type="dxa"/>
            <w:tcBorders/>
            <w:shd w:fill="auto" w:val="clear"/>
            <w:vAlign w:val="center"/>
          </w:tcPr>
          <w:p>
            <w:pPr>
              <w:pStyle w:val="TableContents"/>
              <w:spacing w:before="0" w:after="283"/>
              <w:rPr>
                <w:sz w:val="4"/>
                <w:szCs w:val="4"/>
              </w:rPr>
            </w:pPr>
            <w:r>
              <w:rPr>
                <w:sz w:val="4"/>
                <w:szCs w:val="4"/>
              </w:rPr>
            </w:r>
          </w:p>
        </w:tc>
      </w:tr>
      <w:tr>
        <w:trPr/>
        <w:tc>
          <w:tcPr>
            <w:tcW w:w="630" w:type="dxa"/>
            <w:tcBorders/>
            <w:shd w:fill="auto" w:val="clear"/>
          </w:tcPr>
          <w:p>
            <w:pPr>
              <w:pStyle w:val="TableContents"/>
              <w:spacing w:before="240" w:after="283"/>
              <w:ind w:left="600" w:right="0" w:hanging="200"/>
              <w:rPr>
                <w:rFonts w:ascii="arial" w:hAnsi="arial"/>
                <w:b/>
                <w:sz w:val="20"/>
              </w:rPr>
            </w:pPr>
            <w:r>
              <w:rPr>
                <w:rFonts w:ascii="arial" w:hAnsi="arial"/>
                <w:b/>
                <w:sz w:val="20"/>
              </w:rPr>
              <w:t>Date:</w:t>
            </w:r>
          </w:p>
        </w:tc>
        <w:tc>
          <w:tcPr>
            <w:tcW w:w="23" w:type="dxa"/>
            <w:tcBorders/>
            <w:shd w:fill="auto" w:val="clear"/>
          </w:tcPr>
          <w:p>
            <w:pPr>
              <w:pStyle w:val="TableContents"/>
              <w:spacing w:before="0" w:after="283"/>
              <w:rPr/>
            </w:pPr>
            <w:r>
              <w:rPr/>
              <w:t>​</w:t>
            </w:r>
          </w:p>
        </w:tc>
        <w:tc>
          <w:tcPr>
            <w:tcW w:w="9552" w:type="dxa"/>
            <w:tcBorders/>
            <w:shd w:fill="auto" w:val="clear"/>
            <w:vAlign w:val="bottom"/>
          </w:tcPr>
          <w:p>
            <w:pPr>
              <w:pStyle w:val="TableContents"/>
              <w:spacing w:before="240" w:after="283"/>
              <w:ind w:left="0" w:right="0" w:hanging="0"/>
              <w:rPr>
                <w:rFonts w:ascii="arial" w:hAnsi="arial"/>
                <w:sz w:val="20"/>
              </w:rPr>
            </w:pPr>
            <w:r>
              <w:rPr>
                <w:rFonts w:ascii="arial" w:hAnsi="arial"/>
                <w:sz w:val="20"/>
              </w:rPr>
              <w:t>Tuesday, May 18, 2021</w:t>
            </w:r>
          </w:p>
        </w:tc>
      </w:tr>
      <w:tr>
        <w:trPr/>
        <w:tc>
          <w:tcPr>
            <w:tcW w:w="630" w:type="dxa"/>
            <w:tcBorders/>
            <w:shd w:fill="auto" w:val="clear"/>
          </w:tcPr>
          <w:p>
            <w:pPr>
              <w:pStyle w:val="TableContents"/>
              <w:spacing w:before="240" w:after="283"/>
              <w:ind w:left="600" w:right="0" w:hanging="200"/>
              <w:rPr>
                <w:rFonts w:ascii="arial" w:hAnsi="arial"/>
                <w:b/>
                <w:sz w:val="20"/>
              </w:rPr>
            </w:pPr>
            <w:r>
              <w:rPr>
                <w:rFonts w:ascii="arial" w:hAnsi="arial"/>
                <w:b/>
                <w:sz w:val="20"/>
              </w:rPr>
              <w:t>Time:</w:t>
            </w:r>
          </w:p>
        </w:tc>
        <w:tc>
          <w:tcPr>
            <w:tcW w:w="23" w:type="dxa"/>
            <w:tcBorders/>
            <w:shd w:fill="auto" w:val="clear"/>
          </w:tcPr>
          <w:p>
            <w:pPr>
              <w:pStyle w:val="TableContents"/>
              <w:spacing w:before="0" w:after="283"/>
              <w:rPr/>
            </w:pPr>
            <w:r>
              <w:rPr/>
              <w:t>​</w:t>
            </w:r>
          </w:p>
        </w:tc>
        <w:tc>
          <w:tcPr>
            <w:tcW w:w="9552" w:type="dxa"/>
            <w:tcBorders/>
            <w:shd w:fill="auto" w:val="clear"/>
            <w:vAlign w:val="bottom"/>
          </w:tcPr>
          <w:p>
            <w:pPr>
              <w:pStyle w:val="TableContents"/>
              <w:spacing w:before="240" w:after="283"/>
              <w:ind w:left="0" w:right="0" w:hanging="0"/>
              <w:rPr>
                <w:rFonts w:ascii="arial" w:hAnsi="arial"/>
                <w:sz w:val="20"/>
              </w:rPr>
            </w:pPr>
            <w:r>
              <w:rPr>
                <w:rFonts w:ascii="arial" w:hAnsi="arial"/>
                <w:sz w:val="20"/>
              </w:rPr>
              <w:t>9:00 a.m. Central European Time</w:t>
            </w:r>
          </w:p>
        </w:tc>
      </w:tr>
      <w:tr>
        <w:trPr/>
        <w:tc>
          <w:tcPr>
            <w:tcW w:w="630" w:type="dxa"/>
            <w:tcBorders/>
            <w:shd w:fill="auto" w:val="clear"/>
          </w:tcPr>
          <w:p>
            <w:pPr>
              <w:pStyle w:val="TableContents"/>
              <w:spacing w:before="240" w:after="283"/>
              <w:ind w:left="600" w:right="0" w:hanging="200"/>
              <w:rPr>
                <w:rFonts w:ascii="arial" w:hAnsi="arial"/>
                <w:b/>
                <w:sz w:val="20"/>
              </w:rPr>
            </w:pPr>
            <w:r>
              <w:rPr>
                <w:rFonts w:ascii="arial" w:hAnsi="arial"/>
                <w:b/>
                <w:sz w:val="20"/>
              </w:rPr>
              <w:t>Location:</w:t>
            </w:r>
          </w:p>
        </w:tc>
        <w:tc>
          <w:tcPr>
            <w:tcW w:w="23" w:type="dxa"/>
            <w:tcBorders/>
            <w:shd w:fill="auto" w:val="clear"/>
          </w:tcPr>
          <w:p>
            <w:pPr>
              <w:pStyle w:val="TableContents"/>
              <w:spacing w:before="0" w:after="283"/>
              <w:rPr/>
            </w:pPr>
            <w:r>
              <w:rPr/>
              <w:t>​</w:t>
            </w:r>
          </w:p>
        </w:tc>
        <w:tc>
          <w:tcPr>
            <w:tcW w:w="9552" w:type="dxa"/>
            <w:tcBorders/>
            <w:shd w:fill="auto" w:val="clear"/>
            <w:vAlign w:val="bottom"/>
          </w:tcPr>
          <w:p>
            <w:pPr>
              <w:pStyle w:val="TableContents"/>
              <w:spacing w:before="240" w:after="283"/>
              <w:ind w:left="0" w:right="0" w:hanging="0"/>
              <w:rPr>
                <w:rFonts w:ascii="arial" w:hAnsi="arial"/>
                <w:sz w:val="20"/>
              </w:rPr>
            </w:pPr>
            <w:r>
              <w:rPr>
                <w:rFonts w:ascii="arial" w:hAnsi="arial"/>
                <w:sz w:val="20"/>
              </w:rPr>
              <w:t>Altisource Portfolio Solutions S.A.</w:t>
              <w:br/>
              <w:t>40, avenue Monterey</w:t>
              <w:br/>
              <w:t>L-2163 Luxembourg City</w:t>
              <w:br/>
              <w:t>Grand Duchy of Luxembourg</w:t>
            </w:r>
          </w:p>
        </w:tc>
      </w:tr>
    </w:tbl>
    <w:p>
      <w:pPr>
        <w:pStyle w:val="TextBody"/>
        <w:ind w:left="200" w:right="0" w:hanging="200"/>
        <w:rPr>
          <w:rFonts w:ascii="arial" w:hAnsi="arial"/>
          <w:b/>
          <w:sz w:val="20"/>
        </w:rPr>
      </w:pPr>
      <w:r>
        <w:rPr>
          <w:rFonts w:ascii="arial" w:hAnsi="arial"/>
          <w:b/>
          <w:sz w:val="20"/>
          <w:u w:val="single"/>
        </w:rPr>
        <w:t>PURPOSE</w:t>
      </w:r>
      <w:r>
        <w:rPr>
          <w:rFonts w:ascii="arial" w:hAnsi="arial"/>
          <w:b/>
          <w:sz w:val="20"/>
        </w:rPr>
        <w:t xml:space="preserve">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spacing w:before="0" w:after="283"/>
        <w:ind w:left="1274" w:right="0" w:hanging="0"/>
        <w:rPr>
          <w:rFonts w:ascii="arial" w:hAnsi="arial"/>
          <w:sz w:val="20"/>
        </w:rPr>
      </w:pPr>
      <w:r>
        <w:rPr>
          <w:rFonts w:ascii="arial" w:hAnsi="arial"/>
          <w:sz w:val="20"/>
        </w:rPr>
        <w:t xml:space="preserve">To elect four (4) Directors to serve until the next annual meeting of shareholders or until their respective successors have been elected and qualified;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spacing w:before="0" w:after="283"/>
        <w:ind w:left="1274" w:right="0" w:hanging="0"/>
        <w:rPr>
          <w:rFonts w:ascii="arial" w:hAnsi="arial"/>
        </w:rPr>
      </w:pPr>
      <w:r>
        <w:rPr>
          <w:rFonts w:ascii="arial" w:hAnsi="arial"/>
          <w:sz w:val="20"/>
        </w:rPr>
        <w:t>To approve the appointment of Mayer Hoffman McCann P.C. to be our independent registered certified public accounting firm for the year ending December 31, 2021 and the appointment of Atwell S.à r.l. to be our certified auditor (</w:t>
      </w:r>
      <w:r>
        <w:rPr>
          <w:rFonts w:ascii="arial" w:hAnsi="arial"/>
          <w:i/>
          <w:sz w:val="20"/>
        </w:rPr>
        <w:t>Réviseur d'Entreprises</w:t>
      </w:r>
      <w:r>
        <w:rPr>
          <w:rFonts w:ascii="arial" w:hAnsi="arial"/>
          <w:sz w:val="20"/>
        </w:rPr>
        <w:t xml:space="preserve">) for the same period;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spacing w:before="0" w:after="283"/>
        <w:ind w:left="1274" w:right="0" w:hanging="0"/>
        <w:rPr>
          <w:rFonts w:ascii="arial" w:hAnsi="arial"/>
          <w:sz w:val="20"/>
        </w:rPr>
      </w:pPr>
      <w:r>
        <w:rPr>
          <w:rFonts w:ascii="arial" w:hAnsi="arial"/>
          <w:sz w:val="20"/>
        </w:rPr>
        <w:t xml:space="preserve">To approve Altisource Portfolio Solutions S.A.'s unconsolidated annual accounts prepared in accordance with accounting principles generally accepted in Luxembourg (the "Luxembourg Annual Accounts") for the year ended December 31, 2020 and Altisource Portfolio Solutions S.A.'s consolidated financial statements prepared in accordance with International Financial Reporting Standards ("IFRS") (the "Consolidated Accounts" and, together with the Luxembourg Annual Accounts, the "Luxembourg Statutory Accounts") as of and for the year ended December 31, 2020;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spacing w:before="0" w:after="283"/>
        <w:ind w:left="1274" w:right="0" w:hanging="0"/>
        <w:rPr>
          <w:rFonts w:ascii="arial" w:hAnsi="arial"/>
        </w:rPr>
      </w:pPr>
      <w:r>
        <w:rPr>
          <w:rFonts w:ascii="arial" w:hAnsi="arial"/>
          <w:sz w:val="20"/>
        </w:rPr>
        <w:t xml:space="preserve">To receive and approve the Directors' reports for the Luxembourg Statutory Accounts for the year ended December 31, 2020 and to receive the report of the supervisory auditor </w:t>
      </w:r>
      <w:r>
        <w:rPr>
          <w:rFonts w:ascii="arial" w:hAnsi="arial"/>
          <w:i/>
          <w:sz w:val="20"/>
        </w:rPr>
        <w:t>(Commissaire aux Comptes)</w:t>
      </w:r>
      <w:r>
        <w:rPr>
          <w:rFonts w:ascii="arial" w:hAnsi="arial"/>
        </w:rPr>
        <w:t xml:space="preserve"> </w:t>
      </w:r>
      <w:r>
        <w:rPr>
          <w:rFonts w:ascii="arial" w:hAnsi="arial"/>
          <w:sz w:val="20"/>
        </w:rPr>
        <w:t xml:space="preserve">for the Luxembourg Annual Accounts for the same period;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spacing w:before="0" w:after="283"/>
        <w:ind w:left="1274" w:right="0" w:hanging="0"/>
        <w:rPr>
          <w:rFonts w:ascii="arial" w:hAnsi="arial"/>
          <w:sz w:val="20"/>
        </w:rPr>
      </w:pPr>
      <w:r>
        <w:rPr>
          <w:rFonts w:ascii="arial" w:hAnsi="arial"/>
          <w:sz w:val="20"/>
        </w:rPr>
        <w:t xml:space="preserve">To allocate the results in the Luxembourg Annual Accounts for the year ended December 31, 2020;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spacing w:before="0" w:after="283"/>
        <w:ind w:left="1274" w:right="0" w:hanging="0"/>
        <w:rPr>
          <w:rFonts w:ascii="arial" w:hAnsi="arial"/>
        </w:rPr>
      </w:pPr>
      <w:r>
        <w:rPr>
          <w:rFonts w:ascii="arial" w:hAnsi="arial"/>
          <w:sz w:val="20"/>
        </w:rPr>
        <w:t>To discharge each of the Directors of Altisource Portfolio Solutions S.A. for the performance of their mandates for the year ended December 31, 2020 and the supervisory auditor (</w:t>
      </w:r>
      <w:r>
        <w:rPr>
          <w:rFonts w:ascii="arial" w:hAnsi="arial"/>
          <w:i/>
          <w:sz w:val="20"/>
        </w:rPr>
        <w:t>Commissaire aux Comptes</w:t>
      </w:r>
      <w:r>
        <w:rPr>
          <w:rFonts w:ascii="arial" w:hAnsi="arial"/>
          <w:sz w:val="20"/>
        </w:rPr>
        <w:t xml:space="preserve">) for the performance of her mandate for the same period;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spacing w:before="0" w:after="283"/>
        <w:ind w:left="1274" w:right="0" w:hanging="0"/>
        <w:rPr>
          <w:rFonts w:ascii="arial" w:hAnsi="arial"/>
          <w:sz w:val="20"/>
        </w:rPr>
      </w:pPr>
      <w:r>
        <w:rPr>
          <w:rFonts w:ascii="arial" w:hAnsi="arial"/>
          <w:sz w:val="20"/>
        </w:rPr>
        <w:t xml:space="preserve">To approve, on an advisory (non-binding) basis, the compensation of Altisource's named executive officers as disclosed in the proxy statement ("Say-on-Pay");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spacing w:before="0" w:after="283"/>
        <w:ind w:left="1274" w:right="0" w:hanging="0"/>
        <w:rPr>
          <w:rFonts w:ascii="arial" w:hAnsi="arial"/>
          <w:sz w:val="20"/>
        </w:rPr>
      </w:pPr>
      <w:r>
        <w:rPr>
          <w:rFonts w:ascii="arial" w:hAnsi="arial"/>
          <w:sz w:val="20"/>
        </w:rPr>
        <w:t xml:space="preserve">To approve amendment of our 2009 Equity Incentive Plan (the "Plan") to increase the number of shares of common stock reserved for issuance under the Plan by an additional 1.7 million shares; and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spacing w:before="0" w:after="283"/>
        <w:ind w:left="1274" w:right="0" w:hanging="0"/>
        <w:rPr>
          <w:rFonts w:ascii="arial" w:hAnsi="arial"/>
          <w:sz w:val="20"/>
        </w:rPr>
      </w:pPr>
      <w:r>
        <w:rPr>
          <w:rFonts w:ascii="arial" w:hAnsi="arial"/>
          <w:sz w:val="20"/>
        </w:rPr>
        <w:t xml:space="preserve">To transact such other business as may properly come before the Annual Meeting and any adjournment or postponement thereof. </w:t>
      </w:r>
    </w:p>
    <w:p>
      <w:pPr>
        <w:pStyle w:val="HorizontalLine"/>
        <w:pBdr>
          <w:bottom w:val="single" w:sz="20" w:space="0" w:color="808080"/>
        </w:pBdr>
        <w:rPr/>
      </w:pPr>
      <w:r>
        <w:rPr/>
      </w:r>
      <w:r>
        <w:br w:type="page"/>
      </w:r>
    </w:p>
    <w:p>
      <w:pPr>
        <w:pStyle w:val="TextBody"/>
        <w:rPr/>
      </w:pPr>
      <w:hyperlink w:anchor="bg45301a_main_toc">
        <w:r>
          <w:rPr>
            <w:rStyle w:val="InternetLink"/>
            <w:rFonts w:ascii="arial" w:hAnsi="arial"/>
            <w:sz w:val="20"/>
          </w:rPr>
          <w:t>Table of Contents</w:t>
        </w:r>
      </w:hyperlink>
    </w:p>
    <w:p>
      <w:pPr>
        <w:pStyle w:val="TextBody"/>
        <w:ind w:left="200" w:right="0" w:hanging="200"/>
        <w:rPr>
          <w:rFonts w:ascii="arial" w:hAnsi="arial"/>
          <w:b/>
          <w:sz w:val="20"/>
        </w:rPr>
      </w:pPr>
      <w:r>
        <w:rPr>
          <w:rFonts w:ascii="arial" w:hAnsi="arial"/>
          <w:b/>
          <w:sz w:val="20"/>
          <w:u w:val="single"/>
        </w:rPr>
        <w:t>PROCEDURES</w:t>
      </w:r>
      <w:r>
        <w:rPr>
          <w:rFonts w:ascii="arial" w:hAnsi="arial"/>
          <w:b/>
          <w:sz w:val="20"/>
        </w:rPr>
        <w:t xml:space="preserve">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spacing w:before="0" w:after="283"/>
        <w:ind w:left="1274" w:right="0" w:hanging="0"/>
        <w:rPr>
          <w:rFonts w:ascii="arial" w:hAnsi="arial"/>
          <w:sz w:val="20"/>
        </w:rPr>
      </w:pPr>
      <w:r>
        <w:rPr>
          <w:rFonts w:ascii="arial" w:hAnsi="arial"/>
          <w:sz w:val="20"/>
        </w:rPr>
        <w:t xml:space="preserve">Our Board of Directors has fixed March 26, 2021 as the record date for the determination of shareholders entitled to notice of and to vote at the Annual Meeting.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spacing w:before="0" w:after="283"/>
        <w:ind w:left="1274" w:right="0" w:hanging="0"/>
        <w:rPr>
          <w:rFonts w:ascii="arial" w:hAnsi="arial"/>
          <w:sz w:val="20"/>
        </w:rPr>
      </w:pPr>
      <w:r>
        <w:rPr>
          <w:rFonts w:ascii="arial" w:hAnsi="arial"/>
          <w:sz w:val="20"/>
        </w:rPr>
        <w:t xml:space="preserve">Only shareholders as of the close of business on the record date will be able to vote at the Annual Meeting.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spacing w:before="0" w:after="283"/>
        <w:ind w:left="1274" w:right="0" w:hanging="0"/>
        <w:rPr>
          <w:rFonts w:ascii="arial" w:hAnsi="arial"/>
        </w:rPr>
      </w:pPr>
      <w:r>
        <w:rPr>
          <w:rFonts w:ascii="arial" w:hAnsi="arial"/>
          <w:sz w:val="20"/>
        </w:rPr>
        <w:t xml:space="preserve">In order to be admitted to the meeting, each shareholder will be asked to present proof of share ownership as of the record date and valid government-issued photo identification. If your shares are held in "street name" by a bank or broker, you will also need to obtain a "legal proxy" from the holder of record to vote at the meeting. </w:t>
      </w:r>
      <w:r>
        <w:rPr>
          <w:rFonts w:ascii="arial" w:hAnsi="arial"/>
          <w:b/>
          <w:sz w:val="20"/>
        </w:rPr>
        <w:t>Even if you plan to attend the Annual Meeting, we recommend that you vote your shares in advance of the meeting pursuant to the instructions listed in the accompanying materials so that your vote will be counted if you are unable to attend or are limited to remote attendance.</w:t>
      </w:r>
      <w:r>
        <w:rPr>
          <w:rFonts w:ascii="arial" w:hAnsi="arial"/>
        </w:rPr>
        <w:t xml:space="preserve">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spacing w:before="0" w:after="283"/>
        <w:ind w:left="1274" w:right="0" w:hanging="0"/>
        <w:rPr>
          <w:rFonts w:ascii="arial" w:hAnsi="arial"/>
        </w:rPr>
      </w:pPr>
      <w:r>
        <w:rPr>
          <w:rFonts w:ascii="arial" w:hAnsi="arial"/>
          <w:sz w:val="20"/>
        </w:rPr>
        <w:t xml:space="preserve">The proxy statement for our Annual Meeting and our annual report to shareholders on Form 10-K for the year ended December 31, 2020 are available on our website under Investor Relations-Financial Information at </w:t>
      </w:r>
      <w:r>
        <w:rPr>
          <w:rFonts w:ascii="arial" w:hAnsi="arial"/>
          <w:sz w:val="20"/>
          <w:u w:val="single"/>
        </w:rPr>
        <w:t>http://ir.altisource.com/financials.cfm</w:t>
      </w:r>
      <w:r>
        <w:rPr>
          <w:rFonts w:ascii="arial" w:hAnsi="arial"/>
          <w:sz w:val="20"/>
        </w:rPr>
        <w:t xml:space="preserve">. In accordance with Securities and Exchange Commission rules, you may also access our proxy statement and annual report at </w:t>
      </w:r>
      <w:r>
        <w:rPr>
          <w:rFonts w:ascii="arial" w:hAnsi="arial"/>
          <w:sz w:val="20"/>
          <w:u w:val="single"/>
        </w:rPr>
        <w:t>http://www.proxyvote.com</w:t>
      </w:r>
      <w:r>
        <w:rPr>
          <w:rFonts w:ascii="arial" w:hAnsi="arial"/>
          <w:sz w:val="20"/>
        </w:rPr>
        <w:t xml:space="preserve">, a website that does not identify or track visitors to the site, by entering the Control Number found on your Notice and Access Card, your proxy card or your email notification, as applicable.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spacing w:before="0" w:after="283"/>
        <w:ind w:left="1274" w:right="0" w:hanging="0"/>
        <w:rPr>
          <w:rFonts w:ascii="arial" w:hAnsi="arial"/>
        </w:rPr>
      </w:pPr>
      <w:r>
        <w:rPr>
          <w:rFonts w:ascii="arial" w:hAnsi="arial"/>
          <w:sz w:val="20"/>
        </w:rPr>
        <w:t>Although Luxembourg law does not require a quorum for the conduct of business at the Annual Meeting, in accordance with the requirements of the Nasdaq listing standards, we have established that the presence at the Annual Meeting of holders of at least thirty-three and one-third percent (33</w:t>
      </w:r>
      <w:r>
        <w:rPr>
          <w:rFonts w:ascii="arial" w:hAnsi="arial"/>
          <w:position w:val="7"/>
          <w:sz w:val="16"/>
          <w:sz w:val="20"/>
        </w:rPr>
        <w:t>1</w:t>
      </w:r>
      <w:r>
        <w:rPr>
          <w:rFonts w:ascii="arial" w:hAnsi="arial"/>
          <w:sz w:val="20"/>
        </w:rPr>
        <w:t>/</w:t>
      </w:r>
      <w:r>
        <w:rPr>
          <w:rFonts w:ascii="arial" w:hAnsi="arial"/>
          <w:sz w:val="14"/>
        </w:rPr>
        <w:t>3</w:t>
      </w:r>
      <w:r>
        <w:rPr>
          <w:rFonts w:ascii="arial" w:hAnsi="arial"/>
          <w:sz w:val="20"/>
        </w:rPr>
        <w:t xml:space="preserve">%) of our issued and outstanding shares of common stock able to be voted, whether represented in person or by proxy, will constitute a quorum for the transaction of business at the Annual Meeting.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spacing w:before="0" w:after="283"/>
        <w:ind w:left="1274" w:right="0" w:hanging="0"/>
        <w:rPr>
          <w:rFonts w:ascii="arial" w:hAnsi="arial"/>
        </w:rPr>
      </w:pPr>
      <w:r>
        <w:rPr>
          <w:rFonts w:ascii="arial" w:hAnsi="arial"/>
          <w:sz w:val="20"/>
        </w:rPr>
        <w:t>The Luxembourg Statutory Accounts, the Directors' reports for the Luxembourg Statutory Accounts, the report of the certified auditor (</w:t>
      </w:r>
      <w:r>
        <w:rPr>
          <w:rFonts w:ascii="arial" w:hAnsi="arial"/>
          <w:i/>
          <w:sz w:val="20"/>
        </w:rPr>
        <w:t>Réviseur d'Entreprises</w:t>
      </w:r>
      <w:r>
        <w:rPr>
          <w:rFonts w:ascii="arial" w:hAnsi="arial"/>
          <w:sz w:val="20"/>
        </w:rPr>
        <w:t>) for the Consolidated Accounts and the report of the supervisory auditor (</w:t>
      </w:r>
      <w:r>
        <w:rPr>
          <w:rFonts w:ascii="arial" w:hAnsi="arial"/>
          <w:i/>
          <w:sz w:val="20"/>
        </w:rPr>
        <w:t>Commissaire aux Comptes</w:t>
      </w:r>
      <w:r>
        <w:rPr>
          <w:rFonts w:ascii="arial" w:hAnsi="arial"/>
          <w:sz w:val="20"/>
        </w:rPr>
        <w:t xml:space="preserve">) for the Luxembourg Annual Accounts will be available for inspection at our registered office during business hours, by appointment, subject to sanitary limitations that may be imposed by the Luxembourg government, from May 4, 2021 until the conclusion of the Annual Meeting. Beginning May 4, 2021, copies will also be available to any shareholder who requests them by writing to our Corporate Secretary at </w:t>
      </w:r>
      <w:r>
        <w:rPr>
          <w:rFonts w:ascii="arial" w:hAnsi="arial"/>
          <w:sz w:val="20"/>
          <w:u w:val="single"/>
        </w:rPr>
        <w:t>corporate.secretary@altisource.lu</w:t>
      </w:r>
      <w:r>
        <w:rPr>
          <w:rFonts w:ascii="arial" w:hAnsi="arial"/>
          <w:sz w:val="20"/>
        </w:rPr>
        <w:t xml:space="preserve">. </w:t>
      </w:r>
    </w:p>
    <w:p>
      <w:pPr>
        <w:pStyle w:val="TextBody"/>
        <w:rPr>
          <w:rFonts w:ascii="arial" w:hAnsi="arial"/>
          <w:sz w:val="20"/>
        </w:rPr>
      </w:pPr>
      <w:r>
        <w:rPr>
          <w:rFonts w:ascii="arial" w:hAnsi="arial"/>
          <w:sz w:val="20"/>
        </w:rPr>
        <w:t xml:space="preserve">By authorization of the Board of Directors, </w:t>
      </w:r>
    </w:p>
    <w:tbl>
      <w:tblPr>
        <w:tblW w:w="5000" w:type="pct"/>
        <w:jc w:val="left"/>
        <w:tblInd w:w="0" w:type="dxa"/>
        <w:tblCellMar>
          <w:top w:w="0" w:type="dxa"/>
          <w:left w:w="0" w:type="dxa"/>
          <w:bottom w:w="0" w:type="dxa"/>
          <w:right w:w="0" w:type="dxa"/>
        </w:tblCellMar>
      </w:tblPr>
      <w:tblGrid>
        <w:gridCol w:w="5090"/>
        <w:gridCol w:w="23"/>
        <w:gridCol w:w="5092"/>
      </w:tblGrid>
      <w:tr>
        <w:trPr/>
        <w:tc>
          <w:tcPr>
            <w:tcW w:w="509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5092" w:type="dxa"/>
            <w:tcBorders/>
            <w:shd w:fill="auto" w:val="clear"/>
            <w:vAlign w:val="center"/>
          </w:tcPr>
          <w:p>
            <w:pPr>
              <w:pStyle w:val="TableContents"/>
              <w:spacing w:before="0" w:after="283"/>
              <w:rPr>
                <w:sz w:val="4"/>
                <w:szCs w:val="4"/>
              </w:rPr>
            </w:pPr>
            <w:r>
              <w:rPr>
                <w:sz w:val="4"/>
                <w:szCs w:val="4"/>
              </w:rPr>
            </w:r>
          </w:p>
        </w:tc>
      </w:tr>
      <w:tr>
        <w:trPr/>
        <w:tc>
          <w:tcPr>
            <w:tcW w:w="5090" w:type="dxa"/>
            <w:tcBorders/>
            <w:shd w:fill="auto" w:val="clear"/>
            <w:vAlign w:val="bottom"/>
          </w:tcPr>
          <w:p>
            <w:pPr>
              <w:pStyle w:val="TableContents"/>
              <w:spacing w:before="0" w:after="283"/>
              <w:rPr>
                <w:rFonts w:ascii="arial" w:hAnsi="arial"/>
                <w:sz w:val="20"/>
              </w:rPr>
            </w:pPr>
            <w:r>
              <w:rPr>
                <w:rFonts w:ascii="arial" w:hAnsi="arial"/>
                <w:sz w:val="20"/>
              </w:rPr>
              <w:t>Gregory J. Ritts</w:t>
              <w:br/>
              <w:t>Corporate Secretary</w:t>
            </w:r>
          </w:p>
        </w:tc>
        <w:tc>
          <w:tcPr>
            <w:tcW w:w="23" w:type="dxa"/>
            <w:tcBorders/>
            <w:shd w:fill="auto" w:val="clear"/>
            <w:vAlign w:val="bottom"/>
          </w:tcPr>
          <w:p>
            <w:pPr>
              <w:pStyle w:val="TableContents"/>
              <w:spacing w:before="0" w:after="283"/>
              <w:rPr/>
            </w:pPr>
            <w:r>
              <w:rPr/>
              <w:t>​</w:t>
            </w:r>
          </w:p>
        </w:tc>
        <w:tc>
          <w:tcPr>
            <w:tcW w:w="5092" w:type="dxa"/>
            <w:tcBorders/>
            <w:shd w:fill="auto" w:val="clear"/>
            <w:vAlign w:val="bottom"/>
          </w:tcPr>
          <w:p>
            <w:pPr>
              <w:pStyle w:val="TableContents"/>
              <w:spacing w:before="0" w:after="283"/>
              <w:rPr/>
            </w:pPr>
            <w:r>
              <w:rPr/>
              <w:t> </w:t>
            </w:r>
          </w:p>
        </w:tc>
      </w:tr>
      <w:tr>
        <w:trPr/>
        <w:tc>
          <w:tcPr>
            <w:tcW w:w="5090" w:type="dxa"/>
            <w:tcBorders/>
            <w:shd w:fill="auto" w:val="clear"/>
            <w:vAlign w:val="bottom"/>
          </w:tcPr>
          <w:p>
            <w:pPr>
              <w:pStyle w:val="TableContents"/>
              <w:spacing w:before="0" w:after="283"/>
              <w:rPr>
                <w:rFonts w:ascii="arial" w:hAnsi="arial"/>
              </w:rPr>
            </w:pPr>
            <w:r>
              <w:rPr>
                <w:rFonts w:ascii="arial" w:hAnsi="arial"/>
              </w:rPr>
              <w:br/>
            </w:r>
            <w:r>
              <w:rPr>
                <w:rFonts w:ascii="arial" w:hAnsi="arial"/>
                <w:sz w:val="20"/>
              </w:rPr>
              <w:t>April 5, 2021</w:t>
              <w:br/>
              <w:t>Luxembourg City, Grand Duchy of Luxembourg</w:t>
            </w:r>
          </w:p>
        </w:tc>
        <w:tc>
          <w:tcPr>
            <w:tcW w:w="23" w:type="dxa"/>
            <w:tcBorders/>
            <w:shd w:fill="auto" w:val="clear"/>
            <w:vAlign w:val="bottom"/>
          </w:tcPr>
          <w:p>
            <w:pPr>
              <w:pStyle w:val="TableContents"/>
              <w:spacing w:before="0" w:after="283"/>
              <w:rPr>
                <w:rFonts w:ascii="arial" w:hAnsi="arial"/>
                <w:sz w:val="20"/>
              </w:rPr>
            </w:pPr>
            <w:r>
              <w:rPr>
                <w:rFonts w:ascii="arial" w:hAnsi="arial"/>
                <w:sz w:val="20"/>
              </w:rPr>
              <w:br/>
              <w:t>​</w:t>
            </w:r>
          </w:p>
        </w:tc>
        <w:tc>
          <w:tcPr>
            <w:tcW w:w="5092" w:type="dxa"/>
            <w:tcBorders/>
            <w:shd w:fill="auto" w:val="clear"/>
            <w:vAlign w:val="bottom"/>
          </w:tcPr>
          <w:p>
            <w:pPr>
              <w:pStyle w:val="TableContents"/>
              <w:spacing w:before="0" w:after="283"/>
              <w:rPr>
                <w:rFonts w:ascii="arial" w:hAnsi="arial"/>
              </w:rPr>
            </w:pPr>
            <w:r>
              <w:rPr>
                <w:rFonts w:ascii="arial" w:hAnsi="arial"/>
              </w:rPr>
              <w:br/>
              <w:t> </w:t>
            </w:r>
          </w:p>
        </w:tc>
      </w:tr>
    </w:tbl>
    <w:p>
      <w:pPr>
        <w:pStyle w:val="HorizontalLine"/>
        <w:pBdr>
          <w:bottom w:val="single" w:sz="20" w:space="0" w:color="808080"/>
        </w:pBdr>
        <w:rPr/>
      </w:pPr>
      <w:r>
        <w:rPr/>
      </w:r>
      <w:r>
        <w:br w:type="page"/>
      </w:r>
    </w:p>
    <w:p>
      <w:pPr>
        <w:pStyle w:val="TextBody"/>
        <w:rPr/>
      </w:pPr>
      <w:hyperlink w:anchor="bg45301a_main_toc">
        <w:bookmarkStart w:id="8" w:name="page_bg45301_1_5"/>
        <w:bookmarkEnd w:id="8"/>
        <w:r>
          <w:rPr>
            <w:rStyle w:val="InternetLink"/>
            <w:rFonts w:ascii="arial" w:hAnsi="arial"/>
            <w:sz w:val="20"/>
          </w:rPr>
          <w:t>Table of Contents</w:t>
        </w:r>
      </w:hyperlink>
      <w:r>
        <w:rPr>
          <w:rFonts w:ascii="arial" w:hAnsi="arial"/>
          <w:sz w:val="20"/>
        </w:rPr>
        <w:t xml:space="preserve"> </w:t>
      </w:r>
    </w:p>
    <w:p>
      <w:pPr>
        <w:pStyle w:val="TextBody"/>
        <w:jc w:val="center"/>
        <w:rPr>
          <w:rFonts w:ascii="arial" w:hAnsi="arial"/>
        </w:rPr>
      </w:pPr>
      <w:bookmarkStart w:id="9" w:name="bg45301_table_of_contents"/>
      <w:bookmarkStart w:id="10" w:name="BG45301A_main_toc"/>
      <w:bookmarkEnd w:id="9"/>
      <w:bookmarkEnd w:id="10"/>
      <w:r>
        <w:rPr>
          <w:rFonts w:ascii="arial" w:hAnsi="arial"/>
        </w:rPr>
        <w:br/>
      </w:r>
      <w:r>
        <w:rPr>
          <w:rFonts w:ascii="arial" w:hAnsi="arial"/>
          <w:b/>
          <w:sz w:val="20"/>
        </w:rPr>
        <w:t xml:space="preserve">TABLE OF CONTENTS </w:t>
      </w:r>
    </w:p>
    <w:p>
      <w:pPr>
        <w:pStyle w:val="Normal"/>
        <w:spacing w:before="0" w:after="0"/>
        <w:rPr>
          <w:sz w:val="4"/>
          <w:szCs w:val="4"/>
        </w:rPr>
      </w:pPr>
      <w:r>
        <w:rPr>
          <w:sz w:val="4"/>
          <w:szCs w:val="4"/>
        </w:rPr>
      </w:r>
      <w:bookmarkStart w:id="11" w:name="BG45301_TOC"/>
      <w:bookmarkStart w:id="12" w:name="BG45301_TOC"/>
      <w:bookmarkEnd w:id="12"/>
    </w:p>
    <w:tbl>
      <w:tblPr>
        <w:tblW w:w="5000" w:type="pct"/>
        <w:jc w:val="center"/>
        <w:tblInd w:w="0" w:type="dxa"/>
        <w:tblCellMar>
          <w:top w:w="0" w:type="dxa"/>
          <w:left w:w="0" w:type="dxa"/>
          <w:bottom w:w="0" w:type="dxa"/>
          <w:right w:w="0" w:type="dxa"/>
        </w:tblCellMar>
      </w:tblPr>
      <w:tblGrid>
        <w:gridCol w:w="9673"/>
        <w:gridCol w:w="23"/>
        <w:gridCol w:w="121"/>
        <w:gridCol w:w="121"/>
        <w:gridCol w:w="121"/>
        <w:gridCol w:w="122"/>
        <w:gridCol w:w="24"/>
      </w:tblGrid>
      <w:tr>
        <w:trPr/>
        <w:tc>
          <w:tcPr>
            <w:tcW w:w="967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4" w:type="dxa"/>
            <w:tcBorders/>
            <w:shd w:fill="auto" w:val="clear"/>
            <w:vAlign w:val="center"/>
          </w:tcPr>
          <w:p>
            <w:pPr>
              <w:pStyle w:val="TableContents"/>
              <w:spacing w:before="0" w:after="283"/>
              <w:rPr>
                <w:sz w:val="4"/>
                <w:szCs w:val="4"/>
              </w:rPr>
            </w:pPr>
            <w:r>
              <w:rPr>
                <w:sz w:val="4"/>
                <w:szCs w:val="4"/>
              </w:rPr>
            </w:r>
          </w:p>
        </w:tc>
      </w:tr>
      <w:tr>
        <w:trPr/>
        <w:tc>
          <w:tcPr>
            <w:tcW w:w="9673" w:type="dxa"/>
            <w:tcBorders/>
            <w:shd w:fill="auto" w:val="clear"/>
            <w:vAlign w:val="bottom"/>
          </w:tcPr>
          <w:p>
            <w:pPr>
              <w:pStyle w:val="TableHeading"/>
              <w:spacing w:before="0" w:after="283"/>
              <w:jc w:val="left"/>
              <w:rPr/>
            </w:pPr>
            <w:r>
              <w:rPr/>
              <w:t> </w:t>
            </w:r>
          </w:p>
        </w:tc>
        <w:tc>
          <w:tcPr>
            <w:tcW w:w="23" w:type="dxa"/>
            <w:tcBorders/>
            <w:shd w:fill="auto" w:val="clear"/>
            <w:vAlign w:val="bottom"/>
          </w:tcPr>
          <w:p>
            <w:pPr>
              <w:pStyle w:val="TableHeading"/>
              <w:spacing w:lineRule="atLeast" w:line="180" w:before="0" w:after="283"/>
              <w:rPr/>
            </w:pPr>
            <w:r>
              <w:rPr/>
              <w:t>​</w:t>
            </w:r>
          </w:p>
        </w:tc>
        <w:tc>
          <w:tcPr>
            <w:tcW w:w="485" w:type="dxa"/>
            <w:gridSpan w:val="4"/>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 xml:space="preserve">PAGE </w:t>
            </w:r>
          </w:p>
        </w:tc>
        <w:tc>
          <w:tcPr>
            <w:tcW w:w="24" w:type="dxa"/>
            <w:tcBorders/>
            <w:shd w:fill="auto" w:val="clear"/>
            <w:vAlign w:val="bottom"/>
          </w:tcPr>
          <w:p>
            <w:pPr>
              <w:pStyle w:val="TableHeading"/>
              <w:spacing w:lineRule="atLeast" w:line="180" w:before="0" w:after="283"/>
              <w:rPr/>
            </w:pPr>
            <w:r>
              <w:rPr/>
              <w:t>​</w:t>
            </w:r>
          </w:p>
        </w:tc>
      </w:tr>
      <w:tr>
        <w:trPr/>
        <w:tc>
          <w:tcPr>
            <w:tcW w:w="9673" w:type="dxa"/>
            <w:tcBorders/>
            <w:shd w:fill="auto" w:val="clear"/>
          </w:tcPr>
          <w:p>
            <w:pPr>
              <w:pStyle w:val="TableContents"/>
              <w:spacing w:before="0" w:after="283"/>
              <w:ind w:left="200" w:right="0" w:hanging="200"/>
              <w:rPr/>
            </w:pPr>
            <w:hyperlink w:anchor="da45301_proxy_summary">
              <w:r>
                <w:rPr>
                  <w:rStyle w:val="InternetLink"/>
                  <w:rFonts w:ascii="arial" w:hAnsi="arial"/>
                  <w:sz w:val="20"/>
                </w:rPr>
                <w:t>PROXY SUMMARY</w:t>
              </w:r>
            </w:hyperlink>
          </w:p>
        </w:tc>
        <w:tc>
          <w:tcPr>
            <w:tcW w:w="23" w:type="dxa"/>
            <w:tcBorders/>
            <w:shd w:fill="auto" w:val="clear"/>
          </w:tcPr>
          <w:p>
            <w:pPr>
              <w:pStyle w:val="TableContents"/>
              <w:spacing w:before="0" w:after="283"/>
              <w:rPr/>
            </w:pPr>
            <w:r>
              <w:rPr/>
              <w:t>​</w:t>
            </w:r>
          </w:p>
        </w:tc>
        <w:tc>
          <w:tcPr>
            <w:tcW w:w="121" w:type="dxa"/>
            <w:tcBorders/>
            <w:shd w:fill="auto" w:val="clear"/>
            <w:vAlign w:val="bottom"/>
          </w:tcPr>
          <w:p>
            <w:pPr>
              <w:pStyle w:val="TableContents"/>
              <w:spacing w:before="0" w:after="283"/>
              <w:rPr/>
            </w:pPr>
            <w:r>
              <w:rPr/>
              <w:t>​</w:t>
            </w:r>
          </w:p>
        </w:tc>
        <w:tc>
          <w:tcPr>
            <w:tcW w:w="242" w:type="dxa"/>
            <w:gridSpan w:val="2"/>
            <w:tcBorders/>
            <w:shd w:fill="auto" w:val="clear"/>
            <w:vAlign w:val="bottom"/>
          </w:tcPr>
          <w:p>
            <w:pPr>
              <w:pStyle w:val="TableContents"/>
              <w:spacing w:before="0" w:after="283"/>
              <w:jc w:val="right"/>
              <w:rPr/>
            </w:pPr>
            <w:hyperlink w:anchor="da45301_proxy_summary">
              <w:r>
                <w:rPr>
                  <w:rStyle w:val="InternetLink"/>
                  <w:rFonts w:ascii="arial" w:hAnsi="arial"/>
                  <w:sz w:val="20"/>
                </w:rPr>
                <w:t>6</w:t>
              </w:r>
            </w:hyperlink>
          </w:p>
        </w:tc>
        <w:tc>
          <w:tcPr>
            <w:tcW w:w="122"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9673" w:type="dxa"/>
            <w:tcBorders/>
            <w:shd w:fill="auto" w:val="clear"/>
          </w:tcPr>
          <w:p>
            <w:pPr>
              <w:pStyle w:val="TableContents"/>
              <w:spacing w:before="240" w:after="283"/>
              <w:ind w:left="200" w:right="0" w:hanging="200"/>
              <w:rPr/>
            </w:pPr>
            <w:hyperlink w:anchor="dc45301_altisource_portfolio_solutions__alt03350">
              <w:r>
                <w:rPr>
                  <w:rStyle w:val="InternetLink"/>
                  <w:rFonts w:ascii="arial" w:hAnsi="arial"/>
                  <w:sz w:val="20"/>
                </w:rPr>
                <w:t>ANNUAL MEETING OF SHAREHOLDERS</w:t>
              </w:r>
            </w:hyperlink>
          </w:p>
        </w:tc>
        <w:tc>
          <w:tcPr>
            <w:tcW w:w="23" w:type="dxa"/>
            <w:tcBorders/>
            <w:shd w:fill="auto" w:val="clear"/>
          </w:tcPr>
          <w:p>
            <w:pPr>
              <w:pStyle w:val="TableContents"/>
              <w:spacing w:before="0" w:after="283"/>
              <w:rPr/>
            </w:pPr>
            <w:r>
              <w:rPr/>
              <w:t>​</w:t>
            </w:r>
          </w:p>
        </w:tc>
        <w:tc>
          <w:tcPr>
            <w:tcW w:w="121" w:type="dxa"/>
            <w:tcBorders/>
            <w:shd w:fill="auto" w:val="clear"/>
            <w:vAlign w:val="bottom"/>
          </w:tcPr>
          <w:p>
            <w:pPr>
              <w:pStyle w:val="TableContents"/>
              <w:spacing w:before="0" w:after="283"/>
              <w:rPr/>
            </w:pPr>
            <w:r>
              <w:rPr/>
              <w:t>​</w:t>
            </w:r>
          </w:p>
        </w:tc>
        <w:tc>
          <w:tcPr>
            <w:tcW w:w="242" w:type="dxa"/>
            <w:gridSpan w:val="2"/>
            <w:tcBorders/>
            <w:shd w:fill="auto" w:val="clear"/>
            <w:vAlign w:val="bottom"/>
          </w:tcPr>
          <w:p>
            <w:pPr>
              <w:pStyle w:val="TableContents"/>
              <w:spacing w:before="0" w:after="283"/>
              <w:jc w:val="right"/>
              <w:rPr/>
            </w:pPr>
            <w:hyperlink w:anchor="dc45301_altisource_portfolio_solutions__alt03350">
              <w:r>
                <w:rPr>
                  <w:rStyle w:val="InternetLink"/>
                  <w:rFonts w:ascii="arial" w:hAnsi="arial"/>
                  <w:sz w:val="20"/>
                </w:rPr>
                <w:br/>
                <w:t>11</w:t>
              </w:r>
            </w:hyperlink>
          </w:p>
        </w:tc>
        <w:tc>
          <w:tcPr>
            <w:tcW w:w="122"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9673" w:type="dxa"/>
            <w:tcBorders/>
            <w:shd w:fill="auto" w:val="clear"/>
          </w:tcPr>
          <w:p>
            <w:pPr>
              <w:pStyle w:val="TableContents"/>
              <w:spacing w:before="240" w:after="283"/>
              <w:ind w:left="200" w:right="0" w:hanging="200"/>
              <w:rPr/>
            </w:pPr>
            <w:hyperlink w:anchor="de45301_proposal_one__election_of_directors">
              <w:r>
                <w:rPr>
                  <w:rStyle w:val="InternetLink"/>
                  <w:rFonts w:ascii="arial" w:hAnsi="arial"/>
                  <w:sz w:val="20"/>
                </w:rPr>
                <w:t>PROPOSAL ONE: ELECTION OF DIRECTORS</w:t>
              </w:r>
            </w:hyperlink>
          </w:p>
        </w:tc>
        <w:tc>
          <w:tcPr>
            <w:tcW w:w="23" w:type="dxa"/>
            <w:tcBorders/>
            <w:shd w:fill="auto" w:val="clear"/>
          </w:tcPr>
          <w:p>
            <w:pPr>
              <w:pStyle w:val="TableContents"/>
              <w:spacing w:before="0" w:after="283"/>
              <w:rPr/>
            </w:pPr>
            <w:r>
              <w:rPr/>
              <w:t>​</w:t>
            </w:r>
          </w:p>
        </w:tc>
        <w:tc>
          <w:tcPr>
            <w:tcW w:w="121" w:type="dxa"/>
            <w:tcBorders/>
            <w:shd w:fill="auto" w:val="clear"/>
            <w:vAlign w:val="bottom"/>
          </w:tcPr>
          <w:p>
            <w:pPr>
              <w:pStyle w:val="TableContents"/>
              <w:spacing w:before="0" w:after="283"/>
              <w:rPr/>
            </w:pPr>
            <w:r>
              <w:rPr/>
              <w:t>​</w:t>
            </w:r>
          </w:p>
        </w:tc>
        <w:tc>
          <w:tcPr>
            <w:tcW w:w="242" w:type="dxa"/>
            <w:gridSpan w:val="2"/>
            <w:tcBorders/>
            <w:shd w:fill="auto" w:val="clear"/>
            <w:vAlign w:val="bottom"/>
          </w:tcPr>
          <w:p>
            <w:pPr>
              <w:pStyle w:val="TableContents"/>
              <w:spacing w:before="0" w:after="283"/>
              <w:jc w:val="right"/>
              <w:rPr/>
            </w:pPr>
            <w:hyperlink w:anchor="de45301_proposal_one__election_of_directors">
              <w:r>
                <w:rPr>
                  <w:rStyle w:val="InternetLink"/>
                  <w:rFonts w:ascii="arial" w:hAnsi="arial"/>
                  <w:sz w:val="20"/>
                </w:rPr>
                <w:br/>
                <w:t>14</w:t>
              </w:r>
            </w:hyperlink>
          </w:p>
        </w:tc>
        <w:tc>
          <w:tcPr>
            <w:tcW w:w="122"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9673" w:type="dxa"/>
            <w:tcBorders/>
            <w:shd w:fill="auto" w:val="clear"/>
          </w:tcPr>
          <w:p>
            <w:pPr>
              <w:pStyle w:val="TableContents"/>
              <w:spacing w:before="240" w:after="283"/>
              <w:ind w:left="200" w:right="0" w:hanging="200"/>
              <w:rPr/>
            </w:pPr>
            <w:hyperlink w:anchor="dg45301_board_of_directors_and_corporate_governance">
              <w:r>
                <w:rPr>
                  <w:rStyle w:val="InternetLink"/>
                  <w:rFonts w:ascii="arial" w:hAnsi="arial"/>
                  <w:sz w:val="20"/>
                </w:rPr>
                <w:t>BOARD OF DIRECTORS AND CORPORATE GOVERNANCE</w:t>
              </w:r>
            </w:hyperlink>
          </w:p>
        </w:tc>
        <w:tc>
          <w:tcPr>
            <w:tcW w:w="23" w:type="dxa"/>
            <w:tcBorders/>
            <w:shd w:fill="auto" w:val="clear"/>
          </w:tcPr>
          <w:p>
            <w:pPr>
              <w:pStyle w:val="TableContents"/>
              <w:spacing w:before="0" w:after="283"/>
              <w:rPr/>
            </w:pPr>
            <w:r>
              <w:rPr/>
              <w:t>​</w:t>
            </w:r>
          </w:p>
        </w:tc>
        <w:tc>
          <w:tcPr>
            <w:tcW w:w="121" w:type="dxa"/>
            <w:tcBorders/>
            <w:shd w:fill="auto" w:val="clear"/>
            <w:vAlign w:val="bottom"/>
          </w:tcPr>
          <w:p>
            <w:pPr>
              <w:pStyle w:val="TableContents"/>
              <w:spacing w:before="0" w:after="283"/>
              <w:rPr/>
            </w:pPr>
            <w:r>
              <w:rPr/>
              <w:t>​</w:t>
            </w:r>
          </w:p>
        </w:tc>
        <w:tc>
          <w:tcPr>
            <w:tcW w:w="242" w:type="dxa"/>
            <w:gridSpan w:val="2"/>
            <w:tcBorders/>
            <w:shd w:fill="auto" w:val="clear"/>
            <w:vAlign w:val="bottom"/>
          </w:tcPr>
          <w:p>
            <w:pPr>
              <w:pStyle w:val="TableContents"/>
              <w:spacing w:before="0" w:after="283"/>
              <w:jc w:val="right"/>
              <w:rPr/>
            </w:pPr>
            <w:hyperlink w:anchor="dg45301_board_of_directors_and_corporate_governance">
              <w:r>
                <w:rPr>
                  <w:rStyle w:val="InternetLink"/>
                  <w:rFonts w:ascii="arial" w:hAnsi="arial"/>
                  <w:sz w:val="20"/>
                </w:rPr>
                <w:br/>
                <w:t>17</w:t>
              </w:r>
            </w:hyperlink>
          </w:p>
        </w:tc>
        <w:tc>
          <w:tcPr>
            <w:tcW w:w="122"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9673" w:type="dxa"/>
            <w:tcBorders/>
            <w:shd w:fill="auto" w:val="clear"/>
          </w:tcPr>
          <w:p>
            <w:pPr>
              <w:pStyle w:val="TableContents"/>
              <w:spacing w:before="240" w:after="283"/>
              <w:ind w:left="200" w:right="0" w:hanging="200"/>
              <w:rPr/>
            </w:pPr>
            <w:hyperlink w:anchor="di45301_board_of_directors_compensation">
              <w:r>
                <w:rPr>
                  <w:rStyle w:val="InternetLink"/>
                  <w:rFonts w:ascii="arial" w:hAnsi="arial"/>
                  <w:sz w:val="20"/>
                </w:rPr>
                <w:t>BOARD OF DIRECTORS COMPENSATION</w:t>
              </w:r>
            </w:hyperlink>
          </w:p>
        </w:tc>
        <w:tc>
          <w:tcPr>
            <w:tcW w:w="23" w:type="dxa"/>
            <w:tcBorders/>
            <w:shd w:fill="auto" w:val="clear"/>
          </w:tcPr>
          <w:p>
            <w:pPr>
              <w:pStyle w:val="TableContents"/>
              <w:spacing w:before="0" w:after="283"/>
              <w:rPr/>
            </w:pPr>
            <w:r>
              <w:rPr/>
              <w:t>​</w:t>
            </w:r>
          </w:p>
        </w:tc>
        <w:tc>
          <w:tcPr>
            <w:tcW w:w="121" w:type="dxa"/>
            <w:tcBorders/>
            <w:shd w:fill="auto" w:val="clear"/>
            <w:vAlign w:val="bottom"/>
          </w:tcPr>
          <w:p>
            <w:pPr>
              <w:pStyle w:val="TableContents"/>
              <w:spacing w:before="0" w:after="283"/>
              <w:rPr/>
            </w:pPr>
            <w:r>
              <w:rPr/>
              <w:t>​</w:t>
            </w:r>
          </w:p>
        </w:tc>
        <w:tc>
          <w:tcPr>
            <w:tcW w:w="242" w:type="dxa"/>
            <w:gridSpan w:val="2"/>
            <w:tcBorders/>
            <w:shd w:fill="auto" w:val="clear"/>
            <w:vAlign w:val="bottom"/>
          </w:tcPr>
          <w:p>
            <w:pPr>
              <w:pStyle w:val="TableContents"/>
              <w:spacing w:before="0" w:after="283"/>
              <w:jc w:val="right"/>
              <w:rPr/>
            </w:pPr>
            <w:hyperlink w:anchor="di45301_board_of_directors_compensation">
              <w:r>
                <w:rPr>
                  <w:rStyle w:val="InternetLink"/>
                  <w:rFonts w:ascii="arial" w:hAnsi="arial"/>
                  <w:sz w:val="20"/>
                </w:rPr>
                <w:br/>
                <w:t>25</w:t>
              </w:r>
            </w:hyperlink>
          </w:p>
        </w:tc>
        <w:tc>
          <w:tcPr>
            <w:tcW w:w="122"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9673" w:type="dxa"/>
            <w:tcBorders/>
            <w:shd w:fill="auto" w:val="clear"/>
          </w:tcPr>
          <w:p>
            <w:pPr>
              <w:pStyle w:val="TableContents"/>
              <w:spacing w:before="240" w:after="283"/>
              <w:ind w:left="200" w:right="0" w:hanging="200"/>
              <w:rPr/>
            </w:pPr>
            <w:hyperlink w:anchor="dk45301_executive_officers_who_are_not_directors">
              <w:r>
                <w:rPr>
                  <w:rStyle w:val="InternetLink"/>
                  <w:rFonts w:ascii="arial" w:hAnsi="arial"/>
                  <w:sz w:val="20"/>
                </w:rPr>
                <w:t>EXECUTIVE OFFICERS WHO ARE NOT DIRECTORS</w:t>
              </w:r>
            </w:hyperlink>
          </w:p>
        </w:tc>
        <w:tc>
          <w:tcPr>
            <w:tcW w:w="23" w:type="dxa"/>
            <w:tcBorders/>
            <w:shd w:fill="auto" w:val="clear"/>
          </w:tcPr>
          <w:p>
            <w:pPr>
              <w:pStyle w:val="TableContents"/>
              <w:spacing w:before="0" w:after="283"/>
              <w:rPr/>
            </w:pPr>
            <w:r>
              <w:rPr/>
              <w:t>​</w:t>
            </w:r>
          </w:p>
        </w:tc>
        <w:tc>
          <w:tcPr>
            <w:tcW w:w="121" w:type="dxa"/>
            <w:tcBorders/>
            <w:shd w:fill="auto" w:val="clear"/>
            <w:vAlign w:val="bottom"/>
          </w:tcPr>
          <w:p>
            <w:pPr>
              <w:pStyle w:val="TableContents"/>
              <w:spacing w:before="0" w:after="283"/>
              <w:rPr/>
            </w:pPr>
            <w:r>
              <w:rPr/>
              <w:t>​</w:t>
            </w:r>
          </w:p>
        </w:tc>
        <w:tc>
          <w:tcPr>
            <w:tcW w:w="242" w:type="dxa"/>
            <w:gridSpan w:val="2"/>
            <w:tcBorders/>
            <w:shd w:fill="auto" w:val="clear"/>
            <w:vAlign w:val="bottom"/>
          </w:tcPr>
          <w:p>
            <w:pPr>
              <w:pStyle w:val="TableContents"/>
              <w:spacing w:before="0" w:after="283"/>
              <w:jc w:val="right"/>
              <w:rPr/>
            </w:pPr>
            <w:hyperlink w:anchor="dk45301_executive_officers_who_are_not_directors">
              <w:r>
                <w:rPr>
                  <w:rStyle w:val="InternetLink"/>
                  <w:rFonts w:ascii="arial" w:hAnsi="arial"/>
                  <w:sz w:val="20"/>
                </w:rPr>
                <w:br/>
                <w:t>28</w:t>
              </w:r>
            </w:hyperlink>
          </w:p>
        </w:tc>
        <w:tc>
          <w:tcPr>
            <w:tcW w:w="122"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9673" w:type="dxa"/>
            <w:tcBorders/>
            <w:shd w:fill="auto" w:val="clear"/>
          </w:tcPr>
          <w:p>
            <w:pPr>
              <w:pStyle w:val="TableContents"/>
              <w:spacing w:before="240" w:after="283"/>
              <w:ind w:left="200" w:right="0" w:hanging="200"/>
              <w:rPr/>
            </w:pPr>
            <w:hyperlink w:anchor="dm45301_security_ownership_of_certain___sec02525">
              <w:r>
                <w:rPr>
                  <w:rStyle w:val="InternetLink"/>
                  <w:rFonts w:ascii="arial" w:hAnsi="arial"/>
                  <w:sz w:val="20"/>
                </w:rPr>
                <w:t>SECURITY OWNERSHIP OF CERTAIN BENEFICIAL OWNERS AND MANAGEMENT</w:t>
              </w:r>
            </w:hyperlink>
          </w:p>
        </w:tc>
        <w:tc>
          <w:tcPr>
            <w:tcW w:w="23" w:type="dxa"/>
            <w:tcBorders/>
            <w:shd w:fill="auto" w:val="clear"/>
          </w:tcPr>
          <w:p>
            <w:pPr>
              <w:pStyle w:val="TableContents"/>
              <w:spacing w:before="0" w:after="283"/>
              <w:rPr/>
            </w:pPr>
            <w:r>
              <w:rPr/>
              <w:t>​</w:t>
            </w:r>
          </w:p>
        </w:tc>
        <w:tc>
          <w:tcPr>
            <w:tcW w:w="121" w:type="dxa"/>
            <w:tcBorders/>
            <w:shd w:fill="auto" w:val="clear"/>
            <w:vAlign w:val="bottom"/>
          </w:tcPr>
          <w:p>
            <w:pPr>
              <w:pStyle w:val="TableContents"/>
              <w:spacing w:before="0" w:after="283"/>
              <w:rPr/>
            </w:pPr>
            <w:r>
              <w:rPr/>
              <w:t>​</w:t>
            </w:r>
          </w:p>
        </w:tc>
        <w:tc>
          <w:tcPr>
            <w:tcW w:w="242" w:type="dxa"/>
            <w:gridSpan w:val="2"/>
            <w:tcBorders/>
            <w:shd w:fill="auto" w:val="clear"/>
            <w:vAlign w:val="bottom"/>
          </w:tcPr>
          <w:p>
            <w:pPr>
              <w:pStyle w:val="TableContents"/>
              <w:spacing w:before="0" w:after="283"/>
              <w:jc w:val="right"/>
              <w:rPr/>
            </w:pPr>
            <w:hyperlink w:anchor="dm45301_security_ownership_of_certain___sec02525">
              <w:r>
                <w:rPr>
                  <w:rStyle w:val="InternetLink"/>
                  <w:rFonts w:ascii="arial" w:hAnsi="arial"/>
                  <w:sz w:val="20"/>
                </w:rPr>
                <w:br/>
                <w:t>29</w:t>
              </w:r>
            </w:hyperlink>
          </w:p>
        </w:tc>
        <w:tc>
          <w:tcPr>
            <w:tcW w:w="122"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9673" w:type="dxa"/>
            <w:tcBorders/>
            <w:shd w:fill="auto" w:val="clear"/>
          </w:tcPr>
          <w:p>
            <w:pPr>
              <w:pStyle w:val="TableContents"/>
              <w:spacing w:before="240" w:after="283"/>
              <w:ind w:left="200" w:right="0" w:hanging="200"/>
              <w:rPr/>
            </w:pPr>
            <w:hyperlink w:anchor="do45301_compensation_discussion_and_analysis">
              <w:r>
                <w:rPr>
                  <w:rStyle w:val="InternetLink"/>
                  <w:rFonts w:ascii="arial" w:hAnsi="arial"/>
                  <w:sz w:val="20"/>
                </w:rPr>
                <w:t>COMPENSATION DISCUSSION AND ANALYSIS</w:t>
              </w:r>
            </w:hyperlink>
          </w:p>
        </w:tc>
        <w:tc>
          <w:tcPr>
            <w:tcW w:w="23" w:type="dxa"/>
            <w:tcBorders/>
            <w:shd w:fill="auto" w:val="clear"/>
          </w:tcPr>
          <w:p>
            <w:pPr>
              <w:pStyle w:val="TableContents"/>
              <w:spacing w:before="0" w:after="283"/>
              <w:rPr/>
            </w:pPr>
            <w:r>
              <w:rPr/>
              <w:t>​</w:t>
            </w:r>
          </w:p>
        </w:tc>
        <w:tc>
          <w:tcPr>
            <w:tcW w:w="121" w:type="dxa"/>
            <w:tcBorders/>
            <w:shd w:fill="auto" w:val="clear"/>
            <w:vAlign w:val="bottom"/>
          </w:tcPr>
          <w:p>
            <w:pPr>
              <w:pStyle w:val="TableContents"/>
              <w:spacing w:before="0" w:after="283"/>
              <w:rPr/>
            </w:pPr>
            <w:r>
              <w:rPr/>
              <w:t>​</w:t>
            </w:r>
          </w:p>
        </w:tc>
        <w:tc>
          <w:tcPr>
            <w:tcW w:w="242" w:type="dxa"/>
            <w:gridSpan w:val="2"/>
            <w:tcBorders/>
            <w:shd w:fill="auto" w:val="clear"/>
            <w:vAlign w:val="bottom"/>
          </w:tcPr>
          <w:p>
            <w:pPr>
              <w:pStyle w:val="TableContents"/>
              <w:spacing w:before="0" w:after="283"/>
              <w:jc w:val="right"/>
              <w:rPr/>
            </w:pPr>
            <w:hyperlink w:anchor="do45301_compensation_discussion_and_analysis">
              <w:r>
                <w:rPr>
                  <w:rStyle w:val="InternetLink"/>
                  <w:rFonts w:ascii="arial" w:hAnsi="arial"/>
                  <w:sz w:val="20"/>
                </w:rPr>
                <w:br/>
                <w:t>33</w:t>
              </w:r>
            </w:hyperlink>
          </w:p>
        </w:tc>
        <w:tc>
          <w:tcPr>
            <w:tcW w:w="122"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9673" w:type="dxa"/>
            <w:tcBorders/>
            <w:shd w:fill="auto" w:val="clear"/>
          </w:tcPr>
          <w:p>
            <w:pPr>
              <w:pStyle w:val="TableContents"/>
              <w:spacing w:before="240" w:after="283"/>
              <w:ind w:left="200" w:right="0" w:hanging="200"/>
              <w:rPr/>
            </w:pPr>
            <w:hyperlink w:anchor="du45301_compensation_committee_report">
              <w:r>
                <w:rPr>
                  <w:rStyle w:val="InternetLink"/>
                  <w:rFonts w:ascii="arial" w:hAnsi="arial"/>
                  <w:sz w:val="20"/>
                </w:rPr>
                <w:t>COMPENSATION COMMITTEE REPORT</w:t>
              </w:r>
            </w:hyperlink>
          </w:p>
        </w:tc>
        <w:tc>
          <w:tcPr>
            <w:tcW w:w="23" w:type="dxa"/>
            <w:tcBorders/>
            <w:shd w:fill="auto" w:val="clear"/>
          </w:tcPr>
          <w:p>
            <w:pPr>
              <w:pStyle w:val="TableContents"/>
              <w:spacing w:before="0" w:after="283"/>
              <w:rPr/>
            </w:pPr>
            <w:r>
              <w:rPr/>
              <w:t>​</w:t>
            </w:r>
          </w:p>
        </w:tc>
        <w:tc>
          <w:tcPr>
            <w:tcW w:w="121" w:type="dxa"/>
            <w:tcBorders/>
            <w:shd w:fill="auto" w:val="clear"/>
            <w:vAlign w:val="bottom"/>
          </w:tcPr>
          <w:p>
            <w:pPr>
              <w:pStyle w:val="TableContents"/>
              <w:spacing w:before="0" w:after="283"/>
              <w:rPr/>
            </w:pPr>
            <w:r>
              <w:rPr/>
              <w:t>​</w:t>
            </w:r>
          </w:p>
        </w:tc>
        <w:tc>
          <w:tcPr>
            <w:tcW w:w="242" w:type="dxa"/>
            <w:gridSpan w:val="2"/>
            <w:tcBorders/>
            <w:shd w:fill="auto" w:val="clear"/>
            <w:vAlign w:val="bottom"/>
          </w:tcPr>
          <w:p>
            <w:pPr>
              <w:pStyle w:val="TableContents"/>
              <w:spacing w:before="0" w:after="283"/>
              <w:jc w:val="right"/>
              <w:rPr/>
            </w:pPr>
            <w:hyperlink w:anchor="du45301_compensation_committee_report">
              <w:r>
                <w:rPr>
                  <w:rStyle w:val="InternetLink"/>
                  <w:rFonts w:ascii="arial" w:hAnsi="arial"/>
                  <w:sz w:val="20"/>
                </w:rPr>
                <w:br/>
                <w:t>54</w:t>
              </w:r>
            </w:hyperlink>
          </w:p>
        </w:tc>
        <w:tc>
          <w:tcPr>
            <w:tcW w:w="122"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9673" w:type="dxa"/>
            <w:tcBorders/>
            <w:shd w:fill="auto" w:val="clear"/>
          </w:tcPr>
          <w:p>
            <w:pPr>
              <w:pStyle w:val="TableContents"/>
              <w:spacing w:before="240" w:after="283"/>
              <w:ind w:left="200" w:right="0" w:hanging="200"/>
              <w:rPr/>
            </w:pPr>
            <w:hyperlink w:anchor="dw45301_executive_compensation">
              <w:r>
                <w:rPr>
                  <w:rStyle w:val="InternetLink"/>
                  <w:rFonts w:ascii="arial" w:hAnsi="arial"/>
                  <w:sz w:val="20"/>
                </w:rPr>
                <w:t>EXECUTIVE COMPENSATION</w:t>
              </w:r>
            </w:hyperlink>
          </w:p>
        </w:tc>
        <w:tc>
          <w:tcPr>
            <w:tcW w:w="23" w:type="dxa"/>
            <w:tcBorders/>
            <w:shd w:fill="auto" w:val="clear"/>
          </w:tcPr>
          <w:p>
            <w:pPr>
              <w:pStyle w:val="TableContents"/>
              <w:spacing w:before="0" w:after="283"/>
              <w:rPr/>
            </w:pPr>
            <w:r>
              <w:rPr/>
              <w:t>​</w:t>
            </w:r>
          </w:p>
        </w:tc>
        <w:tc>
          <w:tcPr>
            <w:tcW w:w="121" w:type="dxa"/>
            <w:tcBorders/>
            <w:shd w:fill="auto" w:val="clear"/>
            <w:vAlign w:val="bottom"/>
          </w:tcPr>
          <w:p>
            <w:pPr>
              <w:pStyle w:val="TableContents"/>
              <w:spacing w:before="0" w:after="283"/>
              <w:rPr/>
            </w:pPr>
            <w:r>
              <w:rPr/>
              <w:t>​</w:t>
            </w:r>
          </w:p>
        </w:tc>
        <w:tc>
          <w:tcPr>
            <w:tcW w:w="242" w:type="dxa"/>
            <w:gridSpan w:val="2"/>
            <w:tcBorders/>
            <w:shd w:fill="auto" w:val="clear"/>
            <w:vAlign w:val="bottom"/>
          </w:tcPr>
          <w:p>
            <w:pPr>
              <w:pStyle w:val="TableContents"/>
              <w:spacing w:before="0" w:after="283"/>
              <w:jc w:val="right"/>
              <w:rPr/>
            </w:pPr>
            <w:hyperlink w:anchor="dw45301_executive_compensation">
              <w:r>
                <w:rPr>
                  <w:rStyle w:val="InternetLink"/>
                  <w:rFonts w:ascii="arial" w:hAnsi="arial"/>
                  <w:sz w:val="20"/>
                </w:rPr>
                <w:br/>
                <w:t>55</w:t>
              </w:r>
            </w:hyperlink>
          </w:p>
        </w:tc>
        <w:tc>
          <w:tcPr>
            <w:tcW w:w="122"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9673" w:type="dxa"/>
            <w:tcBorders/>
            <w:shd w:fill="auto" w:val="clear"/>
          </w:tcPr>
          <w:p>
            <w:pPr>
              <w:pStyle w:val="TableContents"/>
              <w:spacing w:before="240" w:after="283"/>
              <w:ind w:left="200" w:right="0" w:hanging="200"/>
              <w:rPr/>
            </w:pPr>
            <w:hyperlink w:anchor="ec45301_proposal_two__appointment_of_i__pro04308">
              <w:r>
                <w:rPr>
                  <w:rStyle w:val="InternetLink"/>
                  <w:rFonts w:ascii="arial" w:hAnsi="arial"/>
                  <w:sz w:val="20"/>
                </w:rPr>
                <w:t>PROPOSAL TWO: APPOINTMENT OF INDEPENDENT REGISTERED CERTIFIED PUBLIC ACCOUNTING FIRM AND CERTIFIED AUDITOR</w:t>
              </w:r>
            </w:hyperlink>
          </w:p>
        </w:tc>
        <w:tc>
          <w:tcPr>
            <w:tcW w:w="23" w:type="dxa"/>
            <w:tcBorders/>
            <w:shd w:fill="auto" w:val="clear"/>
          </w:tcPr>
          <w:p>
            <w:pPr>
              <w:pStyle w:val="TableContents"/>
              <w:spacing w:before="0" w:after="283"/>
              <w:rPr/>
            </w:pPr>
            <w:r>
              <w:rPr/>
              <w:t>​</w:t>
            </w:r>
          </w:p>
        </w:tc>
        <w:tc>
          <w:tcPr>
            <w:tcW w:w="121" w:type="dxa"/>
            <w:tcBorders/>
            <w:shd w:fill="auto" w:val="clear"/>
            <w:vAlign w:val="bottom"/>
          </w:tcPr>
          <w:p>
            <w:pPr>
              <w:pStyle w:val="TableContents"/>
              <w:spacing w:before="0" w:after="283"/>
              <w:rPr/>
            </w:pPr>
            <w:r>
              <w:rPr/>
              <w:t>​</w:t>
            </w:r>
          </w:p>
        </w:tc>
        <w:tc>
          <w:tcPr>
            <w:tcW w:w="242" w:type="dxa"/>
            <w:gridSpan w:val="2"/>
            <w:tcBorders/>
            <w:shd w:fill="auto" w:val="clear"/>
            <w:vAlign w:val="bottom"/>
          </w:tcPr>
          <w:p>
            <w:pPr>
              <w:pStyle w:val="TableContents"/>
              <w:spacing w:before="0" w:after="283"/>
              <w:jc w:val="right"/>
              <w:rPr/>
            </w:pPr>
            <w:hyperlink w:anchor="ec45301_proposal_two__appointment_of_i__pro04308">
              <w:r>
                <w:rPr>
                  <w:rStyle w:val="InternetLink"/>
                  <w:rFonts w:ascii="arial" w:hAnsi="arial"/>
                  <w:sz w:val="20"/>
                </w:rPr>
                <w:br/>
                <w:t>69</w:t>
              </w:r>
            </w:hyperlink>
          </w:p>
        </w:tc>
        <w:tc>
          <w:tcPr>
            <w:tcW w:w="122"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9673" w:type="dxa"/>
            <w:tcBorders/>
            <w:shd w:fill="auto" w:val="clear"/>
          </w:tcPr>
          <w:p>
            <w:pPr>
              <w:pStyle w:val="TableContents"/>
              <w:spacing w:before="240" w:after="283"/>
              <w:ind w:left="200" w:right="0" w:hanging="200"/>
              <w:rPr/>
            </w:pPr>
            <w:hyperlink w:anchor="ee45301_report_of_the_audit_committee">
              <w:r>
                <w:rPr>
                  <w:rStyle w:val="InternetLink"/>
                  <w:rFonts w:ascii="arial" w:hAnsi="arial"/>
                  <w:sz w:val="20"/>
                </w:rPr>
                <w:t>REPORT OF THE AUDIT COMMITTEE</w:t>
              </w:r>
            </w:hyperlink>
          </w:p>
        </w:tc>
        <w:tc>
          <w:tcPr>
            <w:tcW w:w="23" w:type="dxa"/>
            <w:tcBorders/>
            <w:shd w:fill="auto" w:val="clear"/>
          </w:tcPr>
          <w:p>
            <w:pPr>
              <w:pStyle w:val="TableContents"/>
              <w:spacing w:before="0" w:after="283"/>
              <w:rPr/>
            </w:pPr>
            <w:r>
              <w:rPr/>
              <w:t>​</w:t>
            </w:r>
          </w:p>
        </w:tc>
        <w:tc>
          <w:tcPr>
            <w:tcW w:w="121" w:type="dxa"/>
            <w:tcBorders/>
            <w:shd w:fill="auto" w:val="clear"/>
            <w:vAlign w:val="bottom"/>
          </w:tcPr>
          <w:p>
            <w:pPr>
              <w:pStyle w:val="TableContents"/>
              <w:spacing w:before="0" w:after="283"/>
              <w:rPr/>
            </w:pPr>
            <w:r>
              <w:rPr/>
              <w:t>​</w:t>
            </w:r>
          </w:p>
        </w:tc>
        <w:tc>
          <w:tcPr>
            <w:tcW w:w="242" w:type="dxa"/>
            <w:gridSpan w:val="2"/>
            <w:tcBorders/>
            <w:shd w:fill="auto" w:val="clear"/>
            <w:vAlign w:val="bottom"/>
          </w:tcPr>
          <w:p>
            <w:pPr>
              <w:pStyle w:val="TableContents"/>
              <w:spacing w:before="0" w:after="283"/>
              <w:jc w:val="right"/>
              <w:rPr/>
            </w:pPr>
            <w:hyperlink w:anchor="ee45301_report_of_the_audit_committee">
              <w:r>
                <w:rPr>
                  <w:rStyle w:val="InternetLink"/>
                  <w:rFonts w:ascii="arial" w:hAnsi="arial"/>
                  <w:sz w:val="20"/>
                </w:rPr>
                <w:br/>
                <w:t>70</w:t>
              </w:r>
            </w:hyperlink>
          </w:p>
        </w:tc>
        <w:tc>
          <w:tcPr>
            <w:tcW w:w="122"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9673" w:type="dxa"/>
            <w:tcBorders/>
            <w:shd w:fill="auto" w:val="clear"/>
          </w:tcPr>
          <w:p>
            <w:pPr>
              <w:pStyle w:val="TableContents"/>
              <w:spacing w:before="240" w:after="283"/>
              <w:ind w:left="200" w:right="0" w:hanging="200"/>
              <w:rPr/>
            </w:pPr>
            <w:hyperlink w:anchor="eg45301_external_auditor_fees">
              <w:r>
                <w:rPr>
                  <w:rStyle w:val="InternetLink"/>
                  <w:rFonts w:ascii="arial" w:hAnsi="arial"/>
                  <w:sz w:val="20"/>
                </w:rPr>
                <w:t>EXTERNAL AUDITOR FEES</w:t>
              </w:r>
            </w:hyperlink>
          </w:p>
        </w:tc>
        <w:tc>
          <w:tcPr>
            <w:tcW w:w="23" w:type="dxa"/>
            <w:tcBorders/>
            <w:shd w:fill="auto" w:val="clear"/>
          </w:tcPr>
          <w:p>
            <w:pPr>
              <w:pStyle w:val="TableContents"/>
              <w:spacing w:before="0" w:after="283"/>
              <w:rPr/>
            </w:pPr>
            <w:r>
              <w:rPr/>
              <w:t>​</w:t>
            </w:r>
          </w:p>
        </w:tc>
        <w:tc>
          <w:tcPr>
            <w:tcW w:w="121" w:type="dxa"/>
            <w:tcBorders/>
            <w:shd w:fill="auto" w:val="clear"/>
            <w:vAlign w:val="bottom"/>
          </w:tcPr>
          <w:p>
            <w:pPr>
              <w:pStyle w:val="TableContents"/>
              <w:spacing w:before="0" w:after="283"/>
              <w:rPr/>
            </w:pPr>
            <w:r>
              <w:rPr/>
              <w:t>​</w:t>
            </w:r>
          </w:p>
        </w:tc>
        <w:tc>
          <w:tcPr>
            <w:tcW w:w="242" w:type="dxa"/>
            <w:gridSpan w:val="2"/>
            <w:tcBorders/>
            <w:shd w:fill="auto" w:val="clear"/>
            <w:vAlign w:val="bottom"/>
          </w:tcPr>
          <w:p>
            <w:pPr>
              <w:pStyle w:val="TableContents"/>
              <w:spacing w:before="0" w:after="283"/>
              <w:jc w:val="right"/>
              <w:rPr/>
            </w:pPr>
            <w:hyperlink w:anchor="eg45301_external_auditor_fees">
              <w:r>
                <w:rPr>
                  <w:rStyle w:val="InternetLink"/>
                  <w:rFonts w:ascii="arial" w:hAnsi="arial"/>
                  <w:sz w:val="20"/>
                </w:rPr>
                <w:br/>
                <w:t>71</w:t>
              </w:r>
            </w:hyperlink>
          </w:p>
        </w:tc>
        <w:tc>
          <w:tcPr>
            <w:tcW w:w="122"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9673" w:type="dxa"/>
            <w:tcBorders/>
            <w:shd w:fill="auto" w:val="clear"/>
          </w:tcPr>
          <w:p>
            <w:pPr>
              <w:pStyle w:val="TableContents"/>
              <w:spacing w:before="240" w:after="283"/>
              <w:ind w:left="200" w:right="0" w:hanging="200"/>
              <w:rPr/>
            </w:pPr>
            <w:hyperlink w:anchor="ei45301_proposal_three__approval_of_th__pro02501">
              <w:r>
                <w:rPr>
                  <w:rStyle w:val="InternetLink"/>
                  <w:rFonts w:ascii="arial" w:hAnsi="arial"/>
                  <w:sz w:val="20"/>
                </w:rPr>
                <w:t>PROPOSAL THREE: APPROVAL OF THE COMPANY'S LUXEMBOURG STATUTORY ACCOUNTS</w:t>
              </w:r>
            </w:hyperlink>
          </w:p>
        </w:tc>
        <w:tc>
          <w:tcPr>
            <w:tcW w:w="23" w:type="dxa"/>
            <w:tcBorders/>
            <w:shd w:fill="auto" w:val="clear"/>
          </w:tcPr>
          <w:p>
            <w:pPr>
              <w:pStyle w:val="TableContents"/>
              <w:spacing w:before="0" w:after="283"/>
              <w:rPr/>
            </w:pPr>
            <w:r>
              <w:rPr/>
              <w:t>​</w:t>
            </w:r>
          </w:p>
        </w:tc>
        <w:tc>
          <w:tcPr>
            <w:tcW w:w="121" w:type="dxa"/>
            <w:tcBorders/>
            <w:shd w:fill="auto" w:val="clear"/>
            <w:vAlign w:val="bottom"/>
          </w:tcPr>
          <w:p>
            <w:pPr>
              <w:pStyle w:val="TableContents"/>
              <w:spacing w:before="0" w:after="283"/>
              <w:rPr/>
            </w:pPr>
            <w:r>
              <w:rPr/>
              <w:t>​</w:t>
            </w:r>
          </w:p>
        </w:tc>
        <w:tc>
          <w:tcPr>
            <w:tcW w:w="242" w:type="dxa"/>
            <w:gridSpan w:val="2"/>
            <w:tcBorders/>
            <w:shd w:fill="auto" w:val="clear"/>
            <w:vAlign w:val="bottom"/>
          </w:tcPr>
          <w:p>
            <w:pPr>
              <w:pStyle w:val="TableContents"/>
              <w:spacing w:before="0" w:after="283"/>
              <w:jc w:val="right"/>
              <w:rPr/>
            </w:pPr>
            <w:hyperlink w:anchor="ei45301_proposal_three__approval_of_th__pro02501">
              <w:r>
                <w:rPr>
                  <w:rStyle w:val="InternetLink"/>
                  <w:rFonts w:ascii="arial" w:hAnsi="arial"/>
                  <w:sz w:val="20"/>
                </w:rPr>
                <w:br/>
                <w:t>73</w:t>
              </w:r>
            </w:hyperlink>
          </w:p>
        </w:tc>
        <w:tc>
          <w:tcPr>
            <w:tcW w:w="122"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9673" w:type="dxa"/>
            <w:tcBorders/>
            <w:shd w:fill="auto" w:val="clear"/>
          </w:tcPr>
          <w:p>
            <w:pPr>
              <w:pStyle w:val="TableContents"/>
              <w:spacing w:before="240" w:after="283"/>
              <w:ind w:left="200" w:right="0" w:hanging="200"/>
              <w:rPr/>
            </w:pPr>
            <w:hyperlink w:anchor="ek45301_proposal_four__receipt_and_app__pro07627">
              <w:r>
                <w:rPr>
                  <w:rStyle w:val="InternetLink"/>
                  <w:rFonts w:ascii="arial" w:hAnsi="arial"/>
                  <w:sz w:val="20"/>
                </w:rPr>
                <w:t>PROPOSAL FOUR: RECEIPT AND APPROVAL OF THE DIRECTORS' REPORTS FOR THE LUXEMBOURG STATUTORY ACCOUNTS AND RECEIPT OF THE SUPERVISORY AUDITOR'S REPORT FOR THE LUXEMBOURG ANNUAL ACCOUNTS</w:t>
              </w:r>
            </w:hyperlink>
          </w:p>
        </w:tc>
        <w:tc>
          <w:tcPr>
            <w:tcW w:w="23" w:type="dxa"/>
            <w:tcBorders/>
            <w:shd w:fill="auto" w:val="clear"/>
          </w:tcPr>
          <w:p>
            <w:pPr>
              <w:pStyle w:val="TableContents"/>
              <w:spacing w:before="0" w:after="283"/>
              <w:rPr/>
            </w:pPr>
            <w:r>
              <w:rPr/>
              <w:t>​</w:t>
            </w:r>
          </w:p>
        </w:tc>
        <w:tc>
          <w:tcPr>
            <w:tcW w:w="121" w:type="dxa"/>
            <w:tcBorders/>
            <w:shd w:fill="auto" w:val="clear"/>
            <w:vAlign w:val="bottom"/>
          </w:tcPr>
          <w:p>
            <w:pPr>
              <w:pStyle w:val="TableContents"/>
              <w:spacing w:before="0" w:after="283"/>
              <w:rPr/>
            </w:pPr>
            <w:r>
              <w:rPr/>
              <w:t>​</w:t>
            </w:r>
          </w:p>
        </w:tc>
        <w:tc>
          <w:tcPr>
            <w:tcW w:w="242" w:type="dxa"/>
            <w:gridSpan w:val="2"/>
            <w:tcBorders/>
            <w:shd w:fill="auto" w:val="clear"/>
            <w:vAlign w:val="bottom"/>
          </w:tcPr>
          <w:p>
            <w:pPr>
              <w:pStyle w:val="TableContents"/>
              <w:spacing w:before="0" w:after="283"/>
              <w:jc w:val="right"/>
              <w:rPr/>
            </w:pPr>
            <w:hyperlink w:anchor="ek45301_proposal_four__receipt_and_app__pro07627">
              <w:r>
                <w:rPr>
                  <w:rStyle w:val="InternetLink"/>
                  <w:rFonts w:ascii="arial" w:hAnsi="arial"/>
                  <w:sz w:val="20"/>
                </w:rPr>
                <w:br/>
                <w:t>74</w:t>
              </w:r>
            </w:hyperlink>
          </w:p>
        </w:tc>
        <w:tc>
          <w:tcPr>
            <w:tcW w:w="122"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9673" w:type="dxa"/>
            <w:tcBorders/>
            <w:shd w:fill="auto" w:val="clear"/>
          </w:tcPr>
          <w:p>
            <w:pPr>
              <w:pStyle w:val="TableContents"/>
              <w:spacing w:before="240" w:after="283"/>
              <w:ind w:left="200" w:right="0" w:hanging="200"/>
              <w:rPr/>
            </w:pPr>
            <w:hyperlink w:anchor="el45301_proposal_five__allocation_of_t__pro03060">
              <w:r>
                <w:rPr>
                  <w:rStyle w:val="InternetLink"/>
                  <w:rFonts w:ascii="arial" w:hAnsi="arial"/>
                  <w:sz w:val="20"/>
                </w:rPr>
                <w:t>PROPOSAL FIVE: ALLOCATION OF THE RESULTS IN THE LUXEMBOURG ANNUAL ACCOUNTS</w:t>
              </w:r>
            </w:hyperlink>
          </w:p>
        </w:tc>
        <w:tc>
          <w:tcPr>
            <w:tcW w:w="23" w:type="dxa"/>
            <w:tcBorders/>
            <w:shd w:fill="auto" w:val="clear"/>
          </w:tcPr>
          <w:p>
            <w:pPr>
              <w:pStyle w:val="TableContents"/>
              <w:spacing w:before="0" w:after="283"/>
              <w:rPr/>
            </w:pPr>
            <w:r>
              <w:rPr/>
              <w:t>​</w:t>
            </w:r>
          </w:p>
        </w:tc>
        <w:tc>
          <w:tcPr>
            <w:tcW w:w="121" w:type="dxa"/>
            <w:tcBorders/>
            <w:shd w:fill="auto" w:val="clear"/>
            <w:vAlign w:val="bottom"/>
          </w:tcPr>
          <w:p>
            <w:pPr>
              <w:pStyle w:val="TableContents"/>
              <w:spacing w:before="0" w:after="283"/>
              <w:rPr/>
            </w:pPr>
            <w:r>
              <w:rPr/>
              <w:t>​</w:t>
            </w:r>
          </w:p>
        </w:tc>
        <w:tc>
          <w:tcPr>
            <w:tcW w:w="242" w:type="dxa"/>
            <w:gridSpan w:val="2"/>
            <w:tcBorders/>
            <w:shd w:fill="auto" w:val="clear"/>
            <w:vAlign w:val="bottom"/>
          </w:tcPr>
          <w:p>
            <w:pPr>
              <w:pStyle w:val="TableContents"/>
              <w:spacing w:before="0" w:after="283"/>
              <w:jc w:val="right"/>
              <w:rPr/>
            </w:pPr>
            <w:hyperlink w:anchor="el45301_proposal_five__allocation_of_t__pro03060">
              <w:r>
                <w:rPr>
                  <w:rStyle w:val="InternetLink"/>
                  <w:rFonts w:ascii="arial" w:hAnsi="arial"/>
                  <w:sz w:val="20"/>
                </w:rPr>
                <w:br/>
                <w:t>75</w:t>
              </w:r>
            </w:hyperlink>
          </w:p>
        </w:tc>
        <w:tc>
          <w:tcPr>
            <w:tcW w:w="122"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9673" w:type="dxa"/>
            <w:tcBorders/>
            <w:shd w:fill="auto" w:val="clear"/>
          </w:tcPr>
          <w:p>
            <w:pPr>
              <w:pStyle w:val="TableContents"/>
              <w:spacing w:before="240" w:after="283"/>
              <w:ind w:left="200" w:right="0" w:hanging="200"/>
              <w:rPr/>
            </w:pPr>
            <w:hyperlink w:anchor="em45301_proposal_six__discharge_of_the__pro02828">
              <w:r>
                <w:rPr>
                  <w:rStyle w:val="InternetLink"/>
                  <w:rFonts w:ascii="arial" w:hAnsi="arial"/>
                  <w:sz w:val="20"/>
                </w:rPr>
                <w:t>PROPOSAL SIX: DISCHARGE OF THE DIRECTORS AND THE SUPERVISORY AUDITOR</w:t>
              </w:r>
            </w:hyperlink>
          </w:p>
        </w:tc>
        <w:tc>
          <w:tcPr>
            <w:tcW w:w="23" w:type="dxa"/>
            <w:tcBorders/>
            <w:shd w:fill="auto" w:val="clear"/>
          </w:tcPr>
          <w:p>
            <w:pPr>
              <w:pStyle w:val="TableContents"/>
              <w:spacing w:before="0" w:after="283"/>
              <w:rPr/>
            </w:pPr>
            <w:r>
              <w:rPr/>
              <w:t>​</w:t>
            </w:r>
          </w:p>
        </w:tc>
        <w:tc>
          <w:tcPr>
            <w:tcW w:w="121" w:type="dxa"/>
            <w:tcBorders/>
            <w:shd w:fill="auto" w:val="clear"/>
            <w:vAlign w:val="bottom"/>
          </w:tcPr>
          <w:p>
            <w:pPr>
              <w:pStyle w:val="TableContents"/>
              <w:spacing w:before="0" w:after="283"/>
              <w:rPr/>
            </w:pPr>
            <w:r>
              <w:rPr/>
              <w:t>​</w:t>
            </w:r>
          </w:p>
        </w:tc>
        <w:tc>
          <w:tcPr>
            <w:tcW w:w="242" w:type="dxa"/>
            <w:gridSpan w:val="2"/>
            <w:tcBorders/>
            <w:shd w:fill="auto" w:val="clear"/>
            <w:vAlign w:val="bottom"/>
          </w:tcPr>
          <w:p>
            <w:pPr>
              <w:pStyle w:val="TableContents"/>
              <w:spacing w:before="0" w:after="283"/>
              <w:jc w:val="right"/>
              <w:rPr/>
            </w:pPr>
            <w:hyperlink w:anchor="em45301_proposal_six__discharge_of_the__pro02828">
              <w:r>
                <w:rPr>
                  <w:rStyle w:val="InternetLink"/>
                  <w:rFonts w:ascii="arial" w:hAnsi="arial"/>
                  <w:sz w:val="20"/>
                </w:rPr>
                <w:br/>
                <w:t>76</w:t>
              </w:r>
            </w:hyperlink>
          </w:p>
        </w:tc>
        <w:tc>
          <w:tcPr>
            <w:tcW w:w="122"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9673" w:type="dxa"/>
            <w:tcBorders/>
            <w:shd w:fill="auto" w:val="clear"/>
          </w:tcPr>
          <w:p>
            <w:pPr>
              <w:pStyle w:val="TableContents"/>
              <w:spacing w:before="240" w:after="283"/>
              <w:ind w:left="200" w:right="0" w:hanging="200"/>
              <w:rPr/>
            </w:pPr>
            <w:hyperlink w:anchor="en45301_proposal_seven__advisory_vote___pro02702">
              <w:r>
                <w:rPr>
                  <w:rStyle w:val="InternetLink"/>
                  <w:rFonts w:ascii="arial" w:hAnsi="arial"/>
                  <w:sz w:val="20"/>
                </w:rPr>
                <w:t>PROPOSAL SEVEN: ADVISORY VOTE ON EXECUTIVE COMPENSATION ("SAY-ON-PAY")</w:t>
              </w:r>
            </w:hyperlink>
          </w:p>
        </w:tc>
        <w:tc>
          <w:tcPr>
            <w:tcW w:w="23" w:type="dxa"/>
            <w:tcBorders/>
            <w:shd w:fill="auto" w:val="clear"/>
          </w:tcPr>
          <w:p>
            <w:pPr>
              <w:pStyle w:val="TableContents"/>
              <w:spacing w:before="0" w:after="283"/>
              <w:rPr/>
            </w:pPr>
            <w:r>
              <w:rPr/>
              <w:t>​</w:t>
            </w:r>
          </w:p>
        </w:tc>
        <w:tc>
          <w:tcPr>
            <w:tcW w:w="121" w:type="dxa"/>
            <w:tcBorders/>
            <w:shd w:fill="auto" w:val="clear"/>
            <w:vAlign w:val="bottom"/>
          </w:tcPr>
          <w:p>
            <w:pPr>
              <w:pStyle w:val="TableContents"/>
              <w:spacing w:before="0" w:after="283"/>
              <w:rPr/>
            </w:pPr>
            <w:r>
              <w:rPr/>
              <w:t>​</w:t>
            </w:r>
          </w:p>
        </w:tc>
        <w:tc>
          <w:tcPr>
            <w:tcW w:w="242" w:type="dxa"/>
            <w:gridSpan w:val="2"/>
            <w:tcBorders/>
            <w:shd w:fill="auto" w:val="clear"/>
            <w:vAlign w:val="bottom"/>
          </w:tcPr>
          <w:p>
            <w:pPr>
              <w:pStyle w:val="TableContents"/>
              <w:spacing w:before="0" w:after="283"/>
              <w:jc w:val="right"/>
              <w:rPr/>
            </w:pPr>
            <w:hyperlink w:anchor="en45301_proposal_seven__advisory_vote___pro02702">
              <w:r>
                <w:rPr>
                  <w:rStyle w:val="InternetLink"/>
                  <w:rFonts w:ascii="arial" w:hAnsi="arial"/>
                  <w:sz w:val="20"/>
                </w:rPr>
                <w:br/>
                <w:t>77</w:t>
              </w:r>
            </w:hyperlink>
          </w:p>
        </w:tc>
        <w:tc>
          <w:tcPr>
            <w:tcW w:w="122"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9673" w:type="dxa"/>
            <w:tcBorders/>
            <w:shd w:fill="auto" w:val="clear"/>
          </w:tcPr>
          <w:p>
            <w:pPr>
              <w:pStyle w:val="TableContents"/>
              <w:spacing w:before="240" w:after="283"/>
              <w:ind w:left="200" w:right="0" w:hanging="200"/>
              <w:rPr/>
            </w:pPr>
            <w:hyperlink w:anchor="eo45301_proposal_eight__approve_amendm__pro07649">
              <w:r>
                <w:rPr>
                  <w:rStyle w:val="InternetLink"/>
                  <w:rFonts w:ascii="arial" w:hAnsi="arial"/>
                  <w:sz w:val="20"/>
                </w:rPr>
                <w:t>PROPOSAL EIGHT: APPROVE AMENDMENT OF OUR 2009 EQUITY INCENTIVE PLAN (THE "PLAN") TO INCREASE THE NUMBER OF SHARES OF COMMON STOCK RESERVED FOR ISSUANCE UNDER THE PLAN BY AN ADDITIONAL 1.7 MILLION SHARES</w:t>
              </w:r>
            </w:hyperlink>
          </w:p>
        </w:tc>
        <w:tc>
          <w:tcPr>
            <w:tcW w:w="23" w:type="dxa"/>
            <w:tcBorders/>
            <w:shd w:fill="auto" w:val="clear"/>
          </w:tcPr>
          <w:p>
            <w:pPr>
              <w:pStyle w:val="TableContents"/>
              <w:spacing w:before="0" w:after="283"/>
              <w:rPr/>
            </w:pPr>
            <w:r>
              <w:rPr/>
              <w:t>​</w:t>
            </w:r>
          </w:p>
        </w:tc>
        <w:tc>
          <w:tcPr>
            <w:tcW w:w="121" w:type="dxa"/>
            <w:tcBorders/>
            <w:shd w:fill="auto" w:val="clear"/>
            <w:vAlign w:val="bottom"/>
          </w:tcPr>
          <w:p>
            <w:pPr>
              <w:pStyle w:val="TableContents"/>
              <w:spacing w:before="0" w:after="283"/>
              <w:rPr/>
            </w:pPr>
            <w:r>
              <w:rPr/>
              <w:t>​</w:t>
            </w:r>
          </w:p>
        </w:tc>
        <w:tc>
          <w:tcPr>
            <w:tcW w:w="242" w:type="dxa"/>
            <w:gridSpan w:val="2"/>
            <w:tcBorders/>
            <w:shd w:fill="auto" w:val="clear"/>
            <w:vAlign w:val="bottom"/>
          </w:tcPr>
          <w:p>
            <w:pPr>
              <w:pStyle w:val="TableContents"/>
              <w:spacing w:before="0" w:after="283"/>
              <w:jc w:val="right"/>
              <w:rPr/>
            </w:pPr>
            <w:hyperlink w:anchor="eo45301_proposal_eight__approve_amendm__pro07649">
              <w:r>
                <w:rPr>
                  <w:rStyle w:val="InternetLink"/>
                  <w:rFonts w:ascii="arial" w:hAnsi="arial"/>
                  <w:sz w:val="20"/>
                </w:rPr>
                <w:br/>
                <w:t>78</w:t>
              </w:r>
            </w:hyperlink>
          </w:p>
        </w:tc>
        <w:tc>
          <w:tcPr>
            <w:tcW w:w="122"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9673" w:type="dxa"/>
            <w:tcBorders/>
            <w:shd w:fill="auto" w:val="clear"/>
          </w:tcPr>
          <w:p>
            <w:pPr>
              <w:pStyle w:val="TableContents"/>
              <w:spacing w:before="240" w:after="283"/>
              <w:ind w:left="200" w:right="0" w:hanging="200"/>
              <w:rPr/>
            </w:pPr>
            <w:hyperlink w:anchor="eq45301_business_relationships__eq402308">
              <w:r>
                <w:rPr>
                  <w:rStyle w:val="InternetLink"/>
                  <w:rFonts w:ascii="arial" w:hAnsi="arial"/>
                  <w:sz w:val="20"/>
                </w:rPr>
                <w:t>BUSINESS RELATIONSHIPS AND RELATED PERSON TRANSACTIONS</w:t>
              </w:r>
            </w:hyperlink>
          </w:p>
        </w:tc>
        <w:tc>
          <w:tcPr>
            <w:tcW w:w="23" w:type="dxa"/>
            <w:tcBorders/>
            <w:shd w:fill="auto" w:val="clear"/>
          </w:tcPr>
          <w:p>
            <w:pPr>
              <w:pStyle w:val="TableContents"/>
              <w:spacing w:before="0" w:after="283"/>
              <w:rPr/>
            </w:pPr>
            <w:r>
              <w:rPr/>
              <w:t>​</w:t>
            </w:r>
          </w:p>
        </w:tc>
        <w:tc>
          <w:tcPr>
            <w:tcW w:w="121" w:type="dxa"/>
            <w:tcBorders/>
            <w:shd w:fill="auto" w:val="clear"/>
            <w:vAlign w:val="bottom"/>
          </w:tcPr>
          <w:p>
            <w:pPr>
              <w:pStyle w:val="TableContents"/>
              <w:spacing w:before="0" w:after="283"/>
              <w:rPr/>
            </w:pPr>
            <w:r>
              <w:rPr/>
              <w:t>​</w:t>
            </w:r>
          </w:p>
        </w:tc>
        <w:tc>
          <w:tcPr>
            <w:tcW w:w="242" w:type="dxa"/>
            <w:gridSpan w:val="2"/>
            <w:tcBorders/>
            <w:shd w:fill="auto" w:val="clear"/>
            <w:vAlign w:val="bottom"/>
          </w:tcPr>
          <w:p>
            <w:pPr>
              <w:pStyle w:val="TableContents"/>
              <w:spacing w:before="0" w:after="283"/>
              <w:jc w:val="right"/>
              <w:rPr/>
            </w:pPr>
            <w:hyperlink w:anchor="eq45301_business_relationships__eq402308">
              <w:r>
                <w:rPr>
                  <w:rStyle w:val="InternetLink"/>
                  <w:rFonts w:ascii="arial" w:hAnsi="arial"/>
                  <w:sz w:val="20"/>
                </w:rPr>
                <w:br/>
                <w:t>80</w:t>
              </w:r>
            </w:hyperlink>
          </w:p>
        </w:tc>
        <w:tc>
          <w:tcPr>
            <w:tcW w:w="122"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9673" w:type="dxa"/>
            <w:tcBorders/>
            <w:shd w:fill="auto" w:val="clear"/>
          </w:tcPr>
          <w:p>
            <w:pPr>
              <w:pStyle w:val="TableContents"/>
              <w:spacing w:before="240" w:after="283"/>
              <w:ind w:left="200" w:right="0" w:hanging="200"/>
              <w:rPr/>
            </w:pPr>
            <w:hyperlink w:anchor="es45301_shareholder_proposals">
              <w:r>
                <w:rPr>
                  <w:rStyle w:val="InternetLink"/>
                  <w:rFonts w:ascii="arial" w:hAnsi="arial"/>
                  <w:sz w:val="20"/>
                </w:rPr>
                <w:t>SHAREHOLDER PROPOSALS</w:t>
              </w:r>
            </w:hyperlink>
          </w:p>
        </w:tc>
        <w:tc>
          <w:tcPr>
            <w:tcW w:w="23" w:type="dxa"/>
            <w:tcBorders/>
            <w:shd w:fill="auto" w:val="clear"/>
          </w:tcPr>
          <w:p>
            <w:pPr>
              <w:pStyle w:val="TableContents"/>
              <w:spacing w:before="0" w:after="283"/>
              <w:rPr/>
            </w:pPr>
            <w:r>
              <w:rPr/>
              <w:t>​</w:t>
            </w:r>
          </w:p>
        </w:tc>
        <w:tc>
          <w:tcPr>
            <w:tcW w:w="121" w:type="dxa"/>
            <w:tcBorders/>
            <w:shd w:fill="auto" w:val="clear"/>
            <w:vAlign w:val="bottom"/>
          </w:tcPr>
          <w:p>
            <w:pPr>
              <w:pStyle w:val="TableContents"/>
              <w:spacing w:before="0" w:after="283"/>
              <w:rPr/>
            </w:pPr>
            <w:r>
              <w:rPr/>
              <w:t>​</w:t>
            </w:r>
          </w:p>
        </w:tc>
        <w:tc>
          <w:tcPr>
            <w:tcW w:w="242" w:type="dxa"/>
            <w:gridSpan w:val="2"/>
            <w:tcBorders/>
            <w:shd w:fill="auto" w:val="clear"/>
            <w:vAlign w:val="bottom"/>
          </w:tcPr>
          <w:p>
            <w:pPr>
              <w:pStyle w:val="TableContents"/>
              <w:spacing w:before="0" w:after="283"/>
              <w:jc w:val="right"/>
              <w:rPr/>
            </w:pPr>
            <w:hyperlink w:anchor="es45301_shareholder_proposals">
              <w:r>
                <w:rPr>
                  <w:rStyle w:val="InternetLink"/>
                  <w:rFonts w:ascii="arial" w:hAnsi="arial"/>
                  <w:sz w:val="20"/>
                </w:rPr>
                <w:br/>
                <w:t>82</w:t>
              </w:r>
            </w:hyperlink>
          </w:p>
        </w:tc>
        <w:tc>
          <w:tcPr>
            <w:tcW w:w="122"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9673" w:type="dxa"/>
            <w:tcBorders/>
            <w:shd w:fill="auto" w:val="clear"/>
          </w:tcPr>
          <w:p>
            <w:pPr>
              <w:pStyle w:val="TableContents"/>
              <w:spacing w:before="240" w:after="283"/>
              <w:ind w:left="200" w:right="0" w:hanging="200"/>
              <w:rPr/>
            </w:pPr>
            <w:hyperlink w:anchor="es45301_annual_reports">
              <w:r>
                <w:rPr>
                  <w:rStyle w:val="InternetLink"/>
                  <w:rFonts w:ascii="arial" w:hAnsi="arial"/>
                  <w:sz w:val="20"/>
                </w:rPr>
                <w:t>ANNUAL REPORTS</w:t>
              </w:r>
            </w:hyperlink>
          </w:p>
        </w:tc>
        <w:tc>
          <w:tcPr>
            <w:tcW w:w="23" w:type="dxa"/>
            <w:tcBorders/>
            <w:shd w:fill="auto" w:val="clear"/>
          </w:tcPr>
          <w:p>
            <w:pPr>
              <w:pStyle w:val="TableContents"/>
              <w:spacing w:before="0" w:after="283"/>
              <w:rPr/>
            </w:pPr>
            <w:r>
              <w:rPr/>
              <w:t>​</w:t>
            </w:r>
          </w:p>
        </w:tc>
        <w:tc>
          <w:tcPr>
            <w:tcW w:w="121" w:type="dxa"/>
            <w:tcBorders/>
            <w:shd w:fill="auto" w:val="clear"/>
            <w:vAlign w:val="bottom"/>
          </w:tcPr>
          <w:p>
            <w:pPr>
              <w:pStyle w:val="TableContents"/>
              <w:spacing w:before="0" w:after="283"/>
              <w:rPr/>
            </w:pPr>
            <w:r>
              <w:rPr/>
              <w:t>​</w:t>
            </w:r>
          </w:p>
        </w:tc>
        <w:tc>
          <w:tcPr>
            <w:tcW w:w="242" w:type="dxa"/>
            <w:gridSpan w:val="2"/>
            <w:tcBorders/>
            <w:shd w:fill="auto" w:val="clear"/>
            <w:vAlign w:val="bottom"/>
          </w:tcPr>
          <w:p>
            <w:pPr>
              <w:pStyle w:val="TableContents"/>
              <w:spacing w:before="0" w:after="283"/>
              <w:jc w:val="right"/>
              <w:rPr/>
            </w:pPr>
            <w:hyperlink w:anchor="es45301_annual_reports">
              <w:r>
                <w:rPr>
                  <w:rStyle w:val="InternetLink"/>
                  <w:rFonts w:ascii="arial" w:hAnsi="arial"/>
                  <w:sz w:val="20"/>
                </w:rPr>
                <w:br/>
                <w:t>82</w:t>
              </w:r>
            </w:hyperlink>
          </w:p>
        </w:tc>
        <w:tc>
          <w:tcPr>
            <w:tcW w:w="122"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9673" w:type="dxa"/>
            <w:tcBorders/>
            <w:shd w:fill="auto" w:val="clear"/>
          </w:tcPr>
          <w:p>
            <w:pPr>
              <w:pStyle w:val="TableContents"/>
              <w:spacing w:before="240" w:after="283"/>
              <w:ind w:left="200" w:right="0" w:hanging="200"/>
              <w:rPr/>
            </w:pPr>
            <w:hyperlink w:anchor="es45301_other_matters">
              <w:r>
                <w:rPr>
                  <w:rStyle w:val="InternetLink"/>
                  <w:rFonts w:ascii="arial" w:hAnsi="arial"/>
                  <w:sz w:val="20"/>
                </w:rPr>
                <w:t>OTHER MATTERS</w:t>
              </w:r>
            </w:hyperlink>
          </w:p>
        </w:tc>
        <w:tc>
          <w:tcPr>
            <w:tcW w:w="23" w:type="dxa"/>
            <w:tcBorders/>
            <w:shd w:fill="auto" w:val="clear"/>
          </w:tcPr>
          <w:p>
            <w:pPr>
              <w:pStyle w:val="TableContents"/>
              <w:spacing w:before="0" w:after="283"/>
              <w:rPr/>
            </w:pPr>
            <w:r>
              <w:rPr/>
              <w:t>​</w:t>
            </w:r>
          </w:p>
        </w:tc>
        <w:tc>
          <w:tcPr>
            <w:tcW w:w="121" w:type="dxa"/>
            <w:tcBorders/>
            <w:shd w:fill="auto" w:val="clear"/>
            <w:vAlign w:val="bottom"/>
          </w:tcPr>
          <w:p>
            <w:pPr>
              <w:pStyle w:val="TableContents"/>
              <w:spacing w:before="0" w:after="283"/>
              <w:rPr/>
            </w:pPr>
            <w:r>
              <w:rPr/>
              <w:t>​</w:t>
            </w:r>
          </w:p>
        </w:tc>
        <w:tc>
          <w:tcPr>
            <w:tcW w:w="242" w:type="dxa"/>
            <w:gridSpan w:val="2"/>
            <w:tcBorders/>
            <w:shd w:fill="auto" w:val="clear"/>
            <w:vAlign w:val="bottom"/>
          </w:tcPr>
          <w:p>
            <w:pPr>
              <w:pStyle w:val="TableContents"/>
              <w:spacing w:before="0" w:after="283"/>
              <w:jc w:val="right"/>
              <w:rPr/>
            </w:pPr>
            <w:hyperlink w:anchor="es45301_other_matters">
              <w:r>
                <w:rPr>
                  <w:rStyle w:val="InternetLink"/>
                  <w:rFonts w:ascii="arial" w:hAnsi="arial"/>
                  <w:sz w:val="20"/>
                </w:rPr>
                <w:br/>
                <w:t>83</w:t>
              </w:r>
            </w:hyperlink>
          </w:p>
        </w:tc>
        <w:tc>
          <w:tcPr>
            <w:tcW w:w="122"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bl>
    <w:p>
      <w:pPr>
        <w:pStyle w:val="TextBody"/>
        <w:jc w:val="center"/>
        <w:rPr>
          <w:rFonts w:ascii="arial" w:hAnsi="arial"/>
          <w:sz w:val="20"/>
        </w:rPr>
      </w:pPr>
      <w:r>
        <w:rPr>
          <w:rFonts w:ascii="arial" w:hAnsi="arial"/>
          <w:sz w:val="20"/>
        </w:rPr>
        <w:t>5</w:t>
      </w:r>
    </w:p>
    <w:p>
      <w:pPr>
        <w:pStyle w:val="HorizontalLine"/>
        <w:pBdr>
          <w:bottom w:val="single" w:sz="20" w:space="0" w:color="808080"/>
        </w:pBdr>
        <w:rPr/>
      </w:pPr>
      <w:r>
        <w:rPr/>
      </w:r>
      <w:r>
        <w:br w:type="page"/>
      </w:r>
    </w:p>
    <w:p>
      <w:pPr>
        <w:pStyle w:val="TextBody"/>
        <w:rPr/>
      </w:pPr>
      <w:hyperlink w:anchor="bg45301a_main_toc">
        <w:bookmarkStart w:id="13" w:name="page_da45301_1_6"/>
        <w:bookmarkEnd w:id="13"/>
        <w:r>
          <w:rPr>
            <w:rStyle w:val="InternetLink"/>
            <w:rFonts w:ascii="arial" w:hAnsi="arial"/>
            <w:sz w:val="20"/>
          </w:rPr>
          <w:t>Table of Contents</w:t>
        </w:r>
      </w:hyperlink>
      <w:r>
        <w:rPr>
          <w:rFonts w:ascii="arial" w:hAnsi="arial"/>
          <w:sz w:val="20"/>
        </w:rPr>
        <w:t xml:space="preserve"> </w:t>
      </w:r>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3367"/>
        <w:gridCol w:w="98"/>
        <w:gridCol w:w="6740"/>
      </w:tblGrid>
      <w:tr>
        <w:trPr/>
        <w:tc>
          <w:tcPr>
            <w:tcW w:w="3367" w:type="dxa"/>
            <w:tcBorders/>
            <w:shd w:fill="auto" w:val="clear"/>
            <w:vAlign w:val="center"/>
          </w:tcPr>
          <w:p>
            <w:pPr>
              <w:pStyle w:val="TableContents"/>
              <w:spacing w:before="0" w:after="283"/>
              <w:rPr/>
            </w:pPr>
            <w:r>
              <w:rPr/>
              <w:commentReference w:id="0"/>
            </w:r>
            <w:r>
              <w:rPr/>
              <w:commentReference w:id="1"/>
            </w:r>
            <w:r>
              <w:rPr/>
              <w:commentReference w:id="2"/>
            </w:r>
            <w:r>
              <w:rPr/>
              <w:t>​</w:t>
            </w:r>
          </w:p>
        </w:tc>
        <w:tc>
          <w:tcPr>
            <w:tcW w:w="98" w:type="dxa"/>
            <w:tcBorders/>
            <w:shd w:fill="auto" w:val="clear"/>
            <w:vAlign w:val="center"/>
          </w:tcPr>
          <w:p>
            <w:pPr>
              <w:pStyle w:val="TableContents"/>
              <w:spacing w:before="0" w:after="283"/>
              <w:rPr/>
            </w:pPr>
            <w:r>
              <w:rPr/>
              <w:t>​</w:t>
            </w:r>
          </w:p>
        </w:tc>
        <w:tc>
          <w:tcPr>
            <w:tcW w:w="6740" w:type="dxa"/>
            <w:tcBorders/>
            <w:shd w:fill="auto" w:val="clear"/>
            <w:vAlign w:val="center"/>
          </w:tcPr>
          <w:p>
            <w:pPr>
              <w:pStyle w:val="TableContents"/>
              <w:spacing w:before="0" w:after="283"/>
              <w:rPr/>
            </w:pPr>
            <w:r>
              <w:rPr/>
              <w:t>​</w:t>
            </w:r>
            <w:r>
              <w:rPr>
                <w:rFonts w:eastAsia="arial" w:cs="arial" w:ascii="arial" w:hAnsi="arial"/>
              </w:rPr>
              <w:commentReference w:id="3"/>
            </w:r>
          </w:p>
        </w:tc>
      </w:tr>
      <w:tr>
        <w:trPr/>
        <w:tc>
          <w:tcPr>
            <w:tcW w:w="3367" w:type="dxa"/>
            <w:tcBorders/>
            <w:shd w:fill="auto" w:val="clear"/>
          </w:tcPr>
          <w:p>
            <w:pPr>
              <w:pStyle w:val="TableContents"/>
              <w:rPr/>
            </w:pPr>
            <w:r>
              <w:rPr/>
              <w:t>​</w:t>
            </w:r>
          </w:p>
          <w:p>
            <w:pPr>
              <w:pStyle w:val="TableContents"/>
              <w:spacing w:before="0" w:after="283"/>
              <w:rPr/>
            </w:pPr>
            <w:r>
              <w:rPr/>
              <w:t> </w:t>
            </w:r>
          </w:p>
        </w:tc>
        <w:tc>
          <w:tcPr>
            <w:tcW w:w="98" w:type="dxa"/>
            <w:tcBorders/>
            <w:shd w:fill="auto" w:val="clear"/>
          </w:tcPr>
          <w:p>
            <w:pPr>
              <w:pStyle w:val="TableContents"/>
              <w:rPr/>
            </w:pPr>
            <w:r>
              <w:rPr/>
              <w:t>​</w:t>
            </w:r>
          </w:p>
          <w:p>
            <w:pPr>
              <w:pStyle w:val="TableContents"/>
              <w:spacing w:before="0" w:after="283"/>
              <w:rPr/>
            </w:pPr>
            <w:r>
              <w:rPr/>
              <w:t>​</w:t>
            </w:r>
          </w:p>
        </w:tc>
        <w:tc>
          <w:tcPr>
            <w:tcW w:w="6740" w:type="dxa"/>
            <w:tcBorders/>
            <w:shd w:fill="auto" w:val="clear"/>
          </w:tcPr>
          <w:p>
            <w:pPr>
              <w:pStyle w:val="TableContents"/>
              <w:jc w:val="right"/>
              <w:rPr/>
            </w:pPr>
            <w:r>
              <w:rPr/>
              <w:t>​</w:t>
            </w:r>
          </w:p>
          <w:p>
            <w:pPr>
              <w:pStyle w:val="TableContents"/>
              <w:spacing w:before="0" w:after="283"/>
              <w:jc w:val="right"/>
              <w:rPr/>
            </w:pPr>
            <w:r>
              <w:rPr/>
              <w:t> </w:t>
            </w:r>
          </w:p>
        </w:tc>
      </w:tr>
    </w:tbl>
    <w:p>
      <w:pPr>
        <w:pStyle w:val="TextBody"/>
        <w:rPr/>
      </w:pPr>
      <w:r>
        <w:rPr>
          <w:color w:val="000000"/>
        </w:rPr>
        <w:commentReference w:id="4"/>
      </w:r>
      <w:r>
        <w:rPr>
          <w:color w:val="000000"/>
        </w:rPr>
        <w:t>​</w:t>
      </w:r>
      <w:r>
        <w:rPr/>
        <w:t xml:space="preserve"> </w:t>
      </w:r>
    </w:p>
    <w:p>
      <w:pPr>
        <w:pStyle w:val="Normal"/>
        <w:spacing w:before="0" w:after="0"/>
        <w:ind w:left="0" w:right="0" w:hanging="0"/>
        <w:rPr>
          <w:sz w:val="4"/>
          <w:szCs w:val="4"/>
        </w:rPr>
      </w:pPr>
      <w:r>
        <w:rPr>
          <w:sz w:val="4"/>
          <w:szCs w:val="4"/>
        </w:rPr>
      </w:r>
      <w:bookmarkStart w:id="14" w:name="toc_da45301_1"/>
      <w:bookmarkStart w:id="15" w:name="da45301_proxy_summary"/>
      <w:bookmarkStart w:id="16" w:name="toc_da45301_1"/>
      <w:bookmarkStart w:id="17" w:name="da45301_proxy_summary"/>
      <w:bookmarkEnd w:id="16"/>
      <w:bookmarkEnd w:id="17"/>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8" w:space="0" w:color="000000"/>
            </w:tcBorders>
            <w:shd w:fill="auto" w:val="clear"/>
            <w:vAlign w:val="center"/>
          </w:tcPr>
          <w:p>
            <w:pPr>
              <w:pStyle w:val="TableContents"/>
              <w:spacing w:before="0" w:after="0"/>
              <w:ind w:left="0" w:right="0" w:hanging="0"/>
              <w:jc w:val="left"/>
              <w:rPr>
                <w:rFonts w:ascii="arial" w:hAnsi="arial"/>
                <w:b/>
                <w:sz w:val="24"/>
              </w:rPr>
            </w:pPr>
            <w:r>
              <w:rPr>
                <w:rFonts w:ascii="arial" w:hAnsi="arial"/>
                <w:b/>
                <w:sz w:val="24"/>
              </w:rPr>
              <w:t xml:space="preserve">Proxy Summary </w:t>
            </w:r>
          </w:p>
        </w:tc>
      </w:tr>
    </w:tbl>
    <w:p>
      <w:pPr>
        <w:pStyle w:val="TextBody"/>
        <w:rPr>
          <w:rFonts w:ascii="arial" w:hAnsi="arial"/>
          <w:sz w:val="20"/>
        </w:rPr>
      </w:pPr>
      <w:r>
        <w:rPr>
          <w:rFonts w:ascii="arial" w:hAnsi="arial"/>
          <w:sz w:val="20"/>
        </w:rPr>
        <w:t xml:space="preserve">This summary highlights information contained elsewhere in this proxy statement. This summary does not contain all information you should consider. Please read this entire proxy statement carefully before voting. </w:t>
      </w:r>
    </w:p>
    <w:p>
      <w:pPr>
        <w:pStyle w:val="TextBody"/>
        <w:ind w:left="200" w:right="0" w:hanging="200"/>
        <w:rPr>
          <w:rFonts w:ascii="arial" w:hAnsi="arial"/>
          <w:b/>
          <w:sz w:val="20"/>
        </w:rPr>
      </w:pPr>
      <w:r>
        <w:rPr>
          <w:rFonts w:ascii="arial" w:hAnsi="arial"/>
          <w:b/>
          <w:sz w:val="20"/>
        </w:rPr>
        <w:t xml:space="preserve">Meeting Information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spacing w:before="0" w:after="283"/>
        <w:ind w:left="1274" w:right="0" w:hanging="0"/>
        <w:rPr>
          <w:rFonts w:ascii="arial" w:hAnsi="arial"/>
          <w:sz w:val="20"/>
        </w:rPr>
      </w:pPr>
      <w:r>
        <w:rPr>
          <w:rFonts w:ascii="arial" w:hAnsi="arial"/>
          <w:sz w:val="20"/>
        </w:rPr>
        <w:t xml:space="preserve">Date: Tuesday, May 18, 2021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spacing w:before="0" w:after="283"/>
        <w:ind w:left="1274" w:right="0" w:hanging="0"/>
        <w:rPr>
          <w:rFonts w:ascii="arial" w:hAnsi="arial"/>
          <w:sz w:val="20"/>
        </w:rPr>
      </w:pPr>
      <w:r>
        <w:rPr>
          <w:rFonts w:ascii="arial" w:hAnsi="arial"/>
          <w:sz w:val="20"/>
        </w:rPr>
        <w:t xml:space="preserve">Time: 9:00 a.m. Central European Time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spacing w:before="0" w:after="283"/>
        <w:ind w:left="1274" w:right="0" w:hanging="0"/>
        <w:rPr>
          <w:rFonts w:ascii="arial" w:hAnsi="arial"/>
          <w:sz w:val="20"/>
        </w:rPr>
      </w:pPr>
      <w:r>
        <w:rPr>
          <w:rFonts w:ascii="arial" w:hAnsi="arial"/>
          <w:sz w:val="20"/>
        </w:rPr>
        <w:t xml:space="preserve">Place: 40, avenue Monterey, L-2163 Luxembourg City, Grand Duchy of Luxembourg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spacing w:before="0" w:after="283"/>
        <w:ind w:left="1274" w:right="0" w:hanging="0"/>
        <w:rPr>
          <w:rFonts w:ascii="arial" w:hAnsi="arial"/>
          <w:sz w:val="20"/>
        </w:rPr>
      </w:pPr>
      <w:r>
        <w:rPr>
          <w:rFonts w:ascii="arial" w:hAnsi="arial"/>
          <w:sz w:val="20"/>
        </w:rPr>
        <w:t xml:space="preserve">Record Date: March 26, 2021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spacing w:before="0" w:after="283"/>
        <w:ind w:left="1274" w:right="0" w:hanging="0"/>
        <w:rPr>
          <w:rFonts w:ascii="arial" w:hAnsi="arial"/>
          <w:sz w:val="20"/>
        </w:rPr>
      </w:pPr>
      <w:r>
        <w:rPr>
          <w:rFonts w:ascii="arial" w:hAnsi="arial"/>
          <w:sz w:val="20"/>
        </w:rPr>
        <w:t xml:space="preserve">Agenda: The meeting will cover the proposals listed below, and any other business that may properly come before the meeting </w:t>
      </w:r>
    </w:p>
    <w:p>
      <w:pPr>
        <w:pStyle w:val="TextBody"/>
        <w:ind w:left="200" w:right="0" w:hanging="200"/>
        <w:rPr>
          <w:rFonts w:ascii="arial" w:hAnsi="arial"/>
          <w:b/>
          <w:sz w:val="20"/>
        </w:rPr>
      </w:pPr>
      <w:r>
        <w:rPr>
          <w:rFonts w:ascii="arial" w:hAnsi="arial"/>
          <w:b/>
          <w:sz w:val="20"/>
        </w:rPr>
        <w:t xml:space="preserve">Voting Matters and Board Recommendations </w:t>
      </w:r>
    </w:p>
    <w:tbl>
      <w:tblPr>
        <w:tblW w:w="5000" w:type="pct"/>
        <w:jc w:val="center"/>
        <w:tblInd w:w="0" w:type="dxa"/>
        <w:tblCellMar>
          <w:top w:w="0" w:type="dxa"/>
          <w:left w:w="0" w:type="dxa"/>
          <w:bottom w:w="0" w:type="dxa"/>
          <w:right w:w="0" w:type="dxa"/>
        </w:tblCellMar>
      </w:tblPr>
      <w:tblGrid>
        <w:gridCol w:w="125"/>
        <w:gridCol w:w="23"/>
        <w:gridCol w:w="7255"/>
        <w:gridCol w:w="23"/>
        <w:gridCol w:w="1655"/>
        <w:gridCol w:w="23"/>
        <w:gridCol w:w="1101"/>
      </w:tblGrid>
      <w:tr>
        <w:trPr/>
        <w:tc>
          <w:tcPr>
            <w:tcW w:w="125"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7255"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655"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r>
      <w:tr>
        <w:trPr/>
        <w:tc>
          <w:tcPr>
            <w:tcW w:w="10205" w:type="dxa"/>
            <w:gridSpan w:val="7"/>
            <w:tcBorders>
              <w:bottom w:val="single" w:sz="8" w:space="0" w:color="000000"/>
            </w:tcBorders>
            <w:shd w:fill="auto" w:val="clear"/>
            <w:tcMar>
              <w:bottom w:w="28" w:type="dxa"/>
            </w:tcMar>
            <w:vAlign w:val="bottom"/>
          </w:tcPr>
          <w:p>
            <w:pPr>
              <w:pStyle w:val="TableHeading"/>
              <w:spacing w:before="0" w:after="283"/>
              <w:jc w:val="center"/>
              <w:rPr>
                <w:rFonts w:ascii="arial" w:hAnsi="arial"/>
                <w:b/>
                <w:sz w:val="20"/>
              </w:rPr>
            </w:pPr>
            <w:r>
              <w:rPr>
                <w:rFonts w:ascii="arial" w:hAnsi="arial"/>
                <w:b/>
                <w:sz w:val="20"/>
              </w:rPr>
              <w:t xml:space="preserve">Annual Meeting of Shareholders </w:t>
            </w:r>
          </w:p>
        </w:tc>
      </w:tr>
      <w:tr>
        <w:trPr/>
        <w:tc>
          <w:tcPr>
            <w:tcW w:w="7403" w:type="dxa"/>
            <w:gridSpan w:val="3"/>
            <w:tcBorders>
              <w:bottom w:val="single" w:sz="8" w:space="0" w:color="000000"/>
            </w:tcBorders>
            <w:shd w:fill="auto" w:val="clear"/>
            <w:tcMar>
              <w:bottom w:w="28" w:type="dxa"/>
            </w:tcMar>
            <w:vAlign w:val="bottom"/>
          </w:tcPr>
          <w:p>
            <w:pPr>
              <w:pStyle w:val="TableHeading"/>
              <w:spacing w:before="0" w:after="283"/>
              <w:jc w:val="center"/>
              <w:rPr>
                <w:rFonts w:ascii="arial" w:hAnsi="arial"/>
                <w:b/>
                <w:sz w:val="20"/>
              </w:rPr>
            </w:pPr>
            <w:r>
              <w:rPr>
                <w:rFonts w:ascii="arial" w:hAnsi="arial"/>
                <w:b/>
                <w:sz w:val="20"/>
              </w:rPr>
              <w:t xml:space="preserve">Proposals </w:t>
            </w:r>
          </w:p>
        </w:tc>
        <w:tc>
          <w:tcPr>
            <w:tcW w:w="23" w:type="dxa"/>
            <w:tcBorders/>
            <w:shd w:fill="auto" w:val="clear"/>
            <w:vAlign w:val="bottom"/>
          </w:tcPr>
          <w:p>
            <w:pPr>
              <w:pStyle w:val="TableHeading"/>
              <w:suppressLineNumbers/>
              <w:spacing w:before="0" w:after="283"/>
              <w:jc w:val="center"/>
              <w:rPr/>
            </w:pPr>
            <w:r>
              <w:rPr/>
              <w:t>​</w:t>
            </w:r>
          </w:p>
        </w:tc>
        <w:tc>
          <w:tcPr>
            <w:tcW w:w="1655" w:type="dxa"/>
            <w:tcBorders>
              <w:bottom w:val="single" w:sz="8" w:space="0" w:color="000000"/>
            </w:tcBorders>
            <w:shd w:fill="auto" w:val="clear"/>
            <w:tcMar>
              <w:bottom w:w="28" w:type="dxa"/>
            </w:tcMar>
            <w:vAlign w:val="bottom"/>
          </w:tcPr>
          <w:p>
            <w:pPr>
              <w:pStyle w:val="TableHeading"/>
              <w:spacing w:before="0" w:after="283"/>
              <w:jc w:val="center"/>
              <w:rPr>
                <w:rFonts w:ascii="arial" w:hAnsi="arial"/>
                <w:b/>
                <w:sz w:val="20"/>
              </w:rPr>
            </w:pPr>
            <w:r>
              <w:rPr>
                <w:rFonts w:ascii="arial" w:hAnsi="arial"/>
                <w:b/>
                <w:sz w:val="20"/>
              </w:rPr>
              <w:t xml:space="preserve">Recommendation </w:t>
            </w:r>
          </w:p>
        </w:tc>
        <w:tc>
          <w:tcPr>
            <w:tcW w:w="23" w:type="dxa"/>
            <w:tcBorders/>
            <w:shd w:fill="auto" w:val="clear"/>
            <w:vAlign w:val="bottom"/>
          </w:tcPr>
          <w:p>
            <w:pPr>
              <w:pStyle w:val="TableHeading"/>
              <w:suppressLineNumbers/>
              <w:spacing w:before="0" w:after="283"/>
              <w:jc w:val="center"/>
              <w:rPr/>
            </w:pPr>
            <w:r>
              <w:rPr/>
              <w:t>​</w:t>
            </w:r>
          </w:p>
        </w:tc>
        <w:tc>
          <w:tcPr>
            <w:tcW w:w="1101" w:type="dxa"/>
            <w:tcBorders>
              <w:bottom w:val="single" w:sz="8" w:space="0" w:color="000000"/>
            </w:tcBorders>
            <w:shd w:fill="auto" w:val="clear"/>
            <w:tcMar>
              <w:bottom w:w="28" w:type="dxa"/>
            </w:tcMar>
            <w:vAlign w:val="bottom"/>
          </w:tcPr>
          <w:p>
            <w:pPr>
              <w:pStyle w:val="TableHeading"/>
              <w:spacing w:before="0" w:after="283"/>
              <w:jc w:val="center"/>
              <w:rPr>
                <w:rFonts w:ascii="arial" w:hAnsi="arial"/>
                <w:b/>
                <w:sz w:val="20"/>
              </w:rPr>
            </w:pPr>
            <w:r>
              <w:rPr>
                <w:rFonts w:ascii="arial" w:hAnsi="arial"/>
                <w:b/>
                <w:sz w:val="20"/>
              </w:rPr>
              <w:t>More</w:t>
              <w:br/>
              <w:t xml:space="preserve">Information </w:t>
            </w:r>
          </w:p>
        </w:tc>
      </w:tr>
      <w:tr>
        <w:trPr/>
        <w:tc>
          <w:tcPr>
            <w:tcW w:w="125" w:type="dxa"/>
            <w:tcBorders/>
            <w:shd w:fill="auto" w:val="clear"/>
          </w:tcPr>
          <w:p>
            <w:pPr>
              <w:pStyle w:val="TableContents"/>
              <w:spacing w:before="0" w:after="283"/>
              <w:rPr>
                <w:rFonts w:ascii="arial" w:hAnsi="arial"/>
                <w:b/>
                <w:sz w:val="20"/>
              </w:rPr>
            </w:pPr>
            <w:r>
              <w:rPr>
                <w:rFonts w:ascii="arial" w:hAnsi="arial"/>
                <w:b/>
                <w:sz w:val="20"/>
              </w:rPr>
              <w:t>1.</w:t>
            </w:r>
          </w:p>
        </w:tc>
        <w:tc>
          <w:tcPr>
            <w:tcW w:w="23" w:type="dxa"/>
            <w:tcBorders/>
            <w:shd w:fill="auto" w:val="clear"/>
          </w:tcPr>
          <w:p>
            <w:pPr>
              <w:pStyle w:val="TableContents"/>
              <w:spacing w:before="0" w:after="283"/>
              <w:rPr/>
            </w:pPr>
            <w:r>
              <w:rPr/>
              <w:t>​</w:t>
            </w:r>
          </w:p>
        </w:tc>
        <w:tc>
          <w:tcPr>
            <w:tcW w:w="7255" w:type="dxa"/>
            <w:tcBorders/>
            <w:shd w:fill="auto" w:val="clear"/>
          </w:tcPr>
          <w:p>
            <w:pPr>
              <w:pStyle w:val="TableContents"/>
              <w:spacing w:before="0" w:after="283"/>
              <w:rPr>
                <w:rFonts w:ascii="arial" w:hAnsi="arial"/>
                <w:sz w:val="20"/>
              </w:rPr>
            </w:pPr>
            <w:r>
              <w:rPr>
                <w:rFonts w:ascii="arial" w:hAnsi="arial"/>
                <w:sz w:val="20"/>
              </w:rPr>
              <w:t>Election of Directors</w:t>
            </w:r>
          </w:p>
        </w:tc>
        <w:tc>
          <w:tcPr>
            <w:tcW w:w="23" w:type="dxa"/>
            <w:tcBorders/>
            <w:shd w:fill="auto" w:val="clear"/>
          </w:tcPr>
          <w:p>
            <w:pPr>
              <w:pStyle w:val="TableContents"/>
              <w:spacing w:before="0" w:after="283"/>
              <w:rPr/>
            </w:pPr>
            <w:r>
              <w:rPr/>
              <w:t>​</w:t>
            </w:r>
          </w:p>
        </w:tc>
        <w:tc>
          <w:tcPr>
            <w:tcW w:w="1655" w:type="dxa"/>
            <w:tcBorders/>
            <w:shd w:fill="auto" w:val="clear"/>
          </w:tcPr>
          <w:p>
            <w:pPr>
              <w:pStyle w:val="TableContents"/>
              <w:spacing w:before="0" w:after="283"/>
              <w:jc w:val="center"/>
              <w:rPr/>
            </w:pPr>
            <w:r>
              <w:rPr/>
              <w:drawing>
                <wp:inline distT="0" distB="0" distL="0" distR="0">
                  <wp:extent cx="95250" cy="114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 cy="114300"/>
                          </a:xfrm>
                          <a:prstGeom prst="rect">
                            <a:avLst/>
                          </a:prstGeom>
                        </pic:spPr>
                      </pic:pic>
                    </a:graphicData>
                  </a:graphic>
                </wp:inline>
              </w:drawing>
            </w:r>
            <w:r>
              <w:rPr/>
              <w:t xml:space="preserve"> </w:t>
            </w:r>
            <w:r>
              <w:rPr>
                <w:rFonts w:ascii="arial" w:hAnsi="arial"/>
                <w:sz w:val="20"/>
              </w:rPr>
              <w:t>FOR each nominee</w:t>
            </w:r>
          </w:p>
        </w:tc>
        <w:tc>
          <w:tcPr>
            <w:tcW w:w="23" w:type="dxa"/>
            <w:tcBorders/>
            <w:shd w:fill="auto" w:val="clear"/>
          </w:tcPr>
          <w:p>
            <w:pPr>
              <w:pStyle w:val="TableContents"/>
              <w:spacing w:before="0" w:after="283"/>
              <w:rPr/>
            </w:pPr>
            <w:r>
              <w:rPr/>
              <w:t>​</w:t>
            </w:r>
          </w:p>
        </w:tc>
        <w:tc>
          <w:tcPr>
            <w:tcW w:w="1101" w:type="dxa"/>
            <w:tcBorders/>
            <w:shd w:fill="auto" w:val="clear"/>
          </w:tcPr>
          <w:p>
            <w:pPr>
              <w:pStyle w:val="TableContents"/>
              <w:spacing w:before="0" w:after="283"/>
              <w:jc w:val="center"/>
              <w:rPr>
                <w:rFonts w:ascii="arial" w:hAnsi="arial"/>
                <w:sz w:val="20"/>
              </w:rPr>
            </w:pPr>
            <w:r>
              <w:rPr>
                <w:rFonts w:ascii="arial" w:hAnsi="arial"/>
                <w:sz w:val="20"/>
              </w:rPr>
              <w:t>Page 14</w:t>
            </w:r>
          </w:p>
        </w:tc>
      </w:tr>
      <w:tr>
        <w:trPr/>
        <w:tc>
          <w:tcPr>
            <w:tcW w:w="125" w:type="dxa"/>
            <w:tcBorders/>
            <w:shd w:fill="auto" w:val="clear"/>
          </w:tcPr>
          <w:p>
            <w:pPr>
              <w:pStyle w:val="TableContents"/>
              <w:spacing w:before="0" w:after="283"/>
              <w:rPr>
                <w:rFonts w:ascii="arial" w:hAnsi="arial"/>
              </w:rPr>
            </w:pPr>
            <w:r>
              <w:rPr>
                <w:rFonts w:ascii="arial" w:hAnsi="arial"/>
              </w:rPr>
              <w:br/>
            </w:r>
            <w:r>
              <w:rPr>
                <w:rFonts w:ascii="arial" w:hAnsi="arial"/>
                <w:b/>
                <w:sz w:val="20"/>
              </w:rPr>
              <w:t>2.</w:t>
            </w:r>
          </w:p>
        </w:tc>
        <w:tc>
          <w:tcPr>
            <w:tcW w:w="23" w:type="dxa"/>
            <w:tcBorders/>
            <w:shd w:fill="auto" w:val="clear"/>
          </w:tcPr>
          <w:p>
            <w:pPr>
              <w:pStyle w:val="TableContents"/>
              <w:spacing w:before="0" w:after="283"/>
              <w:rPr>
                <w:rFonts w:ascii="arial" w:hAnsi="arial"/>
                <w:sz w:val="20"/>
              </w:rPr>
            </w:pPr>
            <w:r>
              <w:rPr>
                <w:rFonts w:ascii="arial" w:hAnsi="arial"/>
                <w:sz w:val="20"/>
              </w:rPr>
              <w:br/>
              <w:t>​</w:t>
            </w:r>
          </w:p>
        </w:tc>
        <w:tc>
          <w:tcPr>
            <w:tcW w:w="7255" w:type="dxa"/>
            <w:tcBorders/>
            <w:shd w:fill="auto" w:val="clear"/>
          </w:tcPr>
          <w:p>
            <w:pPr>
              <w:pStyle w:val="TableContents"/>
              <w:spacing w:before="0" w:after="283"/>
              <w:rPr>
                <w:rFonts w:ascii="arial" w:hAnsi="arial"/>
              </w:rPr>
            </w:pPr>
            <w:r>
              <w:rPr>
                <w:rFonts w:ascii="arial" w:hAnsi="arial"/>
              </w:rPr>
              <w:br/>
            </w:r>
            <w:r>
              <w:rPr>
                <w:rFonts w:ascii="arial" w:hAnsi="arial"/>
                <w:sz w:val="20"/>
              </w:rPr>
              <w:t>Appointment of Independent Registered Certified Public Accounting Firm and Certified Auditor</w:t>
            </w:r>
          </w:p>
        </w:tc>
        <w:tc>
          <w:tcPr>
            <w:tcW w:w="23" w:type="dxa"/>
            <w:tcBorders/>
            <w:shd w:fill="auto" w:val="clear"/>
          </w:tcPr>
          <w:p>
            <w:pPr>
              <w:pStyle w:val="TableContents"/>
              <w:spacing w:before="0" w:after="283"/>
              <w:rPr>
                <w:rFonts w:ascii="arial" w:hAnsi="arial"/>
                <w:sz w:val="20"/>
              </w:rPr>
            </w:pPr>
            <w:r>
              <w:rPr>
                <w:rFonts w:ascii="arial" w:hAnsi="arial"/>
                <w:sz w:val="20"/>
              </w:rPr>
              <w:br/>
              <w:t>​</w:t>
            </w:r>
          </w:p>
        </w:tc>
        <w:tc>
          <w:tcPr>
            <w:tcW w:w="1655" w:type="dxa"/>
            <w:tcBorders/>
            <w:shd w:fill="auto" w:val="clear"/>
          </w:tcPr>
          <w:p>
            <w:pPr>
              <w:pStyle w:val="TableContents"/>
              <w:spacing w:before="0" w:after="283"/>
              <w:jc w:val="center"/>
              <w:rPr>
                <w:rFonts w:ascii="arial" w:hAnsi="arial"/>
              </w:rPr>
            </w:pPr>
            <w:r>
              <w:rPr>
                <w:rFonts w:ascii="arial" w:hAnsi="arial"/>
              </w:rPr>
              <w:br/>
            </w:r>
            <w:r>
              <w:rPr>
                <w:rFonts w:ascii="arial" w:hAnsi="arial"/>
              </w:rPr>
              <w:drawing>
                <wp:inline distT="0" distB="0" distL="0" distR="0">
                  <wp:extent cx="95250" cy="1143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5250" cy="114300"/>
                          </a:xfrm>
                          <a:prstGeom prst="rect">
                            <a:avLst/>
                          </a:prstGeom>
                        </pic:spPr>
                      </pic:pic>
                    </a:graphicData>
                  </a:graphic>
                </wp:inline>
              </w:drawing>
            </w:r>
            <w:r>
              <w:rPr>
                <w:rFonts w:ascii="arial" w:hAnsi="arial"/>
              </w:rPr>
              <w:t xml:space="preserve"> </w:t>
            </w:r>
            <w:r>
              <w:rPr>
                <w:rFonts w:ascii="arial" w:hAnsi="arial"/>
                <w:sz w:val="20"/>
              </w:rPr>
              <w:t>FOR</w:t>
            </w:r>
          </w:p>
        </w:tc>
        <w:tc>
          <w:tcPr>
            <w:tcW w:w="23" w:type="dxa"/>
            <w:tcBorders/>
            <w:shd w:fill="auto" w:val="clear"/>
          </w:tcPr>
          <w:p>
            <w:pPr>
              <w:pStyle w:val="TableContents"/>
              <w:spacing w:before="0" w:after="283"/>
              <w:rPr>
                <w:rFonts w:ascii="arial" w:hAnsi="arial"/>
                <w:sz w:val="20"/>
              </w:rPr>
            </w:pPr>
            <w:r>
              <w:rPr>
                <w:rFonts w:ascii="arial" w:hAnsi="arial"/>
                <w:sz w:val="20"/>
              </w:rPr>
              <w:br/>
              <w:t>​</w:t>
            </w:r>
          </w:p>
        </w:tc>
        <w:tc>
          <w:tcPr>
            <w:tcW w:w="1101" w:type="dxa"/>
            <w:tcBorders/>
            <w:shd w:fill="auto" w:val="clear"/>
          </w:tcPr>
          <w:p>
            <w:pPr>
              <w:pStyle w:val="TableContents"/>
              <w:spacing w:before="0" w:after="283"/>
              <w:jc w:val="center"/>
              <w:rPr>
                <w:rFonts w:ascii="arial" w:hAnsi="arial"/>
              </w:rPr>
            </w:pPr>
            <w:r>
              <w:rPr>
                <w:rFonts w:ascii="arial" w:hAnsi="arial"/>
              </w:rPr>
              <w:br/>
            </w:r>
            <w:r>
              <w:rPr>
                <w:rFonts w:ascii="arial" w:hAnsi="arial"/>
                <w:sz w:val="20"/>
              </w:rPr>
              <w:t>Page 70</w:t>
            </w:r>
          </w:p>
        </w:tc>
      </w:tr>
      <w:tr>
        <w:trPr/>
        <w:tc>
          <w:tcPr>
            <w:tcW w:w="125" w:type="dxa"/>
            <w:tcBorders/>
            <w:shd w:fill="auto" w:val="clear"/>
          </w:tcPr>
          <w:p>
            <w:pPr>
              <w:pStyle w:val="TableContents"/>
              <w:spacing w:before="0" w:after="283"/>
              <w:rPr>
                <w:rFonts w:ascii="arial" w:hAnsi="arial"/>
              </w:rPr>
            </w:pPr>
            <w:r>
              <w:rPr>
                <w:rFonts w:ascii="arial" w:hAnsi="arial"/>
              </w:rPr>
              <w:br/>
            </w:r>
            <w:r>
              <w:rPr>
                <w:rFonts w:ascii="arial" w:hAnsi="arial"/>
                <w:b/>
                <w:sz w:val="20"/>
              </w:rPr>
              <w:t>3.</w:t>
            </w:r>
          </w:p>
        </w:tc>
        <w:tc>
          <w:tcPr>
            <w:tcW w:w="23" w:type="dxa"/>
            <w:tcBorders/>
            <w:shd w:fill="auto" w:val="clear"/>
          </w:tcPr>
          <w:p>
            <w:pPr>
              <w:pStyle w:val="TableContents"/>
              <w:spacing w:before="0" w:after="283"/>
              <w:rPr>
                <w:rFonts w:ascii="arial" w:hAnsi="arial"/>
                <w:sz w:val="20"/>
              </w:rPr>
            </w:pPr>
            <w:r>
              <w:rPr>
                <w:rFonts w:ascii="arial" w:hAnsi="arial"/>
                <w:sz w:val="20"/>
              </w:rPr>
              <w:br/>
              <w:t>​</w:t>
            </w:r>
          </w:p>
        </w:tc>
        <w:tc>
          <w:tcPr>
            <w:tcW w:w="7255" w:type="dxa"/>
            <w:tcBorders/>
            <w:shd w:fill="auto" w:val="clear"/>
          </w:tcPr>
          <w:p>
            <w:pPr>
              <w:pStyle w:val="TableContents"/>
              <w:spacing w:before="0" w:after="283"/>
              <w:rPr>
                <w:rFonts w:ascii="arial" w:hAnsi="arial"/>
              </w:rPr>
            </w:pPr>
            <w:r>
              <w:rPr>
                <w:rFonts w:ascii="arial" w:hAnsi="arial"/>
              </w:rPr>
              <w:br/>
            </w:r>
            <w:r>
              <w:rPr>
                <w:rFonts w:ascii="arial" w:hAnsi="arial"/>
                <w:sz w:val="20"/>
              </w:rPr>
              <w:t>Approval of the Company's 2020 Statutory Accounts</w:t>
            </w:r>
          </w:p>
        </w:tc>
        <w:tc>
          <w:tcPr>
            <w:tcW w:w="23" w:type="dxa"/>
            <w:tcBorders/>
            <w:shd w:fill="auto" w:val="clear"/>
          </w:tcPr>
          <w:p>
            <w:pPr>
              <w:pStyle w:val="TableContents"/>
              <w:spacing w:before="0" w:after="283"/>
              <w:rPr>
                <w:rFonts w:ascii="arial" w:hAnsi="arial"/>
                <w:sz w:val="20"/>
              </w:rPr>
            </w:pPr>
            <w:r>
              <w:rPr>
                <w:rFonts w:ascii="arial" w:hAnsi="arial"/>
                <w:sz w:val="20"/>
              </w:rPr>
              <w:br/>
              <w:t>​</w:t>
            </w:r>
          </w:p>
        </w:tc>
        <w:tc>
          <w:tcPr>
            <w:tcW w:w="1655" w:type="dxa"/>
            <w:tcBorders/>
            <w:shd w:fill="auto" w:val="clear"/>
          </w:tcPr>
          <w:p>
            <w:pPr>
              <w:pStyle w:val="TableContents"/>
              <w:spacing w:before="0" w:after="283"/>
              <w:jc w:val="center"/>
              <w:rPr>
                <w:rFonts w:ascii="arial" w:hAnsi="arial"/>
              </w:rPr>
            </w:pPr>
            <w:r>
              <w:rPr>
                <w:rFonts w:ascii="arial" w:hAnsi="arial"/>
              </w:rPr>
              <w:br/>
            </w:r>
            <w:r>
              <w:rPr>
                <w:rFonts w:ascii="arial" w:hAnsi="arial"/>
              </w:rPr>
              <w:drawing>
                <wp:inline distT="0" distB="0" distL="0" distR="0">
                  <wp:extent cx="95250" cy="1143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5250" cy="114300"/>
                          </a:xfrm>
                          <a:prstGeom prst="rect">
                            <a:avLst/>
                          </a:prstGeom>
                        </pic:spPr>
                      </pic:pic>
                    </a:graphicData>
                  </a:graphic>
                </wp:inline>
              </w:drawing>
            </w:r>
            <w:r>
              <w:rPr>
                <w:rFonts w:ascii="arial" w:hAnsi="arial"/>
              </w:rPr>
              <w:t xml:space="preserve"> </w:t>
            </w:r>
            <w:r>
              <w:rPr>
                <w:rFonts w:ascii="arial" w:hAnsi="arial"/>
                <w:sz w:val="20"/>
              </w:rPr>
              <w:t>FOR</w:t>
            </w:r>
          </w:p>
        </w:tc>
        <w:tc>
          <w:tcPr>
            <w:tcW w:w="23" w:type="dxa"/>
            <w:tcBorders/>
            <w:shd w:fill="auto" w:val="clear"/>
          </w:tcPr>
          <w:p>
            <w:pPr>
              <w:pStyle w:val="TableContents"/>
              <w:spacing w:before="0" w:after="283"/>
              <w:rPr>
                <w:rFonts w:ascii="arial" w:hAnsi="arial"/>
                <w:sz w:val="20"/>
              </w:rPr>
            </w:pPr>
            <w:r>
              <w:rPr>
                <w:rFonts w:ascii="arial" w:hAnsi="arial"/>
                <w:sz w:val="20"/>
              </w:rPr>
              <w:br/>
              <w:t>​</w:t>
            </w:r>
          </w:p>
        </w:tc>
        <w:tc>
          <w:tcPr>
            <w:tcW w:w="1101" w:type="dxa"/>
            <w:tcBorders/>
            <w:shd w:fill="auto" w:val="clear"/>
          </w:tcPr>
          <w:p>
            <w:pPr>
              <w:pStyle w:val="TableContents"/>
              <w:spacing w:before="0" w:after="283"/>
              <w:jc w:val="center"/>
              <w:rPr>
                <w:rFonts w:ascii="arial" w:hAnsi="arial"/>
              </w:rPr>
            </w:pPr>
            <w:r>
              <w:rPr>
                <w:rFonts w:ascii="arial" w:hAnsi="arial"/>
              </w:rPr>
              <w:br/>
            </w:r>
            <w:r>
              <w:rPr>
                <w:rFonts w:ascii="arial" w:hAnsi="arial"/>
                <w:sz w:val="20"/>
              </w:rPr>
              <w:t>Page 74</w:t>
            </w:r>
          </w:p>
        </w:tc>
      </w:tr>
      <w:tr>
        <w:trPr/>
        <w:tc>
          <w:tcPr>
            <w:tcW w:w="125" w:type="dxa"/>
            <w:tcBorders/>
            <w:shd w:fill="auto" w:val="clear"/>
          </w:tcPr>
          <w:p>
            <w:pPr>
              <w:pStyle w:val="TableContents"/>
              <w:spacing w:before="0" w:after="283"/>
              <w:rPr>
                <w:rFonts w:ascii="arial" w:hAnsi="arial"/>
              </w:rPr>
            </w:pPr>
            <w:r>
              <w:rPr>
                <w:rFonts w:ascii="arial" w:hAnsi="arial"/>
              </w:rPr>
              <w:br/>
            </w:r>
            <w:r>
              <w:rPr>
                <w:rFonts w:ascii="arial" w:hAnsi="arial"/>
                <w:b/>
                <w:sz w:val="20"/>
              </w:rPr>
              <w:t>4.</w:t>
            </w:r>
          </w:p>
        </w:tc>
        <w:tc>
          <w:tcPr>
            <w:tcW w:w="23" w:type="dxa"/>
            <w:tcBorders/>
            <w:shd w:fill="auto" w:val="clear"/>
          </w:tcPr>
          <w:p>
            <w:pPr>
              <w:pStyle w:val="TableContents"/>
              <w:spacing w:before="0" w:after="283"/>
              <w:rPr>
                <w:rFonts w:ascii="arial" w:hAnsi="arial"/>
                <w:sz w:val="20"/>
              </w:rPr>
            </w:pPr>
            <w:r>
              <w:rPr>
                <w:rFonts w:ascii="arial" w:hAnsi="arial"/>
                <w:sz w:val="20"/>
              </w:rPr>
              <w:br/>
              <w:t>​</w:t>
            </w:r>
          </w:p>
        </w:tc>
        <w:tc>
          <w:tcPr>
            <w:tcW w:w="7255" w:type="dxa"/>
            <w:tcBorders/>
            <w:shd w:fill="auto" w:val="clear"/>
          </w:tcPr>
          <w:p>
            <w:pPr>
              <w:pStyle w:val="TableContents"/>
              <w:spacing w:before="0" w:after="283"/>
              <w:rPr>
                <w:rFonts w:ascii="arial" w:hAnsi="arial"/>
              </w:rPr>
            </w:pPr>
            <w:r>
              <w:rPr>
                <w:rFonts w:ascii="arial" w:hAnsi="arial"/>
              </w:rPr>
              <w:br/>
            </w:r>
            <w:r>
              <w:rPr>
                <w:rFonts w:ascii="arial" w:hAnsi="arial"/>
                <w:sz w:val="20"/>
              </w:rPr>
              <w:t>Receipt and Approval of the Directors' Reports for the Luxembourg Statutory Accounts and Receipt of the Supervisory Auditor's Report for the Luxembourg Annual Accounts</w:t>
            </w:r>
          </w:p>
        </w:tc>
        <w:tc>
          <w:tcPr>
            <w:tcW w:w="23" w:type="dxa"/>
            <w:tcBorders/>
            <w:shd w:fill="auto" w:val="clear"/>
          </w:tcPr>
          <w:p>
            <w:pPr>
              <w:pStyle w:val="TableContents"/>
              <w:spacing w:before="0" w:after="283"/>
              <w:rPr>
                <w:rFonts w:ascii="arial" w:hAnsi="arial"/>
                <w:sz w:val="20"/>
              </w:rPr>
            </w:pPr>
            <w:r>
              <w:rPr>
                <w:rFonts w:ascii="arial" w:hAnsi="arial"/>
                <w:sz w:val="20"/>
              </w:rPr>
              <w:br/>
              <w:t>​</w:t>
            </w:r>
          </w:p>
        </w:tc>
        <w:tc>
          <w:tcPr>
            <w:tcW w:w="1655" w:type="dxa"/>
            <w:tcBorders/>
            <w:shd w:fill="auto" w:val="clear"/>
          </w:tcPr>
          <w:p>
            <w:pPr>
              <w:pStyle w:val="TableContents"/>
              <w:spacing w:before="0" w:after="283"/>
              <w:jc w:val="center"/>
              <w:rPr>
                <w:rFonts w:ascii="arial" w:hAnsi="arial"/>
              </w:rPr>
            </w:pPr>
            <w:r>
              <w:rPr>
                <w:rFonts w:ascii="arial" w:hAnsi="arial"/>
              </w:rPr>
              <w:br/>
            </w:r>
            <w:r>
              <w:rPr>
                <w:rFonts w:ascii="arial" w:hAnsi="arial"/>
              </w:rPr>
              <w:drawing>
                <wp:inline distT="0" distB="0" distL="0" distR="0">
                  <wp:extent cx="95250" cy="1143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5250" cy="114300"/>
                          </a:xfrm>
                          <a:prstGeom prst="rect">
                            <a:avLst/>
                          </a:prstGeom>
                        </pic:spPr>
                      </pic:pic>
                    </a:graphicData>
                  </a:graphic>
                </wp:inline>
              </w:drawing>
            </w:r>
            <w:r>
              <w:rPr>
                <w:rFonts w:ascii="arial" w:hAnsi="arial"/>
              </w:rPr>
              <w:t xml:space="preserve"> </w:t>
            </w:r>
            <w:r>
              <w:rPr>
                <w:rFonts w:ascii="arial" w:hAnsi="arial"/>
                <w:sz w:val="20"/>
              </w:rPr>
              <w:t>FOR</w:t>
            </w:r>
          </w:p>
        </w:tc>
        <w:tc>
          <w:tcPr>
            <w:tcW w:w="23" w:type="dxa"/>
            <w:tcBorders/>
            <w:shd w:fill="auto" w:val="clear"/>
          </w:tcPr>
          <w:p>
            <w:pPr>
              <w:pStyle w:val="TableContents"/>
              <w:spacing w:before="0" w:after="283"/>
              <w:rPr>
                <w:rFonts w:ascii="arial" w:hAnsi="arial"/>
                <w:sz w:val="20"/>
              </w:rPr>
            </w:pPr>
            <w:r>
              <w:rPr>
                <w:rFonts w:ascii="arial" w:hAnsi="arial"/>
                <w:sz w:val="20"/>
              </w:rPr>
              <w:br/>
              <w:t>​</w:t>
            </w:r>
          </w:p>
        </w:tc>
        <w:tc>
          <w:tcPr>
            <w:tcW w:w="1101" w:type="dxa"/>
            <w:tcBorders/>
            <w:shd w:fill="auto" w:val="clear"/>
          </w:tcPr>
          <w:p>
            <w:pPr>
              <w:pStyle w:val="TableContents"/>
              <w:spacing w:before="0" w:after="283"/>
              <w:jc w:val="center"/>
              <w:rPr>
                <w:rFonts w:ascii="arial" w:hAnsi="arial"/>
              </w:rPr>
            </w:pPr>
            <w:r>
              <w:rPr>
                <w:rFonts w:ascii="arial" w:hAnsi="arial"/>
              </w:rPr>
              <w:br/>
            </w:r>
            <w:r>
              <w:rPr>
                <w:rFonts w:ascii="arial" w:hAnsi="arial"/>
                <w:sz w:val="20"/>
              </w:rPr>
              <w:t>Page 75</w:t>
            </w:r>
          </w:p>
        </w:tc>
      </w:tr>
      <w:tr>
        <w:trPr/>
        <w:tc>
          <w:tcPr>
            <w:tcW w:w="125" w:type="dxa"/>
            <w:tcBorders/>
            <w:shd w:fill="auto" w:val="clear"/>
          </w:tcPr>
          <w:p>
            <w:pPr>
              <w:pStyle w:val="TableContents"/>
              <w:spacing w:before="0" w:after="283"/>
              <w:rPr>
                <w:rFonts w:ascii="arial" w:hAnsi="arial"/>
              </w:rPr>
            </w:pPr>
            <w:r>
              <w:rPr>
                <w:rFonts w:ascii="arial" w:hAnsi="arial"/>
              </w:rPr>
              <w:br/>
            </w:r>
            <w:r>
              <w:rPr>
                <w:rFonts w:ascii="arial" w:hAnsi="arial"/>
                <w:b/>
                <w:sz w:val="20"/>
              </w:rPr>
              <w:t>5.</w:t>
            </w:r>
          </w:p>
        </w:tc>
        <w:tc>
          <w:tcPr>
            <w:tcW w:w="23" w:type="dxa"/>
            <w:tcBorders/>
            <w:shd w:fill="auto" w:val="clear"/>
          </w:tcPr>
          <w:p>
            <w:pPr>
              <w:pStyle w:val="TableContents"/>
              <w:spacing w:before="0" w:after="283"/>
              <w:rPr>
                <w:rFonts w:ascii="arial" w:hAnsi="arial"/>
                <w:sz w:val="20"/>
              </w:rPr>
            </w:pPr>
            <w:r>
              <w:rPr>
                <w:rFonts w:ascii="arial" w:hAnsi="arial"/>
                <w:sz w:val="20"/>
              </w:rPr>
              <w:br/>
              <w:t>​</w:t>
            </w:r>
          </w:p>
        </w:tc>
        <w:tc>
          <w:tcPr>
            <w:tcW w:w="7255" w:type="dxa"/>
            <w:tcBorders/>
            <w:shd w:fill="auto" w:val="clear"/>
          </w:tcPr>
          <w:p>
            <w:pPr>
              <w:pStyle w:val="TableContents"/>
              <w:spacing w:before="0" w:after="283"/>
              <w:rPr>
                <w:rFonts w:ascii="arial" w:hAnsi="arial"/>
              </w:rPr>
            </w:pPr>
            <w:r>
              <w:rPr>
                <w:rFonts w:ascii="arial" w:hAnsi="arial"/>
              </w:rPr>
              <w:br/>
            </w:r>
            <w:r>
              <w:rPr>
                <w:rFonts w:ascii="arial" w:hAnsi="arial"/>
                <w:sz w:val="20"/>
              </w:rPr>
              <w:t>Allocation of the Results in the Luxembourg Annual Accounts</w:t>
            </w:r>
          </w:p>
        </w:tc>
        <w:tc>
          <w:tcPr>
            <w:tcW w:w="23" w:type="dxa"/>
            <w:tcBorders/>
            <w:shd w:fill="auto" w:val="clear"/>
          </w:tcPr>
          <w:p>
            <w:pPr>
              <w:pStyle w:val="TableContents"/>
              <w:spacing w:before="0" w:after="283"/>
              <w:rPr>
                <w:rFonts w:ascii="arial" w:hAnsi="arial"/>
                <w:sz w:val="20"/>
              </w:rPr>
            </w:pPr>
            <w:r>
              <w:rPr>
                <w:rFonts w:ascii="arial" w:hAnsi="arial"/>
                <w:sz w:val="20"/>
              </w:rPr>
              <w:br/>
              <w:t>​</w:t>
            </w:r>
          </w:p>
        </w:tc>
        <w:tc>
          <w:tcPr>
            <w:tcW w:w="1655" w:type="dxa"/>
            <w:tcBorders/>
            <w:shd w:fill="auto" w:val="clear"/>
          </w:tcPr>
          <w:p>
            <w:pPr>
              <w:pStyle w:val="TableContents"/>
              <w:spacing w:before="0" w:after="283"/>
              <w:jc w:val="center"/>
              <w:rPr>
                <w:rFonts w:ascii="arial" w:hAnsi="arial"/>
              </w:rPr>
            </w:pPr>
            <w:r>
              <w:rPr>
                <w:rFonts w:ascii="arial" w:hAnsi="arial"/>
              </w:rPr>
              <w:br/>
            </w:r>
            <w:r>
              <w:rPr>
                <w:rFonts w:ascii="arial" w:hAnsi="arial"/>
              </w:rPr>
              <w:drawing>
                <wp:inline distT="0" distB="0" distL="0" distR="0">
                  <wp:extent cx="95250" cy="1143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5250" cy="114300"/>
                          </a:xfrm>
                          <a:prstGeom prst="rect">
                            <a:avLst/>
                          </a:prstGeom>
                        </pic:spPr>
                      </pic:pic>
                    </a:graphicData>
                  </a:graphic>
                </wp:inline>
              </w:drawing>
            </w:r>
            <w:r>
              <w:rPr>
                <w:rFonts w:ascii="arial" w:hAnsi="arial"/>
              </w:rPr>
              <w:t xml:space="preserve"> </w:t>
            </w:r>
            <w:r>
              <w:rPr>
                <w:rFonts w:ascii="arial" w:hAnsi="arial"/>
                <w:sz w:val="20"/>
              </w:rPr>
              <w:t>FOR</w:t>
            </w:r>
          </w:p>
        </w:tc>
        <w:tc>
          <w:tcPr>
            <w:tcW w:w="23" w:type="dxa"/>
            <w:tcBorders/>
            <w:shd w:fill="auto" w:val="clear"/>
          </w:tcPr>
          <w:p>
            <w:pPr>
              <w:pStyle w:val="TableContents"/>
              <w:spacing w:before="0" w:after="283"/>
              <w:rPr>
                <w:rFonts w:ascii="arial" w:hAnsi="arial"/>
                <w:sz w:val="20"/>
              </w:rPr>
            </w:pPr>
            <w:r>
              <w:rPr>
                <w:rFonts w:ascii="arial" w:hAnsi="arial"/>
                <w:sz w:val="20"/>
              </w:rPr>
              <w:br/>
              <w:t>​</w:t>
            </w:r>
          </w:p>
        </w:tc>
        <w:tc>
          <w:tcPr>
            <w:tcW w:w="1101" w:type="dxa"/>
            <w:tcBorders/>
            <w:shd w:fill="auto" w:val="clear"/>
          </w:tcPr>
          <w:p>
            <w:pPr>
              <w:pStyle w:val="TableContents"/>
              <w:spacing w:before="0" w:after="283"/>
              <w:jc w:val="center"/>
              <w:rPr>
                <w:rFonts w:ascii="arial" w:hAnsi="arial"/>
              </w:rPr>
            </w:pPr>
            <w:r>
              <w:rPr>
                <w:rFonts w:ascii="arial" w:hAnsi="arial"/>
              </w:rPr>
              <w:br/>
            </w:r>
            <w:r>
              <w:rPr>
                <w:rFonts w:ascii="arial" w:hAnsi="arial"/>
                <w:sz w:val="20"/>
              </w:rPr>
              <w:t>Page 76</w:t>
            </w:r>
          </w:p>
        </w:tc>
      </w:tr>
      <w:tr>
        <w:trPr/>
        <w:tc>
          <w:tcPr>
            <w:tcW w:w="125" w:type="dxa"/>
            <w:tcBorders/>
            <w:shd w:fill="auto" w:val="clear"/>
          </w:tcPr>
          <w:p>
            <w:pPr>
              <w:pStyle w:val="TableContents"/>
              <w:spacing w:before="0" w:after="283"/>
              <w:rPr>
                <w:rFonts w:ascii="arial" w:hAnsi="arial"/>
              </w:rPr>
            </w:pPr>
            <w:r>
              <w:rPr>
                <w:rFonts w:ascii="arial" w:hAnsi="arial"/>
              </w:rPr>
              <w:br/>
            </w:r>
            <w:r>
              <w:rPr>
                <w:rFonts w:ascii="arial" w:hAnsi="arial"/>
                <w:b/>
                <w:sz w:val="20"/>
              </w:rPr>
              <w:t>6.</w:t>
            </w:r>
          </w:p>
        </w:tc>
        <w:tc>
          <w:tcPr>
            <w:tcW w:w="23" w:type="dxa"/>
            <w:tcBorders/>
            <w:shd w:fill="auto" w:val="clear"/>
          </w:tcPr>
          <w:p>
            <w:pPr>
              <w:pStyle w:val="TableContents"/>
              <w:spacing w:before="0" w:after="283"/>
              <w:rPr>
                <w:rFonts w:ascii="arial" w:hAnsi="arial"/>
                <w:sz w:val="20"/>
              </w:rPr>
            </w:pPr>
            <w:r>
              <w:rPr>
                <w:rFonts w:ascii="arial" w:hAnsi="arial"/>
                <w:sz w:val="20"/>
              </w:rPr>
              <w:br/>
              <w:t>​</w:t>
            </w:r>
          </w:p>
        </w:tc>
        <w:tc>
          <w:tcPr>
            <w:tcW w:w="7255" w:type="dxa"/>
            <w:tcBorders/>
            <w:shd w:fill="auto" w:val="clear"/>
          </w:tcPr>
          <w:p>
            <w:pPr>
              <w:pStyle w:val="TableContents"/>
              <w:spacing w:before="0" w:after="283"/>
              <w:rPr>
                <w:rFonts w:ascii="arial" w:hAnsi="arial"/>
              </w:rPr>
            </w:pPr>
            <w:r>
              <w:rPr>
                <w:rFonts w:ascii="arial" w:hAnsi="arial"/>
              </w:rPr>
              <w:br/>
            </w:r>
            <w:r>
              <w:rPr>
                <w:rFonts w:ascii="arial" w:hAnsi="arial"/>
                <w:sz w:val="20"/>
              </w:rPr>
              <w:t>Discharge of the Directors and the Supervisory Auditor</w:t>
            </w:r>
          </w:p>
        </w:tc>
        <w:tc>
          <w:tcPr>
            <w:tcW w:w="23" w:type="dxa"/>
            <w:tcBorders/>
            <w:shd w:fill="auto" w:val="clear"/>
          </w:tcPr>
          <w:p>
            <w:pPr>
              <w:pStyle w:val="TableContents"/>
              <w:spacing w:before="0" w:after="283"/>
              <w:rPr>
                <w:rFonts w:ascii="arial" w:hAnsi="arial"/>
                <w:sz w:val="20"/>
              </w:rPr>
            </w:pPr>
            <w:r>
              <w:rPr>
                <w:rFonts w:ascii="arial" w:hAnsi="arial"/>
                <w:sz w:val="20"/>
              </w:rPr>
              <w:br/>
              <w:t>​</w:t>
            </w:r>
          </w:p>
        </w:tc>
        <w:tc>
          <w:tcPr>
            <w:tcW w:w="1655" w:type="dxa"/>
            <w:tcBorders/>
            <w:shd w:fill="auto" w:val="clear"/>
          </w:tcPr>
          <w:p>
            <w:pPr>
              <w:pStyle w:val="TableContents"/>
              <w:spacing w:before="0" w:after="283"/>
              <w:jc w:val="center"/>
              <w:rPr>
                <w:rFonts w:ascii="arial" w:hAnsi="arial"/>
              </w:rPr>
            </w:pPr>
            <w:r>
              <w:rPr>
                <w:rFonts w:ascii="arial" w:hAnsi="arial"/>
              </w:rPr>
              <w:br/>
            </w:r>
            <w:r>
              <w:rPr>
                <w:rFonts w:ascii="arial" w:hAnsi="arial"/>
              </w:rPr>
              <w:drawing>
                <wp:inline distT="0" distB="0" distL="0" distR="0">
                  <wp:extent cx="95250" cy="1143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5250" cy="114300"/>
                          </a:xfrm>
                          <a:prstGeom prst="rect">
                            <a:avLst/>
                          </a:prstGeom>
                        </pic:spPr>
                      </pic:pic>
                    </a:graphicData>
                  </a:graphic>
                </wp:inline>
              </w:drawing>
            </w:r>
            <w:r>
              <w:rPr>
                <w:rFonts w:ascii="arial" w:hAnsi="arial"/>
              </w:rPr>
              <w:t xml:space="preserve"> </w:t>
            </w:r>
            <w:r>
              <w:rPr>
                <w:rFonts w:ascii="arial" w:hAnsi="arial"/>
                <w:sz w:val="20"/>
              </w:rPr>
              <w:t>FOR</w:t>
            </w:r>
          </w:p>
        </w:tc>
        <w:tc>
          <w:tcPr>
            <w:tcW w:w="23" w:type="dxa"/>
            <w:tcBorders/>
            <w:shd w:fill="auto" w:val="clear"/>
          </w:tcPr>
          <w:p>
            <w:pPr>
              <w:pStyle w:val="TableContents"/>
              <w:spacing w:before="0" w:after="283"/>
              <w:rPr>
                <w:rFonts w:ascii="arial" w:hAnsi="arial"/>
                <w:sz w:val="20"/>
              </w:rPr>
            </w:pPr>
            <w:r>
              <w:rPr>
                <w:rFonts w:ascii="arial" w:hAnsi="arial"/>
                <w:sz w:val="20"/>
              </w:rPr>
              <w:br/>
              <w:t>​</w:t>
            </w:r>
          </w:p>
        </w:tc>
        <w:tc>
          <w:tcPr>
            <w:tcW w:w="1101" w:type="dxa"/>
            <w:tcBorders/>
            <w:shd w:fill="auto" w:val="clear"/>
          </w:tcPr>
          <w:p>
            <w:pPr>
              <w:pStyle w:val="TableContents"/>
              <w:spacing w:before="0" w:after="283"/>
              <w:jc w:val="center"/>
              <w:rPr>
                <w:rFonts w:ascii="arial" w:hAnsi="arial"/>
              </w:rPr>
            </w:pPr>
            <w:r>
              <w:rPr>
                <w:rFonts w:ascii="arial" w:hAnsi="arial"/>
              </w:rPr>
              <w:br/>
            </w:r>
            <w:r>
              <w:rPr>
                <w:rFonts w:ascii="arial" w:hAnsi="arial"/>
                <w:sz w:val="20"/>
              </w:rPr>
              <w:t>Page 77</w:t>
            </w:r>
          </w:p>
        </w:tc>
      </w:tr>
      <w:tr>
        <w:trPr/>
        <w:tc>
          <w:tcPr>
            <w:tcW w:w="125" w:type="dxa"/>
            <w:tcBorders/>
            <w:shd w:fill="auto" w:val="clear"/>
          </w:tcPr>
          <w:p>
            <w:pPr>
              <w:pStyle w:val="TableContents"/>
              <w:spacing w:before="0" w:after="283"/>
              <w:rPr>
                <w:rFonts w:ascii="arial" w:hAnsi="arial"/>
              </w:rPr>
            </w:pPr>
            <w:r>
              <w:rPr>
                <w:rFonts w:ascii="arial" w:hAnsi="arial"/>
              </w:rPr>
              <w:br/>
            </w:r>
            <w:r>
              <w:rPr>
                <w:rFonts w:ascii="arial" w:hAnsi="arial"/>
                <w:b/>
                <w:sz w:val="20"/>
              </w:rPr>
              <w:t>7.</w:t>
            </w:r>
          </w:p>
        </w:tc>
        <w:tc>
          <w:tcPr>
            <w:tcW w:w="23" w:type="dxa"/>
            <w:tcBorders/>
            <w:shd w:fill="auto" w:val="clear"/>
          </w:tcPr>
          <w:p>
            <w:pPr>
              <w:pStyle w:val="TableContents"/>
              <w:spacing w:before="0" w:after="283"/>
              <w:rPr>
                <w:rFonts w:ascii="arial" w:hAnsi="arial"/>
                <w:sz w:val="20"/>
              </w:rPr>
            </w:pPr>
            <w:r>
              <w:rPr>
                <w:rFonts w:ascii="arial" w:hAnsi="arial"/>
                <w:sz w:val="20"/>
              </w:rPr>
              <w:br/>
              <w:t>​</w:t>
            </w:r>
          </w:p>
        </w:tc>
        <w:tc>
          <w:tcPr>
            <w:tcW w:w="7255" w:type="dxa"/>
            <w:tcBorders/>
            <w:shd w:fill="auto" w:val="clear"/>
          </w:tcPr>
          <w:p>
            <w:pPr>
              <w:pStyle w:val="TableContents"/>
              <w:spacing w:before="0" w:after="283"/>
              <w:rPr>
                <w:rFonts w:ascii="arial" w:hAnsi="arial"/>
              </w:rPr>
            </w:pPr>
            <w:r>
              <w:rPr>
                <w:rFonts w:ascii="arial" w:hAnsi="arial"/>
              </w:rPr>
              <w:br/>
            </w:r>
            <w:r>
              <w:rPr>
                <w:rFonts w:ascii="arial" w:hAnsi="arial"/>
                <w:sz w:val="20"/>
              </w:rPr>
              <w:t>Advisory Vote on Executive Compensation ("Say-on-Pay")</w:t>
            </w:r>
          </w:p>
        </w:tc>
        <w:tc>
          <w:tcPr>
            <w:tcW w:w="23" w:type="dxa"/>
            <w:tcBorders/>
            <w:shd w:fill="auto" w:val="clear"/>
          </w:tcPr>
          <w:p>
            <w:pPr>
              <w:pStyle w:val="TableContents"/>
              <w:spacing w:before="0" w:after="283"/>
              <w:rPr>
                <w:rFonts w:ascii="arial" w:hAnsi="arial"/>
                <w:sz w:val="20"/>
              </w:rPr>
            </w:pPr>
            <w:r>
              <w:rPr>
                <w:rFonts w:ascii="arial" w:hAnsi="arial"/>
                <w:sz w:val="20"/>
              </w:rPr>
              <w:br/>
              <w:t>​</w:t>
            </w:r>
          </w:p>
        </w:tc>
        <w:tc>
          <w:tcPr>
            <w:tcW w:w="1655" w:type="dxa"/>
            <w:tcBorders/>
            <w:shd w:fill="auto" w:val="clear"/>
          </w:tcPr>
          <w:p>
            <w:pPr>
              <w:pStyle w:val="TableContents"/>
              <w:spacing w:before="0" w:after="283"/>
              <w:jc w:val="center"/>
              <w:rPr>
                <w:rFonts w:ascii="arial" w:hAnsi="arial"/>
              </w:rPr>
            </w:pPr>
            <w:r>
              <w:rPr>
                <w:rFonts w:ascii="arial" w:hAnsi="arial"/>
              </w:rPr>
              <w:br/>
            </w:r>
            <w:r>
              <w:rPr>
                <w:rFonts w:ascii="arial" w:hAnsi="arial"/>
              </w:rPr>
              <w:drawing>
                <wp:inline distT="0" distB="0" distL="0" distR="0">
                  <wp:extent cx="95250" cy="1143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5250" cy="114300"/>
                          </a:xfrm>
                          <a:prstGeom prst="rect">
                            <a:avLst/>
                          </a:prstGeom>
                        </pic:spPr>
                      </pic:pic>
                    </a:graphicData>
                  </a:graphic>
                </wp:inline>
              </w:drawing>
            </w:r>
            <w:r>
              <w:rPr>
                <w:rFonts w:ascii="arial" w:hAnsi="arial"/>
              </w:rPr>
              <w:t xml:space="preserve"> </w:t>
            </w:r>
            <w:r>
              <w:rPr>
                <w:rFonts w:ascii="arial" w:hAnsi="arial"/>
                <w:sz w:val="20"/>
              </w:rPr>
              <w:t>FOR</w:t>
            </w:r>
          </w:p>
        </w:tc>
        <w:tc>
          <w:tcPr>
            <w:tcW w:w="23" w:type="dxa"/>
            <w:tcBorders/>
            <w:shd w:fill="auto" w:val="clear"/>
          </w:tcPr>
          <w:p>
            <w:pPr>
              <w:pStyle w:val="TableContents"/>
              <w:spacing w:before="0" w:after="283"/>
              <w:rPr>
                <w:rFonts w:ascii="arial" w:hAnsi="arial"/>
                <w:sz w:val="20"/>
              </w:rPr>
            </w:pPr>
            <w:r>
              <w:rPr>
                <w:rFonts w:ascii="arial" w:hAnsi="arial"/>
                <w:sz w:val="20"/>
              </w:rPr>
              <w:br/>
              <w:t>​</w:t>
            </w:r>
          </w:p>
        </w:tc>
        <w:tc>
          <w:tcPr>
            <w:tcW w:w="1101" w:type="dxa"/>
            <w:tcBorders/>
            <w:shd w:fill="auto" w:val="clear"/>
          </w:tcPr>
          <w:p>
            <w:pPr>
              <w:pStyle w:val="TableContents"/>
              <w:spacing w:before="0" w:after="283"/>
              <w:jc w:val="center"/>
              <w:rPr>
                <w:rFonts w:ascii="arial" w:hAnsi="arial"/>
              </w:rPr>
            </w:pPr>
            <w:r>
              <w:rPr>
                <w:rFonts w:ascii="arial" w:hAnsi="arial"/>
              </w:rPr>
              <w:br/>
            </w:r>
            <w:r>
              <w:rPr>
                <w:rFonts w:ascii="arial" w:hAnsi="arial"/>
                <w:sz w:val="20"/>
              </w:rPr>
              <w:t>Page 78</w:t>
            </w:r>
          </w:p>
        </w:tc>
      </w:tr>
      <w:tr>
        <w:trPr/>
        <w:tc>
          <w:tcPr>
            <w:tcW w:w="125" w:type="dxa"/>
            <w:tcBorders/>
            <w:shd w:fill="auto" w:val="clear"/>
          </w:tcPr>
          <w:p>
            <w:pPr>
              <w:pStyle w:val="TableContents"/>
              <w:spacing w:before="0" w:after="283"/>
              <w:rPr>
                <w:rFonts w:ascii="arial" w:hAnsi="arial"/>
              </w:rPr>
            </w:pPr>
            <w:r>
              <w:rPr>
                <w:rFonts w:ascii="arial" w:hAnsi="arial"/>
              </w:rPr>
              <w:br/>
            </w:r>
            <w:r>
              <w:rPr>
                <w:rFonts w:ascii="arial" w:hAnsi="arial"/>
                <w:b/>
                <w:sz w:val="20"/>
              </w:rPr>
              <w:t>8.</w:t>
            </w:r>
          </w:p>
        </w:tc>
        <w:tc>
          <w:tcPr>
            <w:tcW w:w="23" w:type="dxa"/>
            <w:tcBorders/>
            <w:shd w:fill="auto" w:val="clear"/>
          </w:tcPr>
          <w:p>
            <w:pPr>
              <w:pStyle w:val="TableContents"/>
              <w:spacing w:before="0" w:after="283"/>
              <w:rPr>
                <w:rFonts w:ascii="arial" w:hAnsi="arial"/>
                <w:sz w:val="20"/>
              </w:rPr>
            </w:pPr>
            <w:r>
              <w:rPr>
                <w:rFonts w:ascii="arial" w:hAnsi="arial"/>
                <w:sz w:val="20"/>
              </w:rPr>
              <w:br/>
              <w:t>​</w:t>
            </w:r>
          </w:p>
        </w:tc>
        <w:tc>
          <w:tcPr>
            <w:tcW w:w="7255" w:type="dxa"/>
            <w:tcBorders/>
            <w:shd w:fill="auto" w:val="clear"/>
          </w:tcPr>
          <w:p>
            <w:pPr>
              <w:pStyle w:val="TableContents"/>
              <w:spacing w:before="0" w:after="283"/>
              <w:rPr>
                <w:rFonts w:ascii="arial" w:hAnsi="arial"/>
              </w:rPr>
            </w:pPr>
            <w:r>
              <w:rPr>
                <w:rFonts w:ascii="arial" w:hAnsi="arial"/>
              </w:rPr>
              <w:br/>
            </w:r>
            <w:r>
              <w:rPr>
                <w:rFonts w:ascii="arial" w:hAnsi="arial"/>
                <w:sz w:val="20"/>
              </w:rPr>
              <w:t>Approve amendment of our 2009 Equity Incentive Plan (the "Plan") to increase the number of shares of common stock reserved for issuance under the Plan by an additional 1.7 million shares</w:t>
            </w:r>
          </w:p>
        </w:tc>
        <w:tc>
          <w:tcPr>
            <w:tcW w:w="23" w:type="dxa"/>
            <w:tcBorders/>
            <w:shd w:fill="auto" w:val="clear"/>
          </w:tcPr>
          <w:p>
            <w:pPr>
              <w:pStyle w:val="TableContents"/>
              <w:spacing w:before="0" w:after="283"/>
              <w:rPr>
                <w:rFonts w:ascii="arial" w:hAnsi="arial"/>
                <w:sz w:val="20"/>
              </w:rPr>
            </w:pPr>
            <w:r>
              <w:rPr>
                <w:rFonts w:ascii="arial" w:hAnsi="arial"/>
                <w:sz w:val="20"/>
              </w:rPr>
              <w:br/>
              <w:t>​</w:t>
            </w:r>
          </w:p>
        </w:tc>
        <w:tc>
          <w:tcPr>
            <w:tcW w:w="1655" w:type="dxa"/>
            <w:tcBorders/>
            <w:shd w:fill="auto" w:val="clear"/>
          </w:tcPr>
          <w:p>
            <w:pPr>
              <w:pStyle w:val="TableContents"/>
              <w:spacing w:before="0" w:after="283"/>
              <w:jc w:val="center"/>
              <w:rPr>
                <w:rFonts w:ascii="arial" w:hAnsi="arial"/>
              </w:rPr>
            </w:pPr>
            <w:r>
              <w:rPr>
                <w:rFonts w:ascii="arial" w:hAnsi="arial"/>
              </w:rPr>
              <w:br/>
            </w:r>
            <w:r>
              <w:rPr>
                <w:rFonts w:ascii="arial" w:hAnsi="arial"/>
              </w:rPr>
              <w:drawing>
                <wp:inline distT="0" distB="0" distL="0" distR="0">
                  <wp:extent cx="95250" cy="1143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5250" cy="114300"/>
                          </a:xfrm>
                          <a:prstGeom prst="rect">
                            <a:avLst/>
                          </a:prstGeom>
                        </pic:spPr>
                      </pic:pic>
                    </a:graphicData>
                  </a:graphic>
                </wp:inline>
              </w:drawing>
            </w:r>
            <w:r>
              <w:rPr>
                <w:rFonts w:ascii="arial" w:hAnsi="arial"/>
              </w:rPr>
              <w:t xml:space="preserve"> </w:t>
            </w:r>
            <w:r>
              <w:rPr>
                <w:rFonts w:ascii="arial" w:hAnsi="arial"/>
                <w:sz w:val="20"/>
              </w:rPr>
              <w:t>FOR</w:t>
            </w:r>
          </w:p>
        </w:tc>
        <w:tc>
          <w:tcPr>
            <w:tcW w:w="23" w:type="dxa"/>
            <w:tcBorders/>
            <w:shd w:fill="auto" w:val="clear"/>
          </w:tcPr>
          <w:p>
            <w:pPr>
              <w:pStyle w:val="TableContents"/>
              <w:spacing w:before="0" w:after="283"/>
              <w:rPr>
                <w:rFonts w:ascii="arial" w:hAnsi="arial"/>
                <w:sz w:val="20"/>
              </w:rPr>
            </w:pPr>
            <w:r>
              <w:rPr>
                <w:rFonts w:ascii="arial" w:hAnsi="arial"/>
                <w:sz w:val="20"/>
              </w:rPr>
              <w:br/>
              <w:t>​</w:t>
            </w:r>
          </w:p>
        </w:tc>
        <w:tc>
          <w:tcPr>
            <w:tcW w:w="1101" w:type="dxa"/>
            <w:tcBorders/>
            <w:shd w:fill="auto" w:val="clear"/>
          </w:tcPr>
          <w:p>
            <w:pPr>
              <w:pStyle w:val="TableContents"/>
              <w:spacing w:before="0" w:after="283"/>
              <w:jc w:val="center"/>
              <w:rPr>
                <w:rFonts w:ascii="arial" w:hAnsi="arial"/>
              </w:rPr>
            </w:pPr>
            <w:r>
              <w:rPr>
                <w:rFonts w:ascii="arial" w:hAnsi="arial"/>
              </w:rPr>
              <w:br/>
            </w:r>
            <w:r>
              <w:rPr>
                <w:rFonts w:ascii="arial" w:hAnsi="arial"/>
                <w:sz w:val="20"/>
              </w:rPr>
              <w:t>Page 79</w:t>
            </w:r>
          </w:p>
        </w:tc>
      </w:tr>
    </w:tbl>
    <w:p>
      <w:pPr>
        <w:pStyle w:val="TextBody"/>
        <w:ind w:left="200" w:right="0" w:hanging="200"/>
        <w:rPr>
          <w:rFonts w:ascii="arial" w:hAnsi="arial"/>
          <w:b/>
          <w:sz w:val="20"/>
        </w:rPr>
      </w:pPr>
      <w:r>
        <w:rPr>
          <w:rFonts w:ascii="arial" w:hAnsi="arial"/>
          <w:b/>
          <w:sz w:val="20"/>
        </w:rPr>
        <w:t xml:space="preserve">2020 Business Highlights </w:t>
      </w:r>
    </w:p>
    <w:p>
      <w:pPr>
        <w:pStyle w:val="TextBody"/>
        <w:rPr>
          <w:rFonts w:ascii="arial" w:hAnsi="arial"/>
          <w:sz w:val="20"/>
        </w:rPr>
      </w:pPr>
      <w:r>
        <w:rPr>
          <w:rFonts w:ascii="arial" w:hAnsi="arial"/>
          <w:sz w:val="20"/>
        </w:rPr>
        <w:t xml:space="preserve">Altisource® is an integrated service provider and marketplace for the real estate and mortgage industries. Combining operational excellence with a suite of innovative services and technologies, Altisource helps solve the demands of the ever-changing markets we serve. </w:t>
      </w:r>
    </w:p>
    <w:p>
      <w:pPr>
        <w:pStyle w:val="TextBody"/>
        <w:jc w:val="center"/>
        <w:rPr>
          <w:rFonts w:ascii="arial" w:hAnsi="arial"/>
          <w:sz w:val="20"/>
        </w:rPr>
      </w:pPr>
      <w:r>
        <w:rPr>
          <w:rFonts w:ascii="arial" w:hAnsi="arial"/>
          <w:sz w:val="20"/>
        </w:rPr>
        <w:t>6</w:t>
      </w:r>
    </w:p>
    <w:p>
      <w:pPr>
        <w:pStyle w:val="HorizontalLine"/>
        <w:pBdr>
          <w:bottom w:val="single" w:sz="20" w:space="0" w:color="808080"/>
        </w:pBdr>
        <w:rPr/>
      </w:pPr>
      <w:r>
        <w:rPr/>
      </w:r>
      <w:r>
        <w:br w:type="page"/>
      </w:r>
    </w:p>
    <w:p>
      <w:pPr>
        <w:pStyle w:val="TextBody"/>
        <w:rPr/>
      </w:pPr>
      <w:hyperlink w:anchor="bg45301a_main_toc">
        <w:bookmarkStart w:id="18" w:name="page_da45301_1_7"/>
        <w:bookmarkEnd w:id="18"/>
        <w:r>
          <w:rPr>
            <w:rStyle w:val="InternetLink"/>
            <w:rFonts w:ascii="arial" w:hAnsi="arial"/>
            <w:sz w:val="20"/>
          </w:rPr>
          <w:t>Table of Contents</w:t>
        </w:r>
      </w:hyperlink>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3367"/>
        <w:gridCol w:w="98"/>
        <w:gridCol w:w="6740"/>
      </w:tblGrid>
      <w:tr>
        <w:trPr/>
        <w:tc>
          <w:tcPr>
            <w:tcW w:w="3367" w:type="dxa"/>
            <w:tcBorders/>
            <w:shd w:fill="auto" w:val="clear"/>
            <w:vAlign w:val="center"/>
          </w:tcPr>
          <w:p>
            <w:pPr>
              <w:pStyle w:val="TableContents"/>
              <w:spacing w:before="0" w:after="283"/>
              <w:rPr/>
            </w:pPr>
            <w:r>
              <w:rPr/>
              <w:commentReference w:id="5"/>
            </w:r>
            <w:r>
              <w:rPr/>
              <w:commentReference w:id="6"/>
            </w:r>
            <w:r>
              <w:rPr/>
              <w:commentReference w:id="7"/>
            </w:r>
            <w:r>
              <w:rPr/>
              <w:t>​</w:t>
            </w:r>
          </w:p>
        </w:tc>
        <w:tc>
          <w:tcPr>
            <w:tcW w:w="98" w:type="dxa"/>
            <w:tcBorders/>
            <w:shd w:fill="auto" w:val="clear"/>
            <w:vAlign w:val="center"/>
          </w:tcPr>
          <w:p>
            <w:pPr>
              <w:pStyle w:val="TableContents"/>
              <w:spacing w:before="0" w:after="283"/>
              <w:rPr/>
            </w:pPr>
            <w:r>
              <w:rPr/>
              <w:t>​</w:t>
            </w:r>
          </w:p>
        </w:tc>
        <w:tc>
          <w:tcPr>
            <w:tcW w:w="6740" w:type="dxa"/>
            <w:tcBorders/>
            <w:shd w:fill="auto" w:val="clear"/>
            <w:vAlign w:val="center"/>
          </w:tcPr>
          <w:p>
            <w:pPr>
              <w:pStyle w:val="TableContents"/>
              <w:spacing w:before="0" w:after="283"/>
              <w:rPr/>
            </w:pPr>
            <w:r>
              <w:rPr/>
              <w:t>​</w:t>
            </w:r>
            <w:r>
              <w:rPr>
                <w:rFonts w:eastAsia="arial" w:cs="arial" w:ascii="arial" w:hAnsi="arial"/>
              </w:rPr>
              <w:commentReference w:id="8"/>
            </w:r>
          </w:p>
        </w:tc>
      </w:tr>
      <w:tr>
        <w:trPr/>
        <w:tc>
          <w:tcPr>
            <w:tcW w:w="3367" w:type="dxa"/>
            <w:tcBorders/>
            <w:shd w:fill="auto" w:val="clear"/>
          </w:tcPr>
          <w:p>
            <w:pPr>
              <w:pStyle w:val="TableContents"/>
              <w:rPr/>
            </w:pPr>
            <w:r>
              <w:rPr/>
              <w:t>​</w:t>
            </w:r>
          </w:p>
          <w:p>
            <w:pPr>
              <w:pStyle w:val="TableContents"/>
              <w:spacing w:before="0" w:after="283"/>
              <w:rPr/>
            </w:pPr>
            <w:r>
              <w:rPr/>
              <w:t> </w:t>
            </w:r>
          </w:p>
        </w:tc>
        <w:tc>
          <w:tcPr>
            <w:tcW w:w="98" w:type="dxa"/>
            <w:tcBorders/>
            <w:shd w:fill="auto" w:val="clear"/>
          </w:tcPr>
          <w:p>
            <w:pPr>
              <w:pStyle w:val="TableContents"/>
              <w:rPr/>
            </w:pPr>
            <w:r>
              <w:rPr/>
              <w:t>​</w:t>
            </w:r>
          </w:p>
          <w:p>
            <w:pPr>
              <w:pStyle w:val="TableContents"/>
              <w:spacing w:before="0" w:after="283"/>
              <w:rPr/>
            </w:pPr>
            <w:r>
              <w:rPr/>
              <w:t>​</w:t>
            </w:r>
          </w:p>
        </w:tc>
        <w:tc>
          <w:tcPr>
            <w:tcW w:w="6740" w:type="dxa"/>
            <w:tcBorders/>
            <w:shd w:fill="auto" w:val="clear"/>
          </w:tcPr>
          <w:p>
            <w:pPr>
              <w:pStyle w:val="TableContents"/>
              <w:jc w:val="right"/>
              <w:rPr/>
            </w:pPr>
            <w:r>
              <w:rPr/>
              <w:t>​</w:t>
            </w:r>
          </w:p>
          <w:p>
            <w:pPr>
              <w:pStyle w:val="TableContents"/>
              <w:spacing w:before="0" w:after="283"/>
              <w:jc w:val="right"/>
              <w:rPr/>
            </w:pPr>
            <w:r>
              <w:rPr/>
              <w:t> </w:t>
            </w:r>
          </w:p>
        </w:tc>
      </w:tr>
    </w:tbl>
    <w:p>
      <w:pPr>
        <w:pStyle w:val="TextBody"/>
        <w:rPr/>
      </w:pPr>
      <w:r>
        <w:rPr>
          <w:color w:val="000000"/>
        </w:rPr>
        <w:commentReference w:id="9"/>
      </w:r>
      <w:r>
        <w:rPr>
          <w:color w:val="000000"/>
        </w:rPr>
        <w:t>​</w:t>
      </w:r>
      <w:r>
        <w:rPr/>
        <w:t xml:space="preserve"> </w:t>
      </w:r>
    </w:p>
    <w:p>
      <w:pPr>
        <w:pStyle w:val="TextBody"/>
        <w:rPr>
          <w:rFonts w:ascii="arial" w:hAnsi="arial"/>
          <w:sz w:val="20"/>
        </w:rPr>
      </w:pPr>
      <w:r>
        <w:rPr>
          <w:rFonts w:ascii="arial" w:hAnsi="arial"/>
          <w:sz w:val="20"/>
        </w:rPr>
        <w:t>2020 was a challenging year for Altisource. Our 2020 financial performance was negatively impacted by:</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spacing w:before="0" w:after="283"/>
        <w:ind w:left="1274" w:right="0" w:hanging="0"/>
        <w:rPr>
          <w:rFonts w:ascii="arial" w:hAnsi="arial"/>
          <w:sz w:val="20"/>
        </w:rPr>
      </w:pPr>
      <w:r>
        <w:rPr>
          <w:rFonts w:ascii="arial" w:hAnsi="arial"/>
          <w:sz w:val="20"/>
        </w:rPr>
        <w:t xml:space="preserve">Temporary servicer and government COVID-19 pandemic related measures to provide financial support to borrowers (i.e., foreclosure and eviction moratoriums and borrower forbearance plans), partially offset by growth in our origination business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spacing w:before="0" w:after="283"/>
        <w:ind w:left="1274" w:right="0" w:hanging="0"/>
        <w:rPr>
          <w:rFonts w:ascii="arial" w:hAnsi="arial"/>
          <w:sz w:val="20"/>
        </w:rPr>
      </w:pPr>
      <w:r>
        <w:rPr>
          <w:rFonts w:ascii="arial" w:hAnsi="arial"/>
          <w:sz w:val="20"/>
        </w:rPr>
        <w:t xml:space="preserve">One of Ocwen Financial Corporation's (together with its affiliates, "Ocwen") mortgage servicing rights ("MSR") investors directing it to transition field services, title and valuation referrals to that investor's captive vendors; we believe the transition of these referrals is largely complete </w:t>
      </w:r>
    </w:p>
    <w:p>
      <w:pPr>
        <w:pStyle w:val="TextBody"/>
        <w:rPr>
          <w:rFonts w:ascii="arial" w:hAnsi="arial"/>
          <w:sz w:val="20"/>
        </w:rPr>
      </w:pPr>
      <w:r>
        <w:rPr>
          <w:rFonts w:ascii="arial" w:hAnsi="arial"/>
          <w:sz w:val="20"/>
        </w:rPr>
        <w:t xml:space="preserve">Throughout the year, the Altisource team rose to address unprecedented adversity and performed well during periods of uncertainty. We focused on factors within our control. We aggressively reduced costs and simplified the organization, continuing these efforts into the first quarter of 2021. </w:t>
      </w:r>
    </w:p>
    <w:p>
      <w:pPr>
        <w:pStyle w:val="TextBody"/>
        <w:rPr>
          <w:rFonts w:ascii="arial" w:hAnsi="arial"/>
          <w:sz w:val="20"/>
        </w:rPr>
      </w:pPr>
      <w:r>
        <w:rPr>
          <w:rFonts w:ascii="arial" w:hAnsi="arial"/>
          <w:sz w:val="20"/>
        </w:rPr>
        <w:t xml:space="preserve">We have two strong core businessesorigination and default. We had strong revenue growth in our origination business, excluding our construction risk mitigation business that was impacted by the pandemic, and we forecast this strong growth to continue in 2021. Our countercyclical default business was adversely impacted by temporary pandemic-related government and servicer borrower relief measures and one of Ocwen's MSR investors directing Ocwen to refer business to that investor's captive vendors. </w:t>
      </w:r>
    </w:p>
    <w:p>
      <w:pPr>
        <w:pStyle w:val="TextBody"/>
        <w:rPr>
          <w:rFonts w:ascii="arial" w:hAnsi="arial"/>
          <w:sz w:val="20"/>
        </w:rPr>
      </w:pPr>
      <w:r>
        <w:rPr>
          <w:rFonts w:ascii="arial" w:hAnsi="arial"/>
          <w:sz w:val="20"/>
        </w:rPr>
        <w:t xml:space="preserve">Service revenue from customers other than Ocwen, New Residential Investment Corp. ("NRZ") and Front Yard Residential Corporation ("RESI") grew by 9% in 2020 compared to 2019; this reflects 47% growth from our origination business, excluding our construction risk mitigation business that was impacted by the pandemic, partially offset by the negative impact of COVID-19 on our default business. </w:t>
      </w:r>
    </w:p>
    <w:p>
      <w:pPr>
        <w:pStyle w:val="TextBody"/>
        <w:rPr>
          <w:rFonts w:ascii="arial" w:hAnsi="arial"/>
          <w:sz w:val="20"/>
        </w:rPr>
      </w:pPr>
      <w:r>
        <w:rPr>
          <w:rFonts w:ascii="arial" w:hAnsi="arial"/>
          <w:sz w:val="20"/>
        </w:rPr>
        <w:t xml:space="preserve">The Company's customer base continues to develop and grow increasing the potential backlog of default-related business which we anticipate will begin to be available to us in 2022 when we forecast that the default market returns to a more normal operating environment. The Company also has a robust unweighted sales pipeline of approximately $220 million. </w:t>
      </w:r>
    </w:p>
    <w:p>
      <w:pPr>
        <w:pStyle w:val="TextBody"/>
        <w:rPr>
          <w:rFonts w:ascii="arial" w:hAnsi="arial"/>
          <w:sz w:val="20"/>
        </w:rPr>
      </w:pPr>
      <w:r>
        <w:rPr>
          <w:rFonts w:ascii="arial" w:hAnsi="arial"/>
          <w:sz w:val="20"/>
        </w:rPr>
        <w:t xml:space="preserve">To address lower revenue in the default business, the Company aggressively reduced cash costs and simplified the organization; cash costs (other than outside fees and services, severance and fourth quarter 2020 bonus accrual reversals) were $12 million lower in the fourth quarter 2020 compared to the fourth quarter 2019. </w:t>
      </w:r>
    </w:p>
    <w:p>
      <w:pPr>
        <w:pStyle w:val="TextBody"/>
        <w:ind w:left="200" w:right="0" w:hanging="200"/>
        <w:rPr>
          <w:rFonts w:ascii="arial" w:hAnsi="arial"/>
          <w:sz w:val="20"/>
        </w:rPr>
      </w:pPr>
      <w:r>
        <w:rPr>
          <w:rFonts w:ascii="arial" w:hAnsi="arial"/>
          <w:sz w:val="20"/>
          <w:u w:val="single"/>
        </w:rPr>
        <w:t>Culture, Workforce and Diversity</w:t>
      </w:r>
      <w:r>
        <w:rPr>
          <w:rFonts w:ascii="arial" w:hAnsi="arial"/>
          <w:sz w:val="20"/>
        </w:rPr>
        <w:t xml:space="preserve"> </w:t>
      </w:r>
    </w:p>
    <w:p>
      <w:pPr>
        <w:pStyle w:val="TextBody"/>
        <w:rPr>
          <w:rFonts w:ascii="arial" w:hAnsi="arial"/>
          <w:sz w:val="20"/>
        </w:rPr>
      </w:pPr>
      <w:r>
        <w:rPr>
          <w:rFonts w:ascii="arial" w:hAnsi="arial"/>
          <w:sz w:val="20"/>
        </w:rPr>
        <w:t>We function by a set of core values communicated to our employees by management and available on our website. The following core values, which are regularly referenced in our employee communications, guide the conduct of Altisource and its employees:</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spacing w:before="0" w:after="283"/>
        <w:ind w:left="1274" w:right="0" w:hanging="0"/>
        <w:rPr>
          <w:rFonts w:ascii="arial" w:hAnsi="arial"/>
        </w:rPr>
      </w:pPr>
      <w:r>
        <w:rPr>
          <w:rFonts w:ascii="arial" w:hAnsi="arial"/>
          <w:b/>
          <w:sz w:val="20"/>
        </w:rPr>
        <w:t>Act with Integrity</w:t>
      </w:r>
      <w:r>
        <w:rPr>
          <w:rFonts w:ascii="arial" w:hAnsi="arial"/>
          <w:sz w:val="20"/>
        </w:rPr>
        <w:t xml:space="preserve">Exhibit unwavering integrity, compliance and ethical conduct at all times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spacing w:before="0" w:after="283"/>
        <w:ind w:left="1274" w:right="0" w:hanging="0"/>
        <w:rPr>
          <w:rFonts w:ascii="arial" w:hAnsi="arial"/>
        </w:rPr>
      </w:pPr>
      <w:r>
        <w:rPr>
          <w:rFonts w:ascii="arial" w:hAnsi="arial"/>
          <w:b/>
          <w:sz w:val="20"/>
        </w:rPr>
        <w:t>Energize People</w:t>
      </w:r>
      <w:r>
        <w:rPr>
          <w:rFonts w:ascii="arial" w:hAnsi="arial"/>
          <w:sz w:val="20"/>
        </w:rPr>
        <w:t xml:space="preserve">Enable exceptional people to inspire their teams and drive results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spacing w:before="0" w:after="283"/>
        <w:ind w:left="1274" w:right="0" w:hanging="0"/>
        <w:rPr>
          <w:rFonts w:ascii="arial" w:hAnsi="arial"/>
        </w:rPr>
      </w:pPr>
      <w:r>
        <w:rPr>
          <w:rFonts w:ascii="arial" w:hAnsi="arial"/>
          <w:b/>
          <w:sz w:val="20"/>
        </w:rPr>
        <w:t>Empower Innovation</w:t>
      </w:r>
      <w:r>
        <w:rPr>
          <w:rFonts w:ascii="arial" w:hAnsi="arial"/>
          <w:sz w:val="20"/>
        </w:rPr>
        <w:t xml:space="preserve">Reward the relentless creation of innovative and compliant solutions to achieve our mission and generate value for our customers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spacing w:before="0" w:after="283"/>
        <w:ind w:left="1274" w:right="0" w:hanging="0"/>
        <w:rPr>
          <w:rFonts w:ascii="arial" w:hAnsi="arial"/>
        </w:rPr>
      </w:pPr>
      <w:r>
        <w:rPr>
          <w:rFonts w:ascii="arial" w:hAnsi="arial"/>
          <w:b/>
          <w:sz w:val="20"/>
        </w:rPr>
        <w:t>Exceed Customer Expectations</w:t>
      </w:r>
      <w:r>
        <w:rPr>
          <w:rFonts w:ascii="arial" w:hAnsi="arial"/>
          <w:sz w:val="20"/>
        </w:rPr>
        <w:t xml:space="preserve">Deliver best-in-class results and customer service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spacing w:before="0" w:after="283"/>
        <w:ind w:left="1274" w:right="0" w:hanging="0"/>
        <w:rPr>
          <w:rFonts w:ascii="arial" w:hAnsi="arial"/>
        </w:rPr>
      </w:pPr>
      <w:r>
        <w:rPr>
          <w:rFonts w:ascii="arial" w:hAnsi="arial"/>
          <w:b/>
          <w:sz w:val="20"/>
        </w:rPr>
        <w:t>Win as a Team</w:t>
      </w:r>
      <w:r>
        <w:rPr>
          <w:rFonts w:ascii="arial" w:hAnsi="arial"/>
          <w:sz w:val="20"/>
        </w:rPr>
        <w:t xml:space="preserve">Embrace the passion, energy and power of our global teams to win as "One-Altisource"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spacing w:before="0" w:after="283"/>
        <w:ind w:left="1274" w:right="0" w:hanging="0"/>
        <w:rPr>
          <w:rFonts w:ascii="arial" w:hAnsi="arial"/>
        </w:rPr>
      </w:pPr>
      <w:r>
        <w:rPr>
          <w:rFonts w:ascii="arial" w:hAnsi="arial"/>
          <w:b/>
          <w:sz w:val="20"/>
        </w:rPr>
        <w:t>Enrich Communities</w:t>
      </w:r>
      <w:r>
        <w:rPr>
          <w:rFonts w:ascii="arial" w:hAnsi="arial"/>
          <w:sz w:val="20"/>
        </w:rPr>
        <w:t xml:space="preserve">Create positive impacts for the communities where we live and serve </w:t>
      </w:r>
    </w:p>
    <w:p>
      <w:pPr>
        <w:pStyle w:val="TextBody"/>
        <w:rPr>
          <w:rFonts w:ascii="arial" w:hAnsi="arial"/>
          <w:sz w:val="20"/>
        </w:rPr>
      </w:pPr>
      <w:r>
        <w:rPr>
          <w:rFonts w:ascii="arial" w:hAnsi="arial"/>
          <w:sz w:val="20"/>
        </w:rPr>
        <w:t xml:space="preserve">We adjusted our social and environmental engagement efforts in 2020 in response to the difficulties presented by the COVID-19 pandemic. We undertook many successful community support initiatives </w:t>
      </w:r>
    </w:p>
    <w:p>
      <w:pPr>
        <w:pStyle w:val="TextBody"/>
        <w:jc w:val="center"/>
        <w:rPr>
          <w:rFonts w:ascii="arial" w:hAnsi="arial"/>
          <w:sz w:val="20"/>
        </w:rPr>
      </w:pPr>
      <w:r>
        <w:rPr>
          <w:rFonts w:ascii="arial" w:hAnsi="arial"/>
          <w:sz w:val="20"/>
        </w:rPr>
        <w:t>7</w:t>
      </w:r>
    </w:p>
    <w:p>
      <w:pPr>
        <w:pStyle w:val="HorizontalLine"/>
        <w:pBdr>
          <w:bottom w:val="single" w:sz="20" w:space="0" w:color="808080"/>
        </w:pBdr>
        <w:rPr/>
      </w:pPr>
      <w:r>
        <w:rPr/>
      </w:r>
      <w:r>
        <w:br w:type="page"/>
      </w:r>
    </w:p>
    <w:p>
      <w:pPr>
        <w:pStyle w:val="TextBody"/>
        <w:rPr/>
      </w:pPr>
      <w:hyperlink w:anchor="bg45301a_main_toc">
        <w:bookmarkStart w:id="19" w:name="page_da45301_1_8"/>
        <w:bookmarkEnd w:id="19"/>
        <w:r>
          <w:rPr>
            <w:rStyle w:val="InternetLink"/>
            <w:rFonts w:ascii="arial" w:hAnsi="arial"/>
            <w:sz w:val="20"/>
          </w:rPr>
          <w:t>Table of Contents</w:t>
        </w:r>
      </w:hyperlink>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3367"/>
        <w:gridCol w:w="98"/>
        <w:gridCol w:w="6740"/>
      </w:tblGrid>
      <w:tr>
        <w:trPr/>
        <w:tc>
          <w:tcPr>
            <w:tcW w:w="3367" w:type="dxa"/>
            <w:tcBorders/>
            <w:shd w:fill="auto" w:val="clear"/>
            <w:vAlign w:val="center"/>
          </w:tcPr>
          <w:p>
            <w:pPr>
              <w:pStyle w:val="TableContents"/>
              <w:spacing w:before="0" w:after="283"/>
              <w:rPr/>
            </w:pPr>
            <w:r>
              <w:rPr/>
              <w:commentReference w:id="10"/>
            </w:r>
            <w:r>
              <w:rPr/>
              <w:commentReference w:id="11"/>
            </w:r>
            <w:r>
              <w:rPr/>
              <w:commentReference w:id="12"/>
            </w:r>
            <w:r>
              <w:rPr/>
              <w:t>​</w:t>
            </w:r>
          </w:p>
        </w:tc>
        <w:tc>
          <w:tcPr>
            <w:tcW w:w="98" w:type="dxa"/>
            <w:tcBorders/>
            <w:shd w:fill="auto" w:val="clear"/>
            <w:vAlign w:val="center"/>
          </w:tcPr>
          <w:p>
            <w:pPr>
              <w:pStyle w:val="TableContents"/>
              <w:spacing w:before="0" w:after="283"/>
              <w:rPr/>
            </w:pPr>
            <w:r>
              <w:rPr/>
              <w:t>​</w:t>
            </w:r>
          </w:p>
        </w:tc>
        <w:tc>
          <w:tcPr>
            <w:tcW w:w="6740" w:type="dxa"/>
            <w:tcBorders/>
            <w:shd w:fill="auto" w:val="clear"/>
            <w:vAlign w:val="center"/>
          </w:tcPr>
          <w:p>
            <w:pPr>
              <w:pStyle w:val="TableContents"/>
              <w:spacing w:before="0" w:after="283"/>
              <w:rPr/>
            </w:pPr>
            <w:r>
              <w:rPr/>
              <w:t>​</w:t>
            </w:r>
            <w:r>
              <w:rPr>
                <w:rFonts w:eastAsia="arial" w:cs="arial" w:ascii="arial" w:hAnsi="arial"/>
              </w:rPr>
              <w:commentReference w:id="13"/>
            </w:r>
          </w:p>
        </w:tc>
      </w:tr>
      <w:tr>
        <w:trPr/>
        <w:tc>
          <w:tcPr>
            <w:tcW w:w="3367" w:type="dxa"/>
            <w:tcBorders/>
            <w:shd w:fill="auto" w:val="clear"/>
          </w:tcPr>
          <w:p>
            <w:pPr>
              <w:pStyle w:val="TableContents"/>
              <w:rPr/>
            </w:pPr>
            <w:r>
              <w:rPr/>
              <w:t>​</w:t>
            </w:r>
          </w:p>
          <w:p>
            <w:pPr>
              <w:pStyle w:val="TableContents"/>
              <w:spacing w:before="0" w:after="283"/>
              <w:rPr/>
            </w:pPr>
            <w:r>
              <w:rPr/>
              <w:t> </w:t>
            </w:r>
          </w:p>
        </w:tc>
        <w:tc>
          <w:tcPr>
            <w:tcW w:w="98" w:type="dxa"/>
            <w:tcBorders/>
            <w:shd w:fill="auto" w:val="clear"/>
          </w:tcPr>
          <w:p>
            <w:pPr>
              <w:pStyle w:val="TableContents"/>
              <w:rPr/>
            </w:pPr>
            <w:r>
              <w:rPr/>
              <w:t>​</w:t>
            </w:r>
          </w:p>
          <w:p>
            <w:pPr>
              <w:pStyle w:val="TableContents"/>
              <w:spacing w:before="0" w:after="283"/>
              <w:rPr/>
            </w:pPr>
            <w:r>
              <w:rPr/>
              <w:t>​</w:t>
            </w:r>
          </w:p>
        </w:tc>
        <w:tc>
          <w:tcPr>
            <w:tcW w:w="6740" w:type="dxa"/>
            <w:tcBorders/>
            <w:shd w:fill="auto" w:val="clear"/>
          </w:tcPr>
          <w:p>
            <w:pPr>
              <w:pStyle w:val="TableContents"/>
              <w:jc w:val="right"/>
              <w:rPr/>
            </w:pPr>
            <w:r>
              <w:rPr/>
              <w:t>​</w:t>
            </w:r>
          </w:p>
          <w:p>
            <w:pPr>
              <w:pStyle w:val="TableContents"/>
              <w:spacing w:before="0" w:after="283"/>
              <w:jc w:val="right"/>
              <w:rPr/>
            </w:pPr>
            <w:r>
              <w:rPr/>
              <w:t> </w:t>
            </w:r>
          </w:p>
        </w:tc>
      </w:tr>
    </w:tbl>
    <w:p>
      <w:pPr>
        <w:pStyle w:val="TextBody"/>
        <w:rPr/>
      </w:pPr>
      <w:r>
        <w:rPr>
          <w:color w:val="000000"/>
        </w:rPr>
        <w:commentReference w:id="14"/>
      </w:r>
      <w:r>
        <w:rPr>
          <w:color w:val="000000"/>
        </w:rPr>
        <w:t>​</w:t>
      </w:r>
      <w:r>
        <w:rPr/>
        <w:t xml:space="preserve"> </w:t>
      </w:r>
    </w:p>
    <w:p>
      <w:pPr>
        <w:pStyle w:val="TextBody"/>
        <w:rPr>
          <w:rFonts w:ascii="arial" w:hAnsi="arial"/>
          <w:sz w:val="20"/>
        </w:rPr>
      </w:pPr>
      <w:r>
        <w:rPr>
          <w:rFonts w:ascii="arial" w:hAnsi="arial"/>
          <w:sz w:val="20"/>
        </w:rPr>
        <w:t xml:space="preserve">including our participation in the "National Wreaths Across America" and the "Toys for Tots" programs to provide presents to children across the United States, food donations to soup kitchens in Uruguay and provide "Happiness Kits" to underprivileged children in India. </w:t>
      </w:r>
    </w:p>
    <w:p>
      <w:pPr>
        <w:pStyle w:val="TextBody"/>
        <w:rPr>
          <w:rFonts w:ascii="arial" w:hAnsi="arial"/>
          <w:sz w:val="20"/>
        </w:rPr>
      </w:pPr>
      <w:r>
        <w:rPr>
          <w:rFonts w:ascii="arial" w:hAnsi="arial"/>
          <w:sz w:val="20"/>
        </w:rPr>
        <w:t xml:space="preserve">We also sought to play our part in addressing climate change. During 2020, we continued with programs to reduce waste, paper, energy and water consumption. In 2021 we intend to continue to assess our real estate portfolio, telecommuting and transportation programs to further reduce our impact on the environment, even as employees potentially begin to return from remote work arrangements. In 2020, our Board of Directors approved the Company's Environmental Policy available at </w:t>
      </w:r>
      <w:r>
        <w:rPr>
          <w:rFonts w:ascii="arial" w:hAnsi="arial"/>
          <w:sz w:val="20"/>
          <w:u w:val="single"/>
        </w:rPr>
        <w:t>http://www.altisource.com/environmental-policy</w:t>
      </w:r>
      <w:r>
        <w:rPr>
          <w:rFonts w:ascii="arial" w:hAnsi="arial"/>
          <w:sz w:val="20"/>
        </w:rPr>
        <w:t xml:space="preserve">. In 2021, our Board began receiving formal updates on our corporate responsibility initiatives and sustainability performance. </w:t>
      </w:r>
    </w:p>
    <w:p>
      <w:pPr>
        <w:pStyle w:val="TextBody"/>
        <w:rPr>
          <w:rFonts w:ascii="arial" w:hAnsi="arial"/>
          <w:sz w:val="20"/>
        </w:rPr>
      </w:pPr>
      <w:r>
        <w:rPr>
          <w:rFonts w:ascii="arial" w:hAnsi="arial"/>
          <w:sz w:val="20"/>
        </w:rPr>
        <w:t xml:space="preserve">Given the nature of our business, our global workforce consists of various diverse talent groups. The majority of our employees support our default and origination businesses. We have a significant number of technology employees developing and maintaining our technology-enabled solutions. In the United States, in addition to supporting operations, a number of our employees fulfill roles that require professional licenses and work in the product, sales and marketing, and corporate functions. The India workforce is primarily comprised of teams supporting operations, technology, and corporate functions, while Uruguay supports several of the corporate functions. The executive management team is mostly based out of Luxembourg, our headquarters. </w:t>
      </w:r>
    </w:p>
    <w:p>
      <w:pPr>
        <w:pStyle w:val="TextBody"/>
        <w:rPr>
          <w:rFonts w:ascii="arial" w:hAnsi="arial"/>
          <w:sz w:val="20"/>
        </w:rPr>
      </w:pPr>
      <w:r>
        <w:rPr>
          <w:rFonts w:ascii="arial" w:hAnsi="arial"/>
          <w:sz w:val="20"/>
        </w:rPr>
        <w:t xml:space="preserve">As of December 31, 2020, we employed 2,726 employees across four continents: </w:t>
      </w:r>
    </w:p>
    <w:p>
      <w:pPr>
        <w:pStyle w:val="TextBody"/>
        <w:jc w:val="center"/>
        <w:rPr/>
      </w:pPr>
      <w:r>
        <w:rPr/>
        <w:drawing>
          <wp:inline distT="0" distB="0" distL="0" distR="0">
            <wp:extent cx="6353175" cy="14573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6353175" cy="1457325"/>
                    </a:xfrm>
                    <a:prstGeom prst="rect">
                      <a:avLst/>
                    </a:prstGeom>
                  </pic:spPr>
                </pic:pic>
              </a:graphicData>
            </a:graphic>
          </wp:inline>
        </w:drawing>
      </w:r>
      <w:r>
        <w:rPr/>
        <w:t xml:space="preserve"> </w:t>
      </w:r>
    </w:p>
    <w:p>
      <w:pPr>
        <w:pStyle w:val="TextBody"/>
        <w:rPr>
          <w:rFonts w:ascii="arial" w:hAnsi="arial"/>
          <w:sz w:val="20"/>
        </w:rPr>
      </w:pPr>
      <w:r>
        <w:rPr>
          <w:rFonts w:ascii="arial" w:hAnsi="arial"/>
          <w:sz w:val="20"/>
        </w:rPr>
        <w:t xml:space="preserve">In the United States, 50% of the workforce self-identifies as members of an ethnic minority group. We believe that our globally diverse, inclusive, and collaborative workforce makes us a more innovative and creative company. We are an equal opportunity employer and prohibit any form of unlawful discrimination or harassment. At Altisource, everyone is valued and appreciated for their distinct contributions to the growth and sustainability of our business. </w:t>
      </w:r>
    </w:p>
    <w:p>
      <w:pPr>
        <w:pStyle w:val="TextBody"/>
        <w:rPr>
          <w:rFonts w:ascii="arial" w:hAnsi="arial"/>
          <w:sz w:val="20"/>
        </w:rPr>
      </w:pPr>
      <w:r>
        <w:rPr>
          <w:rFonts w:ascii="arial" w:hAnsi="arial"/>
          <w:sz w:val="20"/>
        </w:rPr>
        <w:t xml:space="preserve">We undertook several workforce related initiatives in 2020 in response to declines in our default-related businesses. Our cost reduction measures included workforce reductions across our operations. As of December 31, 2020, our workforce was 17% lower than our workforce as of January 1, 2020. In the first quarter of 2021, we undertook further workforce reductions, including the elimination of certain executive positions, and reorganized certain of our businesses to reduce costs in response to the impact of the announced extension of the COVID-19 pandemic related measures to provide financial support to borrowers described above. </w:t>
      </w:r>
    </w:p>
    <w:p>
      <w:pPr>
        <w:pStyle w:val="TextBody"/>
        <w:ind w:left="200" w:right="0" w:hanging="200"/>
        <w:rPr>
          <w:rFonts w:ascii="arial" w:hAnsi="arial"/>
          <w:sz w:val="20"/>
        </w:rPr>
      </w:pPr>
      <w:r>
        <w:rPr>
          <w:rFonts w:ascii="arial" w:hAnsi="arial"/>
          <w:sz w:val="20"/>
          <w:u w:val="single"/>
        </w:rPr>
        <w:t>Shareholder Engagement</w:t>
      </w:r>
      <w:r>
        <w:rPr>
          <w:rFonts w:ascii="arial" w:hAnsi="arial"/>
          <w:sz w:val="20"/>
        </w:rPr>
        <w:t xml:space="preserve"> </w:t>
      </w:r>
    </w:p>
    <w:p>
      <w:pPr>
        <w:pStyle w:val="TextBody"/>
        <w:rPr>
          <w:rFonts w:ascii="arial" w:hAnsi="arial"/>
          <w:sz w:val="20"/>
        </w:rPr>
      </w:pPr>
      <w:r>
        <w:rPr>
          <w:rFonts w:ascii="arial" w:hAnsi="arial"/>
          <w:sz w:val="20"/>
        </w:rPr>
        <w:t xml:space="preserve">We seek to engage with our shareholders and analysts through our quarterly earnings calls, which typically follow our quarterly financial filings with the Securities and Exchange Commission ("SEC"). Additionally, during 2020, we periodically met with analysts and shareholders. We met with shareholders that collectively represent an estimated 65% of our outstanding shares, to discuss a variety of Company matters </w:t>
      </w:r>
    </w:p>
    <w:p>
      <w:pPr>
        <w:pStyle w:val="TextBody"/>
        <w:jc w:val="center"/>
        <w:rPr>
          <w:rFonts w:ascii="arial" w:hAnsi="arial"/>
          <w:sz w:val="20"/>
        </w:rPr>
      </w:pPr>
      <w:r>
        <w:rPr>
          <w:rFonts w:ascii="arial" w:hAnsi="arial"/>
          <w:sz w:val="20"/>
        </w:rPr>
        <w:t>8</w:t>
      </w:r>
    </w:p>
    <w:p>
      <w:pPr>
        <w:pStyle w:val="HorizontalLine"/>
        <w:pBdr>
          <w:bottom w:val="single" w:sz="20" w:space="0" w:color="808080"/>
        </w:pBdr>
        <w:rPr/>
      </w:pPr>
      <w:r>
        <w:rPr/>
      </w:r>
      <w:r>
        <w:br w:type="page"/>
      </w:r>
    </w:p>
    <w:p>
      <w:pPr>
        <w:pStyle w:val="TextBody"/>
        <w:rPr/>
      </w:pPr>
      <w:hyperlink w:anchor="bg45301a_main_toc">
        <w:bookmarkStart w:id="20" w:name="page_da45301_1_9"/>
        <w:bookmarkEnd w:id="20"/>
        <w:r>
          <w:rPr>
            <w:rStyle w:val="InternetLink"/>
            <w:rFonts w:ascii="arial" w:hAnsi="arial"/>
            <w:sz w:val="20"/>
          </w:rPr>
          <w:t>Table of Contents</w:t>
        </w:r>
      </w:hyperlink>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3366"/>
        <w:gridCol w:w="101"/>
        <w:gridCol w:w="6738"/>
      </w:tblGrid>
      <w:tr>
        <w:trPr/>
        <w:tc>
          <w:tcPr>
            <w:tcW w:w="3366" w:type="dxa"/>
            <w:tcBorders/>
            <w:shd w:fill="auto" w:val="clear"/>
            <w:vAlign w:val="center"/>
          </w:tcPr>
          <w:p>
            <w:pPr>
              <w:pStyle w:val="TableContents"/>
              <w:spacing w:before="0" w:after="283"/>
              <w:rPr/>
            </w:pPr>
            <w:r>
              <w:rPr/>
              <w:commentReference w:id="15"/>
            </w:r>
            <w:r>
              <w:rPr/>
              <w:commentReference w:id="16"/>
            </w:r>
            <w:r>
              <w:rPr/>
              <w:commentReference w:id="17"/>
            </w:r>
            <w:r>
              <w:rPr/>
              <w:t>​</w:t>
            </w:r>
          </w:p>
        </w:tc>
        <w:tc>
          <w:tcPr>
            <w:tcW w:w="101" w:type="dxa"/>
            <w:tcBorders/>
            <w:shd w:fill="auto" w:val="clear"/>
            <w:vAlign w:val="center"/>
          </w:tcPr>
          <w:p>
            <w:pPr>
              <w:pStyle w:val="TableContents"/>
              <w:spacing w:before="0" w:after="283"/>
              <w:rPr/>
            </w:pPr>
            <w:r>
              <w:rPr/>
              <w:t>​</w:t>
            </w:r>
          </w:p>
        </w:tc>
        <w:tc>
          <w:tcPr>
            <w:tcW w:w="6738" w:type="dxa"/>
            <w:tcBorders/>
            <w:shd w:fill="auto" w:val="clear"/>
            <w:vAlign w:val="center"/>
          </w:tcPr>
          <w:p>
            <w:pPr>
              <w:pStyle w:val="TableContents"/>
              <w:spacing w:before="0" w:after="283"/>
              <w:rPr/>
            </w:pPr>
            <w:r>
              <w:rPr/>
              <w:t>​</w:t>
            </w:r>
            <w:r>
              <w:rPr>
                <w:rFonts w:eastAsia="arial" w:cs="arial" w:ascii="arial" w:hAnsi="arial"/>
              </w:rPr>
              <w:commentReference w:id="18"/>
            </w:r>
          </w:p>
        </w:tc>
      </w:tr>
      <w:tr>
        <w:trPr/>
        <w:tc>
          <w:tcPr>
            <w:tcW w:w="3366"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8" w:type="dxa"/>
            <w:tcBorders/>
            <w:shd w:fill="auto" w:val="clear"/>
          </w:tcPr>
          <w:p>
            <w:pPr>
              <w:pStyle w:val="TableContents"/>
              <w:spacing w:before="0" w:after="283"/>
              <w:jc w:val="right"/>
              <w:rPr/>
            </w:pPr>
            <w:r>
              <w:rPr/>
              <w:t>​</w:t>
            </w:r>
          </w:p>
        </w:tc>
      </w:tr>
    </w:tbl>
    <w:p>
      <w:pPr>
        <w:pStyle w:val="TextBody"/>
        <w:rPr/>
      </w:pPr>
      <w:r>
        <w:rPr>
          <w:color w:val="000000"/>
        </w:rPr>
        <w:commentReference w:id="19"/>
      </w:r>
      <w:r>
        <w:rPr>
          <w:color w:val="000000"/>
        </w:rPr>
        <w:t>​</w:t>
      </w:r>
      <w:r>
        <w:rPr/>
        <w:t xml:space="preserve"> </w:t>
      </w:r>
    </w:p>
    <w:p>
      <w:pPr>
        <w:pStyle w:val="TextBody"/>
        <w:rPr>
          <w:rFonts w:ascii="arial" w:hAnsi="arial"/>
          <w:sz w:val="20"/>
        </w:rPr>
      </w:pPr>
      <w:r>
        <w:rPr>
          <w:rFonts w:ascii="arial" w:hAnsi="arial"/>
          <w:sz w:val="20"/>
        </w:rPr>
        <w:t xml:space="preserve">including strategy, business performance and operations, compensation practices, Board diversity and capital structure. </w:t>
      </w:r>
    </w:p>
    <w:p>
      <w:pPr>
        <w:pStyle w:val="TextBody"/>
        <w:ind w:left="200" w:right="0" w:hanging="200"/>
        <w:rPr>
          <w:rFonts w:ascii="arial" w:hAnsi="arial"/>
          <w:sz w:val="20"/>
        </w:rPr>
      </w:pPr>
      <w:r>
        <w:rPr>
          <w:rFonts w:ascii="arial" w:hAnsi="arial"/>
          <w:sz w:val="20"/>
          <w:u w:val="single"/>
        </w:rPr>
        <w:t>Board Composition and Experience</w:t>
      </w:r>
      <w:r>
        <w:rPr>
          <w:rFonts w:ascii="arial" w:hAnsi="arial"/>
          <w:sz w:val="20"/>
        </w:rPr>
        <w:t xml:space="preserve"> </w:t>
      </w:r>
    </w:p>
    <w:p>
      <w:pPr>
        <w:pStyle w:val="TextBody"/>
        <w:rPr>
          <w:rFonts w:ascii="arial" w:hAnsi="arial"/>
          <w:sz w:val="20"/>
        </w:rPr>
      </w:pPr>
      <w:r>
        <w:rPr>
          <w:rFonts w:ascii="arial" w:hAnsi="arial"/>
          <w:sz w:val="20"/>
        </w:rPr>
        <w:t xml:space="preserve">Our Board and Nomination/Governance Committee are committed to ensuring that the Board is comprised of directors who collectively provide a significant breadth of experience, the ability to effectively chart the strategic course of the Company, represent the interests of shareholders and reflect our corporate values of integrity and ethical conduct. </w:t>
      </w:r>
    </w:p>
    <w:p>
      <w:pPr>
        <w:pStyle w:val="TextBody"/>
        <w:rPr>
          <w:rFonts w:ascii="arial" w:hAnsi="arial"/>
          <w:sz w:val="20"/>
        </w:rPr>
      </w:pPr>
      <w:r>
        <w:rPr>
          <w:rFonts w:ascii="arial" w:hAnsi="arial"/>
          <w:sz w:val="20"/>
        </w:rPr>
        <w:t xml:space="preserve">All of our current directors have been nominated by the Board for reelection at the Annual Meeting. </w:t>
      </w:r>
    </w:p>
    <w:p>
      <w:pPr>
        <w:pStyle w:val="TextBody"/>
        <w:ind w:left="200" w:right="0" w:hanging="200"/>
        <w:rPr>
          <w:rFonts w:ascii="arial" w:hAnsi="arial"/>
          <w:sz w:val="20"/>
        </w:rPr>
      </w:pPr>
      <w:r>
        <w:rPr>
          <w:rFonts w:ascii="arial" w:hAnsi="arial"/>
          <w:sz w:val="20"/>
        </w:rPr>
        <w:t xml:space="preserve">Board skills and expertise: </w:t>
      </w:r>
    </w:p>
    <w:p>
      <w:pPr>
        <w:pStyle w:val="TextBody"/>
        <w:jc w:val="center"/>
        <w:rPr/>
      </w:pPr>
      <w:r>
        <w:rPr/>
        <w:drawing>
          <wp:inline distT="0" distB="0" distL="0" distR="0">
            <wp:extent cx="4324350" cy="16383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4324350" cy="1638300"/>
                    </a:xfrm>
                    <a:prstGeom prst="rect">
                      <a:avLst/>
                    </a:prstGeom>
                  </pic:spPr>
                </pic:pic>
              </a:graphicData>
            </a:graphic>
          </wp:inline>
        </w:drawing>
      </w:r>
      <w:r>
        <w:rPr/>
        <w:t xml:space="preserve"> </w:t>
      </w:r>
    </w:p>
    <w:p>
      <w:pPr>
        <w:pStyle w:val="TextBody"/>
        <w:rPr>
          <w:rFonts w:ascii="arial" w:hAnsi="arial"/>
          <w:sz w:val="20"/>
        </w:rPr>
      </w:pPr>
      <w:r>
        <w:rPr>
          <w:rFonts w:ascii="arial" w:hAnsi="arial"/>
          <w:sz w:val="20"/>
        </w:rPr>
        <w:t xml:space="preserve">Our Board also believes that having directors with a mix of tenure helps to maintain and leverage institutional knowledge while providing different experiences and perspectives. </w:t>
      </w:r>
    </w:p>
    <w:p>
      <w:pPr>
        <w:pStyle w:val="TextBody"/>
        <w:ind w:left="200" w:right="0" w:hanging="200"/>
        <w:rPr>
          <w:rFonts w:ascii="arial" w:hAnsi="arial"/>
          <w:sz w:val="20"/>
        </w:rPr>
      </w:pPr>
      <w:r>
        <w:rPr>
          <w:rFonts w:ascii="arial" w:hAnsi="arial"/>
          <w:sz w:val="20"/>
        </w:rPr>
        <w:t xml:space="preserve">Board tenure: </w:t>
      </w:r>
    </w:p>
    <w:p>
      <w:pPr>
        <w:pStyle w:val="TextBody"/>
        <w:jc w:val="center"/>
        <w:rPr/>
      </w:pPr>
      <w:r>
        <w:rPr/>
        <w:drawing>
          <wp:inline distT="0" distB="0" distL="0" distR="0">
            <wp:extent cx="2838450" cy="19240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838450" cy="1924050"/>
                    </a:xfrm>
                    <a:prstGeom prst="rect">
                      <a:avLst/>
                    </a:prstGeom>
                  </pic:spPr>
                </pic:pic>
              </a:graphicData>
            </a:graphic>
          </wp:inline>
        </w:drawing>
      </w:r>
      <w:r>
        <w:rPr/>
        <w:t xml:space="preserve"> </w:t>
      </w:r>
    </w:p>
    <w:p>
      <w:pPr>
        <w:pStyle w:val="TextBody"/>
        <w:rPr>
          <w:rFonts w:ascii="arial" w:hAnsi="arial"/>
          <w:sz w:val="20"/>
        </w:rPr>
      </w:pPr>
      <w:r>
        <w:rPr>
          <w:rFonts w:ascii="arial" w:hAnsi="arial"/>
          <w:sz w:val="20"/>
        </w:rPr>
        <w:t xml:space="preserve">Board diversity has been an area of focus during 2020. Our Board and Nomination/Governance Committee addressed this subject at several meetings during the course of the year and undertook efforts to recruit a diverse director candidate with relevant experience in the mortgage industry, and this effort is ongoing into 2021. </w:t>
      </w:r>
    </w:p>
    <w:p>
      <w:pPr>
        <w:pStyle w:val="TextBody"/>
        <w:jc w:val="center"/>
        <w:rPr>
          <w:rFonts w:ascii="arial" w:hAnsi="arial"/>
          <w:sz w:val="20"/>
        </w:rPr>
      </w:pPr>
      <w:r>
        <w:rPr>
          <w:rFonts w:ascii="arial" w:hAnsi="arial"/>
          <w:sz w:val="20"/>
        </w:rPr>
        <w:t>9</w:t>
      </w:r>
    </w:p>
    <w:p>
      <w:pPr>
        <w:pStyle w:val="HorizontalLine"/>
        <w:pBdr>
          <w:bottom w:val="single" w:sz="20" w:space="0" w:color="808080"/>
        </w:pBdr>
        <w:rPr/>
      </w:pPr>
      <w:r>
        <w:rPr/>
      </w:r>
      <w:r>
        <w:br w:type="page"/>
      </w:r>
    </w:p>
    <w:p>
      <w:pPr>
        <w:pStyle w:val="TextBody"/>
        <w:rPr/>
      </w:pPr>
      <w:hyperlink w:anchor="bg45301a_main_toc">
        <w:bookmarkStart w:id="21" w:name="page_da45301_1_10"/>
        <w:bookmarkEnd w:id="21"/>
        <w:r>
          <w:rPr>
            <w:rStyle w:val="InternetLink"/>
            <w:rFonts w:ascii="arial" w:hAnsi="arial"/>
            <w:sz w:val="20"/>
          </w:rPr>
          <w:t>Table of Contents</w:t>
        </w:r>
      </w:hyperlink>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3367"/>
        <w:gridCol w:w="98"/>
        <w:gridCol w:w="6740"/>
      </w:tblGrid>
      <w:tr>
        <w:trPr/>
        <w:tc>
          <w:tcPr>
            <w:tcW w:w="3367" w:type="dxa"/>
            <w:tcBorders/>
            <w:shd w:fill="auto" w:val="clear"/>
            <w:vAlign w:val="center"/>
          </w:tcPr>
          <w:p>
            <w:pPr>
              <w:pStyle w:val="TableContents"/>
              <w:spacing w:before="0" w:after="283"/>
              <w:rPr/>
            </w:pPr>
            <w:r>
              <w:rPr/>
              <w:commentReference w:id="20"/>
            </w:r>
            <w:r>
              <w:rPr/>
              <w:commentReference w:id="21"/>
            </w:r>
            <w:r>
              <w:rPr/>
              <w:commentReference w:id="22"/>
            </w:r>
            <w:r>
              <w:rPr/>
              <w:t>​</w:t>
            </w:r>
          </w:p>
        </w:tc>
        <w:tc>
          <w:tcPr>
            <w:tcW w:w="98" w:type="dxa"/>
            <w:tcBorders/>
            <w:shd w:fill="auto" w:val="clear"/>
            <w:vAlign w:val="center"/>
          </w:tcPr>
          <w:p>
            <w:pPr>
              <w:pStyle w:val="TableContents"/>
              <w:spacing w:before="0" w:after="283"/>
              <w:rPr/>
            </w:pPr>
            <w:r>
              <w:rPr/>
              <w:t>​</w:t>
            </w:r>
          </w:p>
        </w:tc>
        <w:tc>
          <w:tcPr>
            <w:tcW w:w="6740" w:type="dxa"/>
            <w:tcBorders/>
            <w:shd w:fill="auto" w:val="clear"/>
            <w:vAlign w:val="center"/>
          </w:tcPr>
          <w:p>
            <w:pPr>
              <w:pStyle w:val="TableContents"/>
              <w:spacing w:before="0" w:after="283"/>
              <w:rPr/>
            </w:pPr>
            <w:r>
              <w:rPr/>
              <w:t>​</w:t>
            </w:r>
            <w:r>
              <w:rPr>
                <w:rFonts w:eastAsia="arial" w:cs="arial" w:ascii="arial" w:hAnsi="arial"/>
              </w:rPr>
              <w:commentReference w:id="23"/>
            </w:r>
          </w:p>
        </w:tc>
      </w:tr>
      <w:tr>
        <w:trPr/>
        <w:tc>
          <w:tcPr>
            <w:tcW w:w="3367" w:type="dxa"/>
            <w:tcBorders/>
            <w:shd w:fill="auto" w:val="clear"/>
          </w:tcPr>
          <w:p>
            <w:pPr>
              <w:pStyle w:val="TableContents"/>
              <w:rPr/>
            </w:pPr>
            <w:r>
              <w:rPr/>
              <w:t>​</w:t>
            </w:r>
          </w:p>
          <w:p>
            <w:pPr>
              <w:pStyle w:val="TableContents"/>
              <w:spacing w:before="0" w:after="283"/>
              <w:rPr/>
            </w:pPr>
            <w:r>
              <w:rPr/>
              <w:t> </w:t>
            </w:r>
          </w:p>
        </w:tc>
        <w:tc>
          <w:tcPr>
            <w:tcW w:w="98" w:type="dxa"/>
            <w:tcBorders/>
            <w:shd w:fill="auto" w:val="clear"/>
          </w:tcPr>
          <w:p>
            <w:pPr>
              <w:pStyle w:val="TableContents"/>
              <w:rPr/>
            </w:pPr>
            <w:r>
              <w:rPr/>
              <w:t>​</w:t>
            </w:r>
          </w:p>
          <w:p>
            <w:pPr>
              <w:pStyle w:val="TableContents"/>
              <w:spacing w:before="0" w:after="283"/>
              <w:rPr/>
            </w:pPr>
            <w:r>
              <w:rPr/>
              <w:t>​</w:t>
            </w:r>
          </w:p>
        </w:tc>
        <w:tc>
          <w:tcPr>
            <w:tcW w:w="6740" w:type="dxa"/>
            <w:tcBorders/>
            <w:shd w:fill="auto" w:val="clear"/>
          </w:tcPr>
          <w:p>
            <w:pPr>
              <w:pStyle w:val="TableContents"/>
              <w:jc w:val="right"/>
              <w:rPr/>
            </w:pPr>
            <w:r>
              <w:rPr/>
              <w:t>​</w:t>
            </w:r>
          </w:p>
          <w:p>
            <w:pPr>
              <w:pStyle w:val="TableContents"/>
              <w:spacing w:before="0" w:after="283"/>
              <w:jc w:val="right"/>
              <w:rPr/>
            </w:pPr>
            <w:r>
              <w:rPr/>
              <w:t> </w:t>
            </w:r>
          </w:p>
        </w:tc>
      </w:tr>
    </w:tbl>
    <w:p>
      <w:pPr>
        <w:pStyle w:val="TextBody"/>
        <w:rPr/>
      </w:pPr>
      <w:r>
        <w:rPr>
          <w:color w:val="000000"/>
        </w:rPr>
        <w:commentReference w:id="24"/>
      </w:r>
      <w:r>
        <w:rPr>
          <w:color w:val="000000"/>
        </w:rPr>
        <w:t>​</w:t>
      </w:r>
      <w:r>
        <w:rPr/>
        <w:t xml:space="preserve"> </w:t>
      </w:r>
    </w:p>
    <w:p>
      <w:pPr>
        <w:pStyle w:val="TextBody"/>
        <w:ind w:left="200" w:right="0" w:hanging="200"/>
        <w:rPr>
          <w:rFonts w:ascii="arial" w:hAnsi="arial"/>
          <w:sz w:val="20"/>
        </w:rPr>
      </w:pPr>
      <w:r>
        <w:rPr>
          <w:rFonts w:ascii="arial" w:hAnsi="arial"/>
          <w:sz w:val="20"/>
          <w:u w:val="single"/>
        </w:rPr>
        <w:t>Corporate Governance Practices</w:t>
      </w:r>
      <w:r>
        <w:rPr>
          <w:rFonts w:ascii="arial" w:hAnsi="arial"/>
          <w:sz w:val="20"/>
        </w:rPr>
        <w:t xml:space="preserve"> </w:t>
      </w:r>
    </w:p>
    <w:p>
      <w:pPr>
        <w:pStyle w:val="TextBody"/>
        <w:rPr/>
      </w:pPr>
      <w:r>
        <w:rPr/>
        <w:drawing>
          <wp:inline distT="0" distB="0" distL="0" distR="0">
            <wp:extent cx="95250" cy="1143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5250" cy="114300"/>
                    </a:xfrm>
                    <a:prstGeom prst="rect">
                      <a:avLst/>
                    </a:prstGeom>
                  </pic:spPr>
                </pic:pic>
              </a:graphicData>
            </a:graphic>
          </wp:inline>
        </w:drawing>
      </w:r>
      <w:r>
        <w:rPr/>
        <w:t xml:space="preserve"> </w:t>
      </w:r>
      <w:r>
        <w:rPr>
          <w:rFonts w:ascii="arial" w:hAnsi="arial"/>
          <w:sz w:val="20"/>
        </w:rPr>
        <w:t xml:space="preserve">Annual election of directors </w:t>
      </w:r>
    </w:p>
    <w:p>
      <w:pPr>
        <w:pStyle w:val="TextBody"/>
        <w:rPr/>
      </w:pPr>
      <w:r>
        <w:rPr/>
        <w:drawing>
          <wp:inline distT="0" distB="0" distL="0" distR="0">
            <wp:extent cx="95250" cy="1143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5250" cy="114300"/>
                    </a:xfrm>
                    <a:prstGeom prst="rect">
                      <a:avLst/>
                    </a:prstGeom>
                  </pic:spPr>
                </pic:pic>
              </a:graphicData>
            </a:graphic>
          </wp:inline>
        </w:drawing>
      </w:r>
      <w:r>
        <w:rPr/>
        <w:t xml:space="preserve"> </w:t>
      </w:r>
      <w:r>
        <w:rPr>
          <w:rFonts w:ascii="arial" w:hAnsi="arial"/>
          <w:sz w:val="20"/>
        </w:rPr>
        <w:t xml:space="preserve">Majority of independent directors </w:t>
      </w:r>
    </w:p>
    <w:p>
      <w:pPr>
        <w:pStyle w:val="TextBody"/>
        <w:rPr/>
      </w:pPr>
      <w:r>
        <w:rPr/>
        <w:drawing>
          <wp:inline distT="0" distB="0" distL="0" distR="0">
            <wp:extent cx="95250" cy="1143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5250" cy="114300"/>
                    </a:xfrm>
                    <a:prstGeom prst="rect">
                      <a:avLst/>
                    </a:prstGeom>
                  </pic:spPr>
                </pic:pic>
              </a:graphicData>
            </a:graphic>
          </wp:inline>
        </w:drawing>
      </w:r>
      <w:r>
        <w:rPr/>
        <w:t xml:space="preserve"> </w:t>
      </w:r>
      <w:r>
        <w:rPr>
          <w:rFonts w:ascii="arial" w:hAnsi="arial"/>
          <w:sz w:val="20"/>
        </w:rPr>
        <w:t xml:space="preserve">Active shareholder engagement </w:t>
      </w:r>
    </w:p>
    <w:p>
      <w:pPr>
        <w:pStyle w:val="TextBody"/>
        <w:rPr/>
      </w:pPr>
      <w:r>
        <w:rPr/>
        <w:drawing>
          <wp:inline distT="0" distB="0" distL="0" distR="0">
            <wp:extent cx="95250" cy="1143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5250" cy="114300"/>
                    </a:xfrm>
                    <a:prstGeom prst="rect">
                      <a:avLst/>
                    </a:prstGeom>
                  </pic:spPr>
                </pic:pic>
              </a:graphicData>
            </a:graphic>
          </wp:inline>
        </w:drawing>
      </w:r>
      <w:r>
        <w:rPr/>
        <w:t xml:space="preserve"> </w:t>
      </w:r>
      <w:r>
        <w:rPr>
          <w:rFonts w:ascii="arial" w:hAnsi="arial"/>
          <w:sz w:val="20"/>
        </w:rPr>
        <w:t xml:space="preserve">Shareholder meetings can be called by shareholders owning at least 10% of our share capital </w:t>
      </w:r>
    </w:p>
    <w:p>
      <w:pPr>
        <w:pStyle w:val="TextBody"/>
        <w:rPr/>
      </w:pPr>
      <w:r>
        <w:rPr/>
        <w:drawing>
          <wp:inline distT="0" distB="0" distL="0" distR="0">
            <wp:extent cx="95250" cy="1143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5250" cy="114300"/>
                    </a:xfrm>
                    <a:prstGeom prst="rect">
                      <a:avLst/>
                    </a:prstGeom>
                  </pic:spPr>
                </pic:pic>
              </a:graphicData>
            </a:graphic>
          </wp:inline>
        </w:drawing>
      </w:r>
      <w:r>
        <w:rPr/>
        <w:t xml:space="preserve"> </w:t>
      </w:r>
      <w:r>
        <w:rPr>
          <w:rFonts w:ascii="arial" w:hAnsi="arial"/>
          <w:sz w:val="20"/>
        </w:rPr>
        <w:t xml:space="preserve">Share ownership requirements for non-management Directors and the Chief Executive Officer </w:t>
      </w:r>
    </w:p>
    <w:p>
      <w:pPr>
        <w:pStyle w:val="TextBody"/>
        <w:rPr/>
      </w:pPr>
      <w:r>
        <w:rPr/>
        <w:drawing>
          <wp:inline distT="0" distB="0" distL="0" distR="0">
            <wp:extent cx="95250" cy="1143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5250" cy="114300"/>
                    </a:xfrm>
                    <a:prstGeom prst="rect">
                      <a:avLst/>
                    </a:prstGeom>
                  </pic:spPr>
                </pic:pic>
              </a:graphicData>
            </a:graphic>
          </wp:inline>
        </w:drawing>
      </w:r>
      <w:r>
        <w:rPr/>
        <w:t xml:space="preserve"> </w:t>
      </w:r>
      <w:r>
        <w:rPr>
          <w:rFonts w:ascii="arial" w:hAnsi="arial"/>
          <w:sz w:val="20"/>
        </w:rPr>
        <w:t xml:space="preserve">Annual Board and Committee self-evaluations </w:t>
      </w:r>
    </w:p>
    <w:p>
      <w:pPr>
        <w:pStyle w:val="TextBody"/>
        <w:rPr/>
      </w:pPr>
      <w:r>
        <w:rPr/>
        <w:drawing>
          <wp:inline distT="0" distB="0" distL="0" distR="0">
            <wp:extent cx="95250" cy="1143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5250" cy="114300"/>
                    </a:xfrm>
                    <a:prstGeom prst="rect">
                      <a:avLst/>
                    </a:prstGeom>
                  </pic:spPr>
                </pic:pic>
              </a:graphicData>
            </a:graphic>
          </wp:inline>
        </w:drawing>
      </w:r>
      <w:r>
        <w:rPr/>
        <w:t xml:space="preserve"> </w:t>
      </w:r>
      <w:r>
        <w:rPr>
          <w:rFonts w:ascii="arial" w:hAnsi="arial"/>
          <w:sz w:val="20"/>
        </w:rPr>
        <w:t xml:space="preserve">Regular executive sessions of independent directors </w:t>
      </w:r>
    </w:p>
    <w:p>
      <w:pPr>
        <w:pStyle w:val="TextBody"/>
        <w:rPr/>
      </w:pPr>
      <w:r>
        <w:rPr/>
        <w:drawing>
          <wp:inline distT="0" distB="0" distL="0" distR="0">
            <wp:extent cx="95250" cy="1143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5250" cy="114300"/>
                    </a:xfrm>
                    <a:prstGeom prst="rect">
                      <a:avLst/>
                    </a:prstGeom>
                  </pic:spPr>
                </pic:pic>
              </a:graphicData>
            </a:graphic>
          </wp:inline>
        </w:drawing>
      </w:r>
      <w:r>
        <w:rPr/>
        <w:t xml:space="preserve"> </w:t>
      </w:r>
      <w:r>
        <w:rPr>
          <w:rFonts w:ascii="arial" w:hAnsi="arial"/>
          <w:sz w:val="20"/>
        </w:rPr>
        <w:t xml:space="preserve">Regular executive sessions of the Audit Committee members with the Company's internal auditor </w:t>
      </w:r>
    </w:p>
    <w:p>
      <w:pPr>
        <w:pStyle w:val="TextBody"/>
        <w:rPr/>
      </w:pPr>
      <w:r>
        <w:rPr/>
        <w:drawing>
          <wp:inline distT="0" distB="0" distL="0" distR="0">
            <wp:extent cx="95250" cy="1143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5250" cy="114300"/>
                    </a:xfrm>
                    <a:prstGeom prst="rect">
                      <a:avLst/>
                    </a:prstGeom>
                  </pic:spPr>
                </pic:pic>
              </a:graphicData>
            </a:graphic>
          </wp:inline>
        </w:drawing>
      </w:r>
      <w:r>
        <w:rPr/>
        <w:t xml:space="preserve"> </w:t>
      </w:r>
      <w:r>
        <w:rPr>
          <w:rFonts w:ascii="arial" w:hAnsi="arial"/>
          <w:sz w:val="20"/>
        </w:rPr>
        <w:t xml:space="preserve">Regular executive sessions of the Audit Committee members with the Company's external auditor </w:t>
      </w:r>
    </w:p>
    <w:p>
      <w:pPr>
        <w:pStyle w:val="TextBody"/>
        <w:rPr/>
      </w:pPr>
      <w:r>
        <w:rPr/>
        <w:drawing>
          <wp:inline distT="0" distB="0" distL="0" distR="0">
            <wp:extent cx="95250" cy="1143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5250" cy="114300"/>
                    </a:xfrm>
                    <a:prstGeom prst="rect">
                      <a:avLst/>
                    </a:prstGeom>
                  </pic:spPr>
                </pic:pic>
              </a:graphicData>
            </a:graphic>
          </wp:inline>
        </w:drawing>
      </w:r>
      <w:r>
        <w:rPr/>
        <w:t xml:space="preserve"> </w:t>
      </w:r>
      <w:r>
        <w:rPr>
          <w:rFonts w:ascii="arial" w:hAnsi="arial"/>
          <w:sz w:val="20"/>
        </w:rPr>
        <w:t xml:space="preserve">Board engagement in long-term succession planning for executives </w:t>
      </w:r>
    </w:p>
    <w:p>
      <w:pPr>
        <w:pStyle w:val="TextBody"/>
        <w:rPr/>
      </w:pPr>
      <w:r>
        <w:rPr/>
        <w:drawing>
          <wp:inline distT="0" distB="0" distL="0" distR="0">
            <wp:extent cx="95250" cy="1143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5250" cy="114300"/>
                    </a:xfrm>
                    <a:prstGeom prst="rect">
                      <a:avLst/>
                    </a:prstGeom>
                  </pic:spPr>
                </pic:pic>
              </a:graphicData>
            </a:graphic>
          </wp:inline>
        </w:drawing>
      </w:r>
      <w:r>
        <w:rPr/>
        <w:t xml:space="preserve"> </w:t>
      </w:r>
      <w:r>
        <w:rPr>
          <w:rFonts w:ascii="arial" w:hAnsi="arial"/>
          <w:sz w:val="20"/>
        </w:rPr>
        <w:t xml:space="preserve">No shareholder rights plan ("poison pill") </w:t>
      </w:r>
    </w:p>
    <w:p>
      <w:pPr>
        <w:pStyle w:val="TextBody"/>
        <w:rPr/>
      </w:pPr>
      <w:r>
        <w:rPr/>
        <w:drawing>
          <wp:inline distT="0" distB="0" distL="0" distR="0">
            <wp:extent cx="95250" cy="1143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5250" cy="114300"/>
                    </a:xfrm>
                    <a:prstGeom prst="rect">
                      <a:avLst/>
                    </a:prstGeom>
                  </pic:spPr>
                </pic:pic>
              </a:graphicData>
            </a:graphic>
          </wp:inline>
        </w:drawing>
      </w:r>
      <w:r>
        <w:rPr/>
        <w:t xml:space="preserve"> </w:t>
      </w:r>
      <w:r>
        <w:rPr>
          <w:rFonts w:ascii="arial" w:hAnsi="arial"/>
          <w:sz w:val="20"/>
        </w:rPr>
        <w:t xml:space="preserve">Board involved in corporate social responsibility and sustainability efforts </w:t>
      </w:r>
    </w:p>
    <w:p>
      <w:pPr>
        <w:pStyle w:val="TextBody"/>
        <w:ind w:left="200" w:right="0" w:hanging="200"/>
        <w:rPr>
          <w:rFonts w:ascii="arial" w:hAnsi="arial"/>
          <w:sz w:val="20"/>
        </w:rPr>
      </w:pPr>
      <w:r>
        <w:rPr>
          <w:rFonts w:ascii="arial" w:hAnsi="arial"/>
          <w:sz w:val="20"/>
          <w:u w:val="single"/>
        </w:rPr>
        <w:t>Executive Compensation Highlights</w:t>
      </w:r>
      <w:r>
        <w:rPr>
          <w:rFonts w:ascii="arial" w:hAnsi="arial"/>
          <w:sz w:val="20"/>
        </w:rPr>
        <w:t xml:space="preserve"> </w:t>
      </w:r>
    </w:p>
    <w:p>
      <w:pPr>
        <w:pStyle w:val="TextBody"/>
        <w:rPr/>
      </w:pPr>
      <w:r>
        <w:rPr/>
        <w:drawing>
          <wp:inline distT="0" distB="0" distL="0" distR="0">
            <wp:extent cx="95250" cy="1143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5250" cy="114300"/>
                    </a:xfrm>
                    <a:prstGeom prst="rect">
                      <a:avLst/>
                    </a:prstGeom>
                  </pic:spPr>
                </pic:pic>
              </a:graphicData>
            </a:graphic>
          </wp:inline>
        </w:drawing>
      </w:r>
      <w:r>
        <w:rPr/>
        <w:t xml:space="preserve"> </w:t>
      </w:r>
      <w:r>
        <w:rPr>
          <w:rFonts w:ascii="arial" w:hAnsi="arial"/>
          <w:sz w:val="20"/>
        </w:rPr>
        <w:t xml:space="preserve">Align executive compensation with the interests of our shareholders </w:t>
      </w:r>
    </w:p>
    <w:p>
      <w:pPr>
        <w:pStyle w:val="TextBody"/>
        <w:rPr/>
      </w:pPr>
      <w:r>
        <w:rPr/>
        <w:drawing>
          <wp:inline distT="0" distB="0" distL="0" distR="0">
            <wp:extent cx="95250" cy="1143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5250" cy="114300"/>
                    </a:xfrm>
                    <a:prstGeom prst="rect">
                      <a:avLst/>
                    </a:prstGeom>
                  </pic:spPr>
                </pic:pic>
              </a:graphicData>
            </a:graphic>
          </wp:inline>
        </w:drawing>
      </w:r>
      <w:r>
        <w:rPr/>
        <w:t xml:space="preserve"> </w:t>
      </w:r>
      <w:r>
        <w:rPr>
          <w:rFonts w:ascii="arial" w:hAnsi="arial"/>
          <w:sz w:val="20"/>
        </w:rPr>
        <w:t xml:space="preserve">Annual opportunity for shareholders to provide feedback through an advisory say on pay vote on executive compensation </w:t>
      </w:r>
    </w:p>
    <w:p>
      <w:pPr>
        <w:pStyle w:val="TextBody"/>
        <w:rPr/>
      </w:pPr>
      <w:r>
        <w:rPr/>
        <w:drawing>
          <wp:inline distT="0" distB="0" distL="0" distR="0">
            <wp:extent cx="95250" cy="1143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5250" cy="114300"/>
                    </a:xfrm>
                    <a:prstGeom prst="rect">
                      <a:avLst/>
                    </a:prstGeom>
                  </pic:spPr>
                </pic:pic>
              </a:graphicData>
            </a:graphic>
          </wp:inline>
        </w:drawing>
      </w:r>
      <w:r>
        <w:rPr/>
        <w:t xml:space="preserve"> </w:t>
      </w:r>
      <w:r>
        <w:rPr>
          <w:rFonts w:ascii="arial" w:hAnsi="arial"/>
          <w:sz w:val="20"/>
        </w:rPr>
        <w:t xml:space="preserve">Based on a pay-for-performance philosophy </w:t>
      </w:r>
    </w:p>
    <w:p>
      <w:pPr>
        <w:pStyle w:val="TextBody"/>
        <w:rPr/>
      </w:pPr>
      <w:r>
        <w:rPr/>
        <w:drawing>
          <wp:inline distT="0" distB="0" distL="0" distR="0">
            <wp:extent cx="95250" cy="1143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5250" cy="114300"/>
                    </a:xfrm>
                    <a:prstGeom prst="rect">
                      <a:avLst/>
                    </a:prstGeom>
                  </pic:spPr>
                </pic:pic>
              </a:graphicData>
            </a:graphic>
          </wp:inline>
        </w:drawing>
      </w:r>
      <w:r>
        <w:rPr/>
        <w:t xml:space="preserve"> </w:t>
      </w:r>
      <w:r>
        <w:rPr>
          <w:rFonts w:ascii="arial" w:hAnsi="arial"/>
          <w:sz w:val="20"/>
        </w:rPr>
        <w:t xml:space="preserve">Maintains a claw-back policy </w:t>
      </w:r>
    </w:p>
    <w:p>
      <w:pPr>
        <w:pStyle w:val="TextBody"/>
        <w:rPr/>
      </w:pPr>
      <w:r>
        <w:rPr/>
        <w:drawing>
          <wp:inline distT="0" distB="0" distL="0" distR="0">
            <wp:extent cx="95250" cy="1143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5250" cy="114300"/>
                    </a:xfrm>
                    <a:prstGeom prst="rect">
                      <a:avLst/>
                    </a:prstGeom>
                  </pic:spPr>
                </pic:pic>
              </a:graphicData>
            </a:graphic>
          </wp:inline>
        </w:drawing>
      </w:r>
      <w:r>
        <w:rPr/>
        <w:t xml:space="preserve"> </w:t>
      </w:r>
      <w:r>
        <w:rPr>
          <w:rFonts w:ascii="arial" w:hAnsi="arial"/>
          <w:sz w:val="20"/>
        </w:rPr>
        <w:t xml:space="preserve">Eligibility for payment of annual incentive compensation is tied to business review effectiveness, compliance performance and leadership effectiveness </w:t>
      </w:r>
    </w:p>
    <w:p>
      <w:pPr>
        <w:pStyle w:val="TextBody"/>
        <w:rPr/>
      </w:pPr>
      <w:r>
        <w:rPr/>
        <w:drawing>
          <wp:inline distT="0" distB="0" distL="0" distR="0">
            <wp:extent cx="95250" cy="1143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5250" cy="114300"/>
                    </a:xfrm>
                    <a:prstGeom prst="rect">
                      <a:avLst/>
                    </a:prstGeom>
                  </pic:spPr>
                </pic:pic>
              </a:graphicData>
            </a:graphic>
          </wp:inline>
        </w:drawing>
      </w:r>
      <w:r>
        <w:rPr/>
        <w:t xml:space="preserve"> </w:t>
      </w:r>
      <w:r>
        <w:rPr>
          <w:rFonts w:ascii="arial" w:hAnsi="arial"/>
          <w:sz w:val="20"/>
        </w:rPr>
        <w:t xml:space="preserve">Annual and long-term incentive compensation includes an equity component to align interests with those of shareholders </w:t>
      </w:r>
    </w:p>
    <w:p>
      <w:pPr>
        <w:pStyle w:val="TextBody"/>
        <w:rPr/>
      </w:pPr>
      <w:r>
        <w:rPr/>
        <w:drawing>
          <wp:inline distT="0" distB="0" distL="0" distR="0">
            <wp:extent cx="95250" cy="1143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5250" cy="114300"/>
                    </a:xfrm>
                    <a:prstGeom prst="rect">
                      <a:avLst/>
                    </a:prstGeom>
                  </pic:spPr>
                </pic:pic>
              </a:graphicData>
            </a:graphic>
          </wp:inline>
        </w:drawing>
      </w:r>
      <w:r>
        <w:rPr/>
        <w:t xml:space="preserve"> </w:t>
      </w:r>
      <w:r>
        <w:rPr>
          <w:rFonts w:ascii="arial" w:hAnsi="arial"/>
          <w:sz w:val="20"/>
        </w:rPr>
        <w:t xml:space="preserve">Includes a component based on Company and market performance over several years </w:t>
      </w:r>
    </w:p>
    <w:p>
      <w:pPr>
        <w:pStyle w:val="TextBody"/>
        <w:jc w:val="center"/>
        <w:rPr>
          <w:rFonts w:ascii="arial" w:hAnsi="arial"/>
          <w:sz w:val="20"/>
        </w:rPr>
      </w:pPr>
      <w:r>
        <w:rPr>
          <w:rFonts w:ascii="arial" w:hAnsi="arial"/>
          <w:sz w:val="20"/>
        </w:rPr>
        <w:t>10</w:t>
      </w:r>
    </w:p>
    <w:p>
      <w:pPr>
        <w:pStyle w:val="HorizontalLine"/>
        <w:pBdr>
          <w:bottom w:val="single" w:sz="20" w:space="0" w:color="808080"/>
        </w:pBdr>
        <w:rPr/>
      </w:pPr>
      <w:r>
        <w:rPr/>
      </w:r>
      <w:r>
        <w:br w:type="page"/>
      </w:r>
    </w:p>
    <w:p>
      <w:pPr>
        <w:pStyle w:val="TextBody"/>
        <w:rPr/>
      </w:pPr>
      <w:hyperlink w:anchor="bg45301a_main_toc">
        <w:bookmarkStart w:id="22" w:name="page_dc45301_1_11"/>
        <w:bookmarkEnd w:id="22"/>
        <w:r>
          <w:rPr>
            <w:rStyle w:val="InternetLink"/>
            <w:rFonts w:ascii="arial" w:hAnsi="arial"/>
            <w:sz w:val="20"/>
          </w:rPr>
          <w:t>Table of Contents</w:t>
        </w:r>
      </w:hyperlink>
      <w:r>
        <w:rPr>
          <w:rFonts w:ascii="arial" w:hAnsi="arial"/>
          <w:sz w:val="20"/>
        </w:rPr>
        <w:t xml:space="preserve"> </w:t>
      </w:r>
    </w:p>
    <w:p>
      <w:pPr>
        <w:pStyle w:val="Normal"/>
        <w:spacing w:before="0" w:after="0"/>
        <w:ind w:left="0" w:right="0" w:hanging="0"/>
        <w:rPr>
          <w:sz w:val="4"/>
          <w:szCs w:val="4"/>
        </w:rPr>
      </w:pPr>
      <w:r>
        <w:rPr>
          <w:sz w:val="4"/>
          <w:szCs w:val="4"/>
        </w:rPr>
      </w:r>
      <w:bookmarkStart w:id="23" w:name="toc_dc45301_1"/>
      <w:bookmarkStart w:id="24" w:name="dc45301_altisource_portfolio_solutions__"/>
      <w:bookmarkStart w:id="25" w:name="toc_dc45301_1"/>
      <w:bookmarkStart w:id="26" w:name="dc45301_altisource_portfolio_solutions__"/>
      <w:bookmarkEnd w:id="25"/>
      <w:bookmarkEnd w:id="26"/>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8" w:space="0" w:color="000000"/>
            </w:tcBorders>
            <w:shd w:fill="auto" w:val="clear"/>
            <w:vAlign w:val="center"/>
          </w:tcPr>
          <w:p>
            <w:pPr>
              <w:pStyle w:val="TableContents"/>
              <w:spacing w:before="0" w:after="0"/>
              <w:ind w:left="0" w:right="0" w:hanging="0"/>
              <w:jc w:val="left"/>
              <w:rPr>
                <w:rFonts w:ascii="arial" w:hAnsi="arial"/>
                <w:b/>
                <w:sz w:val="24"/>
              </w:rPr>
            </w:pPr>
            <w:r>
              <w:rPr>
                <w:rFonts w:ascii="arial" w:hAnsi="arial"/>
                <w:b/>
                <w:sz w:val="24"/>
              </w:rPr>
              <w:t>Altisource Portfolio Solutions S.A. Proxy Statement</w:t>
              <w:br/>
              <w:t xml:space="preserve">Annual Meeting of Shareholders </w:t>
            </w:r>
          </w:p>
        </w:tc>
      </w:tr>
    </w:tbl>
    <w:p>
      <w:pPr>
        <w:pStyle w:val="TextBody"/>
        <w:ind w:left="220" w:right="0" w:hanging="220"/>
        <w:rPr>
          <w:rFonts w:ascii="arial" w:hAnsi="arial"/>
          <w:b/>
          <w:sz w:val="20"/>
        </w:rPr>
      </w:pPr>
      <w:r>
        <w:rPr>
          <w:rFonts w:ascii="arial" w:hAnsi="arial"/>
          <w:b/>
          <w:sz w:val="20"/>
        </w:rPr>
        <w:t xml:space="preserve">General Information </w:t>
      </w:r>
    </w:p>
    <w:p>
      <w:pPr>
        <w:pStyle w:val="TextBody"/>
        <w:rPr>
          <w:rFonts w:ascii="arial" w:hAnsi="arial"/>
          <w:sz w:val="20"/>
        </w:rPr>
      </w:pPr>
      <w:r>
        <w:rPr>
          <w:rFonts w:ascii="arial" w:hAnsi="arial"/>
          <w:sz w:val="20"/>
        </w:rPr>
        <w:t xml:space="preserve">We have made this proxy statement available to you on or about April 5, 2021 as a holder of common stock of Altisource Portfolio Solutions S.A. ("Altisource" or the "Company") because our Board of Directors is soliciting your proxy to be used at our Annual Meeting, and any adjournment or postponement thereof. The Annual Meeting will be held at our registered office located at 40, avenue Monterey, L-2163 Luxembourg City, Grand Duchy of Luxembourg on Tuesday, May 18, 2021, at 9:00 a.m. Central European Time for the purposes listed in the Notice of Annual Meeting of Shareholders. </w:t>
      </w:r>
    </w:p>
    <w:p>
      <w:pPr>
        <w:pStyle w:val="TextBody"/>
        <w:ind w:left="220" w:right="0" w:hanging="220"/>
        <w:rPr>
          <w:rFonts w:ascii="arial" w:hAnsi="arial"/>
          <w:b/>
          <w:sz w:val="20"/>
        </w:rPr>
      </w:pPr>
      <w:r>
        <w:rPr>
          <w:rFonts w:ascii="arial" w:hAnsi="arial"/>
          <w:b/>
          <w:sz w:val="20"/>
        </w:rPr>
        <w:t xml:space="preserve">Internet Availability of Proxy Materials </w:t>
      </w:r>
    </w:p>
    <w:p>
      <w:pPr>
        <w:pStyle w:val="TextBody"/>
        <w:rPr>
          <w:rFonts w:ascii="arial" w:hAnsi="arial"/>
          <w:sz w:val="20"/>
        </w:rPr>
      </w:pPr>
      <w:r>
        <w:rPr>
          <w:rFonts w:ascii="arial" w:hAnsi="arial"/>
          <w:sz w:val="20"/>
        </w:rPr>
        <w:t xml:space="preserve">Consistent with historical practice, we are using the "Notice and Access" method of furnishing proxy materials to our beneficial shareholders via the Internet, instead of mailing printed copies of those materials to each shareholder. By doing so, we reduce the environmental impact of the meetings and save costs. On April 5, 2021, we expect to commence mailing Notices of Internet Availability of Proxy Materials (the "Notices") to participating shareholders. The Notice contains instructions about how to access our proxy materials. If you would like to receive a paper copy of our proxy materials, please follow the instructions included in the Notice. Beneficial shareholders, other than those who previously chose to receive our proxy materials in paper format, will receive an email with links to the online proxy materials. If you previously requested to receive paper copies of the proxy materials by mail, you will receive the proxy materials by mail until you elect otherwise. </w:t>
      </w:r>
    </w:p>
    <w:p>
      <w:pPr>
        <w:pStyle w:val="TextBody"/>
        <w:rPr>
          <w:rFonts w:ascii="arial" w:hAnsi="arial"/>
          <w:sz w:val="20"/>
        </w:rPr>
      </w:pPr>
      <w:r>
        <w:rPr>
          <w:rFonts w:ascii="arial" w:hAnsi="arial"/>
          <w:sz w:val="20"/>
        </w:rPr>
        <w:t xml:space="preserve">Shareholders of record will receive a paper copy of the proxy materials by mail except to the extent they previously requested delivery of proxy materials electronically. The proxy card included with the proxy materials contains instructions on how to request electronic delivery of future proxy materials. </w:t>
      </w:r>
    </w:p>
    <w:p>
      <w:pPr>
        <w:pStyle w:val="TextBody"/>
        <w:ind w:left="220" w:right="0" w:hanging="220"/>
        <w:rPr>
          <w:rFonts w:ascii="arial" w:hAnsi="arial"/>
          <w:b/>
          <w:sz w:val="20"/>
        </w:rPr>
      </w:pPr>
      <w:r>
        <w:rPr>
          <w:rFonts w:ascii="arial" w:hAnsi="arial"/>
          <w:b/>
          <w:sz w:val="20"/>
        </w:rPr>
        <w:t xml:space="preserve">Who May Vote </w:t>
      </w:r>
    </w:p>
    <w:p>
      <w:pPr>
        <w:pStyle w:val="TextBody"/>
        <w:rPr>
          <w:rFonts w:ascii="arial" w:hAnsi="arial"/>
          <w:sz w:val="20"/>
        </w:rPr>
      </w:pPr>
      <w:r>
        <w:rPr>
          <w:rFonts w:ascii="arial" w:hAnsi="arial"/>
          <w:sz w:val="20"/>
        </w:rPr>
        <w:t xml:space="preserve">You are entitled to vote at the Annual Meeting, and any adjournment or postponement thereof, if you were a holder of our common stock at the close of business on March 26, 2021. At the close of business on March 26, 2021, there were 15,782,286 shares of common stock issued, outstanding and able to be voted, and there was no other class of equity securities outstanding. Each share of our common stock is entitled to one (1) vote at the Annual Meeting on all matters properly presented for a vote. </w:t>
      </w:r>
    </w:p>
    <w:p>
      <w:pPr>
        <w:pStyle w:val="TextBody"/>
        <w:ind w:left="220" w:right="0" w:hanging="220"/>
        <w:rPr>
          <w:rFonts w:ascii="arial" w:hAnsi="arial"/>
          <w:b/>
          <w:sz w:val="20"/>
        </w:rPr>
      </w:pPr>
      <w:r>
        <w:rPr>
          <w:rFonts w:ascii="arial" w:hAnsi="arial"/>
          <w:b/>
          <w:sz w:val="20"/>
        </w:rPr>
        <w:t xml:space="preserve">Voting Procedures </w:t>
      </w:r>
    </w:p>
    <w:p>
      <w:pPr>
        <w:pStyle w:val="TextBody"/>
        <w:rPr>
          <w:rFonts w:ascii="arial" w:hAnsi="arial"/>
          <w:sz w:val="20"/>
        </w:rPr>
      </w:pPr>
      <w:r>
        <w:rPr>
          <w:rFonts w:ascii="arial" w:hAnsi="arial"/>
          <w:sz w:val="20"/>
        </w:rPr>
        <w:t>If you are a shareholder of record, which means you hold your shares through an account with our transfer agent, American Stock Transfer &amp; Trust Company, LLC, you may vote by one of the following options:</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spacing w:before="0" w:after="283"/>
        <w:ind w:left="1274" w:right="0" w:hanging="0"/>
        <w:rPr>
          <w:rFonts w:ascii="arial" w:hAnsi="arial"/>
        </w:rPr>
      </w:pPr>
      <w:r>
        <w:rPr>
          <w:rFonts w:ascii="arial" w:hAnsi="arial"/>
          <w:sz w:val="20"/>
        </w:rPr>
        <w:t xml:space="preserve">Over the Internet, at </w:t>
      </w:r>
      <w:r>
        <w:rPr>
          <w:rFonts w:ascii="arial" w:hAnsi="arial"/>
          <w:sz w:val="20"/>
          <w:u w:val="single"/>
        </w:rPr>
        <w:t>http://www.proxyvote.com</w:t>
      </w:r>
      <w:r>
        <w:rPr>
          <w:rFonts w:ascii="arial" w:hAnsi="arial"/>
          <w:sz w:val="20"/>
        </w:rPr>
        <w:t xml:space="preserve">, by following the instructions on your proxy card or the instructions that you received by email; or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spacing w:before="0" w:after="283"/>
        <w:ind w:left="1274" w:right="0" w:hanging="0"/>
        <w:rPr>
          <w:rFonts w:ascii="arial" w:hAnsi="arial"/>
          <w:sz w:val="20"/>
        </w:rPr>
      </w:pPr>
      <w:r>
        <w:rPr>
          <w:rFonts w:ascii="arial" w:hAnsi="arial"/>
          <w:sz w:val="20"/>
        </w:rPr>
        <w:t xml:space="preserve">By completing, dating, signing and returning a proxy card by mail. </w:t>
      </w:r>
    </w:p>
    <w:p>
      <w:pPr>
        <w:pStyle w:val="TextBody"/>
        <w:rPr>
          <w:rFonts w:ascii="arial" w:hAnsi="arial"/>
          <w:sz w:val="20"/>
        </w:rPr>
      </w:pPr>
      <w:r>
        <w:rPr>
          <w:rFonts w:ascii="arial" w:hAnsi="arial"/>
          <w:sz w:val="20"/>
        </w:rPr>
        <w:t xml:space="preserve">If you are a beneficial holder, meaning you hold your shares in "street name" through an account with a bank or broker, please follow the voting directions on the voting instruction form that your bank or broker provides to you. </w:t>
      </w:r>
    </w:p>
    <w:p>
      <w:pPr>
        <w:pStyle w:val="TextBody"/>
        <w:rPr>
          <w:rFonts w:ascii="arial" w:hAnsi="arial"/>
          <w:sz w:val="20"/>
        </w:rPr>
      </w:pPr>
      <w:r>
        <w:rPr>
          <w:rFonts w:ascii="arial" w:hAnsi="arial"/>
          <w:sz w:val="20"/>
        </w:rPr>
        <w:t xml:space="preserve">Your ability to vote over the Internet depends on the voting procedures of your bank or broker. If you vote over the Internet, your vote must be received by Altisource no later than 9:59 p.m. Central European Time (3:59 p.m. Eastern Time) on May 17, 2021 in order to allow sufficient time to tabulate the votes prior to the start of the meeting. </w:t>
      </w:r>
    </w:p>
    <w:p>
      <w:pPr>
        <w:pStyle w:val="TextBody"/>
        <w:jc w:val="center"/>
        <w:rPr>
          <w:rFonts w:ascii="arial" w:hAnsi="arial"/>
          <w:sz w:val="20"/>
        </w:rPr>
      </w:pPr>
      <w:r>
        <w:rPr>
          <w:rFonts w:ascii="arial" w:hAnsi="arial"/>
          <w:sz w:val="20"/>
        </w:rPr>
        <w:t>11</w:t>
      </w:r>
    </w:p>
    <w:p>
      <w:pPr>
        <w:pStyle w:val="HorizontalLine"/>
        <w:pBdr>
          <w:bottom w:val="single" w:sz="20" w:space="0" w:color="808080"/>
        </w:pBdr>
        <w:rPr/>
      </w:pPr>
      <w:r>
        <w:rPr/>
      </w:r>
      <w:r>
        <w:br w:type="page"/>
      </w:r>
    </w:p>
    <w:p>
      <w:pPr>
        <w:pStyle w:val="TextBody"/>
        <w:rPr/>
      </w:pPr>
      <w:hyperlink w:anchor="bg45301a_main_toc">
        <w:bookmarkStart w:id="27" w:name="page_dc45301_1_12"/>
        <w:bookmarkEnd w:id="27"/>
        <w:r>
          <w:rPr>
            <w:rStyle w:val="InternetLink"/>
            <w:rFonts w:ascii="arial" w:hAnsi="arial"/>
            <w:sz w:val="20"/>
          </w:rPr>
          <w:t>Table of Contents</w:t>
        </w:r>
      </w:hyperlink>
    </w:p>
    <w:p>
      <w:pPr>
        <w:pStyle w:val="TextBody"/>
        <w:rPr>
          <w:rFonts w:ascii="arial" w:hAnsi="arial"/>
          <w:sz w:val="20"/>
        </w:rPr>
      </w:pPr>
      <w:r>
        <w:rPr>
          <w:rFonts w:ascii="arial" w:hAnsi="arial"/>
          <w:sz w:val="20"/>
        </w:rPr>
        <w:t xml:space="preserve">Shareholders may also vote in person at the meeting. All shareholders must present proof of share ownership as of the record date and valid government-issued photo identification to vote in person at the meeting. If your shares are held by a bank or broker, you must also obtain and present a "legal proxy" from the holder of record to vote at the meeting. For specific instructions, please refer to the proxy card, notice or email notification you receive. </w:t>
      </w:r>
    </w:p>
    <w:p>
      <w:pPr>
        <w:pStyle w:val="TextBody"/>
        <w:rPr>
          <w:rFonts w:ascii="arial" w:hAnsi="arial"/>
          <w:b/>
          <w:sz w:val="20"/>
        </w:rPr>
      </w:pPr>
      <w:r>
        <w:rPr>
          <w:rFonts w:ascii="arial" w:hAnsi="arial"/>
          <w:b/>
          <w:sz w:val="20"/>
        </w:rPr>
        <w:t>Even if you plan to attend the Annual Meeting, we recommend that you vote your shares in advance of the meeting in one of the manners available to you so that your vote will be counted if later you are unable to attend or are limited to remote attendance.</w:t>
      </w:r>
    </w:p>
    <w:p>
      <w:pPr>
        <w:pStyle w:val="TextBody"/>
        <w:ind w:left="200" w:right="0" w:hanging="200"/>
        <w:rPr>
          <w:rFonts w:ascii="arial" w:hAnsi="arial"/>
          <w:b/>
          <w:sz w:val="20"/>
        </w:rPr>
      </w:pPr>
      <w:r>
        <w:rPr>
          <w:rFonts w:ascii="arial" w:hAnsi="arial"/>
          <w:b/>
          <w:sz w:val="20"/>
        </w:rPr>
        <w:t xml:space="preserve">How a Proxy Works </w:t>
      </w:r>
    </w:p>
    <w:p>
      <w:pPr>
        <w:pStyle w:val="TextBody"/>
        <w:rPr>
          <w:rFonts w:ascii="arial" w:hAnsi="arial"/>
          <w:sz w:val="20"/>
        </w:rPr>
      </w:pPr>
      <w:r>
        <w:rPr>
          <w:rFonts w:ascii="arial" w:hAnsi="arial"/>
          <w:sz w:val="20"/>
        </w:rPr>
        <w:t xml:space="preserve">If you properly submit your proxy as instructed, and do not revoke it prior to its use, it will be voted in accordance with your instructions. Other than as discussed below with respect to "broker non-votes," if no contrary instructions are given, each proxy received for the Annual Meeting will be voted "FOR" each of the nominees for Director named in this proxy statement and "FOR" each of the other proposals identified in the agenda for the Annual Meeting; and, with regard to any other business that properly comes before the meeting, each proxy will be voted in accordance with the discretion of the persons appointed as proxies. </w:t>
      </w:r>
    </w:p>
    <w:p>
      <w:pPr>
        <w:pStyle w:val="TextBody"/>
        <w:rPr>
          <w:rFonts w:ascii="arial" w:hAnsi="arial"/>
          <w:sz w:val="20"/>
        </w:rPr>
      </w:pPr>
      <w:r>
        <w:rPr>
          <w:rFonts w:ascii="arial" w:hAnsi="arial"/>
          <w:sz w:val="20"/>
        </w:rPr>
        <w:t xml:space="preserve">If the shares you own are held by a bank or broker and you do not provide specific voting instructions to your bank or broker on a "non-routine" item as defined by the New York Stock Exchange, the bank or broker will be prohibited from voting your shares. This is commonly referred to as a "broker non-vote." Only our proposal related to the appointment of our independent registered certified public accounting firm is routine; all other proposals are expected to be "non-routine" proposals. Therefore, if you do not instruct your bank or broker how to vote your shares with respect to non-routine proposals, your shares will not be voted on the non-routine proposals. </w:t>
      </w:r>
    </w:p>
    <w:p>
      <w:pPr>
        <w:pStyle w:val="TextBody"/>
        <w:ind w:left="200" w:right="0" w:hanging="200"/>
        <w:rPr>
          <w:rFonts w:ascii="arial" w:hAnsi="arial"/>
          <w:b/>
          <w:sz w:val="20"/>
        </w:rPr>
      </w:pPr>
      <w:r>
        <w:rPr>
          <w:rFonts w:ascii="arial" w:hAnsi="arial"/>
          <w:b/>
          <w:sz w:val="20"/>
        </w:rPr>
        <w:t xml:space="preserve">How to Revoke a Proxy </w:t>
      </w:r>
    </w:p>
    <w:p>
      <w:pPr>
        <w:pStyle w:val="TextBody"/>
        <w:rPr>
          <w:rFonts w:ascii="arial" w:hAnsi="arial"/>
          <w:sz w:val="20"/>
        </w:rPr>
      </w:pPr>
      <w:r>
        <w:rPr>
          <w:rFonts w:ascii="arial" w:hAnsi="arial"/>
          <w:sz w:val="20"/>
        </w:rPr>
        <w:t>Your proxy may be used only at the Annual Meeting and any adjournment or postponement thereof, and may not be used for any other meeting. You have the power to revoke your proxy at any time before it is exercised by:</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spacing w:before="0" w:after="283"/>
        <w:ind w:left="1274" w:right="0" w:hanging="0"/>
        <w:rPr>
          <w:rFonts w:ascii="arial" w:hAnsi="arial"/>
          <w:sz w:val="20"/>
        </w:rPr>
      </w:pPr>
      <w:r>
        <w:rPr>
          <w:rFonts w:ascii="arial" w:hAnsi="arial"/>
          <w:sz w:val="20"/>
        </w:rPr>
        <w:t xml:space="preserve">providing written notice, received by our Corporate Secretary at the following address: </w:t>
      </w:r>
    </w:p>
    <w:p>
      <w:pPr>
        <w:pStyle w:val="TextBody"/>
        <w:numPr>
          <w:ilvl w:val="0"/>
          <w:numId w:val="0"/>
        </w:numPr>
        <w:ind w:left="2121" w:hanging="0"/>
        <w:rPr>
          <w:rFonts w:ascii="arial" w:hAnsi="arial"/>
          <w:sz w:val="20"/>
        </w:rPr>
      </w:pPr>
      <w:r>
        <w:rPr>
          <w:rFonts w:ascii="arial" w:hAnsi="arial"/>
          <w:sz w:val="20"/>
        </w:rPr>
        <w:t>Gregory J. Ritts, Corporate Secretary</w:t>
        <w:br/>
        <w:t>Altisource Portfolio Solutions S.A.</w:t>
        <w:br/>
        <w:t>40, avenue Monterey</w:t>
        <w:br/>
        <w:t>L-2163 Luxembourg City</w:t>
        <w:br/>
        <w:t xml:space="preserve">Grand Duchy of Luxembourg;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spacing w:before="0" w:after="283"/>
        <w:ind w:left="1274" w:right="0" w:hanging="0"/>
        <w:rPr>
          <w:rFonts w:ascii="arial" w:hAnsi="arial"/>
          <w:sz w:val="20"/>
        </w:rPr>
      </w:pPr>
      <w:r>
        <w:rPr>
          <w:rFonts w:ascii="arial" w:hAnsi="arial"/>
          <w:sz w:val="20"/>
        </w:rPr>
        <w:t xml:space="preserve">submitting a properly executed proxy bearing a later date; or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spacing w:before="0" w:after="283"/>
        <w:ind w:left="1274" w:right="0" w:hanging="0"/>
        <w:rPr>
          <w:rFonts w:ascii="arial" w:hAnsi="arial"/>
          <w:sz w:val="20"/>
        </w:rPr>
      </w:pPr>
      <w:r>
        <w:rPr>
          <w:rFonts w:ascii="arial" w:hAnsi="arial"/>
          <w:sz w:val="20"/>
        </w:rPr>
        <w:t xml:space="preserve">appearing at the Annual Meeting and giving the Corporate Secretary notice of your intention to vote in person. </w:t>
      </w:r>
    </w:p>
    <w:p>
      <w:pPr>
        <w:pStyle w:val="TextBody"/>
        <w:ind w:left="200" w:right="0" w:hanging="200"/>
        <w:rPr>
          <w:rFonts w:ascii="arial" w:hAnsi="arial"/>
          <w:b/>
          <w:sz w:val="20"/>
        </w:rPr>
      </w:pPr>
      <w:r>
        <w:rPr>
          <w:rFonts w:ascii="arial" w:hAnsi="arial"/>
          <w:b/>
          <w:sz w:val="20"/>
        </w:rPr>
        <w:t xml:space="preserve">Quorum and Voting Information </w:t>
      </w:r>
    </w:p>
    <w:p>
      <w:pPr>
        <w:pStyle w:val="TextBody"/>
        <w:rPr>
          <w:rFonts w:ascii="arial" w:hAnsi="arial"/>
          <w:sz w:val="20"/>
        </w:rPr>
      </w:pPr>
      <w:r>
        <w:rPr>
          <w:rFonts w:ascii="arial" w:hAnsi="arial"/>
          <w:sz w:val="20"/>
        </w:rPr>
        <w:t>Although Luxembourg law does not require a quorum for the conduct of business at the Annual Meeting, in accordance with the requirements of the Nasdaq listing standards, the Company has established that the presence at the Annual Meeting of holders of at least thirty-three and one-third percent (33</w:t>
      </w:r>
      <w:r>
        <w:rPr>
          <w:rFonts w:ascii="arial" w:hAnsi="arial"/>
          <w:position w:val="7"/>
          <w:sz w:val="16"/>
          <w:sz w:val="20"/>
        </w:rPr>
        <w:t>1</w:t>
      </w:r>
      <w:r>
        <w:rPr>
          <w:rFonts w:ascii="arial" w:hAnsi="arial"/>
          <w:sz w:val="20"/>
        </w:rPr>
        <w:t>/</w:t>
      </w:r>
      <w:r>
        <w:rPr>
          <w:rFonts w:ascii="arial" w:hAnsi="arial"/>
          <w:sz w:val="14"/>
        </w:rPr>
        <w:t>3</w:t>
      </w:r>
      <w:r>
        <w:rPr>
          <w:rFonts w:ascii="arial" w:hAnsi="arial"/>
          <w:sz w:val="20"/>
        </w:rPr>
        <w:t xml:space="preserve">%) of our issued and outstanding shares of common stock able to be voted, represented in person or by proxy, will constitute a quorum for the transaction of business at the Annual Meeting. </w:t>
      </w:r>
    </w:p>
    <w:p>
      <w:pPr>
        <w:pStyle w:val="TextBody"/>
        <w:jc w:val="center"/>
        <w:rPr>
          <w:rFonts w:ascii="arial" w:hAnsi="arial"/>
          <w:sz w:val="20"/>
        </w:rPr>
      </w:pPr>
      <w:r>
        <w:rPr>
          <w:rFonts w:ascii="arial" w:hAnsi="arial"/>
          <w:sz w:val="20"/>
        </w:rPr>
        <w:t>12</w:t>
      </w:r>
    </w:p>
    <w:p>
      <w:pPr>
        <w:pStyle w:val="HorizontalLine"/>
        <w:pBdr>
          <w:bottom w:val="single" w:sz="20" w:space="0" w:color="808080"/>
        </w:pBdr>
        <w:rPr/>
      </w:pPr>
      <w:r>
        <w:rPr/>
      </w:r>
      <w:r>
        <w:br w:type="page"/>
      </w:r>
    </w:p>
    <w:p>
      <w:pPr>
        <w:pStyle w:val="TextBody"/>
        <w:rPr/>
      </w:pPr>
      <w:hyperlink w:anchor="bg45301a_main_toc">
        <w:bookmarkStart w:id="28" w:name="page_dc45301_1_13"/>
        <w:bookmarkEnd w:id="28"/>
        <w:r>
          <w:rPr>
            <w:rStyle w:val="InternetLink"/>
            <w:rFonts w:ascii="arial" w:hAnsi="arial"/>
            <w:sz w:val="20"/>
          </w:rPr>
          <w:t>Table of Contents</w:t>
        </w:r>
      </w:hyperlink>
    </w:p>
    <w:p>
      <w:pPr>
        <w:pStyle w:val="TextBody"/>
        <w:rPr>
          <w:rFonts w:ascii="arial" w:hAnsi="arial"/>
          <w:sz w:val="20"/>
        </w:rPr>
      </w:pPr>
      <w:r>
        <w:rPr>
          <w:rFonts w:ascii="arial" w:hAnsi="arial"/>
          <w:sz w:val="20"/>
        </w:rPr>
        <w:t xml:space="preserve">Assuming a quorum, the four (4) nominees for Director will be elected as Directors of Altisource at the Annual Meeting so long as the votes cast in favor of each such person exceed the votes cast against such person. You may vote for, against or abstain from voting for one (1) or more nominees for Director. </w:t>
      </w:r>
    </w:p>
    <w:p>
      <w:pPr>
        <w:pStyle w:val="TextBody"/>
        <w:rPr>
          <w:rFonts w:ascii="arial" w:hAnsi="arial"/>
        </w:rPr>
      </w:pPr>
      <w:r>
        <w:rPr>
          <w:rFonts w:ascii="arial" w:hAnsi="arial"/>
          <w:sz w:val="20"/>
        </w:rPr>
        <w:t>The following Annual Meeting proposals will be approved if the votes cast in favor of the action exceed the votes cast against the action: (i) the proposal to approve the appointment of Mayer Hoffman McCann P.C.to be our independent registered certified public accounting firm for the year ending December 31, 2021 and Atwell S.à r.l. to be our certified auditor (</w:t>
      </w:r>
      <w:r>
        <w:rPr>
          <w:rFonts w:ascii="arial" w:hAnsi="arial"/>
          <w:i/>
          <w:sz w:val="20"/>
        </w:rPr>
        <w:t>Réviseur d'Entreprises</w:t>
      </w:r>
      <w:r>
        <w:rPr>
          <w:rFonts w:ascii="arial" w:hAnsi="arial"/>
          <w:sz w:val="20"/>
        </w:rPr>
        <w:t>) for all statutory accounts as required by Luxembourg law for the same period; (ii) the proposal to approve the Luxembourg Statutory Accounts as of and for the year ended December 31, 2020; (iii) the proposal to receive and approve the Directors' reports for the Luxembourg Statutory Accounts for the year ended December 31, 2020 and to receive the report of the supervisory auditor (</w:t>
      </w:r>
      <w:r>
        <w:rPr>
          <w:rFonts w:ascii="arial" w:hAnsi="arial"/>
          <w:i/>
          <w:sz w:val="20"/>
        </w:rPr>
        <w:t>Commissaire aux Comptes</w:t>
      </w:r>
      <w:r>
        <w:rPr>
          <w:rFonts w:ascii="arial" w:hAnsi="arial"/>
          <w:sz w:val="20"/>
        </w:rPr>
        <w:t xml:space="preserve">) for the Luxembourg Annual Accounts for the same period; (iv) the proposal to allocate the results in the Luxembourg Annual Accounts for the year ended December 31, 2020; (v) the proposal to approve the discharge of each of the Directors of Altisource Portfolio Solutions S.A. for the performance of their mandates during the year ended December 31, 2020 and of the supervisory auditor (Commissaire aux Comptes) for the performance of her mandate for the same period; (vi) the proposal to approve amendment of our 2009 Equity Incentive Plan (the "Plan") to increase the number of shares of common stock reserved for issuance under the Plan by an additional 1.7 million shares; and (vii) any other matter properly submitted for your consideration at the Annual Meeting. Because the advisory vote to approve the compensation of Altisource's named executive officers as disclosed in the Proxy Statement ("Say-on-Pay") is non-binding and advisory in nature, there is no required number of votes that would constitute approval. While the results of the Say-on-Pay vote are not binding on the Company, our Board of Directors intends to carefully consider the shareholder votes resulting from the Say-on-Pay proposal. </w:t>
      </w:r>
    </w:p>
    <w:p>
      <w:pPr>
        <w:pStyle w:val="TextBody"/>
        <w:rPr>
          <w:rFonts w:ascii="arial" w:hAnsi="arial"/>
          <w:sz w:val="20"/>
        </w:rPr>
      </w:pPr>
      <w:r>
        <w:rPr>
          <w:rFonts w:ascii="arial" w:hAnsi="arial"/>
          <w:sz w:val="20"/>
        </w:rPr>
        <w:t xml:space="preserve">Any other matter properly submitted for your consideration will be approved with such vote as required by Luxembourg law. Abstentions and broker non-votes will not be counted in determining the number of votes cast in connection with the proposals on the agenda of the Annual Meeting. </w:t>
      </w:r>
    </w:p>
    <w:p>
      <w:pPr>
        <w:pStyle w:val="TextBody"/>
        <w:jc w:val="center"/>
        <w:rPr>
          <w:rFonts w:ascii="arial" w:hAnsi="arial"/>
          <w:sz w:val="20"/>
        </w:rPr>
      </w:pPr>
      <w:r>
        <w:rPr>
          <w:rFonts w:ascii="arial" w:hAnsi="arial"/>
          <w:sz w:val="20"/>
        </w:rPr>
        <w:t>13</w:t>
      </w:r>
    </w:p>
    <w:p>
      <w:pPr>
        <w:pStyle w:val="HorizontalLine"/>
        <w:pBdr>
          <w:bottom w:val="single" w:sz="20" w:space="0" w:color="808080"/>
        </w:pBdr>
        <w:rPr/>
      </w:pPr>
      <w:r>
        <w:rPr/>
      </w:r>
      <w:r>
        <w:br w:type="page"/>
      </w:r>
    </w:p>
    <w:p>
      <w:pPr>
        <w:pStyle w:val="TextBody"/>
        <w:rPr/>
      </w:pPr>
      <w:hyperlink w:anchor="bg45301a_main_toc">
        <w:bookmarkStart w:id="29" w:name="page_de45301_1_14"/>
        <w:bookmarkEnd w:id="29"/>
        <w:r>
          <w:rPr>
            <w:rStyle w:val="InternetLink"/>
            <w:rFonts w:ascii="arial" w:hAnsi="arial"/>
            <w:sz w:val="20"/>
          </w:rPr>
          <w:t>Table of Contents</w:t>
        </w:r>
      </w:hyperlink>
      <w:r>
        <w:rPr>
          <w:rFonts w:ascii="arial" w:hAnsi="arial"/>
          <w:sz w:val="20"/>
        </w:rPr>
        <w:t xml:space="preserve"> </w:t>
      </w:r>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3367"/>
        <w:gridCol w:w="101"/>
        <w:gridCol w:w="6737"/>
      </w:tblGrid>
      <w:tr>
        <w:trPr/>
        <w:tc>
          <w:tcPr>
            <w:tcW w:w="3367" w:type="dxa"/>
            <w:tcBorders/>
            <w:shd w:fill="auto" w:val="clear"/>
            <w:vAlign w:val="center"/>
          </w:tcPr>
          <w:p>
            <w:pPr>
              <w:pStyle w:val="TableContents"/>
              <w:spacing w:before="0" w:after="283"/>
              <w:rPr/>
            </w:pPr>
            <w:r>
              <w:rPr/>
              <w:commentReference w:id="25"/>
            </w:r>
            <w:r>
              <w:rPr/>
              <w:commentReference w:id="26"/>
            </w:r>
            <w:r>
              <w:rPr/>
              <w:commentReference w:id="27"/>
            </w:r>
            <w:r>
              <w:rPr/>
              <w:t>​</w:t>
            </w:r>
          </w:p>
        </w:tc>
        <w:tc>
          <w:tcPr>
            <w:tcW w:w="101" w:type="dxa"/>
            <w:tcBorders/>
            <w:shd w:fill="auto" w:val="clear"/>
            <w:vAlign w:val="center"/>
          </w:tcPr>
          <w:p>
            <w:pPr>
              <w:pStyle w:val="TableContents"/>
              <w:spacing w:before="0" w:after="283"/>
              <w:rPr/>
            </w:pPr>
            <w:r>
              <w:rPr/>
              <w:t>​</w:t>
            </w:r>
          </w:p>
        </w:tc>
        <w:tc>
          <w:tcPr>
            <w:tcW w:w="6737" w:type="dxa"/>
            <w:tcBorders/>
            <w:shd w:fill="auto" w:val="clear"/>
            <w:vAlign w:val="center"/>
          </w:tcPr>
          <w:p>
            <w:pPr>
              <w:pStyle w:val="TableContents"/>
              <w:spacing w:before="0" w:after="283"/>
              <w:rPr/>
            </w:pPr>
            <w:r>
              <w:rPr/>
              <w:t>​</w:t>
            </w:r>
            <w:r>
              <w:rPr>
                <w:rFonts w:eastAsia="arial" w:cs="arial" w:ascii="arial" w:hAnsi="arial"/>
              </w:rPr>
              <w:commentReference w:id="28"/>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drawing>
                <wp:inline distT="0" distB="0" distL="0" distR="0">
                  <wp:extent cx="1257300" cy="1809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257300" cy="180975"/>
                          </a:xfrm>
                          <a:prstGeom prst="rect">
                            <a:avLst/>
                          </a:prstGeom>
                        </pic:spPr>
                      </pic:pic>
                    </a:graphicData>
                  </a:graphic>
                </wp:inline>
              </w:drawing>
            </w:r>
            <w:r>
              <w:rPr/>
              <w:t xml:space="preserve"> </w:t>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t> </w:t>
            </w:r>
          </w:p>
        </w:tc>
      </w:tr>
    </w:tbl>
    <w:p>
      <w:pPr>
        <w:pStyle w:val="TextBody"/>
        <w:rPr/>
      </w:pPr>
      <w:r>
        <w:rPr>
          <w:color w:val="000000"/>
        </w:rPr>
        <w:commentReference w:id="29"/>
      </w:r>
      <w:r>
        <w:rPr>
          <w:color w:val="000000"/>
        </w:rPr>
        <w:t>​</w:t>
      </w:r>
      <w:r>
        <w:rPr/>
        <w:t xml:space="preserve"> </w:t>
      </w:r>
    </w:p>
    <w:p>
      <w:pPr>
        <w:pStyle w:val="Normal"/>
        <w:spacing w:before="0" w:after="0"/>
        <w:ind w:left="0" w:right="0" w:hanging="0"/>
        <w:rPr>
          <w:sz w:val="4"/>
          <w:szCs w:val="4"/>
        </w:rPr>
      </w:pPr>
      <w:r>
        <w:rPr>
          <w:sz w:val="4"/>
          <w:szCs w:val="4"/>
        </w:rPr>
      </w:r>
      <w:bookmarkStart w:id="30" w:name="toc_de45301_1"/>
      <w:bookmarkStart w:id="31" w:name="de45301_proposal_one__election_of_direct"/>
      <w:bookmarkStart w:id="32" w:name="toc_de45301_1"/>
      <w:bookmarkStart w:id="33" w:name="de45301_proposal_one__election_of_direct"/>
      <w:bookmarkEnd w:id="32"/>
      <w:bookmarkEnd w:id="33"/>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8" w:space="0" w:color="000000"/>
            </w:tcBorders>
            <w:shd w:fill="auto" w:val="clear"/>
            <w:vAlign w:val="center"/>
          </w:tcPr>
          <w:p>
            <w:pPr>
              <w:pStyle w:val="TableContents"/>
              <w:spacing w:before="0" w:after="0"/>
              <w:ind w:left="0" w:right="0" w:hanging="0"/>
              <w:jc w:val="left"/>
              <w:rPr>
                <w:rFonts w:ascii="arial" w:hAnsi="arial"/>
                <w:b/>
                <w:sz w:val="24"/>
              </w:rPr>
            </w:pPr>
            <w:r>
              <w:rPr>
                <w:rFonts w:ascii="arial" w:hAnsi="arial"/>
                <w:b/>
                <w:sz w:val="24"/>
              </w:rPr>
              <w:t xml:space="preserve">Proposal One: Election of Directors </w:t>
            </w:r>
          </w:p>
        </w:tc>
      </w:tr>
    </w:tbl>
    <w:p>
      <w:pPr>
        <w:pStyle w:val="TextBody"/>
        <w:rPr>
          <w:rFonts w:ascii="arial" w:hAnsi="arial"/>
          <w:sz w:val="20"/>
        </w:rPr>
      </w:pPr>
      <w:r>
        <w:rPr>
          <w:rFonts w:ascii="arial" w:hAnsi="arial"/>
          <w:sz w:val="20"/>
        </w:rPr>
        <w:t xml:space="preserve">Our Articles of Incorporation provide that our Board of Directors shall consist of no less than three (3) and no more than seven (7) members, with the exact number to be decided by our shareholders. </w:t>
      </w:r>
    </w:p>
    <w:p>
      <w:pPr>
        <w:pStyle w:val="TextBody"/>
        <w:rPr>
          <w:rFonts w:ascii="arial" w:hAnsi="arial"/>
          <w:sz w:val="20"/>
        </w:rPr>
      </w:pPr>
      <w:r>
        <w:rPr>
          <w:rFonts w:ascii="arial" w:hAnsi="arial"/>
          <w:sz w:val="20"/>
        </w:rPr>
        <w:t xml:space="preserve">We are proposing the four (4) nominees listed below for election as Directors at the Annual Meeting until the next annual meeting of shareholders or until their respective successors have been elected and qualified, subject to their earlier death, resignation or removal. </w:t>
      </w:r>
    </w:p>
    <w:p>
      <w:pPr>
        <w:pStyle w:val="TextBody"/>
        <w:rPr>
          <w:rFonts w:ascii="arial" w:hAnsi="arial"/>
          <w:sz w:val="20"/>
        </w:rPr>
      </w:pPr>
      <w:r>
        <w:rPr>
          <w:rFonts w:ascii="arial" w:hAnsi="arial"/>
          <w:sz w:val="20"/>
        </w:rPr>
        <w:t xml:space="preserve">All nominees currently serve as our Directors. There are no arrangements or understandings between any nominee and any other person for selection as a nominee. </w:t>
      </w:r>
    </w:p>
    <w:p>
      <w:pPr>
        <w:pStyle w:val="TextBody"/>
        <w:rPr>
          <w:rFonts w:ascii="arial" w:hAnsi="arial"/>
          <w:sz w:val="20"/>
        </w:rPr>
      </w:pPr>
      <w:r>
        <w:rPr>
          <w:rFonts w:ascii="arial" w:hAnsi="arial"/>
          <w:sz w:val="20"/>
        </w:rPr>
        <w:t xml:space="preserve">If any nominee is unable or unwilling to stand for election at the time of the Annual Meeting, the shares represented by a validly executed proxy will be voted for the election of such other person as the Board of Directors may recommend in his place, unless the Board of Directors chooses to reduce the number of Directors serving on the Board. At this time, our Board of Directors knows of no reason why any of the nominees would not be able or willing to serve as Director if elected. </w:t>
      </w:r>
    </w:p>
    <w:p>
      <w:pPr>
        <w:pStyle w:val="TextBody"/>
        <w:rPr>
          <w:rFonts w:ascii="arial" w:hAnsi="arial"/>
          <w:sz w:val="20"/>
        </w:rPr>
      </w:pPr>
      <w:r>
        <w:rPr>
          <w:rFonts w:ascii="arial" w:hAnsi="arial"/>
          <w:sz w:val="20"/>
        </w:rPr>
        <w:t xml:space="preserve">The following table sets forth certain information concerning each of our nominees for Director: </w:t>
      </w:r>
    </w:p>
    <w:tbl>
      <w:tblPr>
        <w:tblW w:w="5000" w:type="pct"/>
        <w:jc w:val="center"/>
        <w:tblInd w:w="0" w:type="dxa"/>
        <w:tblCellMar>
          <w:top w:w="0" w:type="dxa"/>
          <w:left w:w="0" w:type="dxa"/>
          <w:bottom w:w="0" w:type="dxa"/>
          <w:right w:w="0" w:type="dxa"/>
        </w:tblCellMar>
      </w:tblPr>
      <w:tblGrid>
        <w:gridCol w:w="1919"/>
        <w:gridCol w:w="23"/>
        <w:gridCol w:w="440"/>
        <w:gridCol w:w="24"/>
        <w:gridCol w:w="188"/>
        <w:gridCol w:w="220"/>
        <w:gridCol w:w="220"/>
        <w:gridCol w:w="191"/>
        <w:gridCol w:w="23"/>
        <w:gridCol w:w="293"/>
        <w:gridCol w:w="293"/>
        <w:gridCol w:w="293"/>
        <w:gridCol w:w="296"/>
        <w:gridCol w:w="23"/>
        <w:gridCol w:w="210"/>
        <w:gridCol w:w="105"/>
        <w:gridCol w:w="499"/>
        <w:gridCol w:w="211"/>
        <w:gridCol w:w="90"/>
        <w:gridCol w:w="474"/>
        <w:gridCol w:w="236"/>
        <w:gridCol w:w="224"/>
        <w:gridCol w:w="92"/>
        <w:gridCol w:w="23"/>
        <w:gridCol w:w="342"/>
        <w:gridCol w:w="342"/>
        <w:gridCol w:w="342"/>
        <w:gridCol w:w="344"/>
        <w:gridCol w:w="23"/>
        <w:gridCol w:w="282"/>
        <w:gridCol w:w="282"/>
        <w:gridCol w:w="282"/>
        <w:gridCol w:w="284"/>
        <w:gridCol w:w="23"/>
        <w:gridCol w:w="256"/>
        <w:gridCol w:w="256"/>
        <w:gridCol w:w="256"/>
        <w:gridCol w:w="257"/>
        <w:gridCol w:w="24"/>
      </w:tblGrid>
      <w:tr>
        <w:trPr/>
        <w:tc>
          <w:tcPr>
            <w:tcW w:w="1919"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24"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4" w:type="dxa"/>
            <w:tcBorders/>
            <w:shd w:fill="auto" w:val="clear"/>
            <w:vAlign w:val="center"/>
          </w:tcPr>
          <w:p>
            <w:pPr>
              <w:pStyle w:val="TableContents"/>
              <w:spacing w:before="0" w:after="283"/>
              <w:rPr>
                <w:sz w:val="4"/>
                <w:szCs w:val="4"/>
              </w:rPr>
            </w:pPr>
            <w:r>
              <w:rPr>
                <w:sz w:val="4"/>
                <w:szCs w:val="4"/>
              </w:rPr>
            </w:r>
          </w:p>
        </w:tc>
      </w:tr>
      <w:tr>
        <w:trPr/>
        <w:tc>
          <w:tcPr>
            <w:tcW w:w="1919" w:type="dxa"/>
            <w:tcBorders/>
            <w:shd w:fill="auto" w:val="clear"/>
            <w:vAlign w:val="bottom"/>
          </w:tcPr>
          <w:p>
            <w:pPr>
              <w:pStyle w:val="TableHeading"/>
              <w:spacing w:before="0" w:after="283"/>
              <w:jc w:val="left"/>
              <w:rPr/>
            </w:pPr>
            <w:r>
              <w:rPr/>
              <w:t> </w:t>
            </w:r>
          </w:p>
        </w:tc>
        <w:tc>
          <w:tcPr>
            <w:tcW w:w="23" w:type="dxa"/>
            <w:tcBorders/>
            <w:shd w:fill="auto" w:val="clear"/>
            <w:vAlign w:val="bottom"/>
          </w:tcPr>
          <w:p>
            <w:pPr>
              <w:pStyle w:val="TableHeading"/>
              <w:suppressLineNumbers/>
              <w:spacing w:before="0" w:after="283"/>
              <w:jc w:val="center"/>
              <w:rPr/>
            </w:pPr>
            <w:r>
              <w:rPr/>
              <w:t>​</w:t>
            </w:r>
          </w:p>
        </w:tc>
        <w:tc>
          <w:tcPr>
            <w:tcW w:w="440" w:type="dxa"/>
            <w:tcBorders/>
            <w:shd w:fill="auto" w:val="clear"/>
            <w:vAlign w:val="bottom"/>
          </w:tcPr>
          <w:p>
            <w:pPr>
              <w:pStyle w:val="TableHeading"/>
              <w:spacing w:before="0" w:after="283"/>
              <w:jc w:val="left"/>
              <w:rPr/>
            </w:pPr>
            <w:r>
              <w:rPr/>
              <w:t> </w:t>
            </w:r>
          </w:p>
        </w:tc>
        <w:tc>
          <w:tcPr>
            <w:tcW w:w="24" w:type="dxa"/>
            <w:tcBorders/>
            <w:shd w:fill="auto" w:val="clear"/>
            <w:vAlign w:val="bottom"/>
          </w:tcPr>
          <w:p>
            <w:pPr>
              <w:pStyle w:val="TableHeading"/>
              <w:suppressLineNumbers/>
              <w:spacing w:before="0" w:after="283"/>
              <w:jc w:val="center"/>
              <w:rPr/>
            </w:pPr>
            <w:r>
              <w:rPr/>
              <w:t>​</w:t>
            </w:r>
          </w:p>
        </w:tc>
        <w:tc>
          <w:tcPr>
            <w:tcW w:w="819" w:type="dxa"/>
            <w:gridSpan w:val="4"/>
            <w:tcBorders/>
            <w:shd w:fill="auto" w:val="clear"/>
            <w:vAlign w:val="bottom"/>
          </w:tcPr>
          <w:p>
            <w:pPr>
              <w:pStyle w:val="TableHeading"/>
              <w:spacing w:before="0" w:after="283"/>
              <w:jc w:val="left"/>
              <w:rPr/>
            </w:pPr>
            <w:r>
              <w:rPr/>
              <w:t> </w:t>
            </w:r>
          </w:p>
        </w:tc>
        <w:tc>
          <w:tcPr>
            <w:tcW w:w="23" w:type="dxa"/>
            <w:tcBorders/>
            <w:shd w:fill="auto" w:val="clear"/>
            <w:vAlign w:val="bottom"/>
          </w:tcPr>
          <w:p>
            <w:pPr>
              <w:pStyle w:val="TableHeading"/>
              <w:suppressLineNumbers/>
              <w:spacing w:before="0" w:after="283"/>
              <w:jc w:val="center"/>
              <w:rPr/>
            </w:pPr>
            <w:r>
              <w:rPr/>
              <w:t>​</w:t>
            </w:r>
          </w:p>
        </w:tc>
        <w:tc>
          <w:tcPr>
            <w:tcW w:w="1175" w:type="dxa"/>
            <w:gridSpan w:val="4"/>
            <w:tcBorders/>
            <w:shd w:fill="auto" w:val="clear"/>
            <w:vAlign w:val="bottom"/>
          </w:tcPr>
          <w:p>
            <w:pPr>
              <w:pStyle w:val="TableHeading"/>
              <w:spacing w:before="0" w:after="283"/>
              <w:jc w:val="left"/>
              <w:rPr/>
            </w:pPr>
            <w:r>
              <w:rPr/>
              <w:t> </w:t>
            </w:r>
          </w:p>
        </w:tc>
        <w:tc>
          <w:tcPr>
            <w:tcW w:w="23" w:type="dxa"/>
            <w:tcBorders/>
            <w:shd w:fill="auto" w:val="clear"/>
            <w:vAlign w:val="bottom"/>
          </w:tcPr>
          <w:p>
            <w:pPr>
              <w:pStyle w:val="TableHeading"/>
              <w:suppressLineNumbers/>
              <w:spacing w:before="0" w:after="283"/>
              <w:jc w:val="center"/>
              <w:rPr/>
            </w:pPr>
            <w:r>
              <w:rPr/>
              <w:t>​</w:t>
            </w:r>
          </w:p>
        </w:tc>
        <w:tc>
          <w:tcPr>
            <w:tcW w:w="5735" w:type="dxa"/>
            <w:gridSpan w:val="24"/>
            <w:tcBorders>
              <w:bottom w:val="single" w:sz="8" w:space="0" w:color="000000"/>
            </w:tcBorders>
            <w:shd w:fill="auto" w:val="clear"/>
            <w:tcMar>
              <w:bottom w:w="28" w:type="dxa"/>
            </w:tcMar>
            <w:vAlign w:val="bottom"/>
          </w:tcPr>
          <w:p>
            <w:pPr>
              <w:pStyle w:val="TableHeading"/>
              <w:spacing w:before="0" w:after="283"/>
              <w:jc w:val="center"/>
              <w:rPr>
                <w:rFonts w:ascii="arial" w:hAnsi="arial"/>
                <w:b/>
                <w:sz w:val="20"/>
              </w:rPr>
            </w:pPr>
            <w:r>
              <w:rPr>
                <w:rFonts w:ascii="arial" w:hAnsi="arial"/>
                <w:b/>
                <w:sz w:val="20"/>
              </w:rPr>
              <w:t xml:space="preserve">Committee Memberships </w:t>
            </w:r>
          </w:p>
        </w:tc>
        <w:tc>
          <w:tcPr>
            <w:tcW w:w="24" w:type="dxa"/>
            <w:tcBorders/>
            <w:shd w:fill="auto" w:val="clear"/>
            <w:vAlign w:val="bottom"/>
          </w:tcPr>
          <w:p>
            <w:pPr>
              <w:pStyle w:val="TableHeading"/>
              <w:suppressLineNumbers/>
              <w:spacing w:before="0" w:after="283"/>
              <w:jc w:val="center"/>
              <w:rPr/>
            </w:pPr>
            <w:r>
              <w:rPr/>
              <w:t>​</w:t>
            </w:r>
          </w:p>
        </w:tc>
      </w:tr>
      <w:tr>
        <w:trPr/>
        <w:tc>
          <w:tcPr>
            <w:tcW w:w="1919" w:type="dxa"/>
            <w:tcBorders>
              <w:bottom w:val="single" w:sz="8" w:space="0" w:color="000000"/>
            </w:tcBorders>
            <w:shd w:fill="auto" w:val="clear"/>
            <w:tcMar>
              <w:bottom w:w="28" w:type="dxa"/>
            </w:tcMar>
            <w:vAlign w:val="bottom"/>
          </w:tcPr>
          <w:p>
            <w:pPr>
              <w:pStyle w:val="TableHeading"/>
              <w:spacing w:before="0" w:after="283"/>
              <w:jc w:val="center"/>
              <w:rPr>
                <w:rFonts w:ascii="arial" w:hAnsi="arial"/>
                <w:b/>
                <w:sz w:val="20"/>
              </w:rPr>
            </w:pPr>
            <w:r>
              <w:rPr>
                <w:rFonts w:ascii="arial" w:hAnsi="arial"/>
                <w:b/>
                <w:sz w:val="20"/>
              </w:rPr>
              <w:t xml:space="preserve">Name </w:t>
            </w:r>
          </w:p>
        </w:tc>
        <w:tc>
          <w:tcPr>
            <w:tcW w:w="23" w:type="dxa"/>
            <w:tcBorders/>
            <w:shd w:fill="auto" w:val="clear"/>
            <w:vAlign w:val="bottom"/>
          </w:tcPr>
          <w:p>
            <w:pPr>
              <w:pStyle w:val="TableHeading"/>
              <w:suppressLineNumbers/>
              <w:spacing w:before="0" w:after="283"/>
              <w:jc w:val="center"/>
              <w:rPr/>
            </w:pPr>
            <w:r>
              <w:rPr/>
              <w:t>​</w:t>
            </w:r>
          </w:p>
        </w:tc>
        <w:tc>
          <w:tcPr>
            <w:tcW w:w="440" w:type="dxa"/>
            <w:tcBorders>
              <w:bottom w:val="single" w:sz="8" w:space="0" w:color="000000"/>
            </w:tcBorders>
            <w:shd w:fill="auto" w:val="clear"/>
            <w:tcMar>
              <w:bottom w:w="28" w:type="dxa"/>
            </w:tcMar>
            <w:vAlign w:val="bottom"/>
          </w:tcPr>
          <w:p>
            <w:pPr>
              <w:pStyle w:val="TableHeading"/>
              <w:spacing w:before="0" w:after="283"/>
              <w:jc w:val="center"/>
              <w:rPr>
                <w:rFonts w:ascii="arial" w:hAnsi="arial"/>
                <w:b/>
                <w:sz w:val="20"/>
              </w:rPr>
            </w:pPr>
            <w:r>
              <w:rPr>
                <w:rFonts w:ascii="arial" w:hAnsi="arial"/>
                <w:b/>
                <w:sz w:val="20"/>
              </w:rPr>
              <w:t>Age</w:t>
            </w:r>
            <w:r>
              <w:rPr>
                <w:rFonts w:ascii="arial" w:hAnsi="arial"/>
                <w:b/>
                <w:position w:val="7"/>
                <w:sz w:val="16"/>
                <w:sz w:val="20"/>
              </w:rPr>
              <w:t>(1)</w:t>
            </w:r>
            <w:r>
              <w:rPr>
                <w:rFonts w:ascii="arial" w:hAnsi="arial"/>
                <w:b/>
                <w:sz w:val="20"/>
              </w:rPr>
              <w:t xml:space="preserve"> </w:t>
            </w:r>
          </w:p>
        </w:tc>
        <w:tc>
          <w:tcPr>
            <w:tcW w:w="24" w:type="dxa"/>
            <w:tcBorders/>
            <w:shd w:fill="auto" w:val="clear"/>
            <w:vAlign w:val="bottom"/>
          </w:tcPr>
          <w:p>
            <w:pPr>
              <w:pStyle w:val="TableHeading"/>
              <w:suppressLineNumbers/>
              <w:spacing w:before="0" w:after="283"/>
              <w:jc w:val="center"/>
              <w:rPr/>
            </w:pPr>
            <w:r>
              <w:rPr/>
              <w:t>​</w:t>
            </w:r>
          </w:p>
        </w:tc>
        <w:tc>
          <w:tcPr>
            <w:tcW w:w="819" w:type="dxa"/>
            <w:gridSpan w:val="4"/>
            <w:tcBorders>
              <w:bottom w:val="single" w:sz="8" w:space="0" w:color="000000"/>
            </w:tcBorders>
            <w:shd w:fill="auto" w:val="clear"/>
            <w:tcMar>
              <w:bottom w:w="28" w:type="dxa"/>
            </w:tcMar>
            <w:vAlign w:val="bottom"/>
          </w:tcPr>
          <w:p>
            <w:pPr>
              <w:pStyle w:val="TableHeading"/>
              <w:spacing w:before="0" w:after="283"/>
              <w:jc w:val="center"/>
              <w:rPr>
                <w:rFonts w:ascii="arial" w:hAnsi="arial"/>
                <w:b/>
                <w:sz w:val="20"/>
              </w:rPr>
            </w:pPr>
            <w:r>
              <w:rPr>
                <w:rFonts w:ascii="arial" w:hAnsi="arial"/>
                <w:b/>
                <w:sz w:val="20"/>
              </w:rPr>
              <w:t>Director</w:t>
              <w:br/>
              <w:t xml:space="preserve">Since </w:t>
            </w:r>
          </w:p>
        </w:tc>
        <w:tc>
          <w:tcPr>
            <w:tcW w:w="23" w:type="dxa"/>
            <w:tcBorders/>
            <w:shd w:fill="auto" w:val="clear"/>
            <w:vAlign w:val="bottom"/>
          </w:tcPr>
          <w:p>
            <w:pPr>
              <w:pStyle w:val="TableHeading"/>
              <w:suppressLineNumbers/>
              <w:spacing w:before="0" w:after="283"/>
              <w:jc w:val="center"/>
              <w:rPr/>
            </w:pPr>
            <w:r>
              <w:rPr/>
              <w:t>​</w:t>
            </w:r>
          </w:p>
        </w:tc>
        <w:tc>
          <w:tcPr>
            <w:tcW w:w="1175" w:type="dxa"/>
            <w:gridSpan w:val="4"/>
            <w:tcBorders>
              <w:bottom w:val="single" w:sz="8" w:space="0" w:color="000000"/>
            </w:tcBorders>
            <w:shd w:fill="auto" w:val="clear"/>
            <w:tcMar>
              <w:bottom w:w="28" w:type="dxa"/>
            </w:tcMar>
            <w:vAlign w:val="bottom"/>
          </w:tcPr>
          <w:p>
            <w:pPr>
              <w:pStyle w:val="TableHeading"/>
              <w:spacing w:before="0" w:after="283"/>
              <w:jc w:val="center"/>
              <w:rPr>
                <w:rFonts w:ascii="arial" w:hAnsi="arial"/>
                <w:b/>
                <w:sz w:val="20"/>
              </w:rPr>
            </w:pPr>
            <w:r>
              <w:rPr>
                <w:rFonts w:ascii="arial" w:hAnsi="arial"/>
                <w:b/>
                <w:sz w:val="20"/>
              </w:rPr>
              <w:t xml:space="preserve">Independent </w:t>
            </w:r>
          </w:p>
        </w:tc>
        <w:tc>
          <w:tcPr>
            <w:tcW w:w="23" w:type="dxa"/>
            <w:tcBorders/>
            <w:shd w:fill="auto" w:val="clear"/>
            <w:vAlign w:val="bottom"/>
          </w:tcPr>
          <w:p>
            <w:pPr>
              <w:pStyle w:val="TableHeading"/>
              <w:suppressLineNumbers/>
              <w:spacing w:before="0" w:after="283"/>
              <w:jc w:val="center"/>
              <w:rPr/>
            </w:pPr>
            <w:r>
              <w:rPr/>
              <w:t>​</w:t>
            </w:r>
          </w:p>
        </w:tc>
        <w:tc>
          <w:tcPr>
            <w:tcW w:w="1025" w:type="dxa"/>
            <w:gridSpan w:val="4"/>
            <w:tcBorders>
              <w:bottom w:val="single" w:sz="8" w:space="0" w:color="000000"/>
            </w:tcBorders>
            <w:shd w:fill="auto" w:val="clear"/>
            <w:tcMar>
              <w:bottom w:w="28" w:type="dxa"/>
            </w:tcMar>
            <w:vAlign w:val="bottom"/>
          </w:tcPr>
          <w:p>
            <w:pPr>
              <w:pStyle w:val="TableHeading"/>
              <w:spacing w:before="0" w:after="283"/>
              <w:jc w:val="center"/>
              <w:rPr>
                <w:rFonts w:ascii="arial" w:hAnsi="arial"/>
                <w:b/>
                <w:sz w:val="20"/>
              </w:rPr>
            </w:pPr>
            <w:r>
              <w:rPr>
                <w:rFonts w:ascii="arial" w:hAnsi="arial"/>
                <w:b/>
                <w:sz w:val="20"/>
              </w:rPr>
              <w:t>Executive</w:t>
              <w:br/>
              <w:t xml:space="preserve">Committee </w:t>
            </w:r>
          </w:p>
        </w:tc>
        <w:tc>
          <w:tcPr>
            <w:tcW w:w="90" w:type="dxa"/>
            <w:tcBorders/>
            <w:shd w:fill="auto" w:val="clear"/>
            <w:vAlign w:val="bottom"/>
          </w:tcPr>
          <w:p>
            <w:pPr>
              <w:pStyle w:val="TableHeading"/>
              <w:suppressLineNumbers/>
              <w:spacing w:before="0" w:after="283"/>
              <w:jc w:val="center"/>
              <w:rPr/>
            </w:pPr>
            <w:r>
              <w:rPr/>
              <w:t>​</w:t>
            </w:r>
          </w:p>
        </w:tc>
        <w:tc>
          <w:tcPr>
            <w:tcW w:w="1026" w:type="dxa"/>
            <w:gridSpan w:val="4"/>
            <w:tcBorders>
              <w:bottom w:val="single" w:sz="8" w:space="0" w:color="000000"/>
            </w:tcBorders>
            <w:shd w:fill="auto" w:val="clear"/>
            <w:tcMar>
              <w:bottom w:w="28" w:type="dxa"/>
            </w:tcMar>
            <w:vAlign w:val="bottom"/>
          </w:tcPr>
          <w:p>
            <w:pPr>
              <w:pStyle w:val="TableHeading"/>
              <w:spacing w:before="0" w:after="283"/>
              <w:jc w:val="center"/>
              <w:rPr>
                <w:rFonts w:ascii="arial" w:hAnsi="arial"/>
                <w:b/>
                <w:sz w:val="20"/>
              </w:rPr>
            </w:pPr>
            <w:r>
              <w:rPr>
                <w:rFonts w:ascii="arial" w:hAnsi="arial"/>
                <w:b/>
                <w:sz w:val="20"/>
              </w:rPr>
              <w:t>Audit</w:t>
              <w:br/>
              <w:t xml:space="preserve">Committee </w:t>
            </w:r>
          </w:p>
        </w:tc>
        <w:tc>
          <w:tcPr>
            <w:tcW w:w="23" w:type="dxa"/>
            <w:tcBorders/>
            <w:shd w:fill="auto" w:val="clear"/>
            <w:vAlign w:val="bottom"/>
          </w:tcPr>
          <w:p>
            <w:pPr>
              <w:pStyle w:val="TableHeading"/>
              <w:suppressLineNumbers/>
              <w:spacing w:before="0" w:after="283"/>
              <w:jc w:val="center"/>
              <w:rPr/>
            </w:pPr>
            <w:r>
              <w:rPr/>
              <w:t>​</w:t>
            </w:r>
          </w:p>
        </w:tc>
        <w:tc>
          <w:tcPr>
            <w:tcW w:w="1370" w:type="dxa"/>
            <w:gridSpan w:val="4"/>
            <w:tcBorders>
              <w:bottom w:val="single" w:sz="8" w:space="0" w:color="000000"/>
            </w:tcBorders>
            <w:shd w:fill="auto" w:val="clear"/>
            <w:tcMar>
              <w:bottom w:w="28" w:type="dxa"/>
            </w:tcMar>
            <w:vAlign w:val="bottom"/>
          </w:tcPr>
          <w:p>
            <w:pPr>
              <w:pStyle w:val="TableHeading"/>
              <w:spacing w:before="0" w:after="283"/>
              <w:jc w:val="center"/>
              <w:rPr>
                <w:rFonts w:ascii="arial" w:hAnsi="arial"/>
                <w:b/>
                <w:sz w:val="20"/>
              </w:rPr>
            </w:pPr>
            <w:r>
              <w:rPr>
                <w:rFonts w:ascii="arial" w:hAnsi="arial"/>
                <w:b/>
                <w:sz w:val="20"/>
              </w:rPr>
              <w:t>Compensation</w:t>
              <w:br/>
              <w:t xml:space="preserve">Committee </w:t>
            </w:r>
          </w:p>
        </w:tc>
        <w:tc>
          <w:tcPr>
            <w:tcW w:w="23" w:type="dxa"/>
            <w:tcBorders/>
            <w:shd w:fill="auto" w:val="clear"/>
            <w:vAlign w:val="bottom"/>
          </w:tcPr>
          <w:p>
            <w:pPr>
              <w:pStyle w:val="TableHeading"/>
              <w:suppressLineNumbers/>
              <w:spacing w:before="0" w:after="283"/>
              <w:jc w:val="center"/>
              <w:rPr/>
            </w:pPr>
            <w:r>
              <w:rPr/>
              <w:t>​</w:t>
            </w:r>
          </w:p>
        </w:tc>
        <w:tc>
          <w:tcPr>
            <w:tcW w:w="1130" w:type="dxa"/>
            <w:gridSpan w:val="4"/>
            <w:tcBorders>
              <w:bottom w:val="single" w:sz="8" w:space="0" w:color="000000"/>
            </w:tcBorders>
            <w:shd w:fill="auto" w:val="clear"/>
            <w:tcMar>
              <w:bottom w:w="28" w:type="dxa"/>
            </w:tcMar>
            <w:vAlign w:val="bottom"/>
          </w:tcPr>
          <w:p>
            <w:pPr>
              <w:pStyle w:val="TableHeading"/>
              <w:spacing w:before="0" w:after="283"/>
              <w:jc w:val="center"/>
              <w:rPr>
                <w:rFonts w:ascii="arial" w:hAnsi="arial"/>
                <w:b/>
                <w:sz w:val="20"/>
              </w:rPr>
            </w:pPr>
            <w:r>
              <w:rPr>
                <w:rFonts w:ascii="arial" w:hAnsi="arial"/>
                <w:b/>
                <w:sz w:val="20"/>
              </w:rPr>
              <w:t>Compliance</w:t>
              <w:br/>
              <w:t xml:space="preserve">Committee </w:t>
            </w:r>
          </w:p>
        </w:tc>
        <w:tc>
          <w:tcPr>
            <w:tcW w:w="23" w:type="dxa"/>
            <w:tcBorders/>
            <w:shd w:fill="auto" w:val="clear"/>
            <w:vAlign w:val="bottom"/>
          </w:tcPr>
          <w:p>
            <w:pPr>
              <w:pStyle w:val="TableHeading"/>
              <w:suppressLineNumbers/>
              <w:spacing w:before="0" w:after="283"/>
              <w:jc w:val="center"/>
              <w:rPr/>
            </w:pPr>
            <w:r>
              <w:rPr/>
              <w:t>​</w:t>
            </w:r>
          </w:p>
        </w:tc>
        <w:tc>
          <w:tcPr>
            <w:tcW w:w="1025" w:type="dxa"/>
            <w:gridSpan w:val="4"/>
            <w:tcBorders>
              <w:bottom w:val="single" w:sz="8" w:space="0" w:color="000000"/>
            </w:tcBorders>
            <w:shd w:fill="auto" w:val="clear"/>
            <w:tcMar>
              <w:bottom w:w="28" w:type="dxa"/>
            </w:tcMar>
            <w:vAlign w:val="bottom"/>
          </w:tcPr>
          <w:p>
            <w:pPr>
              <w:pStyle w:val="TableHeading"/>
              <w:spacing w:before="0" w:after="283"/>
              <w:jc w:val="center"/>
              <w:rPr>
                <w:rFonts w:ascii="arial" w:hAnsi="arial"/>
                <w:b/>
                <w:sz w:val="20"/>
              </w:rPr>
            </w:pPr>
            <w:r>
              <w:rPr>
                <w:rFonts w:ascii="arial" w:hAnsi="arial"/>
                <w:b/>
                <w:sz w:val="20"/>
              </w:rPr>
              <w:t>Nom/Gov</w:t>
              <w:br/>
              <w:t xml:space="preserve">Committee </w:t>
            </w:r>
          </w:p>
        </w:tc>
        <w:tc>
          <w:tcPr>
            <w:tcW w:w="24" w:type="dxa"/>
            <w:tcBorders/>
            <w:shd w:fill="auto" w:val="clear"/>
            <w:vAlign w:val="bottom"/>
          </w:tcPr>
          <w:p>
            <w:pPr>
              <w:pStyle w:val="TableHeading"/>
              <w:suppressLineNumbers/>
              <w:spacing w:before="0" w:after="283"/>
              <w:jc w:val="center"/>
              <w:rPr/>
            </w:pPr>
            <w:r>
              <w:rPr/>
              <w:t>​</w:t>
            </w:r>
          </w:p>
        </w:tc>
      </w:tr>
      <w:tr>
        <w:trPr/>
        <w:tc>
          <w:tcPr>
            <w:tcW w:w="1919" w:type="dxa"/>
            <w:tcBorders/>
            <w:shd w:fill="CCEEFF" w:val="clear"/>
            <w:vAlign w:val="bottom"/>
          </w:tcPr>
          <w:p>
            <w:pPr>
              <w:pStyle w:val="TableContents"/>
              <w:spacing w:before="0" w:after="283"/>
              <w:ind w:left="180" w:right="0" w:hanging="180"/>
              <w:rPr>
                <w:rFonts w:ascii="arial" w:hAnsi="arial"/>
                <w:sz w:val="20"/>
              </w:rPr>
            </w:pPr>
            <w:r>
              <w:rPr>
                <w:rFonts w:ascii="arial" w:hAnsi="arial"/>
                <w:sz w:val="20"/>
              </w:rPr>
              <w:t>Scott E. Burg</w:t>
            </w:r>
            <w:r>
              <w:rPr>
                <w:rFonts w:ascii="arial" w:hAnsi="arial"/>
                <w:position w:val="7"/>
                <w:sz w:val="16"/>
                <w:sz w:val="20"/>
              </w:rPr>
              <w:t>(2)</w:t>
            </w:r>
          </w:p>
        </w:tc>
        <w:tc>
          <w:tcPr>
            <w:tcW w:w="23" w:type="dxa"/>
            <w:tcBorders/>
            <w:shd w:fill="CCEEFF" w:val="clear"/>
            <w:vAlign w:val="bottom"/>
          </w:tcPr>
          <w:p>
            <w:pPr>
              <w:pStyle w:val="TableContents"/>
              <w:spacing w:before="0" w:after="283"/>
              <w:rPr/>
            </w:pPr>
            <w:r>
              <w:rPr/>
              <w:t>​</w:t>
            </w:r>
          </w:p>
        </w:tc>
        <w:tc>
          <w:tcPr>
            <w:tcW w:w="440" w:type="dxa"/>
            <w:tcBorders/>
            <w:shd w:fill="CCEEFF" w:val="clear"/>
            <w:vAlign w:val="bottom"/>
          </w:tcPr>
          <w:p>
            <w:pPr>
              <w:pStyle w:val="TableContents"/>
              <w:spacing w:before="0" w:after="283"/>
              <w:jc w:val="center"/>
              <w:rPr>
                <w:rFonts w:ascii="arial" w:hAnsi="arial"/>
                <w:sz w:val="20"/>
              </w:rPr>
            </w:pPr>
            <w:r>
              <w:rPr>
                <w:rFonts w:ascii="arial" w:hAnsi="arial"/>
                <w:sz w:val="20"/>
              </w:rPr>
              <w:t>42</w:t>
            </w:r>
          </w:p>
        </w:tc>
        <w:tc>
          <w:tcPr>
            <w:tcW w:w="24" w:type="dxa"/>
            <w:tcBorders/>
            <w:shd w:fill="CCEEFF" w:val="clear"/>
            <w:vAlign w:val="bottom"/>
          </w:tcPr>
          <w:p>
            <w:pPr>
              <w:pStyle w:val="TableContents"/>
              <w:spacing w:before="0" w:after="283"/>
              <w:rPr/>
            </w:pPr>
            <w:r>
              <w:rPr/>
              <w:t>​</w:t>
            </w:r>
          </w:p>
        </w:tc>
        <w:tc>
          <w:tcPr>
            <w:tcW w:w="188" w:type="dxa"/>
            <w:tcBorders/>
            <w:shd w:fill="CCEEFF" w:val="clear"/>
            <w:vAlign w:val="bottom"/>
          </w:tcPr>
          <w:p>
            <w:pPr>
              <w:pStyle w:val="TableContents"/>
              <w:spacing w:before="0" w:after="283"/>
              <w:rPr/>
            </w:pPr>
            <w:r>
              <w:rPr/>
              <w:t>​</w:t>
            </w:r>
          </w:p>
        </w:tc>
        <w:tc>
          <w:tcPr>
            <w:tcW w:w="440" w:type="dxa"/>
            <w:gridSpan w:val="2"/>
            <w:tcBorders/>
            <w:shd w:fill="CCEEFF" w:val="clear"/>
            <w:vAlign w:val="bottom"/>
          </w:tcPr>
          <w:p>
            <w:pPr>
              <w:pStyle w:val="TableContents"/>
              <w:spacing w:before="0" w:after="283"/>
              <w:jc w:val="center"/>
              <w:rPr>
                <w:rFonts w:ascii="arial" w:hAnsi="arial"/>
                <w:sz w:val="20"/>
              </w:rPr>
            </w:pPr>
            <w:r>
              <w:rPr>
                <w:rFonts w:ascii="arial" w:hAnsi="arial"/>
                <w:sz w:val="20"/>
              </w:rPr>
              <w:t>2018</w:t>
            </w:r>
          </w:p>
        </w:tc>
        <w:tc>
          <w:tcPr>
            <w:tcW w:w="191" w:type="dxa"/>
            <w:tcBorders/>
            <w:shd w:fill="CCEEFF" w:val="clear"/>
            <w:vAlign w:val="bottom"/>
          </w:tcPr>
          <w:p>
            <w:pPr>
              <w:pStyle w:val="TableContents"/>
              <w:spacing w:before="0" w:after="283"/>
              <w:rPr/>
            </w:pPr>
            <w:r>
              <w:rPr/>
              <w:t>​</w:t>
            </w:r>
          </w:p>
        </w:tc>
        <w:tc>
          <w:tcPr>
            <w:tcW w:w="23" w:type="dxa"/>
            <w:tcBorders/>
            <w:shd w:fill="CCEEFF" w:val="clear"/>
            <w:vAlign w:val="bottom"/>
          </w:tcPr>
          <w:p>
            <w:pPr>
              <w:pStyle w:val="TableContents"/>
              <w:spacing w:before="0" w:after="283"/>
              <w:rPr/>
            </w:pPr>
            <w:r>
              <w:rPr/>
              <w:t>​</w:t>
            </w:r>
          </w:p>
        </w:tc>
        <w:tc>
          <w:tcPr>
            <w:tcW w:w="293" w:type="dxa"/>
            <w:tcBorders/>
            <w:shd w:fill="CCEEFF" w:val="clear"/>
            <w:vAlign w:val="bottom"/>
          </w:tcPr>
          <w:p>
            <w:pPr>
              <w:pStyle w:val="TableContents"/>
              <w:spacing w:before="0" w:after="283"/>
              <w:rPr/>
            </w:pPr>
            <w:r>
              <w:rPr/>
              <w:t>​</w:t>
            </w:r>
          </w:p>
        </w:tc>
        <w:tc>
          <w:tcPr>
            <w:tcW w:w="586" w:type="dxa"/>
            <w:gridSpan w:val="2"/>
            <w:tcBorders/>
            <w:shd w:fill="CCEEFF" w:val="clear"/>
            <w:vAlign w:val="bottom"/>
          </w:tcPr>
          <w:p>
            <w:pPr>
              <w:pStyle w:val="TableContents"/>
              <w:spacing w:before="0" w:after="283"/>
              <w:jc w:val="center"/>
              <w:rPr/>
            </w:pPr>
            <w:r>
              <w:rPr/>
              <w:drawing>
                <wp:inline distT="0" distB="0" distL="0" distR="0">
                  <wp:extent cx="95250" cy="1143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5250" cy="114300"/>
                          </a:xfrm>
                          <a:prstGeom prst="rect">
                            <a:avLst/>
                          </a:prstGeom>
                        </pic:spPr>
                      </pic:pic>
                    </a:graphicData>
                  </a:graphic>
                </wp:inline>
              </w:drawing>
            </w:r>
            <w:r>
              <w:rPr/>
              <w:t xml:space="preserve"> </w:t>
            </w:r>
          </w:p>
        </w:tc>
        <w:tc>
          <w:tcPr>
            <w:tcW w:w="296" w:type="dxa"/>
            <w:tcBorders/>
            <w:shd w:fill="CCEEFF" w:val="clear"/>
            <w:vAlign w:val="bottom"/>
          </w:tcPr>
          <w:p>
            <w:pPr>
              <w:pStyle w:val="TableContents"/>
              <w:spacing w:before="0" w:after="283"/>
              <w:rPr/>
            </w:pPr>
            <w:r>
              <w:rPr/>
              <w:t>​</w:t>
            </w:r>
          </w:p>
        </w:tc>
        <w:tc>
          <w:tcPr>
            <w:tcW w:w="23" w:type="dxa"/>
            <w:tcBorders/>
            <w:shd w:fill="CCEEFF" w:val="clear"/>
            <w:vAlign w:val="bottom"/>
          </w:tcPr>
          <w:p>
            <w:pPr>
              <w:pStyle w:val="TableContents"/>
              <w:spacing w:before="0" w:after="283"/>
              <w:rPr/>
            </w:pPr>
            <w:r>
              <w:rPr/>
              <w:t>​</w:t>
            </w:r>
          </w:p>
        </w:tc>
        <w:tc>
          <w:tcPr>
            <w:tcW w:w="210" w:type="dxa"/>
            <w:tcBorders/>
            <w:shd w:fill="CCEEFF" w:val="clear"/>
            <w:vAlign w:val="bottom"/>
          </w:tcPr>
          <w:p>
            <w:pPr>
              <w:pStyle w:val="TableContents"/>
              <w:spacing w:before="0" w:after="283"/>
              <w:rPr/>
            </w:pPr>
            <w:r>
              <w:rPr/>
              <w:t>​</w:t>
            </w:r>
          </w:p>
        </w:tc>
        <w:tc>
          <w:tcPr>
            <w:tcW w:w="604" w:type="dxa"/>
            <w:gridSpan w:val="2"/>
            <w:tcBorders/>
            <w:shd w:fill="CCEEFF" w:val="clear"/>
            <w:vAlign w:val="bottom"/>
          </w:tcPr>
          <w:p>
            <w:pPr>
              <w:pStyle w:val="TableContents"/>
              <w:spacing w:before="0" w:after="283"/>
              <w:jc w:val="center"/>
              <w:rPr/>
            </w:pPr>
            <w:r>
              <w:rPr/>
              <w:t> </w:t>
            </w:r>
          </w:p>
        </w:tc>
        <w:tc>
          <w:tcPr>
            <w:tcW w:w="211" w:type="dxa"/>
            <w:tcBorders/>
            <w:shd w:fill="CCEEFF" w:val="clear"/>
            <w:vAlign w:val="bottom"/>
          </w:tcPr>
          <w:p>
            <w:pPr>
              <w:pStyle w:val="TableContents"/>
              <w:spacing w:before="0" w:after="283"/>
              <w:rPr/>
            </w:pPr>
            <w:r>
              <w:rPr/>
              <w:t>​</w:t>
            </w:r>
          </w:p>
        </w:tc>
        <w:tc>
          <w:tcPr>
            <w:tcW w:w="90" w:type="dxa"/>
            <w:tcBorders/>
            <w:shd w:fill="CCEEFF" w:val="clear"/>
            <w:vAlign w:val="bottom"/>
          </w:tcPr>
          <w:p>
            <w:pPr>
              <w:pStyle w:val="TableContents"/>
              <w:spacing w:before="0" w:after="283"/>
              <w:rPr/>
            </w:pPr>
            <w:r>
              <w:rPr/>
              <w:t>​</w:t>
            </w:r>
          </w:p>
        </w:tc>
        <w:tc>
          <w:tcPr>
            <w:tcW w:w="474" w:type="dxa"/>
            <w:tcBorders/>
            <w:shd w:fill="CCEEFF" w:val="clear"/>
            <w:vAlign w:val="bottom"/>
          </w:tcPr>
          <w:p>
            <w:pPr>
              <w:pStyle w:val="TableContents"/>
              <w:spacing w:before="0" w:after="283"/>
              <w:rPr/>
            </w:pPr>
            <w:r>
              <w:rPr/>
              <w:t>​</w:t>
            </w:r>
          </w:p>
        </w:tc>
        <w:tc>
          <w:tcPr>
            <w:tcW w:w="460" w:type="dxa"/>
            <w:gridSpan w:val="2"/>
            <w:tcBorders/>
            <w:shd w:fill="CCEEFF" w:val="clear"/>
            <w:vAlign w:val="bottom"/>
          </w:tcPr>
          <w:p>
            <w:pPr>
              <w:pStyle w:val="TableContents"/>
              <w:spacing w:before="0" w:after="283"/>
              <w:jc w:val="center"/>
              <w:rPr/>
            </w:pPr>
            <w:r>
              <w:rPr/>
              <w:drawing>
                <wp:inline distT="0" distB="0" distL="0" distR="0">
                  <wp:extent cx="95250" cy="1143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95250" cy="114300"/>
                          </a:xfrm>
                          <a:prstGeom prst="rect">
                            <a:avLst/>
                          </a:prstGeom>
                        </pic:spPr>
                      </pic:pic>
                    </a:graphicData>
                  </a:graphic>
                </wp:inline>
              </w:drawing>
            </w:r>
            <w:r>
              <w:rPr/>
              <w:t xml:space="preserve"> </w:t>
            </w:r>
          </w:p>
        </w:tc>
        <w:tc>
          <w:tcPr>
            <w:tcW w:w="92" w:type="dxa"/>
            <w:tcBorders/>
            <w:shd w:fill="CCEEFF" w:val="clear"/>
            <w:vAlign w:val="bottom"/>
          </w:tcPr>
          <w:p>
            <w:pPr>
              <w:pStyle w:val="TableContents"/>
              <w:spacing w:before="0" w:after="283"/>
              <w:rPr/>
            </w:pPr>
            <w:r>
              <w:rPr/>
              <w:t>​</w:t>
            </w:r>
          </w:p>
        </w:tc>
        <w:tc>
          <w:tcPr>
            <w:tcW w:w="23" w:type="dxa"/>
            <w:tcBorders/>
            <w:shd w:fill="CCEEFF" w:val="clear"/>
            <w:vAlign w:val="bottom"/>
          </w:tcPr>
          <w:p>
            <w:pPr>
              <w:pStyle w:val="TableContents"/>
              <w:spacing w:before="0" w:after="283"/>
              <w:rPr/>
            </w:pPr>
            <w:r>
              <w:rPr/>
              <w:t>​</w:t>
            </w:r>
          </w:p>
        </w:tc>
        <w:tc>
          <w:tcPr>
            <w:tcW w:w="342" w:type="dxa"/>
            <w:tcBorders/>
            <w:shd w:fill="CCEEFF" w:val="clear"/>
            <w:vAlign w:val="bottom"/>
          </w:tcPr>
          <w:p>
            <w:pPr>
              <w:pStyle w:val="TableContents"/>
              <w:spacing w:before="0" w:after="283"/>
              <w:rPr/>
            </w:pPr>
            <w:r>
              <w:rPr/>
              <w:t>​</w:t>
            </w:r>
          </w:p>
        </w:tc>
        <w:tc>
          <w:tcPr>
            <w:tcW w:w="684" w:type="dxa"/>
            <w:gridSpan w:val="2"/>
            <w:tcBorders/>
            <w:shd w:fill="CCEEFF" w:val="clear"/>
            <w:vAlign w:val="bottom"/>
          </w:tcPr>
          <w:p>
            <w:pPr>
              <w:pStyle w:val="TableContents"/>
              <w:spacing w:before="0" w:after="283"/>
              <w:jc w:val="center"/>
              <w:rPr/>
            </w:pPr>
            <w:r>
              <w:rPr/>
              <w:drawing>
                <wp:inline distT="0" distB="0" distL="0" distR="0">
                  <wp:extent cx="95250" cy="1143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95250" cy="114300"/>
                          </a:xfrm>
                          <a:prstGeom prst="rect">
                            <a:avLst/>
                          </a:prstGeom>
                        </pic:spPr>
                      </pic:pic>
                    </a:graphicData>
                  </a:graphic>
                </wp:inline>
              </w:drawing>
            </w:r>
            <w:r>
              <w:rPr/>
              <w:t xml:space="preserve"> </w:t>
            </w:r>
            <w:r>
              <w:rPr>
                <w:rFonts w:ascii="arial" w:hAnsi="arial"/>
                <w:position w:val="7"/>
                <w:sz w:val="16"/>
                <w:sz w:val="20"/>
              </w:rPr>
              <w:t>(4)</w:t>
            </w:r>
          </w:p>
        </w:tc>
        <w:tc>
          <w:tcPr>
            <w:tcW w:w="344" w:type="dxa"/>
            <w:tcBorders/>
            <w:shd w:fill="CCEEFF" w:val="clear"/>
            <w:vAlign w:val="bottom"/>
          </w:tcPr>
          <w:p>
            <w:pPr>
              <w:pStyle w:val="TableContents"/>
              <w:spacing w:before="0" w:after="283"/>
              <w:rPr/>
            </w:pPr>
            <w:r>
              <w:rPr/>
              <w:t>​</w:t>
            </w:r>
          </w:p>
        </w:tc>
        <w:tc>
          <w:tcPr>
            <w:tcW w:w="23" w:type="dxa"/>
            <w:tcBorders/>
            <w:shd w:fill="CCEEFF" w:val="clear"/>
            <w:vAlign w:val="bottom"/>
          </w:tcPr>
          <w:p>
            <w:pPr>
              <w:pStyle w:val="TableContents"/>
              <w:spacing w:before="0" w:after="283"/>
              <w:rPr/>
            </w:pPr>
            <w:r>
              <w:rPr/>
              <w:t>​</w:t>
            </w:r>
          </w:p>
        </w:tc>
        <w:tc>
          <w:tcPr>
            <w:tcW w:w="282" w:type="dxa"/>
            <w:tcBorders/>
            <w:shd w:fill="CCEEFF" w:val="clear"/>
            <w:vAlign w:val="bottom"/>
          </w:tcPr>
          <w:p>
            <w:pPr>
              <w:pStyle w:val="TableContents"/>
              <w:spacing w:before="0" w:after="283"/>
              <w:rPr/>
            </w:pPr>
            <w:r>
              <w:rPr/>
              <w:t>​</w:t>
            </w:r>
          </w:p>
        </w:tc>
        <w:tc>
          <w:tcPr>
            <w:tcW w:w="564" w:type="dxa"/>
            <w:gridSpan w:val="2"/>
            <w:tcBorders/>
            <w:shd w:fill="CCEEFF" w:val="clear"/>
            <w:vAlign w:val="bottom"/>
          </w:tcPr>
          <w:p>
            <w:pPr>
              <w:pStyle w:val="TableContents"/>
              <w:spacing w:before="0" w:after="283"/>
              <w:jc w:val="center"/>
              <w:rPr/>
            </w:pPr>
            <w:r>
              <w:rPr/>
              <w:drawing>
                <wp:inline distT="0" distB="0" distL="0" distR="0">
                  <wp:extent cx="95250" cy="11430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95250" cy="114300"/>
                          </a:xfrm>
                          <a:prstGeom prst="rect">
                            <a:avLst/>
                          </a:prstGeom>
                        </pic:spPr>
                      </pic:pic>
                    </a:graphicData>
                  </a:graphic>
                </wp:inline>
              </w:drawing>
            </w:r>
            <w:r>
              <w:rPr/>
              <w:t xml:space="preserve"> </w:t>
            </w:r>
          </w:p>
        </w:tc>
        <w:tc>
          <w:tcPr>
            <w:tcW w:w="284" w:type="dxa"/>
            <w:tcBorders/>
            <w:shd w:fill="CCEEFF" w:val="clear"/>
            <w:vAlign w:val="bottom"/>
          </w:tcPr>
          <w:p>
            <w:pPr>
              <w:pStyle w:val="TableContents"/>
              <w:spacing w:before="0" w:after="283"/>
              <w:rPr/>
            </w:pPr>
            <w:r>
              <w:rPr/>
              <w:t>​</w:t>
            </w:r>
          </w:p>
        </w:tc>
        <w:tc>
          <w:tcPr>
            <w:tcW w:w="23" w:type="dxa"/>
            <w:tcBorders/>
            <w:shd w:fill="CCEEFF" w:val="clear"/>
            <w:vAlign w:val="bottom"/>
          </w:tcPr>
          <w:p>
            <w:pPr>
              <w:pStyle w:val="TableContents"/>
              <w:spacing w:before="0" w:after="283"/>
              <w:rPr/>
            </w:pPr>
            <w:r>
              <w:rPr/>
              <w:t>​</w:t>
            </w:r>
          </w:p>
        </w:tc>
        <w:tc>
          <w:tcPr>
            <w:tcW w:w="256" w:type="dxa"/>
            <w:tcBorders/>
            <w:shd w:fill="CCEEFF" w:val="clear"/>
            <w:vAlign w:val="bottom"/>
          </w:tcPr>
          <w:p>
            <w:pPr>
              <w:pStyle w:val="TableContents"/>
              <w:spacing w:before="0" w:after="283"/>
              <w:rPr/>
            </w:pPr>
            <w:r>
              <w:rPr/>
              <w:t>​</w:t>
            </w:r>
          </w:p>
        </w:tc>
        <w:tc>
          <w:tcPr>
            <w:tcW w:w="512" w:type="dxa"/>
            <w:gridSpan w:val="2"/>
            <w:tcBorders/>
            <w:shd w:fill="CCEEFF" w:val="clear"/>
            <w:vAlign w:val="bottom"/>
          </w:tcPr>
          <w:p>
            <w:pPr>
              <w:pStyle w:val="TableContents"/>
              <w:spacing w:before="0" w:after="283"/>
              <w:jc w:val="center"/>
              <w:rPr/>
            </w:pPr>
            <w:r>
              <w:rPr/>
              <w:drawing>
                <wp:inline distT="0" distB="0" distL="0" distR="0">
                  <wp:extent cx="95250" cy="11430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95250" cy="114300"/>
                          </a:xfrm>
                          <a:prstGeom prst="rect">
                            <a:avLst/>
                          </a:prstGeom>
                        </pic:spPr>
                      </pic:pic>
                    </a:graphicData>
                  </a:graphic>
                </wp:inline>
              </w:drawing>
            </w:r>
            <w:r>
              <w:rPr/>
              <w:t xml:space="preserve"> </w:t>
            </w:r>
          </w:p>
        </w:tc>
        <w:tc>
          <w:tcPr>
            <w:tcW w:w="257" w:type="dxa"/>
            <w:tcBorders/>
            <w:shd w:fill="CCEEFF" w:val="clear"/>
            <w:vAlign w:val="bottom"/>
          </w:tcPr>
          <w:p>
            <w:pPr>
              <w:pStyle w:val="TableContents"/>
              <w:spacing w:before="0" w:after="283"/>
              <w:rPr/>
            </w:pPr>
            <w:r>
              <w:rPr/>
              <w:t>​</w:t>
            </w:r>
          </w:p>
        </w:tc>
        <w:tc>
          <w:tcPr>
            <w:tcW w:w="24" w:type="dxa"/>
            <w:tcBorders/>
            <w:shd w:fill="CCEEFF" w:val="clear"/>
            <w:vAlign w:val="bottom"/>
          </w:tcPr>
          <w:p>
            <w:pPr>
              <w:pStyle w:val="TableContents"/>
              <w:spacing w:before="0" w:after="283"/>
              <w:rPr/>
            </w:pPr>
            <w:r>
              <w:rPr/>
              <w:t>​</w:t>
            </w:r>
          </w:p>
        </w:tc>
      </w:tr>
      <w:tr>
        <w:trPr/>
        <w:tc>
          <w:tcPr>
            <w:tcW w:w="1919" w:type="dxa"/>
            <w:tcBorders/>
            <w:shd w:fill="FFFFFF" w:val="clear"/>
            <w:vAlign w:val="bottom"/>
          </w:tcPr>
          <w:p>
            <w:pPr>
              <w:pStyle w:val="TableContents"/>
              <w:spacing w:before="0" w:after="283"/>
              <w:ind w:left="180" w:right="0" w:hanging="180"/>
              <w:rPr>
                <w:rFonts w:ascii="arial" w:hAnsi="arial"/>
                <w:sz w:val="20"/>
              </w:rPr>
            </w:pPr>
            <w:r>
              <w:rPr>
                <w:rFonts w:ascii="arial" w:hAnsi="arial"/>
                <w:sz w:val="20"/>
              </w:rPr>
              <w:t>Joseph L. Morettini</w:t>
            </w:r>
          </w:p>
        </w:tc>
        <w:tc>
          <w:tcPr>
            <w:tcW w:w="23" w:type="dxa"/>
            <w:tcBorders/>
            <w:shd w:fill="FFFFFF" w:val="clear"/>
            <w:vAlign w:val="bottom"/>
          </w:tcPr>
          <w:p>
            <w:pPr>
              <w:pStyle w:val="TableContents"/>
              <w:spacing w:before="0" w:after="283"/>
              <w:rPr/>
            </w:pPr>
            <w:r>
              <w:rPr/>
              <w:t>​</w:t>
            </w:r>
          </w:p>
        </w:tc>
        <w:tc>
          <w:tcPr>
            <w:tcW w:w="440" w:type="dxa"/>
            <w:tcBorders/>
            <w:shd w:fill="FFFFFF" w:val="clear"/>
            <w:vAlign w:val="bottom"/>
          </w:tcPr>
          <w:p>
            <w:pPr>
              <w:pStyle w:val="TableContents"/>
              <w:spacing w:before="0" w:after="283"/>
              <w:jc w:val="center"/>
              <w:rPr>
                <w:rFonts w:ascii="arial" w:hAnsi="arial"/>
                <w:sz w:val="20"/>
              </w:rPr>
            </w:pPr>
            <w:r>
              <w:rPr>
                <w:rFonts w:ascii="arial" w:hAnsi="arial"/>
                <w:sz w:val="20"/>
              </w:rPr>
              <w:t>68</w:t>
            </w:r>
          </w:p>
        </w:tc>
        <w:tc>
          <w:tcPr>
            <w:tcW w:w="24" w:type="dxa"/>
            <w:tcBorders/>
            <w:shd w:fill="FFFFFF" w:val="clear"/>
            <w:vAlign w:val="bottom"/>
          </w:tcPr>
          <w:p>
            <w:pPr>
              <w:pStyle w:val="TableContents"/>
              <w:spacing w:before="0" w:after="283"/>
              <w:rPr/>
            </w:pPr>
            <w:r>
              <w:rPr/>
              <w:t>​</w:t>
            </w:r>
          </w:p>
        </w:tc>
        <w:tc>
          <w:tcPr>
            <w:tcW w:w="188" w:type="dxa"/>
            <w:tcBorders/>
            <w:shd w:fill="FFFFFF" w:val="clear"/>
            <w:vAlign w:val="bottom"/>
          </w:tcPr>
          <w:p>
            <w:pPr>
              <w:pStyle w:val="TableContents"/>
              <w:spacing w:before="0" w:after="283"/>
              <w:rPr/>
            </w:pPr>
            <w:r>
              <w:rPr/>
              <w:t>​</w:t>
            </w:r>
          </w:p>
        </w:tc>
        <w:tc>
          <w:tcPr>
            <w:tcW w:w="440" w:type="dxa"/>
            <w:gridSpan w:val="2"/>
            <w:tcBorders/>
            <w:shd w:fill="FFFFFF" w:val="clear"/>
            <w:vAlign w:val="bottom"/>
          </w:tcPr>
          <w:p>
            <w:pPr>
              <w:pStyle w:val="TableContents"/>
              <w:spacing w:before="0" w:after="283"/>
              <w:jc w:val="center"/>
              <w:rPr>
                <w:rFonts w:ascii="arial" w:hAnsi="arial"/>
                <w:sz w:val="20"/>
              </w:rPr>
            </w:pPr>
            <w:r>
              <w:rPr>
                <w:rFonts w:ascii="arial" w:hAnsi="arial"/>
                <w:sz w:val="20"/>
              </w:rPr>
              <w:t>2017</w:t>
            </w:r>
          </w:p>
        </w:tc>
        <w:tc>
          <w:tcPr>
            <w:tcW w:w="191" w:type="dxa"/>
            <w:tcBorders/>
            <w:shd w:fill="FFFFFF" w:val="clear"/>
            <w:vAlign w:val="bottom"/>
          </w:tcPr>
          <w:p>
            <w:pPr>
              <w:pStyle w:val="TableContents"/>
              <w:spacing w:before="0" w:after="283"/>
              <w:rPr/>
            </w:pPr>
            <w:r>
              <w:rPr/>
              <w:t>​</w:t>
            </w:r>
          </w:p>
        </w:tc>
        <w:tc>
          <w:tcPr>
            <w:tcW w:w="23" w:type="dxa"/>
            <w:tcBorders/>
            <w:shd w:fill="FFFFFF" w:val="clear"/>
            <w:vAlign w:val="bottom"/>
          </w:tcPr>
          <w:p>
            <w:pPr>
              <w:pStyle w:val="TableContents"/>
              <w:spacing w:before="0" w:after="283"/>
              <w:rPr/>
            </w:pPr>
            <w:r>
              <w:rPr/>
              <w:t>​</w:t>
            </w:r>
          </w:p>
        </w:tc>
        <w:tc>
          <w:tcPr>
            <w:tcW w:w="293" w:type="dxa"/>
            <w:tcBorders/>
            <w:shd w:fill="FFFFFF" w:val="clear"/>
            <w:vAlign w:val="bottom"/>
          </w:tcPr>
          <w:p>
            <w:pPr>
              <w:pStyle w:val="TableContents"/>
              <w:spacing w:before="0" w:after="283"/>
              <w:rPr/>
            </w:pPr>
            <w:r>
              <w:rPr/>
              <w:t>​</w:t>
            </w:r>
          </w:p>
        </w:tc>
        <w:tc>
          <w:tcPr>
            <w:tcW w:w="586" w:type="dxa"/>
            <w:gridSpan w:val="2"/>
            <w:tcBorders/>
            <w:shd w:fill="FFFFFF" w:val="clear"/>
            <w:vAlign w:val="bottom"/>
          </w:tcPr>
          <w:p>
            <w:pPr>
              <w:pStyle w:val="TableContents"/>
              <w:spacing w:before="0" w:after="283"/>
              <w:jc w:val="center"/>
              <w:rPr/>
            </w:pPr>
            <w:r>
              <w:rPr/>
              <w:drawing>
                <wp:inline distT="0" distB="0" distL="0" distR="0">
                  <wp:extent cx="95250" cy="11430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95250" cy="114300"/>
                          </a:xfrm>
                          <a:prstGeom prst="rect">
                            <a:avLst/>
                          </a:prstGeom>
                        </pic:spPr>
                      </pic:pic>
                    </a:graphicData>
                  </a:graphic>
                </wp:inline>
              </w:drawing>
            </w:r>
            <w:r>
              <w:rPr/>
              <w:t xml:space="preserve"> </w:t>
            </w:r>
          </w:p>
        </w:tc>
        <w:tc>
          <w:tcPr>
            <w:tcW w:w="296" w:type="dxa"/>
            <w:tcBorders/>
            <w:shd w:fill="FFFFFF" w:val="clear"/>
            <w:vAlign w:val="bottom"/>
          </w:tcPr>
          <w:p>
            <w:pPr>
              <w:pStyle w:val="TableContents"/>
              <w:spacing w:before="0" w:after="283"/>
              <w:rPr/>
            </w:pPr>
            <w:r>
              <w:rPr/>
              <w:t>​</w:t>
            </w:r>
          </w:p>
        </w:tc>
        <w:tc>
          <w:tcPr>
            <w:tcW w:w="23" w:type="dxa"/>
            <w:tcBorders/>
            <w:shd w:fill="FFFFFF" w:val="clear"/>
            <w:vAlign w:val="bottom"/>
          </w:tcPr>
          <w:p>
            <w:pPr>
              <w:pStyle w:val="TableContents"/>
              <w:spacing w:before="0" w:after="283"/>
              <w:rPr/>
            </w:pPr>
            <w:r>
              <w:rPr/>
              <w:t>​</w:t>
            </w:r>
          </w:p>
        </w:tc>
        <w:tc>
          <w:tcPr>
            <w:tcW w:w="210" w:type="dxa"/>
            <w:tcBorders/>
            <w:shd w:fill="FFFFFF" w:val="clear"/>
            <w:vAlign w:val="bottom"/>
          </w:tcPr>
          <w:p>
            <w:pPr>
              <w:pStyle w:val="TableContents"/>
              <w:spacing w:before="0" w:after="283"/>
              <w:rPr/>
            </w:pPr>
            <w:r>
              <w:rPr/>
              <w:t>​</w:t>
            </w:r>
          </w:p>
        </w:tc>
        <w:tc>
          <w:tcPr>
            <w:tcW w:w="604" w:type="dxa"/>
            <w:gridSpan w:val="2"/>
            <w:tcBorders/>
            <w:shd w:fill="FFFFFF" w:val="clear"/>
            <w:vAlign w:val="bottom"/>
          </w:tcPr>
          <w:p>
            <w:pPr>
              <w:pStyle w:val="TableContents"/>
              <w:spacing w:before="0" w:after="283"/>
              <w:jc w:val="center"/>
              <w:rPr/>
            </w:pPr>
            <w:r>
              <w:rPr/>
              <w:t> </w:t>
            </w:r>
          </w:p>
        </w:tc>
        <w:tc>
          <w:tcPr>
            <w:tcW w:w="211" w:type="dxa"/>
            <w:tcBorders/>
            <w:shd w:fill="FFFFFF" w:val="clear"/>
            <w:vAlign w:val="bottom"/>
          </w:tcPr>
          <w:p>
            <w:pPr>
              <w:pStyle w:val="TableContents"/>
              <w:spacing w:before="0" w:after="283"/>
              <w:rPr/>
            </w:pPr>
            <w:r>
              <w:rPr/>
              <w:t>​</w:t>
            </w:r>
          </w:p>
        </w:tc>
        <w:tc>
          <w:tcPr>
            <w:tcW w:w="90" w:type="dxa"/>
            <w:tcBorders/>
            <w:shd w:fill="FFFFFF" w:val="clear"/>
            <w:vAlign w:val="bottom"/>
          </w:tcPr>
          <w:p>
            <w:pPr>
              <w:pStyle w:val="TableContents"/>
              <w:spacing w:before="0" w:after="283"/>
              <w:rPr/>
            </w:pPr>
            <w:r>
              <w:rPr/>
              <w:t>​</w:t>
            </w:r>
          </w:p>
        </w:tc>
        <w:tc>
          <w:tcPr>
            <w:tcW w:w="474" w:type="dxa"/>
            <w:tcBorders/>
            <w:shd w:fill="FFFFFF" w:val="clear"/>
            <w:vAlign w:val="bottom"/>
          </w:tcPr>
          <w:p>
            <w:pPr>
              <w:pStyle w:val="TableContents"/>
              <w:spacing w:before="0" w:after="283"/>
              <w:rPr/>
            </w:pPr>
            <w:r>
              <w:rPr/>
              <w:t>​</w:t>
            </w:r>
          </w:p>
        </w:tc>
        <w:tc>
          <w:tcPr>
            <w:tcW w:w="460" w:type="dxa"/>
            <w:gridSpan w:val="2"/>
            <w:tcBorders/>
            <w:shd w:fill="FFFFFF" w:val="clear"/>
            <w:vAlign w:val="bottom"/>
          </w:tcPr>
          <w:p>
            <w:pPr>
              <w:pStyle w:val="TableContents"/>
              <w:spacing w:before="0" w:after="283"/>
              <w:jc w:val="center"/>
              <w:rPr/>
            </w:pPr>
            <w:r>
              <w:rPr/>
              <w:drawing>
                <wp:inline distT="0" distB="0" distL="0" distR="0">
                  <wp:extent cx="95250" cy="11430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95250" cy="114300"/>
                          </a:xfrm>
                          <a:prstGeom prst="rect">
                            <a:avLst/>
                          </a:prstGeom>
                        </pic:spPr>
                      </pic:pic>
                    </a:graphicData>
                  </a:graphic>
                </wp:inline>
              </w:drawing>
            </w:r>
            <w:r>
              <w:rPr/>
              <w:t xml:space="preserve"> </w:t>
            </w:r>
          </w:p>
        </w:tc>
        <w:tc>
          <w:tcPr>
            <w:tcW w:w="92" w:type="dxa"/>
            <w:tcBorders/>
            <w:shd w:fill="FFFFFF" w:val="clear"/>
            <w:vAlign w:val="bottom"/>
          </w:tcPr>
          <w:p>
            <w:pPr>
              <w:pStyle w:val="TableContents"/>
              <w:spacing w:before="0" w:after="283"/>
              <w:rPr/>
            </w:pPr>
            <w:r>
              <w:rPr/>
              <w:t>​</w:t>
            </w:r>
          </w:p>
        </w:tc>
        <w:tc>
          <w:tcPr>
            <w:tcW w:w="23" w:type="dxa"/>
            <w:tcBorders/>
            <w:shd w:fill="FFFFFF" w:val="clear"/>
            <w:vAlign w:val="bottom"/>
          </w:tcPr>
          <w:p>
            <w:pPr>
              <w:pStyle w:val="TableContents"/>
              <w:spacing w:before="0" w:after="283"/>
              <w:rPr/>
            </w:pPr>
            <w:r>
              <w:rPr/>
              <w:t>​</w:t>
            </w:r>
          </w:p>
        </w:tc>
        <w:tc>
          <w:tcPr>
            <w:tcW w:w="342" w:type="dxa"/>
            <w:tcBorders/>
            <w:shd w:fill="FFFFFF" w:val="clear"/>
            <w:vAlign w:val="bottom"/>
          </w:tcPr>
          <w:p>
            <w:pPr>
              <w:pStyle w:val="TableContents"/>
              <w:spacing w:before="0" w:after="283"/>
              <w:rPr/>
            </w:pPr>
            <w:r>
              <w:rPr/>
              <w:t>​</w:t>
            </w:r>
          </w:p>
        </w:tc>
        <w:tc>
          <w:tcPr>
            <w:tcW w:w="684" w:type="dxa"/>
            <w:gridSpan w:val="2"/>
            <w:tcBorders/>
            <w:shd w:fill="FFFFFF" w:val="clear"/>
            <w:vAlign w:val="bottom"/>
          </w:tcPr>
          <w:p>
            <w:pPr>
              <w:pStyle w:val="TableContents"/>
              <w:spacing w:before="0" w:after="283"/>
              <w:jc w:val="center"/>
              <w:rPr/>
            </w:pPr>
            <w:r>
              <w:rPr/>
              <w:drawing>
                <wp:inline distT="0" distB="0" distL="0" distR="0">
                  <wp:extent cx="95250" cy="11430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95250" cy="114300"/>
                          </a:xfrm>
                          <a:prstGeom prst="rect">
                            <a:avLst/>
                          </a:prstGeom>
                        </pic:spPr>
                      </pic:pic>
                    </a:graphicData>
                  </a:graphic>
                </wp:inline>
              </w:drawing>
            </w:r>
            <w:r>
              <w:rPr/>
              <w:t xml:space="preserve"> </w:t>
            </w:r>
          </w:p>
        </w:tc>
        <w:tc>
          <w:tcPr>
            <w:tcW w:w="344" w:type="dxa"/>
            <w:tcBorders/>
            <w:shd w:fill="FFFFFF" w:val="clear"/>
            <w:vAlign w:val="bottom"/>
          </w:tcPr>
          <w:p>
            <w:pPr>
              <w:pStyle w:val="TableContents"/>
              <w:spacing w:before="0" w:after="283"/>
              <w:rPr/>
            </w:pPr>
            <w:r>
              <w:rPr/>
              <w:t>​</w:t>
            </w:r>
          </w:p>
        </w:tc>
        <w:tc>
          <w:tcPr>
            <w:tcW w:w="23" w:type="dxa"/>
            <w:tcBorders/>
            <w:shd w:fill="FFFFFF" w:val="clear"/>
            <w:vAlign w:val="bottom"/>
          </w:tcPr>
          <w:p>
            <w:pPr>
              <w:pStyle w:val="TableContents"/>
              <w:spacing w:before="0" w:after="283"/>
              <w:rPr/>
            </w:pPr>
            <w:r>
              <w:rPr/>
              <w:t>​</w:t>
            </w:r>
          </w:p>
        </w:tc>
        <w:tc>
          <w:tcPr>
            <w:tcW w:w="282" w:type="dxa"/>
            <w:tcBorders/>
            <w:shd w:fill="FFFFFF" w:val="clear"/>
            <w:vAlign w:val="bottom"/>
          </w:tcPr>
          <w:p>
            <w:pPr>
              <w:pStyle w:val="TableContents"/>
              <w:spacing w:before="0" w:after="283"/>
              <w:rPr/>
            </w:pPr>
            <w:r>
              <w:rPr/>
              <w:t>​</w:t>
            </w:r>
          </w:p>
        </w:tc>
        <w:tc>
          <w:tcPr>
            <w:tcW w:w="564" w:type="dxa"/>
            <w:gridSpan w:val="2"/>
            <w:tcBorders/>
            <w:shd w:fill="FFFFFF" w:val="clear"/>
            <w:vAlign w:val="bottom"/>
          </w:tcPr>
          <w:p>
            <w:pPr>
              <w:pStyle w:val="TableContents"/>
              <w:spacing w:before="0" w:after="283"/>
              <w:jc w:val="center"/>
              <w:rPr/>
            </w:pPr>
            <w:r>
              <w:rPr/>
              <w:drawing>
                <wp:inline distT="0" distB="0" distL="0" distR="0">
                  <wp:extent cx="95250" cy="11430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95250" cy="114300"/>
                          </a:xfrm>
                          <a:prstGeom prst="rect">
                            <a:avLst/>
                          </a:prstGeom>
                        </pic:spPr>
                      </pic:pic>
                    </a:graphicData>
                  </a:graphic>
                </wp:inline>
              </w:drawing>
            </w:r>
            <w:r>
              <w:rPr/>
              <w:t xml:space="preserve"> </w:t>
            </w:r>
            <w:r>
              <w:rPr>
                <w:rFonts w:ascii="arial" w:hAnsi="arial"/>
                <w:position w:val="7"/>
                <w:sz w:val="16"/>
                <w:sz w:val="20"/>
              </w:rPr>
              <w:t>(4)</w:t>
            </w:r>
          </w:p>
        </w:tc>
        <w:tc>
          <w:tcPr>
            <w:tcW w:w="284" w:type="dxa"/>
            <w:tcBorders/>
            <w:shd w:fill="FFFFFF" w:val="clear"/>
            <w:vAlign w:val="bottom"/>
          </w:tcPr>
          <w:p>
            <w:pPr>
              <w:pStyle w:val="TableContents"/>
              <w:spacing w:before="0" w:after="283"/>
              <w:rPr/>
            </w:pPr>
            <w:r>
              <w:rPr/>
              <w:t>​</w:t>
            </w:r>
          </w:p>
        </w:tc>
        <w:tc>
          <w:tcPr>
            <w:tcW w:w="23" w:type="dxa"/>
            <w:tcBorders/>
            <w:shd w:fill="FFFFFF" w:val="clear"/>
            <w:vAlign w:val="bottom"/>
          </w:tcPr>
          <w:p>
            <w:pPr>
              <w:pStyle w:val="TableContents"/>
              <w:spacing w:before="0" w:after="283"/>
              <w:rPr/>
            </w:pPr>
            <w:r>
              <w:rPr/>
              <w:t>​</w:t>
            </w:r>
          </w:p>
        </w:tc>
        <w:tc>
          <w:tcPr>
            <w:tcW w:w="256" w:type="dxa"/>
            <w:tcBorders/>
            <w:shd w:fill="FFFFFF" w:val="clear"/>
            <w:vAlign w:val="bottom"/>
          </w:tcPr>
          <w:p>
            <w:pPr>
              <w:pStyle w:val="TableContents"/>
              <w:spacing w:before="0" w:after="283"/>
              <w:rPr/>
            </w:pPr>
            <w:r>
              <w:rPr/>
              <w:t>​</w:t>
            </w:r>
          </w:p>
        </w:tc>
        <w:tc>
          <w:tcPr>
            <w:tcW w:w="512" w:type="dxa"/>
            <w:gridSpan w:val="2"/>
            <w:tcBorders/>
            <w:shd w:fill="FFFFFF" w:val="clear"/>
            <w:vAlign w:val="bottom"/>
          </w:tcPr>
          <w:p>
            <w:pPr>
              <w:pStyle w:val="TableContents"/>
              <w:spacing w:before="0" w:after="283"/>
              <w:jc w:val="center"/>
              <w:rPr/>
            </w:pPr>
            <w:r>
              <w:rPr/>
              <w:drawing>
                <wp:inline distT="0" distB="0" distL="0" distR="0">
                  <wp:extent cx="95250" cy="11430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95250" cy="114300"/>
                          </a:xfrm>
                          <a:prstGeom prst="rect">
                            <a:avLst/>
                          </a:prstGeom>
                        </pic:spPr>
                      </pic:pic>
                    </a:graphicData>
                  </a:graphic>
                </wp:inline>
              </w:drawing>
            </w:r>
            <w:r>
              <w:rPr/>
              <w:t xml:space="preserve"> </w:t>
            </w:r>
            <w:r>
              <w:rPr>
                <w:rFonts w:ascii="arial" w:hAnsi="arial"/>
                <w:position w:val="7"/>
                <w:sz w:val="16"/>
                <w:sz w:val="20"/>
              </w:rPr>
              <w:t>(4)</w:t>
            </w:r>
          </w:p>
        </w:tc>
        <w:tc>
          <w:tcPr>
            <w:tcW w:w="257" w:type="dxa"/>
            <w:tcBorders/>
            <w:shd w:fill="FFFFFF" w:val="clear"/>
            <w:vAlign w:val="bottom"/>
          </w:tcPr>
          <w:p>
            <w:pPr>
              <w:pStyle w:val="TableContents"/>
              <w:spacing w:before="0" w:after="283"/>
              <w:rPr/>
            </w:pPr>
            <w:r>
              <w:rPr/>
              <w:t>​</w:t>
            </w:r>
          </w:p>
        </w:tc>
        <w:tc>
          <w:tcPr>
            <w:tcW w:w="24" w:type="dxa"/>
            <w:tcBorders/>
            <w:shd w:fill="FFFFFF" w:val="clear"/>
            <w:vAlign w:val="bottom"/>
          </w:tcPr>
          <w:p>
            <w:pPr>
              <w:pStyle w:val="TableContents"/>
              <w:spacing w:before="0" w:after="283"/>
              <w:rPr/>
            </w:pPr>
            <w:r>
              <w:rPr/>
              <w:t>​</w:t>
            </w:r>
          </w:p>
        </w:tc>
      </w:tr>
      <w:tr>
        <w:trPr/>
        <w:tc>
          <w:tcPr>
            <w:tcW w:w="1919" w:type="dxa"/>
            <w:tcBorders/>
            <w:shd w:fill="CCEEFF" w:val="clear"/>
            <w:vAlign w:val="bottom"/>
          </w:tcPr>
          <w:p>
            <w:pPr>
              <w:pStyle w:val="TableContents"/>
              <w:spacing w:before="0" w:after="283"/>
              <w:ind w:left="180" w:right="0" w:hanging="180"/>
              <w:rPr>
                <w:rFonts w:ascii="arial" w:hAnsi="arial"/>
                <w:sz w:val="20"/>
              </w:rPr>
            </w:pPr>
            <w:r>
              <w:rPr>
                <w:rFonts w:ascii="arial" w:hAnsi="arial"/>
                <w:sz w:val="20"/>
              </w:rPr>
              <w:t>Roland Müller-Ineichen</w:t>
            </w:r>
            <w:r>
              <w:rPr>
                <w:rFonts w:ascii="arial" w:hAnsi="arial"/>
                <w:position w:val="7"/>
                <w:sz w:val="16"/>
                <w:sz w:val="20"/>
              </w:rPr>
              <w:t>(3)</w:t>
            </w:r>
          </w:p>
        </w:tc>
        <w:tc>
          <w:tcPr>
            <w:tcW w:w="23" w:type="dxa"/>
            <w:tcBorders/>
            <w:shd w:fill="CCEEFF" w:val="clear"/>
            <w:vAlign w:val="bottom"/>
          </w:tcPr>
          <w:p>
            <w:pPr>
              <w:pStyle w:val="TableContents"/>
              <w:spacing w:before="0" w:after="283"/>
              <w:rPr/>
            </w:pPr>
            <w:r>
              <w:rPr/>
              <w:t>​</w:t>
            </w:r>
          </w:p>
        </w:tc>
        <w:tc>
          <w:tcPr>
            <w:tcW w:w="440" w:type="dxa"/>
            <w:tcBorders/>
            <w:shd w:fill="CCEEFF" w:val="clear"/>
            <w:vAlign w:val="bottom"/>
          </w:tcPr>
          <w:p>
            <w:pPr>
              <w:pStyle w:val="TableContents"/>
              <w:spacing w:before="0" w:after="283"/>
              <w:jc w:val="center"/>
              <w:rPr>
                <w:rFonts w:ascii="arial" w:hAnsi="arial"/>
                <w:sz w:val="20"/>
              </w:rPr>
            </w:pPr>
            <w:r>
              <w:rPr>
                <w:rFonts w:ascii="arial" w:hAnsi="arial"/>
                <w:sz w:val="20"/>
              </w:rPr>
              <w:t>60</w:t>
            </w:r>
          </w:p>
        </w:tc>
        <w:tc>
          <w:tcPr>
            <w:tcW w:w="24" w:type="dxa"/>
            <w:tcBorders/>
            <w:shd w:fill="CCEEFF" w:val="clear"/>
            <w:vAlign w:val="bottom"/>
          </w:tcPr>
          <w:p>
            <w:pPr>
              <w:pStyle w:val="TableContents"/>
              <w:spacing w:before="0" w:after="283"/>
              <w:rPr/>
            </w:pPr>
            <w:r>
              <w:rPr/>
              <w:t>​</w:t>
            </w:r>
          </w:p>
        </w:tc>
        <w:tc>
          <w:tcPr>
            <w:tcW w:w="188" w:type="dxa"/>
            <w:tcBorders/>
            <w:shd w:fill="CCEEFF" w:val="clear"/>
            <w:vAlign w:val="bottom"/>
          </w:tcPr>
          <w:p>
            <w:pPr>
              <w:pStyle w:val="TableContents"/>
              <w:spacing w:before="0" w:after="283"/>
              <w:rPr/>
            </w:pPr>
            <w:r>
              <w:rPr/>
              <w:t>​</w:t>
            </w:r>
          </w:p>
        </w:tc>
        <w:tc>
          <w:tcPr>
            <w:tcW w:w="440" w:type="dxa"/>
            <w:gridSpan w:val="2"/>
            <w:tcBorders/>
            <w:shd w:fill="CCEEFF" w:val="clear"/>
            <w:vAlign w:val="bottom"/>
          </w:tcPr>
          <w:p>
            <w:pPr>
              <w:pStyle w:val="TableContents"/>
              <w:spacing w:before="0" w:after="283"/>
              <w:jc w:val="center"/>
              <w:rPr>
                <w:rFonts w:ascii="arial" w:hAnsi="arial"/>
                <w:sz w:val="20"/>
              </w:rPr>
            </w:pPr>
            <w:r>
              <w:rPr>
                <w:rFonts w:ascii="arial" w:hAnsi="arial"/>
                <w:sz w:val="20"/>
              </w:rPr>
              <w:t>2009</w:t>
            </w:r>
          </w:p>
        </w:tc>
        <w:tc>
          <w:tcPr>
            <w:tcW w:w="191" w:type="dxa"/>
            <w:tcBorders/>
            <w:shd w:fill="CCEEFF" w:val="clear"/>
            <w:vAlign w:val="bottom"/>
          </w:tcPr>
          <w:p>
            <w:pPr>
              <w:pStyle w:val="TableContents"/>
              <w:spacing w:before="0" w:after="283"/>
              <w:rPr/>
            </w:pPr>
            <w:r>
              <w:rPr/>
              <w:t>​</w:t>
            </w:r>
          </w:p>
        </w:tc>
        <w:tc>
          <w:tcPr>
            <w:tcW w:w="23" w:type="dxa"/>
            <w:tcBorders/>
            <w:shd w:fill="CCEEFF" w:val="clear"/>
            <w:vAlign w:val="bottom"/>
          </w:tcPr>
          <w:p>
            <w:pPr>
              <w:pStyle w:val="TableContents"/>
              <w:spacing w:before="0" w:after="283"/>
              <w:rPr/>
            </w:pPr>
            <w:r>
              <w:rPr/>
              <w:t>​</w:t>
            </w:r>
          </w:p>
        </w:tc>
        <w:tc>
          <w:tcPr>
            <w:tcW w:w="293" w:type="dxa"/>
            <w:tcBorders/>
            <w:shd w:fill="CCEEFF" w:val="clear"/>
            <w:vAlign w:val="bottom"/>
          </w:tcPr>
          <w:p>
            <w:pPr>
              <w:pStyle w:val="TableContents"/>
              <w:spacing w:before="0" w:after="283"/>
              <w:rPr/>
            </w:pPr>
            <w:r>
              <w:rPr/>
              <w:t>​</w:t>
            </w:r>
          </w:p>
        </w:tc>
        <w:tc>
          <w:tcPr>
            <w:tcW w:w="586" w:type="dxa"/>
            <w:gridSpan w:val="2"/>
            <w:tcBorders/>
            <w:shd w:fill="CCEEFF" w:val="clear"/>
            <w:vAlign w:val="bottom"/>
          </w:tcPr>
          <w:p>
            <w:pPr>
              <w:pStyle w:val="TableContents"/>
              <w:spacing w:before="0" w:after="283"/>
              <w:jc w:val="center"/>
              <w:rPr/>
            </w:pPr>
            <w:r>
              <w:rPr/>
              <w:drawing>
                <wp:inline distT="0" distB="0" distL="0" distR="0">
                  <wp:extent cx="95250" cy="11430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95250" cy="114300"/>
                          </a:xfrm>
                          <a:prstGeom prst="rect">
                            <a:avLst/>
                          </a:prstGeom>
                        </pic:spPr>
                      </pic:pic>
                    </a:graphicData>
                  </a:graphic>
                </wp:inline>
              </w:drawing>
            </w:r>
            <w:r>
              <w:rPr/>
              <w:t xml:space="preserve"> </w:t>
            </w:r>
          </w:p>
        </w:tc>
        <w:tc>
          <w:tcPr>
            <w:tcW w:w="296" w:type="dxa"/>
            <w:tcBorders/>
            <w:shd w:fill="CCEEFF" w:val="clear"/>
            <w:vAlign w:val="bottom"/>
          </w:tcPr>
          <w:p>
            <w:pPr>
              <w:pStyle w:val="TableContents"/>
              <w:spacing w:before="0" w:after="283"/>
              <w:rPr/>
            </w:pPr>
            <w:r>
              <w:rPr/>
              <w:t>​</w:t>
            </w:r>
          </w:p>
        </w:tc>
        <w:tc>
          <w:tcPr>
            <w:tcW w:w="23" w:type="dxa"/>
            <w:tcBorders/>
            <w:shd w:fill="CCEEFF" w:val="clear"/>
            <w:vAlign w:val="bottom"/>
          </w:tcPr>
          <w:p>
            <w:pPr>
              <w:pStyle w:val="TableContents"/>
              <w:spacing w:before="0" w:after="283"/>
              <w:rPr/>
            </w:pPr>
            <w:r>
              <w:rPr/>
              <w:t>​</w:t>
            </w:r>
          </w:p>
        </w:tc>
        <w:tc>
          <w:tcPr>
            <w:tcW w:w="210" w:type="dxa"/>
            <w:tcBorders/>
            <w:shd w:fill="CCEEFF" w:val="clear"/>
            <w:vAlign w:val="bottom"/>
          </w:tcPr>
          <w:p>
            <w:pPr>
              <w:pStyle w:val="TableContents"/>
              <w:spacing w:before="0" w:after="283"/>
              <w:rPr/>
            </w:pPr>
            <w:r>
              <w:rPr/>
              <w:t>​</w:t>
            </w:r>
          </w:p>
        </w:tc>
        <w:tc>
          <w:tcPr>
            <w:tcW w:w="604" w:type="dxa"/>
            <w:gridSpan w:val="2"/>
            <w:tcBorders/>
            <w:shd w:fill="CCEEFF" w:val="clear"/>
            <w:vAlign w:val="bottom"/>
          </w:tcPr>
          <w:p>
            <w:pPr>
              <w:pStyle w:val="TableContents"/>
              <w:spacing w:before="0" w:after="283"/>
              <w:jc w:val="center"/>
              <w:rPr/>
            </w:pPr>
            <w:r>
              <w:rPr/>
              <w:drawing>
                <wp:inline distT="0" distB="0" distL="0" distR="0">
                  <wp:extent cx="95250" cy="11430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95250" cy="114300"/>
                          </a:xfrm>
                          <a:prstGeom prst="rect">
                            <a:avLst/>
                          </a:prstGeom>
                        </pic:spPr>
                      </pic:pic>
                    </a:graphicData>
                  </a:graphic>
                </wp:inline>
              </w:drawing>
            </w:r>
            <w:r>
              <w:rPr/>
              <w:t xml:space="preserve"> </w:t>
            </w:r>
            <w:r>
              <w:rPr>
                <w:rFonts w:ascii="arial" w:hAnsi="arial"/>
                <w:position w:val="7"/>
                <w:sz w:val="16"/>
                <w:sz w:val="20"/>
              </w:rPr>
              <w:t>(4)</w:t>
            </w:r>
          </w:p>
        </w:tc>
        <w:tc>
          <w:tcPr>
            <w:tcW w:w="211" w:type="dxa"/>
            <w:tcBorders/>
            <w:shd w:fill="CCEEFF" w:val="clear"/>
            <w:vAlign w:val="bottom"/>
          </w:tcPr>
          <w:p>
            <w:pPr>
              <w:pStyle w:val="TableContents"/>
              <w:spacing w:before="0" w:after="283"/>
              <w:rPr/>
            </w:pPr>
            <w:r>
              <w:rPr/>
              <w:t>​</w:t>
            </w:r>
          </w:p>
        </w:tc>
        <w:tc>
          <w:tcPr>
            <w:tcW w:w="90" w:type="dxa"/>
            <w:tcBorders/>
            <w:shd w:fill="CCEEFF" w:val="clear"/>
            <w:vAlign w:val="bottom"/>
          </w:tcPr>
          <w:p>
            <w:pPr>
              <w:pStyle w:val="TableContents"/>
              <w:spacing w:before="0" w:after="283"/>
              <w:rPr/>
            </w:pPr>
            <w:r>
              <w:rPr/>
              <w:t>​</w:t>
            </w:r>
          </w:p>
        </w:tc>
        <w:tc>
          <w:tcPr>
            <w:tcW w:w="474" w:type="dxa"/>
            <w:tcBorders/>
            <w:shd w:fill="CCEEFF" w:val="clear"/>
            <w:vAlign w:val="bottom"/>
          </w:tcPr>
          <w:p>
            <w:pPr>
              <w:pStyle w:val="TableContents"/>
              <w:spacing w:before="0" w:after="283"/>
              <w:rPr/>
            </w:pPr>
            <w:r>
              <w:rPr/>
              <w:t>​</w:t>
            </w:r>
          </w:p>
        </w:tc>
        <w:tc>
          <w:tcPr>
            <w:tcW w:w="460" w:type="dxa"/>
            <w:gridSpan w:val="2"/>
            <w:tcBorders/>
            <w:shd w:fill="CCEEFF" w:val="clear"/>
            <w:vAlign w:val="bottom"/>
          </w:tcPr>
          <w:p>
            <w:pPr>
              <w:pStyle w:val="TableContents"/>
              <w:spacing w:before="0" w:after="283"/>
              <w:jc w:val="center"/>
              <w:rPr/>
            </w:pPr>
            <w:r>
              <w:rPr/>
              <w:drawing>
                <wp:inline distT="0" distB="0" distL="0" distR="0">
                  <wp:extent cx="95250" cy="11430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95250" cy="114300"/>
                          </a:xfrm>
                          <a:prstGeom prst="rect">
                            <a:avLst/>
                          </a:prstGeom>
                        </pic:spPr>
                      </pic:pic>
                    </a:graphicData>
                  </a:graphic>
                </wp:inline>
              </w:drawing>
            </w:r>
            <w:r>
              <w:rPr/>
              <w:t xml:space="preserve"> </w:t>
            </w:r>
            <w:r>
              <w:rPr>
                <w:rFonts w:ascii="arial" w:hAnsi="arial"/>
                <w:position w:val="7"/>
                <w:sz w:val="16"/>
                <w:sz w:val="20"/>
              </w:rPr>
              <w:t>(4)</w:t>
            </w:r>
          </w:p>
        </w:tc>
        <w:tc>
          <w:tcPr>
            <w:tcW w:w="92" w:type="dxa"/>
            <w:tcBorders/>
            <w:shd w:fill="CCEEFF" w:val="clear"/>
            <w:vAlign w:val="bottom"/>
          </w:tcPr>
          <w:p>
            <w:pPr>
              <w:pStyle w:val="TableContents"/>
              <w:spacing w:before="0" w:after="283"/>
              <w:rPr/>
            </w:pPr>
            <w:r>
              <w:rPr/>
              <w:t>​</w:t>
            </w:r>
          </w:p>
        </w:tc>
        <w:tc>
          <w:tcPr>
            <w:tcW w:w="23" w:type="dxa"/>
            <w:tcBorders/>
            <w:shd w:fill="CCEEFF" w:val="clear"/>
            <w:vAlign w:val="bottom"/>
          </w:tcPr>
          <w:p>
            <w:pPr>
              <w:pStyle w:val="TableContents"/>
              <w:spacing w:before="0" w:after="283"/>
              <w:rPr/>
            </w:pPr>
            <w:r>
              <w:rPr/>
              <w:t>​</w:t>
            </w:r>
          </w:p>
        </w:tc>
        <w:tc>
          <w:tcPr>
            <w:tcW w:w="342" w:type="dxa"/>
            <w:tcBorders/>
            <w:shd w:fill="CCEEFF" w:val="clear"/>
            <w:vAlign w:val="bottom"/>
          </w:tcPr>
          <w:p>
            <w:pPr>
              <w:pStyle w:val="TableContents"/>
              <w:spacing w:before="0" w:after="283"/>
              <w:rPr/>
            </w:pPr>
            <w:r>
              <w:rPr/>
              <w:t>​</w:t>
            </w:r>
          </w:p>
        </w:tc>
        <w:tc>
          <w:tcPr>
            <w:tcW w:w="684" w:type="dxa"/>
            <w:gridSpan w:val="2"/>
            <w:tcBorders/>
            <w:shd w:fill="CCEEFF" w:val="clear"/>
            <w:vAlign w:val="bottom"/>
          </w:tcPr>
          <w:p>
            <w:pPr>
              <w:pStyle w:val="TableContents"/>
              <w:spacing w:before="0" w:after="283"/>
              <w:jc w:val="center"/>
              <w:rPr/>
            </w:pPr>
            <w:r>
              <w:rPr/>
              <w:drawing>
                <wp:inline distT="0" distB="0" distL="0" distR="0">
                  <wp:extent cx="95250" cy="11430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95250" cy="114300"/>
                          </a:xfrm>
                          <a:prstGeom prst="rect">
                            <a:avLst/>
                          </a:prstGeom>
                        </pic:spPr>
                      </pic:pic>
                    </a:graphicData>
                  </a:graphic>
                </wp:inline>
              </w:drawing>
            </w:r>
            <w:r>
              <w:rPr/>
              <w:t xml:space="preserve"> </w:t>
            </w:r>
          </w:p>
        </w:tc>
        <w:tc>
          <w:tcPr>
            <w:tcW w:w="344" w:type="dxa"/>
            <w:tcBorders/>
            <w:shd w:fill="CCEEFF" w:val="clear"/>
            <w:vAlign w:val="bottom"/>
          </w:tcPr>
          <w:p>
            <w:pPr>
              <w:pStyle w:val="TableContents"/>
              <w:spacing w:before="0" w:after="283"/>
              <w:rPr/>
            </w:pPr>
            <w:r>
              <w:rPr/>
              <w:t>​</w:t>
            </w:r>
          </w:p>
        </w:tc>
        <w:tc>
          <w:tcPr>
            <w:tcW w:w="23" w:type="dxa"/>
            <w:tcBorders/>
            <w:shd w:fill="CCEEFF" w:val="clear"/>
            <w:vAlign w:val="bottom"/>
          </w:tcPr>
          <w:p>
            <w:pPr>
              <w:pStyle w:val="TableContents"/>
              <w:spacing w:before="0" w:after="283"/>
              <w:rPr/>
            </w:pPr>
            <w:r>
              <w:rPr/>
              <w:t>​</w:t>
            </w:r>
          </w:p>
        </w:tc>
        <w:tc>
          <w:tcPr>
            <w:tcW w:w="282" w:type="dxa"/>
            <w:tcBorders/>
            <w:shd w:fill="CCEEFF" w:val="clear"/>
            <w:vAlign w:val="bottom"/>
          </w:tcPr>
          <w:p>
            <w:pPr>
              <w:pStyle w:val="TableContents"/>
              <w:spacing w:before="0" w:after="283"/>
              <w:rPr/>
            </w:pPr>
            <w:r>
              <w:rPr/>
              <w:t>​</w:t>
            </w:r>
          </w:p>
        </w:tc>
        <w:tc>
          <w:tcPr>
            <w:tcW w:w="564" w:type="dxa"/>
            <w:gridSpan w:val="2"/>
            <w:tcBorders/>
            <w:shd w:fill="CCEEFF" w:val="clear"/>
            <w:vAlign w:val="bottom"/>
          </w:tcPr>
          <w:p>
            <w:pPr>
              <w:pStyle w:val="TableContents"/>
              <w:spacing w:before="0" w:after="283"/>
              <w:jc w:val="center"/>
              <w:rPr/>
            </w:pPr>
            <w:r>
              <w:rPr/>
              <w:drawing>
                <wp:inline distT="0" distB="0" distL="0" distR="0">
                  <wp:extent cx="95250" cy="11430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95250" cy="114300"/>
                          </a:xfrm>
                          <a:prstGeom prst="rect">
                            <a:avLst/>
                          </a:prstGeom>
                        </pic:spPr>
                      </pic:pic>
                    </a:graphicData>
                  </a:graphic>
                </wp:inline>
              </w:drawing>
            </w:r>
            <w:r>
              <w:rPr/>
              <w:t xml:space="preserve"> </w:t>
            </w:r>
          </w:p>
        </w:tc>
        <w:tc>
          <w:tcPr>
            <w:tcW w:w="284" w:type="dxa"/>
            <w:tcBorders/>
            <w:shd w:fill="CCEEFF" w:val="clear"/>
            <w:vAlign w:val="bottom"/>
          </w:tcPr>
          <w:p>
            <w:pPr>
              <w:pStyle w:val="TableContents"/>
              <w:spacing w:before="0" w:after="283"/>
              <w:rPr/>
            </w:pPr>
            <w:r>
              <w:rPr/>
              <w:t>​</w:t>
            </w:r>
          </w:p>
        </w:tc>
        <w:tc>
          <w:tcPr>
            <w:tcW w:w="23" w:type="dxa"/>
            <w:tcBorders/>
            <w:shd w:fill="CCEEFF" w:val="clear"/>
            <w:vAlign w:val="bottom"/>
          </w:tcPr>
          <w:p>
            <w:pPr>
              <w:pStyle w:val="TableContents"/>
              <w:spacing w:before="0" w:after="283"/>
              <w:rPr/>
            </w:pPr>
            <w:r>
              <w:rPr/>
              <w:t>​</w:t>
            </w:r>
          </w:p>
        </w:tc>
        <w:tc>
          <w:tcPr>
            <w:tcW w:w="256" w:type="dxa"/>
            <w:tcBorders/>
            <w:shd w:fill="CCEEFF" w:val="clear"/>
            <w:vAlign w:val="bottom"/>
          </w:tcPr>
          <w:p>
            <w:pPr>
              <w:pStyle w:val="TableContents"/>
              <w:spacing w:before="0" w:after="283"/>
              <w:rPr/>
            </w:pPr>
            <w:r>
              <w:rPr/>
              <w:t>​</w:t>
            </w:r>
          </w:p>
        </w:tc>
        <w:tc>
          <w:tcPr>
            <w:tcW w:w="512" w:type="dxa"/>
            <w:gridSpan w:val="2"/>
            <w:tcBorders/>
            <w:shd w:fill="CCEEFF" w:val="clear"/>
            <w:vAlign w:val="bottom"/>
          </w:tcPr>
          <w:p>
            <w:pPr>
              <w:pStyle w:val="TableContents"/>
              <w:spacing w:before="0" w:after="283"/>
              <w:jc w:val="center"/>
              <w:rPr/>
            </w:pPr>
            <w:r>
              <w:rPr/>
              <w:drawing>
                <wp:inline distT="0" distB="0" distL="0" distR="0">
                  <wp:extent cx="95250" cy="11430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95250" cy="114300"/>
                          </a:xfrm>
                          <a:prstGeom prst="rect">
                            <a:avLst/>
                          </a:prstGeom>
                        </pic:spPr>
                      </pic:pic>
                    </a:graphicData>
                  </a:graphic>
                </wp:inline>
              </w:drawing>
            </w:r>
            <w:r>
              <w:rPr/>
              <w:t xml:space="preserve"> </w:t>
            </w:r>
          </w:p>
        </w:tc>
        <w:tc>
          <w:tcPr>
            <w:tcW w:w="257" w:type="dxa"/>
            <w:tcBorders/>
            <w:shd w:fill="CCEEFF" w:val="clear"/>
            <w:vAlign w:val="bottom"/>
          </w:tcPr>
          <w:p>
            <w:pPr>
              <w:pStyle w:val="TableContents"/>
              <w:spacing w:before="0" w:after="283"/>
              <w:rPr/>
            </w:pPr>
            <w:r>
              <w:rPr/>
              <w:t>​</w:t>
            </w:r>
          </w:p>
        </w:tc>
        <w:tc>
          <w:tcPr>
            <w:tcW w:w="24" w:type="dxa"/>
            <w:tcBorders/>
            <w:shd w:fill="CCEEFF" w:val="clear"/>
            <w:vAlign w:val="bottom"/>
          </w:tcPr>
          <w:p>
            <w:pPr>
              <w:pStyle w:val="TableContents"/>
              <w:spacing w:before="0" w:after="283"/>
              <w:rPr/>
            </w:pPr>
            <w:r>
              <w:rPr/>
              <w:t>​</w:t>
            </w:r>
          </w:p>
        </w:tc>
      </w:tr>
      <w:tr>
        <w:trPr/>
        <w:tc>
          <w:tcPr>
            <w:tcW w:w="1919" w:type="dxa"/>
            <w:tcBorders/>
            <w:shd w:fill="FFFFFF" w:val="clear"/>
            <w:vAlign w:val="bottom"/>
          </w:tcPr>
          <w:p>
            <w:pPr>
              <w:pStyle w:val="TableContents"/>
              <w:spacing w:before="0" w:after="283"/>
              <w:ind w:left="180" w:right="0" w:hanging="180"/>
              <w:rPr>
                <w:rFonts w:ascii="arial" w:hAnsi="arial"/>
                <w:sz w:val="20"/>
              </w:rPr>
            </w:pPr>
            <w:r>
              <w:rPr>
                <w:rFonts w:ascii="arial" w:hAnsi="arial"/>
                <w:sz w:val="20"/>
              </w:rPr>
              <w:t>William B. Shepro</w:t>
            </w:r>
          </w:p>
        </w:tc>
        <w:tc>
          <w:tcPr>
            <w:tcW w:w="23" w:type="dxa"/>
            <w:tcBorders/>
            <w:shd w:fill="FFFFFF" w:val="clear"/>
            <w:vAlign w:val="bottom"/>
          </w:tcPr>
          <w:p>
            <w:pPr>
              <w:pStyle w:val="TableContents"/>
              <w:spacing w:before="0" w:after="283"/>
              <w:rPr/>
            </w:pPr>
            <w:r>
              <w:rPr/>
              <w:t>​</w:t>
            </w:r>
          </w:p>
        </w:tc>
        <w:tc>
          <w:tcPr>
            <w:tcW w:w="440" w:type="dxa"/>
            <w:tcBorders/>
            <w:shd w:fill="FFFFFF" w:val="clear"/>
            <w:vAlign w:val="bottom"/>
          </w:tcPr>
          <w:p>
            <w:pPr>
              <w:pStyle w:val="TableContents"/>
              <w:spacing w:before="0" w:after="283"/>
              <w:jc w:val="center"/>
              <w:rPr>
                <w:rFonts w:ascii="arial" w:hAnsi="arial"/>
                <w:sz w:val="20"/>
              </w:rPr>
            </w:pPr>
            <w:r>
              <w:rPr>
                <w:rFonts w:ascii="arial" w:hAnsi="arial"/>
                <w:sz w:val="20"/>
              </w:rPr>
              <w:t>52</w:t>
            </w:r>
          </w:p>
        </w:tc>
        <w:tc>
          <w:tcPr>
            <w:tcW w:w="24" w:type="dxa"/>
            <w:tcBorders/>
            <w:shd w:fill="FFFFFF" w:val="clear"/>
            <w:vAlign w:val="bottom"/>
          </w:tcPr>
          <w:p>
            <w:pPr>
              <w:pStyle w:val="TableContents"/>
              <w:spacing w:before="0" w:after="283"/>
              <w:rPr/>
            </w:pPr>
            <w:r>
              <w:rPr/>
              <w:t>​</w:t>
            </w:r>
          </w:p>
        </w:tc>
        <w:tc>
          <w:tcPr>
            <w:tcW w:w="188" w:type="dxa"/>
            <w:tcBorders/>
            <w:shd w:fill="FFFFFF" w:val="clear"/>
            <w:vAlign w:val="bottom"/>
          </w:tcPr>
          <w:p>
            <w:pPr>
              <w:pStyle w:val="TableContents"/>
              <w:spacing w:before="0" w:after="283"/>
              <w:rPr/>
            </w:pPr>
            <w:r>
              <w:rPr/>
              <w:t>​</w:t>
            </w:r>
          </w:p>
        </w:tc>
        <w:tc>
          <w:tcPr>
            <w:tcW w:w="440" w:type="dxa"/>
            <w:gridSpan w:val="2"/>
            <w:tcBorders/>
            <w:shd w:fill="FFFFFF" w:val="clear"/>
            <w:vAlign w:val="bottom"/>
          </w:tcPr>
          <w:p>
            <w:pPr>
              <w:pStyle w:val="TableContents"/>
              <w:spacing w:before="0" w:after="283"/>
              <w:jc w:val="center"/>
              <w:rPr>
                <w:rFonts w:ascii="arial" w:hAnsi="arial"/>
                <w:sz w:val="20"/>
              </w:rPr>
            </w:pPr>
            <w:r>
              <w:rPr>
                <w:rFonts w:ascii="arial" w:hAnsi="arial"/>
                <w:sz w:val="20"/>
              </w:rPr>
              <w:t>2009</w:t>
            </w:r>
          </w:p>
        </w:tc>
        <w:tc>
          <w:tcPr>
            <w:tcW w:w="191" w:type="dxa"/>
            <w:tcBorders/>
            <w:shd w:fill="FFFFFF" w:val="clear"/>
            <w:vAlign w:val="bottom"/>
          </w:tcPr>
          <w:p>
            <w:pPr>
              <w:pStyle w:val="TableContents"/>
              <w:spacing w:before="0" w:after="283"/>
              <w:rPr/>
            </w:pPr>
            <w:r>
              <w:rPr/>
              <w:t>​</w:t>
            </w:r>
          </w:p>
        </w:tc>
        <w:tc>
          <w:tcPr>
            <w:tcW w:w="23" w:type="dxa"/>
            <w:tcBorders/>
            <w:shd w:fill="FFFFFF" w:val="clear"/>
            <w:vAlign w:val="bottom"/>
          </w:tcPr>
          <w:p>
            <w:pPr>
              <w:pStyle w:val="TableContents"/>
              <w:spacing w:before="0" w:after="283"/>
              <w:rPr/>
            </w:pPr>
            <w:r>
              <w:rPr/>
              <w:t>​</w:t>
            </w:r>
          </w:p>
        </w:tc>
        <w:tc>
          <w:tcPr>
            <w:tcW w:w="293" w:type="dxa"/>
            <w:tcBorders/>
            <w:shd w:fill="FFFFFF" w:val="clear"/>
            <w:vAlign w:val="bottom"/>
          </w:tcPr>
          <w:p>
            <w:pPr>
              <w:pStyle w:val="TableContents"/>
              <w:spacing w:before="0" w:after="283"/>
              <w:rPr/>
            </w:pPr>
            <w:r>
              <w:rPr/>
              <w:t>​</w:t>
            </w:r>
          </w:p>
        </w:tc>
        <w:tc>
          <w:tcPr>
            <w:tcW w:w="586" w:type="dxa"/>
            <w:gridSpan w:val="2"/>
            <w:tcBorders/>
            <w:shd w:fill="FFFFFF" w:val="clear"/>
            <w:vAlign w:val="bottom"/>
          </w:tcPr>
          <w:p>
            <w:pPr>
              <w:pStyle w:val="TableContents"/>
              <w:spacing w:before="0" w:after="283"/>
              <w:jc w:val="center"/>
              <w:rPr/>
            </w:pPr>
            <w:r>
              <w:rPr/>
              <w:t> </w:t>
            </w:r>
          </w:p>
        </w:tc>
        <w:tc>
          <w:tcPr>
            <w:tcW w:w="296" w:type="dxa"/>
            <w:tcBorders/>
            <w:shd w:fill="FFFFFF" w:val="clear"/>
            <w:vAlign w:val="bottom"/>
          </w:tcPr>
          <w:p>
            <w:pPr>
              <w:pStyle w:val="TableContents"/>
              <w:spacing w:before="0" w:after="283"/>
              <w:rPr/>
            </w:pPr>
            <w:r>
              <w:rPr/>
              <w:t>​</w:t>
            </w:r>
          </w:p>
        </w:tc>
        <w:tc>
          <w:tcPr>
            <w:tcW w:w="23" w:type="dxa"/>
            <w:tcBorders/>
            <w:shd w:fill="FFFFFF" w:val="clear"/>
            <w:vAlign w:val="bottom"/>
          </w:tcPr>
          <w:p>
            <w:pPr>
              <w:pStyle w:val="TableContents"/>
              <w:spacing w:before="0" w:after="283"/>
              <w:rPr/>
            </w:pPr>
            <w:r>
              <w:rPr/>
              <w:t>​</w:t>
            </w:r>
          </w:p>
        </w:tc>
        <w:tc>
          <w:tcPr>
            <w:tcW w:w="210" w:type="dxa"/>
            <w:tcBorders/>
            <w:shd w:fill="FFFFFF" w:val="clear"/>
            <w:vAlign w:val="bottom"/>
          </w:tcPr>
          <w:p>
            <w:pPr>
              <w:pStyle w:val="TableContents"/>
              <w:spacing w:before="0" w:after="283"/>
              <w:rPr/>
            </w:pPr>
            <w:r>
              <w:rPr/>
              <w:t>​</w:t>
            </w:r>
          </w:p>
        </w:tc>
        <w:tc>
          <w:tcPr>
            <w:tcW w:w="604" w:type="dxa"/>
            <w:gridSpan w:val="2"/>
            <w:tcBorders/>
            <w:shd w:fill="FFFFFF" w:val="clear"/>
            <w:vAlign w:val="bottom"/>
          </w:tcPr>
          <w:p>
            <w:pPr>
              <w:pStyle w:val="TableContents"/>
              <w:spacing w:before="0" w:after="283"/>
              <w:jc w:val="center"/>
              <w:rPr/>
            </w:pPr>
            <w:r>
              <w:rPr/>
              <w:drawing>
                <wp:inline distT="0" distB="0" distL="0" distR="0">
                  <wp:extent cx="95250" cy="11430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95250" cy="114300"/>
                          </a:xfrm>
                          <a:prstGeom prst="rect">
                            <a:avLst/>
                          </a:prstGeom>
                        </pic:spPr>
                      </pic:pic>
                    </a:graphicData>
                  </a:graphic>
                </wp:inline>
              </w:drawing>
            </w:r>
            <w:r>
              <w:rPr/>
              <w:t xml:space="preserve"> </w:t>
            </w:r>
          </w:p>
        </w:tc>
        <w:tc>
          <w:tcPr>
            <w:tcW w:w="211" w:type="dxa"/>
            <w:tcBorders/>
            <w:shd w:fill="FFFFFF" w:val="clear"/>
            <w:vAlign w:val="bottom"/>
          </w:tcPr>
          <w:p>
            <w:pPr>
              <w:pStyle w:val="TableContents"/>
              <w:spacing w:before="0" w:after="283"/>
              <w:rPr/>
            </w:pPr>
            <w:r>
              <w:rPr/>
              <w:t>​</w:t>
            </w:r>
          </w:p>
        </w:tc>
        <w:tc>
          <w:tcPr>
            <w:tcW w:w="90" w:type="dxa"/>
            <w:tcBorders/>
            <w:shd w:fill="FFFFFF" w:val="clear"/>
            <w:vAlign w:val="bottom"/>
          </w:tcPr>
          <w:p>
            <w:pPr>
              <w:pStyle w:val="TableContents"/>
              <w:spacing w:before="0" w:after="283"/>
              <w:rPr/>
            </w:pPr>
            <w:r>
              <w:rPr/>
              <w:t>​</w:t>
            </w:r>
          </w:p>
        </w:tc>
        <w:tc>
          <w:tcPr>
            <w:tcW w:w="474" w:type="dxa"/>
            <w:tcBorders/>
            <w:shd w:fill="FFFFFF" w:val="clear"/>
            <w:vAlign w:val="bottom"/>
          </w:tcPr>
          <w:p>
            <w:pPr>
              <w:pStyle w:val="TableContents"/>
              <w:spacing w:before="0" w:after="283"/>
              <w:rPr/>
            </w:pPr>
            <w:r>
              <w:rPr/>
              <w:t>​</w:t>
            </w:r>
          </w:p>
        </w:tc>
        <w:tc>
          <w:tcPr>
            <w:tcW w:w="460" w:type="dxa"/>
            <w:gridSpan w:val="2"/>
            <w:tcBorders/>
            <w:shd w:fill="FFFFFF" w:val="clear"/>
            <w:vAlign w:val="bottom"/>
          </w:tcPr>
          <w:p>
            <w:pPr>
              <w:pStyle w:val="TableContents"/>
              <w:spacing w:before="0" w:after="283"/>
              <w:jc w:val="center"/>
              <w:rPr/>
            </w:pPr>
            <w:r>
              <w:rPr/>
              <w:t> </w:t>
            </w:r>
          </w:p>
        </w:tc>
        <w:tc>
          <w:tcPr>
            <w:tcW w:w="92" w:type="dxa"/>
            <w:tcBorders/>
            <w:shd w:fill="FFFFFF" w:val="clear"/>
            <w:vAlign w:val="bottom"/>
          </w:tcPr>
          <w:p>
            <w:pPr>
              <w:pStyle w:val="TableContents"/>
              <w:spacing w:before="0" w:after="283"/>
              <w:rPr/>
            </w:pPr>
            <w:r>
              <w:rPr/>
              <w:t>​</w:t>
            </w:r>
          </w:p>
        </w:tc>
        <w:tc>
          <w:tcPr>
            <w:tcW w:w="23" w:type="dxa"/>
            <w:tcBorders/>
            <w:shd w:fill="FFFFFF" w:val="clear"/>
            <w:vAlign w:val="bottom"/>
          </w:tcPr>
          <w:p>
            <w:pPr>
              <w:pStyle w:val="TableContents"/>
              <w:spacing w:before="0" w:after="283"/>
              <w:rPr/>
            </w:pPr>
            <w:r>
              <w:rPr/>
              <w:t>​</w:t>
            </w:r>
          </w:p>
        </w:tc>
        <w:tc>
          <w:tcPr>
            <w:tcW w:w="342" w:type="dxa"/>
            <w:tcBorders/>
            <w:shd w:fill="FFFFFF" w:val="clear"/>
            <w:vAlign w:val="bottom"/>
          </w:tcPr>
          <w:p>
            <w:pPr>
              <w:pStyle w:val="TableContents"/>
              <w:spacing w:before="0" w:after="283"/>
              <w:rPr/>
            </w:pPr>
            <w:r>
              <w:rPr/>
              <w:t>​</w:t>
            </w:r>
          </w:p>
        </w:tc>
        <w:tc>
          <w:tcPr>
            <w:tcW w:w="684" w:type="dxa"/>
            <w:gridSpan w:val="2"/>
            <w:tcBorders/>
            <w:shd w:fill="FFFFFF" w:val="clear"/>
            <w:vAlign w:val="bottom"/>
          </w:tcPr>
          <w:p>
            <w:pPr>
              <w:pStyle w:val="TableContents"/>
              <w:spacing w:before="0" w:after="283"/>
              <w:jc w:val="center"/>
              <w:rPr/>
            </w:pPr>
            <w:r>
              <w:rPr/>
              <w:t> </w:t>
            </w:r>
          </w:p>
        </w:tc>
        <w:tc>
          <w:tcPr>
            <w:tcW w:w="344" w:type="dxa"/>
            <w:tcBorders/>
            <w:shd w:fill="FFFFFF" w:val="clear"/>
            <w:vAlign w:val="bottom"/>
          </w:tcPr>
          <w:p>
            <w:pPr>
              <w:pStyle w:val="TableContents"/>
              <w:spacing w:before="0" w:after="283"/>
              <w:rPr/>
            </w:pPr>
            <w:r>
              <w:rPr/>
              <w:t>​</w:t>
            </w:r>
          </w:p>
        </w:tc>
        <w:tc>
          <w:tcPr>
            <w:tcW w:w="23" w:type="dxa"/>
            <w:tcBorders/>
            <w:shd w:fill="FFFFFF" w:val="clear"/>
            <w:vAlign w:val="bottom"/>
          </w:tcPr>
          <w:p>
            <w:pPr>
              <w:pStyle w:val="TableContents"/>
              <w:spacing w:before="0" w:after="283"/>
              <w:rPr/>
            </w:pPr>
            <w:r>
              <w:rPr/>
              <w:t>​</w:t>
            </w:r>
          </w:p>
        </w:tc>
        <w:tc>
          <w:tcPr>
            <w:tcW w:w="282" w:type="dxa"/>
            <w:tcBorders/>
            <w:shd w:fill="FFFFFF" w:val="clear"/>
            <w:vAlign w:val="bottom"/>
          </w:tcPr>
          <w:p>
            <w:pPr>
              <w:pStyle w:val="TableContents"/>
              <w:spacing w:before="0" w:after="283"/>
              <w:rPr/>
            </w:pPr>
            <w:r>
              <w:rPr/>
              <w:t>​</w:t>
            </w:r>
          </w:p>
        </w:tc>
        <w:tc>
          <w:tcPr>
            <w:tcW w:w="564" w:type="dxa"/>
            <w:gridSpan w:val="2"/>
            <w:tcBorders/>
            <w:shd w:fill="FFFFFF" w:val="clear"/>
            <w:vAlign w:val="bottom"/>
          </w:tcPr>
          <w:p>
            <w:pPr>
              <w:pStyle w:val="TableContents"/>
              <w:spacing w:before="0" w:after="283"/>
              <w:jc w:val="center"/>
              <w:rPr/>
            </w:pPr>
            <w:r>
              <w:rPr/>
              <w:t> </w:t>
            </w:r>
          </w:p>
        </w:tc>
        <w:tc>
          <w:tcPr>
            <w:tcW w:w="284" w:type="dxa"/>
            <w:tcBorders/>
            <w:shd w:fill="FFFFFF" w:val="clear"/>
            <w:vAlign w:val="bottom"/>
          </w:tcPr>
          <w:p>
            <w:pPr>
              <w:pStyle w:val="TableContents"/>
              <w:spacing w:before="0" w:after="283"/>
              <w:rPr/>
            </w:pPr>
            <w:r>
              <w:rPr/>
              <w:t>​</w:t>
            </w:r>
          </w:p>
        </w:tc>
        <w:tc>
          <w:tcPr>
            <w:tcW w:w="23" w:type="dxa"/>
            <w:tcBorders/>
            <w:shd w:fill="FFFFFF" w:val="clear"/>
            <w:vAlign w:val="bottom"/>
          </w:tcPr>
          <w:p>
            <w:pPr>
              <w:pStyle w:val="TableContents"/>
              <w:spacing w:before="0" w:after="283"/>
              <w:rPr/>
            </w:pPr>
            <w:r>
              <w:rPr/>
              <w:t>​</w:t>
            </w:r>
          </w:p>
        </w:tc>
        <w:tc>
          <w:tcPr>
            <w:tcW w:w="256" w:type="dxa"/>
            <w:tcBorders/>
            <w:shd w:fill="FFFFFF" w:val="clear"/>
            <w:vAlign w:val="bottom"/>
          </w:tcPr>
          <w:p>
            <w:pPr>
              <w:pStyle w:val="TableContents"/>
              <w:spacing w:before="0" w:after="283"/>
              <w:rPr/>
            </w:pPr>
            <w:r>
              <w:rPr/>
              <w:t>​</w:t>
            </w:r>
          </w:p>
        </w:tc>
        <w:tc>
          <w:tcPr>
            <w:tcW w:w="512" w:type="dxa"/>
            <w:gridSpan w:val="2"/>
            <w:tcBorders/>
            <w:shd w:fill="FFFFFF" w:val="clear"/>
            <w:vAlign w:val="bottom"/>
          </w:tcPr>
          <w:p>
            <w:pPr>
              <w:pStyle w:val="TableContents"/>
              <w:spacing w:before="0" w:after="283"/>
              <w:jc w:val="center"/>
              <w:rPr/>
            </w:pPr>
            <w:r>
              <w:rPr/>
              <w:t> </w:t>
            </w:r>
          </w:p>
        </w:tc>
        <w:tc>
          <w:tcPr>
            <w:tcW w:w="257" w:type="dxa"/>
            <w:tcBorders/>
            <w:shd w:fill="FFFFFF" w:val="clear"/>
            <w:vAlign w:val="bottom"/>
          </w:tcPr>
          <w:p>
            <w:pPr>
              <w:pStyle w:val="TableContents"/>
              <w:spacing w:before="0" w:after="283"/>
              <w:rPr/>
            </w:pPr>
            <w:r>
              <w:rPr/>
              <w:t>​</w:t>
            </w:r>
          </w:p>
        </w:tc>
        <w:tc>
          <w:tcPr>
            <w:tcW w:w="24" w:type="dxa"/>
            <w:tcBorders/>
            <w:shd w:fill="FFFFFF" w:val="clear"/>
            <w:vAlign w:val="bottom"/>
          </w:tcPr>
          <w:p>
            <w:pPr>
              <w:pStyle w:val="TableContents"/>
              <w:spacing w:before="0" w:after="283"/>
              <w:rPr/>
            </w:pPr>
            <w:r>
              <w:rPr/>
              <w:t>​</w:t>
            </w:r>
          </w:p>
        </w:tc>
      </w:tr>
    </w:tbl>
    <w:p>
      <w:pPr>
        <w:pStyle w:val="ListHeading"/>
        <w:spacing w:before="0" w:after="0"/>
        <w:jc w:val="left"/>
        <w:rPr>
          <w:rFonts w:ascii="arial" w:hAnsi="arial"/>
          <w:position w:val="7"/>
          <w:sz w:val="16"/>
          <w:sz w:val="20"/>
        </w:rPr>
      </w:pPr>
      <w:r>
        <w:rPr>
          <w:rFonts w:ascii="arial" w:hAnsi="arial"/>
          <w:position w:val="7"/>
          <w:sz w:val="16"/>
          <w:sz w:val="20"/>
        </w:rPr>
        <w:t>(1)</w:t>
      </w:r>
    </w:p>
    <w:p>
      <w:pPr>
        <w:pStyle w:val="ListContents"/>
        <w:jc w:val="left"/>
        <w:rPr>
          <w:rFonts w:ascii="arial" w:hAnsi="arial"/>
          <w:sz w:val="20"/>
        </w:rPr>
      </w:pPr>
      <w:r>
        <w:rPr>
          <w:rFonts w:ascii="arial" w:hAnsi="arial"/>
          <w:sz w:val="20"/>
        </w:rPr>
        <w:t xml:space="preserve">As of March 26, 2021 </w:t>
      </w:r>
    </w:p>
    <w:p>
      <w:pPr>
        <w:pStyle w:val="ListHeading"/>
        <w:spacing w:before="0" w:after="0"/>
        <w:jc w:val="left"/>
        <w:rPr>
          <w:rFonts w:ascii="arial" w:hAnsi="arial"/>
          <w:position w:val="7"/>
          <w:sz w:val="16"/>
          <w:sz w:val="20"/>
        </w:rPr>
      </w:pPr>
      <w:r>
        <w:rPr>
          <w:rFonts w:ascii="arial" w:hAnsi="arial"/>
          <w:position w:val="7"/>
          <w:sz w:val="16"/>
          <w:sz w:val="20"/>
        </w:rPr>
        <w:t>(2)</w:t>
      </w:r>
    </w:p>
    <w:p>
      <w:pPr>
        <w:pStyle w:val="ListContents"/>
        <w:jc w:val="left"/>
        <w:rPr>
          <w:rFonts w:ascii="arial" w:hAnsi="arial"/>
          <w:sz w:val="20"/>
        </w:rPr>
      </w:pPr>
      <w:r>
        <w:rPr>
          <w:rFonts w:ascii="arial" w:hAnsi="arial"/>
          <w:sz w:val="20"/>
        </w:rPr>
        <w:t xml:space="preserve">Lead Independent Director until August 31, 2020 </w:t>
      </w:r>
    </w:p>
    <w:p>
      <w:pPr>
        <w:pStyle w:val="ListHeading"/>
        <w:spacing w:before="0" w:after="0"/>
        <w:jc w:val="left"/>
        <w:rPr>
          <w:rFonts w:ascii="arial" w:hAnsi="arial"/>
          <w:position w:val="7"/>
          <w:sz w:val="16"/>
          <w:sz w:val="20"/>
        </w:rPr>
      </w:pPr>
      <w:r>
        <w:rPr>
          <w:rFonts w:ascii="arial" w:hAnsi="arial"/>
          <w:position w:val="7"/>
          <w:sz w:val="16"/>
          <w:sz w:val="20"/>
        </w:rPr>
        <w:t>(3)</w:t>
      </w:r>
    </w:p>
    <w:p>
      <w:pPr>
        <w:pStyle w:val="ListContents"/>
        <w:jc w:val="left"/>
        <w:rPr>
          <w:rFonts w:ascii="arial" w:hAnsi="arial"/>
          <w:sz w:val="20"/>
        </w:rPr>
      </w:pPr>
      <w:r>
        <w:rPr>
          <w:rFonts w:ascii="arial" w:hAnsi="arial"/>
          <w:sz w:val="20"/>
        </w:rPr>
        <w:t xml:space="preserve">Lead Independent Director as of September 1, 2020 </w:t>
      </w:r>
    </w:p>
    <w:p>
      <w:pPr>
        <w:pStyle w:val="ListHeading"/>
        <w:spacing w:before="0" w:after="0"/>
        <w:jc w:val="left"/>
        <w:rPr>
          <w:rFonts w:ascii="arial" w:hAnsi="arial"/>
          <w:position w:val="7"/>
          <w:sz w:val="16"/>
          <w:sz w:val="20"/>
        </w:rPr>
      </w:pPr>
      <w:r>
        <w:rPr>
          <w:rFonts w:ascii="arial" w:hAnsi="arial"/>
          <w:position w:val="7"/>
          <w:sz w:val="16"/>
          <w:sz w:val="20"/>
        </w:rPr>
        <w:t>(4)</w:t>
      </w:r>
    </w:p>
    <w:p>
      <w:pPr>
        <w:pStyle w:val="ListContents"/>
        <w:spacing w:before="0" w:after="283"/>
        <w:jc w:val="left"/>
        <w:rPr>
          <w:rFonts w:ascii="arial" w:hAnsi="arial"/>
          <w:sz w:val="20"/>
        </w:rPr>
      </w:pPr>
      <w:r>
        <w:rPr>
          <w:rFonts w:ascii="arial" w:hAnsi="arial"/>
          <w:sz w:val="20"/>
        </w:rPr>
        <w:t xml:space="preserve">Committee Chairman </w:t>
      </w:r>
    </w:p>
    <w:p>
      <w:pPr>
        <w:pStyle w:val="TextBody"/>
        <w:rPr>
          <w:rFonts w:ascii="arial" w:hAnsi="arial"/>
          <w:sz w:val="20"/>
        </w:rPr>
      </w:pPr>
      <w:r>
        <w:rPr>
          <w:rFonts w:ascii="arial" w:hAnsi="arial"/>
          <w:sz w:val="20"/>
        </w:rPr>
        <w:t xml:space="preserve">If our nominees for Director are elected, we believe that the proposed Board composition will be well-balanced in terms of length of Director tenure between more experienced Directors and more recently appointed Directors. </w:t>
      </w:r>
    </w:p>
    <w:p>
      <w:pPr>
        <w:pStyle w:val="TextBody"/>
        <w:rPr>
          <w:rFonts w:ascii="arial" w:hAnsi="arial"/>
          <w:sz w:val="20"/>
        </w:rPr>
      </w:pPr>
      <w:r>
        <w:rPr>
          <w:rFonts w:ascii="arial" w:hAnsi="arial"/>
          <w:sz w:val="20"/>
        </w:rPr>
        <w:t xml:space="preserve">The principal occupation for the last five (5) years and additional biographical information of each nominee for Director are set forth below. All nominees for Director bring a wealth of leadership experience derived from their service in executive and managerial roles as well as their board experience. </w:t>
      </w:r>
    </w:p>
    <w:p>
      <w:pPr>
        <w:pStyle w:val="TextBody"/>
        <w:rPr>
          <w:rFonts w:ascii="arial" w:hAnsi="arial"/>
        </w:rPr>
      </w:pPr>
      <w:r>
        <w:rPr>
          <w:rFonts w:ascii="arial" w:hAnsi="arial"/>
          <w:b/>
          <w:i/>
          <w:sz w:val="20"/>
        </w:rPr>
        <w:t>Scott E. Burg.</w:t>
      </w:r>
      <w:r>
        <w:rPr>
          <w:rFonts w:ascii="arial" w:hAnsi="arial"/>
        </w:rPr>
        <w:t>    </w:t>
      </w:r>
      <w:r>
        <w:rPr>
          <w:rFonts w:ascii="arial" w:hAnsi="arial"/>
          <w:sz w:val="20"/>
        </w:rPr>
        <w:t xml:space="preserve">Mr. Burg was appointed to the Board of Directors of Altisource in September 2018 and served as Lead Independent Director from May 2019 through August 2020. Mr. Burg is the Chief Investment Officer and a Managing Partner of Deer Park Road Management Company, LP ("Deer Park"), an investment management company, where he is responsible for the firm's portfolios and portfolio risk management. Prior to joining Deer Park in August 2010, Mr. Burg was a Principal at General Capital Partners, where he advised middle-market companies in distressed situations. Mr. Burg also worked at Pursuit Partners, a $550 million fixed-income hedge fund, where he analyzed residential mortgage-backed securities, and he founded The Murray Hill IPS (later Clayton IPS; now MountainView IPS), a world-wide leader in the valuation of difficult-to-price assets. Mr. Burg holds a Bachelor of Science from the University of Colorado and a Master of Business Administration from the University of Denver's Daniels College of Business. </w:t>
      </w:r>
    </w:p>
    <w:p>
      <w:pPr>
        <w:pStyle w:val="TextBody"/>
        <w:jc w:val="center"/>
        <w:rPr>
          <w:rFonts w:ascii="arial" w:hAnsi="arial"/>
          <w:sz w:val="20"/>
        </w:rPr>
      </w:pPr>
      <w:r>
        <w:rPr>
          <w:rFonts w:ascii="arial" w:hAnsi="arial"/>
          <w:sz w:val="20"/>
        </w:rPr>
        <w:t>14</w:t>
      </w:r>
    </w:p>
    <w:p>
      <w:pPr>
        <w:pStyle w:val="HorizontalLine"/>
        <w:pBdr>
          <w:bottom w:val="single" w:sz="20" w:space="0" w:color="808080"/>
        </w:pBdr>
        <w:rPr/>
      </w:pPr>
      <w:r>
        <w:rPr/>
      </w:r>
      <w:r>
        <w:br w:type="page"/>
      </w:r>
    </w:p>
    <w:p>
      <w:pPr>
        <w:pStyle w:val="TextBody"/>
        <w:rPr/>
      </w:pPr>
      <w:hyperlink w:anchor="bg45301a_main_toc">
        <w:bookmarkStart w:id="34" w:name="page_de45301_1_15"/>
        <w:bookmarkEnd w:id="34"/>
        <w:r>
          <w:rPr>
            <w:rStyle w:val="InternetLink"/>
            <w:rFonts w:ascii="arial" w:hAnsi="arial"/>
            <w:sz w:val="20"/>
          </w:rPr>
          <w:t>Table of Contents</w:t>
        </w:r>
      </w:hyperlink>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3367"/>
        <w:gridCol w:w="101"/>
        <w:gridCol w:w="6737"/>
      </w:tblGrid>
      <w:tr>
        <w:trPr/>
        <w:tc>
          <w:tcPr>
            <w:tcW w:w="3367" w:type="dxa"/>
            <w:tcBorders/>
            <w:shd w:fill="auto" w:val="clear"/>
            <w:vAlign w:val="center"/>
          </w:tcPr>
          <w:p>
            <w:pPr>
              <w:pStyle w:val="TableContents"/>
              <w:spacing w:before="0" w:after="283"/>
              <w:rPr/>
            </w:pPr>
            <w:r>
              <w:rPr/>
              <w:commentReference w:id="30"/>
            </w:r>
            <w:r>
              <w:rPr/>
              <w:commentReference w:id="31"/>
            </w:r>
            <w:r>
              <w:rPr/>
              <w:commentReference w:id="32"/>
            </w:r>
            <w:r>
              <w:rPr/>
              <w:t>​</w:t>
            </w:r>
          </w:p>
        </w:tc>
        <w:tc>
          <w:tcPr>
            <w:tcW w:w="101" w:type="dxa"/>
            <w:tcBorders/>
            <w:shd w:fill="auto" w:val="clear"/>
            <w:vAlign w:val="center"/>
          </w:tcPr>
          <w:p>
            <w:pPr>
              <w:pStyle w:val="TableContents"/>
              <w:spacing w:before="0" w:after="283"/>
              <w:rPr/>
            </w:pPr>
            <w:r>
              <w:rPr/>
              <w:t>​</w:t>
            </w:r>
          </w:p>
        </w:tc>
        <w:tc>
          <w:tcPr>
            <w:tcW w:w="6737" w:type="dxa"/>
            <w:tcBorders/>
            <w:shd w:fill="auto" w:val="clear"/>
            <w:vAlign w:val="center"/>
          </w:tcPr>
          <w:p>
            <w:pPr>
              <w:pStyle w:val="TableContents"/>
              <w:spacing w:before="0" w:after="283"/>
              <w:rPr/>
            </w:pPr>
            <w:r>
              <w:rPr/>
              <w:t>​</w:t>
            </w:r>
            <w:r>
              <w:rPr>
                <w:rFonts w:eastAsia="arial" w:cs="arial" w:ascii="arial" w:hAnsi="arial"/>
              </w:rPr>
              <w:commentReference w:id="33"/>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drawing>
                <wp:inline distT="0" distB="0" distL="0" distR="0">
                  <wp:extent cx="1257300" cy="1809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1257300" cy="180975"/>
                          </a:xfrm>
                          <a:prstGeom prst="rect">
                            <a:avLst/>
                          </a:prstGeom>
                        </pic:spPr>
                      </pic:pic>
                    </a:graphicData>
                  </a:graphic>
                </wp:inline>
              </w:drawing>
            </w:r>
            <w:r>
              <w:rPr/>
              <w:t xml:space="preserve"> </w:t>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spacing w:before="0" w:after="283"/>
              <w:jc w:val="right"/>
              <w:rPr/>
            </w:pPr>
            <w:r>
              <w:rPr/>
              <w:t>​</w:t>
            </w:r>
          </w:p>
        </w:tc>
      </w:tr>
    </w:tbl>
    <w:p>
      <w:pPr>
        <w:pStyle w:val="TextBody"/>
        <w:rPr/>
      </w:pPr>
      <w:r>
        <w:rPr>
          <w:color w:val="000000"/>
        </w:rPr>
        <w:commentReference w:id="34"/>
      </w:r>
      <w:r>
        <w:rPr>
          <w:color w:val="000000"/>
        </w:rPr>
        <w:t>​</w:t>
      </w:r>
      <w:r>
        <w:rPr/>
        <w:t xml:space="preserve"> </w:t>
      </w:r>
    </w:p>
    <w:p>
      <w:pPr>
        <w:pStyle w:val="TextBody"/>
        <w:rPr>
          <w:rFonts w:ascii="arial" w:hAnsi="arial"/>
          <w:sz w:val="20"/>
        </w:rPr>
      </w:pPr>
      <w:r>
        <w:rPr>
          <w:rFonts w:ascii="arial" w:hAnsi="arial"/>
          <w:sz w:val="20"/>
        </w:rPr>
        <w:t xml:space="preserve">As Chief Investment Officer and Managing Partner of Deer Park, Mr. Burg has financial expertise and deep experience in business advisory services and asset management, including real estate and mortgage-related investments, that make him financially literate, qualify him as a financial expert as defined by Nasdaq listing standards and SEC rules and provide the Board with important industry insight relevant to the Company's business strategy. Deer Park's position as an investor in the Company has provided Mr. Burg with a thorough understanding of our business and unique insight into the interests of our long-term investors. </w:t>
      </w:r>
    </w:p>
    <w:p>
      <w:pPr>
        <w:pStyle w:val="TextBody"/>
        <w:rPr>
          <w:rFonts w:ascii="arial" w:hAnsi="arial"/>
        </w:rPr>
      </w:pPr>
      <w:r>
        <w:rPr>
          <w:rFonts w:ascii="arial" w:hAnsi="arial"/>
          <w:b/>
          <w:i/>
          <w:sz w:val="20"/>
        </w:rPr>
        <w:t>Joseph L. Morettini.</w:t>
      </w:r>
      <w:r>
        <w:rPr>
          <w:rFonts w:ascii="arial" w:hAnsi="arial"/>
        </w:rPr>
        <w:t>    </w:t>
      </w:r>
      <w:r>
        <w:rPr>
          <w:rFonts w:ascii="arial" w:hAnsi="arial"/>
          <w:sz w:val="20"/>
        </w:rPr>
        <w:t xml:space="preserve">Mr. Morettini was appointed to the Board of Directors of Altisource in May 2017. Mr. Morettini served as Partner of Deloitte &amp; Touche LLP ("Deloitte") from 1989 until his retirement in 2015, and in various positions with Deloitte from 1984 to 1989. During his tenure at Deloitte, his client responsibilities included companies in the financial services and mortgage servicing industries in addition to various public companies from small market capitalization to large market capitalization, and he was the external audit partner assigned to Altisource from August 2009 to February 2014. Mr. Morettini also served on the Board of Directors and as Audit Committee Chairman of TechBridge, an Atlanta, Georgia based nonprofit organization, from 2003 to 2005. Mr. Morettini holds a Bachelor of Arts in Liberal Arts and Sciences from the University of Illinois and a Master of Accountancy from Western Illinois University. Mr. Morettini is a Certified Public Accountant. </w:t>
      </w:r>
    </w:p>
    <w:p>
      <w:pPr>
        <w:pStyle w:val="TextBody"/>
        <w:rPr>
          <w:rFonts w:ascii="arial" w:hAnsi="arial"/>
          <w:sz w:val="20"/>
        </w:rPr>
      </w:pPr>
      <w:r>
        <w:rPr>
          <w:rFonts w:ascii="arial" w:hAnsi="arial"/>
          <w:sz w:val="20"/>
        </w:rPr>
        <w:t xml:space="preserve">Mr. Morettini's extensive experience with large financial institutions and public corporations in the financial services and mortgage servicing industries and his thirty plus years of experience with Deloitte provide our Board of Directors with valuable insight from an accounting and auditing perspective. Mr. Morettini is financially literate and qualifies as a financial expert as defined by Nasdaq listing standards and SEC rules. </w:t>
      </w:r>
    </w:p>
    <w:p>
      <w:pPr>
        <w:pStyle w:val="TextBody"/>
        <w:rPr>
          <w:rFonts w:ascii="arial" w:hAnsi="arial"/>
        </w:rPr>
      </w:pPr>
      <w:r>
        <w:rPr>
          <w:rFonts w:ascii="arial" w:hAnsi="arial"/>
          <w:b/>
          <w:i/>
          <w:sz w:val="20"/>
        </w:rPr>
        <w:t>Roland Müller-Ineichen.</w:t>
      </w:r>
      <w:r>
        <w:rPr>
          <w:rFonts w:ascii="arial" w:hAnsi="arial"/>
        </w:rPr>
        <w:t>    </w:t>
      </w:r>
      <w:r>
        <w:rPr>
          <w:rFonts w:ascii="arial" w:hAnsi="arial"/>
          <w:sz w:val="20"/>
        </w:rPr>
        <w:t xml:space="preserve">Mr. Müller-Ineichen was appointed to the Board of Directors of Altisource in July 2009 and as Lead Independent Director in September 2020. He also serves on the Board of Directors of ONE Swiss Bank SA, with offices in Geneva and Lugano, Switzerland, which offers advisory, asset management and wealth management services; of SWA Swiss Auditors AG, a private company based in Freienbach, Switzerland that provides auditing and consulting services for financial institutions in Switzerland; of Citibank (Switzerland) Ltd. based in Zurich and Geneva, Switzerland, a subsidiary of Citigroup that provides private banking services to High Net Worth individuals; of Sberbank (Switzerland) Ltd, based in Zurich, Switzerland, a subsidiary of Sberbank Russia, offering trade finance, trading and corporate banking services; and of Habib Bank AG Zurich, a provider of corporate, personal, private, and correspondent banking products based in Zurich. In addition, from May 2010 to September 2011, Mr. Müller-Ineichen served as a member of the Board of Directors of Absolute Private Equity AG, a Switzerland-based investment company. Mr. Müller-Ineichen served as a Partner with KPMG Switzerland and KPMG Europe LLP where he was the lead partner on audits of national and international banks, security dealers and fund management companies. Mr. Müller-Ineichen began working in the Zurich office of KPMG in June 1995 as a Senior Manager in the audit department focused on the banking and financial services industries and served as a Partner from January 1999 until his retirement in December 2008. Prior to joining KPMG, Mr. Müller-Ineichen progressed through various audit and managerial roles with Switzerland-based financial institutions. Mr. Müller-Ineichen is a Swiss Certified Public Accountant. He completed a commercial and banking business apprenticeship with UBS in 1980. Mr. Müller-Ineichen holds a Business Commerce degree. </w:t>
      </w:r>
    </w:p>
    <w:p>
      <w:pPr>
        <w:pStyle w:val="TextBody"/>
        <w:rPr>
          <w:rFonts w:ascii="arial" w:hAnsi="arial"/>
          <w:sz w:val="20"/>
        </w:rPr>
      </w:pPr>
      <w:r>
        <w:rPr>
          <w:rFonts w:ascii="arial" w:hAnsi="arial"/>
          <w:sz w:val="20"/>
        </w:rPr>
        <w:t xml:space="preserve">Mr. Müller-Ineichen's past employment experience provides the Board of Directors with accounting expertise, and his experience in the financial services industry provides the Board of Directors with valuable audit and accounting as well as strategic and financial insights. Furthermore, Mr. Müller-Ineichen is financially literate and qualifies as a financial expert as defined by Nasdaq listing standards and SEC rules. Through his eleven plus years of service on our Board of Directors, Mr. Müller-Ineichen has developed a thorough understanding of our business and industry. </w:t>
      </w:r>
    </w:p>
    <w:p>
      <w:pPr>
        <w:pStyle w:val="TextBody"/>
        <w:jc w:val="center"/>
        <w:rPr>
          <w:rFonts w:ascii="arial" w:hAnsi="arial"/>
          <w:sz w:val="20"/>
        </w:rPr>
      </w:pPr>
      <w:r>
        <w:rPr>
          <w:rFonts w:ascii="arial" w:hAnsi="arial"/>
          <w:sz w:val="20"/>
        </w:rPr>
        <w:t>15</w:t>
      </w:r>
    </w:p>
    <w:p>
      <w:pPr>
        <w:pStyle w:val="HorizontalLine"/>
        <w:pBdr>
          <w:bottom w:val="single" w:sz="20" w:space="0" w:color="808080"/>
        </w:pBdr>
        <w:rPr/>
      </w:pPr>
      <w:r>
        <w:rPr/>
      </w:r>
      <w:r>
        <w:br w:type="page"/>
      </w:r>
    </w:p>
    <w:p>
      <w:pPr>
        <w:pStyle w:val="TextBody"/>
        <w:rPr/>
      </w:pPr>
      <w:hyperlink w:anchor="bg45301a_main_toc">
        <w:bookmarkStart w:id="35" w:name="page_de45301_1_16"/>
        <w:bookmarkEnd w:id="35"/>
        <w:r>
          <w:rPr>
            <w:rStyle w:val="InternetLink"/>
            <w:rFonts w:ascii="arial" w:hAnsi="arial"/>
            <w:sz w:val="20"/>
          </w:rPr>
          <w:t>Table of Contents</w:t>
        </w:r>
      </w:hyperlink>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3367"/>
        <w:gridCol w:w="101"/>
        <w:gridCol w:w="6737"/>
      </w:tblGrid>
      <w:tr>
        <w:trPr/>
        <w:tc>
          <w:tcPr>
            <w:tcW w:w="3367" w:type="dxa"/>
            <w:tcBorders/>
            <w:shd w:fill="auto" w:val="clear"/>
            <w:vAlign w:val="center"/>
          </w:tcPr>
          <w:p>
            <w:pPr>
              <w:pStyle w:val="TableContents"/>
              <w:spacing w:before="0" w:after="283"/>
              <w:rPr/>
            </w:pPr>
            <w:r>
              <w:rPr/>
              <w:commentReference w:id="35"/>
            </w:r>
            <w:r>
              <w:rPr/>
              <w:commentReference w:id="36"/>
            </w:r>
            <w:r>
              <w:rPr/>
              <w:commentReference w:id="37"/>
            </w:r>
            <w:r>
              <w:rPr/>
              <w:t>​</w:t>
            </w:r>
          </w:p>
        </w:tc>
        <w:tc>
          <w:tcPr>
            <w:tcW w:w="101" w:type="dxa"/>
            <w:tcBorders/>
            <w:shd w:fill="auto" w:val="clear"/>
            <w:vAlign w:val="center"/>
          </w:tcPr>
          <w:p>
            <w:pPr>
              <w:pStyle w:val="TableContents"/>
              <w:spacing w:before="0" w:after="283"/>
              <w:rPr/>
            </w:pPr>
            <w:r>
              <w:rPr/>
              <w:t>​</w:t>
            </w:r>
          </w:p>
        </w:tc>
        <w:tc>
          <w:tcPr>
            <w:tcW w:w="6737" w:type="dxa"/>
            <w:tcBorders/>
            <w:shd w:fill="auto" w:val="clear"/>
            <w:vAlign w:val="center"/>
          </w:tcPr>
          <w:p>
            <w:pPr>
              <w:pStyle w:val="TableContents"/>
              <w:spacing w:before="0" w:after="283"/>
              <w:rPr/>
            </w:pPr>
            <w:r>
              <w:rPr/>
              <w:t>​</w:t>
            </w:r>
            <w:r>
              <w:rPr>
                <w:rFonts w:eastAsia="arial" w:cs="arial" w:ascii="arial" w:hAnsi="arial"/>
              </w:rPr>
              <w:commentReference w:id="38"/>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drawing>
                <wp:inline distT="0" distB="0" distL="0" distR="0">
                  <wp:extent cx="1257300" cy="1809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1257300" cy="180975"/>
                          </a:xfrm>
                          <a:prstGeom prst="rect">
                            <a:avLst/>
                          </a:prstGeom>
                        </pic:spPr>
                      </pic:pic>
                    </a:graphicData>
                  </a:graphic>
                </wp:inline>
              </w:drawing>
            </w:r>
            <w:r>
              <w:rPr/>
              <w:t xml:space="preserve"> </w:t>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t> </w:t>
            </w:r>
          </w:p>
        </w:tc>
      </w:tr>
    </w:tbl>
    <w:p>
      <w:pPr>
        <w:pStyle w:val="TextBody"/>
        <w:rPr/>
      </w:pPr>
      <w:r>
        <w:rPr>
          <w:color w:val="000000"/>
        </w:rPr>
        <w:commentReference w:id="39"/>
      </w:r>
      <w:r>
        <w:rPr>
          <w:color w:val="000000"/>
        </w:rPr>
        <w:t>​</w:t>
      </w:r>
      <w:r>
        <w:rPr/>
        <w:t xml:space="preserve"> </w:t>
      </w:r>
    </w:p>
    <w:p>
      <w:pPr>
        <w:pStyle w:val="TextBody"/>
        <w:rPr>
          <w:rFonts w:ascii="arial" w:hAnsi="arial"/>
        </w:rPr>
      </w:pPr>
      <w:r>
        <w:rPr>
          <w:rFonts w:ascii="arial" w:hAnsi="arial"/>
          <w:b/>
          <w:i/>
          <w:sz w:val="20"/>
        </w:rPr>
        <w:t>William B. Shepro.</w:t>
      </w:r>
      <w:r>
        <w:rPr>
          <w:rFonts w:ascii="arial" w:hAnsi="arial"/>
        </w:rPr>
        <w:t>    </w:t>
      </w:r>
      <w:r>
        <w:rPr>
          <w:rFonts w:ascii="arial" w:hAnsi="arial"/>
          <w:sz w:val="20"/>
        </w:rPr>
        <w:t xml:space="preserve">Mr. Shepro was appointed Chief Executive Officer and to the Board of Directors of Altisource in July 2009. Since May 2019, Mr. Shepro has served as Chairman of the Board of Directors. Mr. Shepro previously served as the President and Chief Operating Officer of Ocwen Solutions, a business unit of Ocwen Financial Corporation ("Ocwen"). From 2003 to 2009, he served as President of Global Servicing Solutions, LLC, a joint venture between Ocwen and Merrill Lynch. Mr. Shepro also held the positions of Senior Vice President of Ocwen Recovery Group and Senior Vice President, Director and Senior Manager of Commercial Servicing at Ocwen. He joined Ocwen in 1997. Mr. Shepro also serves on the Boards of certain of Altisource's subsidiaries and Lenders One, a national alliance of mortgage bankers managed by a subsidiary of Altisource. He holds a Bachelor of Science in Business from Skidmore College and a Juris Doctor from the Florida State University College of Law. </w:t>
      </w:r>
    </w:p>
    <w:p>
      <w:pPr>
        <w:pStyle w:val="TextBody"/>
        <w:rPr>
          <w:rFonts w:ascii="arial" w:hAnsi="arial"/>
          <w:sz w:val="20"/>
        </w:rPr>
      </w:pPr>
      <w:r>
        <w:rPr>
          <w:rFonts w:ascii="arial" w:hAnsi="arial"/>
          <w:sz w:val="20"/>
        </w:rPr>
        <w:t xml:space="preserve">Mr. Shepro's day-to-day leadership and intimate knowledge of our business and operations provide the Board of Directors with Company-specific experience and expertise. Furthermore, Mr. Shepro's legal background and operational experience in the financial technology and residential and commercial mortgage servicing and real estate industries provide our Board of Directors with valuable strategic, industry and operational insights and expertise. </w:t>
      </w:r>
    </w:p>
    <w:p>
      <w:pPr>
        <w:pStyle w:val="TextBody"/>
        <w:jc w:val="center"/>
        <w:rPr>
          <w:rFonts w:ascii="arial" w:hAnsi="arial"/>
        </w:rPr>
      </w:pPr>
      <w:bookmarkStart w:id="36" w:name="toc_de45301_2"/>
      <w:bookmarkStart w:id="37" w:name="de45301_our_board_of_directors_unanimo__"/>
      <w:bookmarkEnd w:id="36"/>
      <w:bookmarkEnd w:id="37"/>
      <w:r>
        <w:rPr>
          <w:rFonts w:ascii="arial" w:hAnsi="arial"/>
          <w:sz w:val="20"/>
        </w:rPr>
        <w:br/>
      </w:r>
      <w:r>
        <w:rPr>
          <w:rFonts w:ascii="arial" w:hAnsi="arial"/>
          <w:b/>
          <w:sz w:val="20"/>
        </w:rPr>
        <w:t>OUR BOARD OF DIRECTORS UNANIMOUSLY RECOMMENDS</w:t>
        <w:br/>
        <w:t xml:space="preserve">THAT YOU VOTE "FOR" EACH OF THE NOMINEES FOR DIRECTOR </w:t>
      </w:r>
    </w:p>
    <w:p>
      <w:pPr>
        <w:pStyle w:val="TextBody"/>
        <w:jc w:val="center"/>
        <w:rPr>
          <w:rFonts w:ascii="arial" w:hAnsi="arial"/>
          <w:sz w:val="20"/>
        </w:rPr>
      </w:pPr>
      <w:r>
        <w:rPr>
          <w:rFonts w:ascii="arial" w:hAnsi="arial"/>
          <w:sz w:val="20"/>
        </w:rPr>
        <w:t>16</w:t>
      </w:r>
    </w:p>
    <w:p>
      <w:pPr>
        <w:pStyle w:val="HorizontalLine"/>
        <w:pBdr>
          <w:bottom w:val="single" w:sz="20" w:space="0" w:color="808080"/>
        </w:pBdr>
        <w:rPr/>
      </w:pPr>
      <w:r>
        <w:rPr/>
      </w:r>
      <w:r>
        <w:br w:type="page"/>
      </w:r>
    </w:p>
    <w:p>
      <w:pPr>
        <w:pStyle w:val="TextBody"/>
        <w:rPr/>
      </w:pPr>
      <w:hyperlink w:anchor="bg45301a_main_toc">
        <w:bookmarkStart w:id="38" w:name="page_dg45301_1_17"/>
        <w:bookmarkEnd w:id="38"/>
        <w:r>
          <w:rPr>
            <w:rStyle w:val="InternetLink"/>
            <w:rFonts w:ascii="arial" w:hAnsi="arial"/>
            <w:sz w:val="20"/>
          </w:rPr>
          <w:t>Table of Contents</w:t>
        </w:r>
      </w:hyperlink>
      <w:r>
        <w:rPr>
          <w:rFonts w:ascii="arial" w:hAnsi="arial"/>
          <w:sz w:val="20"/>
        </w:rPr>
        <w:t xml:space="preserve"> </w:t>
      </w:r>
    </w:p>
    <w:p>
      <w:pPr>
        <w:pStyle w:val="TextBody"/>
        <w:rPr/>
      </w:pPr>
      <w:r>
        <w:rPr>
          <w:color w:val="000000"/>
        </w:rPr>
        <w:t>​</w:t>
      </w:r>
      <w:r>
        <w:rPr/>
        <w:t xml:space="preserve"> </w:t>
      </w:r>
    </w:p>
    <w:p>
      <w:pPr>
        <w:pStyle w:val="Normal"/>
        <w:spacing w:before="0" w:after="0"/>
        <w:ind w:left="0" w:right="0" w:hanging="0"/>
        <w:rPr>
          <w:sz w:val="4"/>
          <w:szCs w:val="4"/>
        </w:rPr>
      </w:pPr>
      <w:r>
        <w:rPr>
          <w:sz w:val="4"/>
          <w:szCs w:val="4"/>
        </w:rPr>
      </w:r>
      <w:bookmarkStart w:id="39" w:name="toc_dg45301_1"/>
      <w:bookmarkStart w:id="40" w:name="dg45301_board_of_directors_and_corporate"/>
      <w:bookmarkStart w:id="41" w:name="toc_dg45301_1"/>
      <w:bookmarkStart w:id="42" w:name="dg45301_board_of_directors_and_corporate"/>
      <w:bookmarkEnd w:id="41"/>
      <w:bookmarkEnd w:id="42"/>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8" w:space="0" w:color="000000"/>
            </w:tcBorders>
            <w:shd w:fill="auto" w:val="clear"/>
            <w:vAlign w:val="center"/>
          </w:tcPr>
          <w:p>
            <w:pPr>
              <w:pStyle w:val="TableContents"/>
              <w:spacing w:before="0" w:after="0"/>
              <w:ind w:left="0" w:right="0" w:hanging="0"/>
              <w:jc w:val="left"/>
              <w:rPr>
                <w:rFonts w:ascii="arial" w:hAnsi="arial"/>
                <w:b/>
                <w:sz w:val="24"/>
              </w:rPr>
            </w:pPr>
            <w:r>
              <w:rPr>
                <w:rFonts w:ascii="arial" w:hAnsi="arial"/>
                <w:b/>
                <w:sz w:val="24"/>
              </w:rPr>
              <w:t xml:space="preserve">Board of Directors and Corporate Governance </w:t>
            </w:r>
          </w:p>
        </w:tc>
      </w:tr>
    </w:tbl>
    <w:p>
      <w:pPr>
        <w:pStyle w:val="TextBody"/>
        <w:ind w:left="220" w:right="0" w:hanging="220"/>
        <w:rPr>
          <w:rFonts w:ascii="arial" w:hAnsi="arial"/>
          <w:b/>
          <w:sz w:val="20"/>
        </w:rPr>
      </w:pPr>
      <w:r>
        <w:rPr>
          <w:rFonts w:ascii="arial" w:hAnsi="arial"/>
          <w:b/>
          <w:sz w:val="20"/>
        </w:rPr>
        <w:t xml:space="preserve">Meetings of the Board of Directors </w:t>
      </w:r>
    </w:p>
    <w:p>
      <w:pPr>
        <w:pStyle w:val="TextBody"/>
        <w:rPr>
          <w:rFonts w:ascii="arial" w:hAnsi="arial"/>
          <w:sz w:val="20"/>
        </w:rPr>
      </w:pPr>
      <w:r>
        <w:rPr>
          <w:rFonts w:ascii="arial" w:hAnsi="arial"/>
          <w:sz w:val="20"/>
        </w:rPr>
        <w:t xml:space="preserve">The Board of Directors (also referred to herein as the "Board") plays an active role in overseeing the Company's business and representing the interests of the Company and its shareholders. Directors generally attend all meetings of the Board of Directors and all meetings of Committees on which they serve. Directors are also consulted for advice and counsel between formal meetings. </w:t>
      </w:r>
    </w:p>
    <w:p>
      <w:pPr>
        <w:pStyle w:val="TextBody"/>
        <w:rPr>
          <w:rFonts w:ascii="arial" w:hAnsi="arial"/>
          <w:sz w:val="20"/>
        </w:rPr>
      </w:pPr>
      <w:r>
        <w:rPr>
          <w:rFonts w:ascii="arial" w:hAnsi="arial"/>
          <w:sz w:val="20"/>
        </w:rPr>
        <w:t xml:space="preserve">Our Board of Directors met fifteen (15) times in 2020. Each Director attended at least seventy-five percent (75%) of the total number of meetings of the Board and the Committees on which they served. </w:t>
      </w:r>
    </w:p>
    <w:p>
      <w:pPr>
        <w:pStyle w:val="TextBody"/>
        <w:rPr>
          <w:rFonts w:ascii="arial" w:hAnsi="arial"/>
          <w:sz w:val="20"/>
        </w:rPr>
      </w:pPr>
      <w:r>
        <w:rPr>
          <w:rFonts w:ascii="arial" w:hAnsi="arial"/>
          <w:sz w:val="20"/>
        </w:rPr>
        <w:t xml:space="preserve">As a result of the COVID-19 pandemic, we converted our 2020 annual meeting to a remote meeting format. Although we do not have a formal policy regarding Director attendance at our annual meetings of shareholders, our Directors generally attend. However, two of our four Directors participated in the 2020 annual meeting, with our two United States resident Directors being prevented from traveling to Luxembourg due to the COVID-19 pandemic. </w:t>
      </w:r>
    </w:p>
    <w:p>
      <w:pPr>
        <w:pStyle w:val="TextBody"/>
        <w:ind w:left="220" w:right="0" w:hanging="220"/>
        <w:rPr>
          <w:rFonts w:ascii="arial" w:hAnsi="arial"/>
          <w:b/>
          <w:sz w:val="20"/>
        </w:rPr>
      </w:pPr>
      <w:r>
        <w:rPr>
          <w:rFonts w:ascii="arial" w:hAnsi="arial"/>
          <w:b/>
          <w:sz w:val="20"/>
        </w:rPr>
        <w:t xml:space="preserve">Independence of Directors </w:t>
      </w:r>
    </w:p>
    <w:p>
      <w:pPr>
        <w:pStyle w:val="TextBody"/>
        <w:rPr>
          <w:rFonts w:ascii="arial" w:hAnsi="arial"/>
          <w:sz w:val="20"/>
        </w:rPr>
      </w:pPr>
      <w:r>
        <w:rPr>
          <w:rFonts w:ascii="arial" w:hAnsi="arial"/>
          <w:sz w:val="20"/>
        </w:rPr>
        <w:t xml:space="preserve">Our Corporate Governance Guidelines provide that a majority of our Directors must qualify as independent Directors under Nasdaq listing standards and applicable law. </w:t>
      </w:r>
    </w:p>
    <w:p>
      <w:pPr>
        <w:pStyle w:val="TextBody"/>
        <w:rPr>
          <w:rFonts w:ascii="arial" w:hAnsi="arial"/>
          <w:sz w:val="20"/>
        </w:rPr>
      </w:pPr>
      <w:r>
        <w:rPr>
          <w:rFonts w:ascii="arial" w:hAnsi="arial"/>
          <w:sz w:val="20"/>
        </w:rPr>
        <w:t xml:space="preserve">Our Board of Directors annually reviews the direct and indirect relationships that the Company has with each Director. The purpose of this review is to determine whether any transactions or relationships are inconsistent with a determination that the Director is independent. Only those Directors who are determined by our Board of Directors to have no material relationship with Altisource are considered independent. This determination is based in part on the analysis of questionnaire responses that follow the independence standards and qualifications established by Nasdaq and applicable law. The Board of Directors also considers beneficial ownership of our common stock by each of the Directors, as set forth under "Security Ownership of Certain Beneficial Owners and Management," although our Board of Directors generally believes that stock ownership tends to further align a Director's interests with those of our other shareholders. Please see "Minimum Stock Ownership Requirements" under the Board of Directors Compensation section for additional information. </w:t>
      </w:r>
    </w:p>
    <w:p>
      <w:pPr>
        <w:pStyle w:val="TextBody"/>
        <w:rPr>
          <w:rFonts w:ascii="arial" w:hAnsi="arial"/>
          <w:sz w:val="20"/>
        </w:rPr>
      </w:pPr>
      <w:r>
        <w:rPr>
          <w:rFonts w:ascii="arial" w:hAnsi="arial"/>
          <w:sz w:val="20"/>
        </w:rPr>
        <w:t xml:space="preserve">The Board of Directors has determined that all of our current Directors other than Mr. Shepro are independent under Nasdaq listing standards. Mr. Shepro is deemed not to be independent because he serves as the Chief Executive Officer of Altisource. </w:t>
      </w:r>
    </w:p>
    <w:p>
      <w:pPr>
        <w:pStyle w:val="TextBody"/>
        <w:ind w:left="220" w:right="0" w:hanging="220"/>
        <w:rPr>
          <w:rFonts w:ascii="arial" w:hAnsi="arial"/>
          <w:b/>
          <w:sz w:val="20"/>
        </w:rPr>
      </w:pPr>
      <w:r>
        <w:rPr>
          <w:rFonts w:ascii="arial" w:hAnsi="arial"/>
          <w:b/>
          <w:sz w:val="20"/>
        </w:rPr>
        <w:t xml:space="preserve">Executive Sessions of Independent Directors </w:t>
      </w:r>
    </w:p>
    <w:p>
      <w:pPr>
        <w:pStyle w:val="TextBody"/>
        <w:rPr>
          <w:rFonts w:ascii="arial" w:hAnsi="arial"/>
          <w:sz w:val="20"/>
        </w:rPr>
      </w:pPr>
      <w:r>
        <w:rPr>
          <w:rFonts w:ascii="arial" w:hAnsi="arial"/>
          <w:sz w:val="20"/>
        </w:rPr>
        <w:t xml:space="preserve">Our independent Directors met in executive session of the Board of Directors without management five (5) times in 2020. </w:t>
      </w:r>
    </w:p>
    <w:p>
      <w:pPr>
        <w:pStyle w:val="TextBody"/>
        <w:ind w:left="220" w:right="0" w:hanging="220"/>
        <w:rPr>
          <w:rFonts w:ascii="arial" w:hAnsi="arial"/>
          <w:b/>
          <w:sz w:val="20"/>
        </w:rPr>
      </w:pPr>
      <w:r>
        <w:rPr>
          <w:rFonts w:ascii="arial" w:hAnsi="arial"/>
          <w:b/>
          <w:sz w:val="20"/>
        </w:rPr>
        <w:t xml:space="preserve">Board Leadership Structure </w:t>
      </w:r>
    </w:p>
    <w:p>
      <w:pPr>
        <w:pStyle w:val="TextBody"/>
        <w:rPr>
          <w:rFonts w:ascii="arial" w:hAnsi="arial"/>
          <w:sz w:val="20"/>
        </w:rPr>
      </w:pPr>
      <w:r>
        <w:rPr>
          <w:rFonts w:ascii="arial" w:hAnsi="arial"/>
          <w:sz w:val="20"/>
        </w:rPr>
        <w:t xml:space="preserve">Our Corporate Governance Guidelines provide that the Board may appoint a lead independent director unless the Chairman of the Board is an independent director. Mr. Shepro, our Chairman of the Board, is also our Chief Executive Officer, and, as a result, the Board believes that it is in the best interests of the Company and our shareholders to appoint a lead independent director. Mr. Müller-Ineichen has served as Lead Independent Director since September 2020. The lead independent director, among other responsibilities, presides over periodic meetings at which only our independent directors are present, serves as a liaison between the independent directors and the Chairman and Chief Executive Officer, and performs such duties as our Board may otherwise determine from time to time. Mr. Burg served as Lead Independent Director from May 2019 through August 2020. </w:t>
      </w:r>
    </w:p>
    <w:p>
      <w:pPr>
        <w:pStyle w:val="TextBody"/>
        <w:jc w:val="center"/>
        <w:rPr>
          <w:rFonts w:ascii="arial" w:hAnsi="arial"/>
          <w:sz w:val="20"/>
        </w:rPr>
      </w:pPr>
      <w:r>
        <w:rPr>
          <w:rFonts w:ascii="arial" w:hAnsi="arial"/>
          <w:sz w:val="20"/>
        </w:rPr>
        <w:t>17</w:t>
      </w:r>
    </w:p>
    <w:p>
      <w:pPr>
        <w:pStyle w:val="HorizontalLine"/>
        <w:pBdr>
          <w:bottom w:val="single" w:sz="20" w:space="0" w:color="808080"/>
        </w:pBdr>
        <w:rPr/>
      </w:pPr>
      <w:r>
        <w:rPr/>
      </w:r>
      <w:r>
        <w:br w:type="page"/>
      </w:r>
    </w:p>
    <w:p>
      <w:pPr>
        <w:pStyle w:val="TextBody"/>
        <w:rPr/>
      </w:pPr>
      <w:hyperlink w:anchor="bg45301a_main_toc">
        <w:bookmarkStart w:id="43" w:name="page_dg45301_1_18"/>
        <w:bookmarkEnd w:id="43"/>
        <w:r>
          <w:rPr>
            <w:rStyle w:val="InternetLink"/>
            <w:rFonts w:ascii="arial" w:hAnsi="arial"/>
            <w:sz w:val="20"/>
          </w:rPr>
          <w:t>Table of Contents</w:t>
        </w:r>
      </w:hyperlink>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3367"/>
        <w:gridCol w:w="101"/>
        <w:gridCol w:w="6737"/>
      </w:tblGrid>
      <w:tr>
        <w:trPr/>
        <w:tc>
          <w:tcPr>
            <w:tcW w:w="3367" w:type="dxa"/>
            <w:tcBorders/>
            <w:shd w:fill="auto" w:val="clear"/>
            <w:vAlign w:val="center"/>
          </w:tcPr>
          <w:p>
            <w:pPr>
              <w:pStyle w:val="TableContents"/>
              <w:spacing w:before="0" w:after="283"/>
              <w:rPr/>
            </w:pPr>
            <w:r>
              <w:rPr/>
              <w:commentReference w:id="40"/>
            </w:r>
            <w:r>
              <w:rPr/>
              <w:commentReference w:id="41"/>
            </w:r>
            <w:r>
              <w:rPr/>
              <w:commentReference w:id="42"/>
            </w:r>
            <w:r>
              <w:rPr/>
              <w:t>​</w:t>
            </w:r>
          </w:p>
        </w:tc>
        <w:tc>
          <w:tcPr>
            <w:tcW w:w="101" w:type="dxa"/>
            <w:tcBorders/>
            <w:shd w:fill="auto" w:val="clear"/>
            <w:vAlign w:val="center"/>
          </w:tcPr>
          <w:p>
            <w:pPr>
              <w:pStyle w:val="TableContents"/>
              <w:spacing w:before="0" w:after="283"/>
              <w:rPr/>
            </w:pPr>
            <w:r>
              <w:rPr/>
              <w:t>​</w:t>
            </w:r>
          </w:p>
        </w:tc>
        <w:tc>
          <w:tcPr>
            <w:tcW w:w="6737" w:type="dxa"/>
            <w:tcBorders/>
            <w:shd w:fill="auto" w:val="clear"/>
            <w:vAlign w:val="center"/>
          </w:tcPr>
          <w:p>
            <w:pPr>
              <w:pStyle w:val="TableContents"/>
              <w:spacing w:before="0" w:after="283"/>
              <w:rPr/>
            </w:pPr>
            <w:r>
              <w:rPr/>
              <w:t>​</w:t>
            </w:r>
            <w:r>
              <w:rPr>
                <w:rFonts w:eastAsia="arial" w:cs="arial" w:ascii="arial" w:hAnsi="arial"/>
              </w:rPr>
              <w:commentReference w:id="43"/>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drawing>
                <wp:inline distT="0" distB="0" distL="0" distR="0">
                  <wp:extent cx="3695700" cy="1809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3695700" cy="180975"/>
                          </a:xfrm>
                          <a:prstGeom prst="rect">
                            <a:avLst/>
                          </a:prstGeom>
                        </pic:spPr>
                      </pic:pic>
                    </a:graphicData>
                  </a:graphic>
                </wp:inline>
              </w:drawing>
            </w:r>
            <w:r>
              <w:rPr/>
              <w:t xml:space="preserve"> </w:t>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spacing w:before="0" w:after="283"/>
              <w:jc w:val="right"/>
              <w:rPr/>
            </w:pPr>
            <w:r>
              <w:rPr/>
              <w:t>​</w:t>
            </w:r>
          </w:p>
        </w:tc>
      </w:tr>
    </w:tbl>
    <w:p>
      <w:pPr>
        <w:pStyle w:val="TextBody"/>
        <w:rPr/>
      </w:pPr>
      <w:r>
        <w:rPr>
          <w:color w:val="000000"/>
        </w:rPr>
        <w:commentReference w:id="44"/>
      </w:r>
      <w:r>
        <w:rPr>
          <w:color w:val="000000"/>
        </w:rPr>
        <w:t>​</w:t>
      </w:r>
      <w:r>
        <w:rPr/>
        <w:t xml:space="preserve"> </w:t>
      </w:r>
    </w:p>
    <w:p>
      <w:pPr>
        <w:pStyle w:val="TextBody"/>
        <w:rPr>
          <w:rFonts w:ascii="arial" w:hAnsi="arial"/>
          <w:sz w:val="20"/>
        </w:rPr>
      </w:pPr>
      <w:r>
        <w:rPr>
          <w:rFonts w:ascii="arial" w:hAnsi="arial"/>
          <w:sz w:val="20"/>
        </w:rPr>
        <w:t xml:space="preserve">The Board of Directors appointed Mr. Shepro as Chairman of the Board in May 2019. Our Board believes that it is appropriate to combine the positions of Chairman and Chief Executive Officer at this time due to Mr. Shepro's critical role in our strategy, his experience with the Company and its customers, and his longevity with the Company. Mr. Shepro is responsible for the design, in consultation with the Board of Directors, and execution of the Company's strategic plan. Our Board of Directors believes that he is the appropriate person to serve as our Chairman. </w:t>
      </w:r>
    </w:p>
    <w:p>
      <w:pPr>
        <w:pStyle w:val="TextBody"/>
        <w:ind w:left="220" w:right="0" w:hanging="220"/>
        <w:rPr>
          <w:rFonts w:ascii="arial" w:hAnsi="arial"/>
          <w:b/>
          <w:sz w:val="20"/>
        </w:rPr>
      </w:pPr>
      <w:r>
        <w:rPr>
          <w:rFonts w:ascii="arial" w:hAnsi="arial"/>
          <w:b/>
          <w:sz w:val="20"/>
        </w:rPr>
        <w:t xml:space="preserve">Committees of the Board of Directors </w:t>
      </w:r>
    </w:p>
    <w:p>
      <w:pPr>
        <w:pStyle w:val="TextBody"/>
        <w:rPr>
          <w:rFonts w:ascii="arial" w:hAnsi="arial"/>
          <w:sz w:val="20"/>
        </w:rPr>
      </w:pPr>
      <w:r>
        <w:rPr>
          <w:rFonts w:ascii="arial" w:hAnsi="arial"/>
          <w:sz w:val="20"/>
        </w:rPr>
        <w:t xml:space="preserve">Our Board of Directors has established an Audit Committee, a Compensation Committee, a Compliance Committee, a Nomination/Governance Committee and an Executive Committee. Except as otherwise required by applicable laws or rules, the Committees' responsibilities and procedures are designed to remain flexible, so that they may be in a position to best react or respond to changing circumstances or conditions. A brief description of each committee is provided below. </w:t>
      </w:r>
    </w:p>
    <w:p>
      <w:pPr>
        <w:pStyle w:val="TextBody"/>
        <w:rPr>
          <w:rFonts w:ascii="arial" w:hAnsi="arial"/>
        </w:rPr>
      </w:pPr>
      <w:r>
        <w:rPr>
          <w:rFonts w:ascii="arial" w:hAnsi="arial"/>
          <w:b/>
          <w:i/>
          <w:sz w:val="20"/>
        </w:rPr>
        <w:t>Audit Committee.</w:t>
      </w:r>
      <w:r>
        <w:rPr>
          <w:rFonts w:ascii="arial" w:hAnsi="arial"/>
        </w:rPr>
        <w:t>    </w:t>
      </w:r>
      <w:r>
        <w:rPr>
          <w:rFonts w:ascii="arial" w:hAnsi="arial"/>
          <w:sz w:val="20"/>
        </w:rPr>
        <w:t xml:space="preserve">The Audit Committee of our Board of Directors (i) oversees the relationship with our independent registered certified public accounting firm and certified auditor; (ii) provides assistance to our Board of Directors with respect to matters involving the accounting, auditing, financial reporting and internal control functions; (iii) establishes procedures for the receipt, retention and treatment of complaints and allegations received by the Company relating to the financial reporting process and our system of accounting, internal accounting controls, auditing and federal securities law matters; (iv) reviews and approves transactions in which a "Related Person" (as defined by SEC Regulation S-K and in accordance with the Company's Related Person Transactions Policy) has a material interest; (v) reviews the scope and results of the annual audit conducted by the independent registered certified public accounting firm, including any significant matters regarding internal controls over financial reporting; and (vi) reviews the Company's internal audit plan, internal audit budget and risk management report on an annual basis. The Audit Committee is also empowered to retain, at the Company's expense, such independent counsel or other advisors as it deems necessary in connection with its responsibilities. </w:t>
      </w:r>
    </w:p>
    <w:p>
      <w:pPr>
        <w:pStyle w:val="TextBody"/>
        <w:rPr>
          <w:rFonts w:ascii="arial" w:hAnsi="arial"/>
          <w:sz w:val="20"/>
        </w:rPr>
      </w:pPr>
      <w:r>
        <w:rPr>
          <w:rFonts w:ascii="arial" w:hAnsi="arial"/>
          <w:sz w:val="20"/>
        </w:rPr>
        <w:t xml:space="preserve">The members of the Audit Committee during 2020 were Messrs. Müller-Ineichen, Burg and Morettini, with Mr. Müller-Ineichen serving as the Chairman. Each member of our Audit Committee is independent as defined in regulations adopted by the SEC and Nasdaq listing standards. Our Board of Directors has determined that all members of our Audit Committee are financially literate, possess accounting or related financial management experience that results in the individual's financial sophistication within the meaning of Nasdaq listing standards, and qualify as audit committee financial experts as that term is defined in SEC rules. Pursuant to the Company's Corporate Governance Guidelines, no director may serve as a member of the Audit Committee if such director serves on the audit committee of more than two other public companies, unless the Board determines that such simultaneous service would not impair the ability of such director to effectively serve on the Audit Committee. </w:t>
      </w:r>
    </w:p>
    <w:p>
      <w:pPr>
        <w:pStyle w:val="TextBody"/>
        <w:rPr>
          <w:rFonts w:ascii="arial" w:hAnsi="arial"/>
          <w:sz w:val="20"/>
        </w:rPr>
      </w:pPr>
      <w:r>
        <w:rPr>
          <w:rFonts w:ascii="arial" w:hAnsi="arial"/>
          <w:sz w:val="20"/>
        </w:rPr>
        <w:t xml:space="preserve">Our Audit Committee operates under a written charter approved by our Board of Directors, a copy of which is available on our website at </w:t>
      </w:r>
      <w:r>
        <w:rPr>
          <w:rFonts w:ascii="arial" w:hAnsi="arial"/>
          <w:sz w:val="20"/>
          <w:u w:val="single"/>
        </w:rPr>
        <w:t>www.altisource.com</w:t>
      </w:r>
      <w:r>
        <w:rPr>
          <w:rFonts w:ascii="arial" w:hAnsi="arial"/>
          <w:sz w:val="20"/>
        </w:rPr>
        <w:t xml:space="preserve"> and is available in print to any shareholder who requests it. On an annual basis, the Audit Committee reviews its charter and presents any recommendations for amendments to the Board. The Audit Committee also evaluates its performance under its charter and delivers a report to the Board setting forth the results of its evaluation, including an assessment of the adequacy of its charter. The charter was last reviewed by the Audit Committee in December 2020. The Audit Committee met eleven (11) times in 2020. The Audit Committee met in executive session with the Company's internal and external auditors four (4) times, solely with the Company's internal auditors three (3) times and solely with the Company's external auditors four (4) times in 2020. </w:t>
      </w:r>
    </w:p>
    <w:p>
      <w:pPr>
        <w:pStyle w:val="TextBody"/>
        <w:jc w:val="center"/>
        <w:rPr>
          <w:rFonts w:ascii="arial" w:hAnsi="arial"/>
          <w:sz w:val="20"/>
        </w:rPr>
      </w:pPr>
      <w:r>
        <w:rPr>
          <w:rFonts w:ascii="arial" w:hAnsi="arial"/>
          <w:sz w:val="20"/>
        </w:rPr>
        <w:t>18</w:t>
      </w:r>
    </w:p>
    <w:p>
      <w:pPr>
        <w:pStyle w:val="HorizontalLine"/>
        <w:pBdr>
          <w:bottom w:val="single" w:sz="20" w:space="0" w:color="808080"/>
        </w:pBdr>
        <w:rPr/>
      </w:pPr>
      <w:r>
        <w:rPr/>
      </w:r>
      <w:r>
        <w:br w:type="page"/>
      </w:r>
    </w:p>
    <w:p>
      <w:pPr>
        <w:pStyle w:val="TextBody"/>
        <w:rPr/>
      </w:pPr>
      <w:hyperlink w:anchor="bg45301a_main_toc">
        <w:bookmarkStart w:id="44" w:name="page_dg45301_1_19"/>
        <w:bookmarkEnd w:id="44"/>
        <w:r>
          <w:rPr>
            <w:rStyle w:val="InternetLink"/>
            <w:rFonts w:ascii="arial" w:hAnsi="arial"/>
            <w:sz w:val="20"/>
          </w:rPr>
          <w:t>Table of Contents</w:t>
        </w:r>
      </w:hyperlink>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3367"/>
        <w:gridCol w:w="101"/>
        <w:gridCol w:w="6737"/>
      </w:tblGrid>
      <w:tr>
        <w:trPr/>
        <w:tc>
          <w:tcPr>
            <w:tcW w:w="3367" w:type="dxa"/>
            <w:tcBorders/>
            <w:shd w:fill="auto" w:val="clear"/>
            <w:vAlign w:val="center"/>
          </w:tcPr>
          <w:p>
            <w:pPr>
              <w:pStyle w:val="TableContents"/>
              <w:spacing w:before="0" w:after="283"/>
              <w:rPr/>
            </w:pPr>
            <w:r>
              <w:rPr/>
              <w:commentReference w:id="45"/>
            </w:r>
            <w:r>
              <w:rPr/>
              <w:commentReference w:id="46"/>
            </w:r>
            <w:r>
              <w:rPr/>
              <w:commentReference w:id="47"/>
            </w:r>
            <w:r>
              <w:rPr/>
              <w:t>​</w:t>
            </w:r>
          </w:p>
        </w:tc>
        <w:tc>
          <w:tcPr>
            <w:tcW w:w="101" w:type="dxa"/>
            <w:tcBorders/>
            <w:shd w:fill="auto" w:val="clear"/>
            <w:vAlign w:val="center"/>
          </w:tcPr>
          <w:p>
            <w:pPr>
              <w:pStyle w:val="TableContents"/>
              <w:spacing w:before="0" w:after="283"/>
              <w:rPr/>
            </w:pPr>
            <w:r>
              <w:rPr/>
              <w:t>​</w:t>
            </w:r>
          </w:p>
        </w:tc>
        <w:tc>
          <w:tcPr>
            <w:tcW w:w="6737" w:type="dxa"/>
            <w:tcBorders/>
            <w:shd w:fill="auto" w:val="clear"/>
            <w:vAlign w:val="center"/>
          </w:tcPr>
          <w:p>
            <w:pPr>
              <w:pStyle w:val="TableContents"/>
              <w:spacing w:before="0" w:after="283"/>
              <w:rPr/>
            </w:pPr>
            <w:r>
              <w:rPr/>
              <w:t>​</w:t>
            </w:r>
            <w:r>
              <w:rPr>
                <w:rFonts w:eastAsia="arial" w:cs="arial" w:ascii="arial" w:hAnsi="arial"/>
              </w:rPr>
              <w:commentReference w:id="48"/>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drawing>
                <wp:inline distT="0" distB="0" distL="0" distR="0">
                  <wp:extent cx="3695700" cy="1809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3695700" cy="180975"/>
                          </a:xfrm>
                          <a:prstGeom prst="rect">
                            <a:avLst/>
                          </a:prstGeom>
                        </pic:spPr>
                      </pic:pic>
                    </a:graphicData>
                  </a:graphic>
                </wp:inline>
              </w:drawing>
            </w:r>
            <w:r>
              <w:rPr/>
              <w:t xml:space="preserve"> </w:t>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t> </w:t>
            </w:r>
          </w:p>
        </w:tc>
      </w:tr>
    </w:tbl>
    <w:p>
      <w:pPr>
        <w:pStyle w:val="TextBody"/>
        <w:rPr/>
      </w:pPr>
      <w:r>
        <w:rPr>
          <w:color w:val="000000"/>
        </w:rPr>
        <w:commentReference w:id="49"/>
      </w:r>
      <w:r>
        <w:rPr>
          <w:color w:val="000000"/>
        </w:rPr>
        <w:t>​</w:t>
      </w:r>
      <w:r>
        <w:rPr/>
        <w:t xml:space="preserve"> </w:t>
      </w:r>
    </w:p>
    <w:p>
      <w:pPr>
        <w:pStyle w:val="TextBody"/>
        <w:rPr>
          <w:rFonts w:ascii="arial" w:hAnsi="arial"/>
        </w:rPr>
      </w:pPr>
      <w:r>
        <w:rPr>
          <w:rFonts w:ascii="arial" w:hAnsi="arial"/>
          <w:b/>
          <w:i/>
          <w:sz w:val="20"/>
        </w:rPr>
        <w:t>Compensation Committee.</w:t>
      </w:r>
      <w:r>
        <w:rPr>
          <w:rFonts w:ascii="arial" w:hAnsi="arial"/>
        </w:rPr>
        <w:t>    </w:t>
      </w:r>
      <w:r>
        <w:rPr>
          <w:rFonts w:ascii="arial" w:hAnsi="arial"/>
          <w:sz w:val="20"/>
        </w:rPr>
        <w:t xml:space="preserve">The Compensation Committee of our Board of Directors oversees our compensation and employee benefit plans and practices. Our Compensation Committee also evaluates and makes recommendations to our Board of Directors for compensation and other human resources matters relating to our executive officers. The Compensation Committee reviews and subsequently approves all executive compensation programs, any severance or termination arrangements applicable to executive officers and any equity compensation plans that are not subject to shareholder approval. The Compensation Committee also has the power to review our other compensation plans, including the goals and objectives thereof. The Compensation Committee is responsible for reviewing Director compensation and recommending changes, subject to the approval of our shareholders. The Compensation Committee has the authority to administer awards under our 2009 Equity Incentive Plan. </w:t>
      </w:r>
    </w:p>
    <w:p>
      <w:pPr>
        <w:pStyle w:val="TextBody"/>
        <w:rPr>
          <w:rFonts w:ascii="arial" w:hAnsi="arial"/>
          <w:sz w:val="20"/>
        </w:rPr>
      </w:pPr>
      <w:r>
        <w:rPr>
          <w:rFonts w:ascii="arial" w:hAnsi="arial"/>
          <w:sz w:val="20"/>
        </w:rPr>
        <w:t xml:space="preserve">The Compensation Committee may request that any of our Directors, executive officers, employees or other persons attend its meetings to provide advice, counsel or pertinent information as the Committee requests. The Compensation Committee is also empowered to retain independent compensation consultants, counsel or other advisors as it deems necessary in connection with its responsibilities at the Company's expense. In determining whether a compensation consultant, counsel or other advisor is independent, the Compensation Committee considers all factors set forth in SEC rules and the Nasdaq listing standards with respect to advisor independence, as well as any other factors the Compensation Committee deems relevant. </w:t>
      </w:r>
    </w:p>
    <w:p>
      <w:pPr>
        <w:pStyle w:val="TextBody"/>
        <w:rPr>
          <w:rFonts w:ascii="arial" w:hAnsi="arial"/>
          <w:sz w:val="20"/>
        </w:rPr>
      </w:pPr>
      <w:r>
        <w:rPr>
          <w:rFonts w:ascii="arial" w:hAnsi="arial"/>
          <w:sz w:val="20"/>
        </w:rPr>
        <w:t xml:space="preserve">The members of the Compensation Committee during 2020 were Messrs. Burg, Morettini and Müller-Ineichen, with Mr. Burg serving as the Chairman. </w:t>
      </w:r>
    </w:p>
    <w:p>
      <w:pPr>
        <w:pStyle w:val="TextBody"/>
        <w:rPr>
          <w:rFonts w:ascii="arial" w:hAnsi="arial"/>
          <w:sz w:val="20"/>
        </w:rPr>
      </w:pPr>
      <w:r>
        <w:rPr>
          <w:rFonts w:ascii="arial" w:hAnsi="arial"/>
          <w:sz w:val="20"/>
        </w:rPr>
        <w:t xml:space="preserve">Each member of the Compensation Committee is independent as defined by Nasdaq listing standards, as revised in 2013. While we have no specific qualification requirements for members of the Compensation Committee, our members have knowledge and experience regarding compensation matters as developed through their respective business experience in both management and advisory roles, including general business management, executive compensation and employee benefits experience. We believe that their collective achievements and knowledge provide us with extensive diversity in experience, culture and viewpoints. </w:t>
      </w:r>
    </w:p>
    <w:p>
      <w:pPr>
        <w:pStyle w:val="TextBody"/>
        <w:rPr>
          <w:rFonts w:ascii="arial" w:hAnsi="arial"/>
          <w:sz w:val="20"/>
        </w:rPr>
      </w:pPr>
      <w:r>
        <w:rPr>
          <w:rFonts w:ascii="arial" w:hAnsi="arial"/>
          <w:sz w:val="20"/>
        </w:rPr>
        <w:t xml:space="preserve">Our Compensation Committee operates under a written charter approved by our Board of Directors, a copy of which is available on our website at </w:t>
      </w:r>
      <w:r>
        <w:rPr>
          <w:rFonts w:ascii="arial" w:hAnsi="arial"/>
          <w:sz w:val="20"/>
          <w:u w:val="single"/>
        </w:rPr>
        <w:t>www.altisource.com</w:t>
      </w:r>
      <w:r>
        <w:rPr>
          <w:rFonts w:ascii="arial" w:hAnsi="arial"/>
          <w:sz w:val="20"/>
        </w:rPr>
        <w:t xml:space="preserve"> and is available in print to any shareholder who requests it. On an annual basis, the Compensation Committee reviews its charter and presents any recommendations for amendments to the Board. The Compensation Committee also evaluates its performance under its charter and delivers a report to the Board setting forth the results of its evaluation, including an assessment of the adequacy of its charter. The charter was last reviewed by the Compensation Committee in December 2020. The Compensation Committee met eight (8) times in 2020. </w:t>
      </w:r>
    </w:p>
    <w:p>
      <w:pPr>
        <w:pStyle w:val="TextBody"/>
        <w:rPr>
          <w:rFonts w:ascii="arial" w:hAnsi="arial"/>
        </w:rPr>
      </w:pPr>
      <w:r>
        <w:rPr>
          <w:rFonts w:ascii="arial" w:hAnsi="arial"/>
          <w:b/>
          <w:i/>
          <w:sz w:val="20"/>
        </w:rPr>
        <w:t>Compensation Committee Interlocks and Insider Participation.</w:t>
      </w:r>
      <w:r>
        <w:rPr>
          <w:rFonts w:ascii="arial" w:hAnsi="arial"/>
        </w:rPr>
        <w:t>    </w:t>
      </w:r>
      <w:r>
        <w:rPr>
          <w:rFonts w:ascii="arial" w:hAnsi="arial"/>
          <w:sz w:val="20"/>
        </w:rPr>
        <w:t xml:space="preserve">No current member of the Compensation Committee has ever been an officer or employee of the Company, and no member has any relationship with us requiring disclosure under Item 404 of SEC Regulation S-K. None of our executive officers has served on the Board of Directors or compensation committee of any other entity that has or had one (1) or more executive officers who served as a member of our Board of Directors or our Compensation Committee during the 2020 fiscal year. </w:t>
      </w:r>
    </w:p>
    <w:p>
      <w:pPr>
        <w:pStyle w:val="TextBody"/>
        <w:rPr>
          <w:rFonts w:ascii="arial" w:hAnsi="arial"/>
        </w:rPr>
      </w:pPr>
      <w:r>
        <w:rPr>
          <w:rFonts w:ascii="arial" w:hAnsi="arial"/>
          <w:b/>
          <w:i/>
          <w:sz w:val="20"/>
        </w:rPr>
        <w:t>Compliance Committee.</w:t>
      </w:r>
      <w:r>
        <w:rPr>
          <w:rFonts w:ascii="arial" w:hAnsi="arial"/>
        </w:rPr>
        <w:t>    </w:t>
      </w:r>
      <w:r>
        <w:rPr>
          <w:rFonts w:ascii="arial" w:hAnsi="arial"/>
          <w:sz w:val="20"/>
        </w:rPr>
        <w:t xml:space="preserve">The Compliance Committee of our Board of Directors assists the Board of Directors with the development, monitoring and evaluation of the Company's compliance function, including its compliance management system, and the Company's compliance with applicable laws, rules and regulations governing its businesses. The Compliance Committee performs such other duties as may be prescribed pursuant to its charter. The members of the Compliance Committee for 2020 were Messrs. Burg, </w:t>
      </w:r>
    </w:p>
    <w:p>
      <w:pPr>
        <w:pStyle w:val="TextBody"/>
        <w:jc w:val="center"/>
        <w:rPr>
          <w:rFonts w:ascii="arial" w:hAnsi="arial"/>
          <w:sz w:val="20"/>
        </w:rPr>
      </w:pPr>
      <w:r>
        <w:rPr>
          <w:rFonts w:ascii="arial" w:hAnsi="arial"/>
          <w:sz w:val="20"/>
        </w:rPr>
        <w:t>19</w:t>
      </w:r>
    </w:p>
    <w:p>
      <w:pPr>
        <w:pStyle w:val="HorizontalLine"/>
        <w:pBdr>
          <w:bottom w:val="single" w:sz="20" w:space="0" w:color="808080"/>
        </w:pBdr>
        <w:rPr/>
      </w:pPr>
      <w:r>
        <w:rPr/>
      </w:r>
      <w:r>
        <w:br w:type="page"/>
      </w:r>
    </w:p>
    <w:p>
      <w:pPr>
        <w:pStyle w:val="TextBody"/>
        <w:rPr/>
      </w:pPr>
      <w:hyperlink w:anchor="bg45301a_main_toc">
        <w:bookmarkStart w:id="45" w:name="page_dg45301_1_20"/>
        <w:bookmarkEnd w:id="45"/>
        <w:r>
          <w:rPr>
            <w:rStyle w:val="InternetLink"/>
            <w:rFonts w:ascii="arial" w:hAnsi="arial"/>
            <w:sz w:val="20"/>
          </w:rPr>
          <w:t>Table of Contents</w:t>
        </w:r>
      </w:hyperlink>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3367"/>
        <w:gridCol w:w="101"/>
        <w:gridCol w:w="6737"/>
      </w:tblGrid>
      <w:tr>
        <w:trPr/>
        <w:tc>
          <w:tcPr>
            <w:tcW w:w="3367" w:type="dxa"/>
            <w:tcBorders/>
            <w:shd w:fill="auto" w:val="clear"/>
            <w:vAlign w:val="center"/>
          </w:tcPr>
          <w:p>
            <w:pPr>
              <w:pStyle w:val="TableContents"/>
              <w:spacing w:before="0" w:after="283"/>
              <w:rPr/>
            </w:pPr>
            <w:r>
              <w:rPr/>
              <w:commentReference w:id="50"/>
            </w:r>
            <w:r>
              <w:rPr/>
              <w:commentReference w:id="51"/>
            </w:r>
            <w:r>
              <w:rPr/>
              <w:commentReference w:id="52"/>
            </w:r>
            <w:r>
              <w:rPr/>
              <w:t>​</w:t>
            </w:r>
          </w:p>
        </w:tc>
        <w:tc>
          <w:tcPr>
            <w:tcW w:w="101" w:type="dxa"/>
            <w:tcBorders/>
            <w:shd w:fill="auto" w:val="clear"/>
            <w:vAlign w:val="center"/>
          </w:tcPr>
          <w:p>
            <w:pPr>
              <w:pStyle w:val="TableContents"/>
              <w:spacing w:before="0" w:after="283"/>
              <w:rPr/>
            </w:pPr>
            <w:r>
              <w:rPr/>
              <w:t>​</w:t>
            </w:r>
          </w:p>
        </w:tc>
        <w:tc>
          <w:tcPr>
            <w:tcW w:w="6737" w:type="dxa"/>
            <w:tcBorders/>
            <w:shd w:fill="auto" w:val="clear"/>
            <w:vAlign w:val="center"/>
          </w:tcPr>
          <w:p>
            <w:pPr>
              <w:pStyle w:val="TableContents"/>
              <w:spacing w:before="0" w:after="283"/>
              <w:rPr/>
            </w:pPr>
            <w:r>
              <w:rPr/>
              <w:t>​</w:t>
            </w:r>
            <w:r>
              <w:rPr>
                <w:rFonts w:eastAsia="arial" w:cs="arial" w:ascii="arial" w:hAnsi="arial"/>
              </w:rPr>
              <w:commentReference w:id="53"/>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drawing>
                <wp:inline distT="0" distB="0" distL="0" distR="0">
                  <wp:extent cx="3695700" cy="1809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3695700" cy="180975"/>
                          </a:xfrm>
                          <a:prstGeom prst="rect">
                            <a:avLst/>
                          </a:prstGeom>
                        </pic:spPr>
                      </pic:pic>
                    </a:graphicData>
                  </a:graphic>
                </wp:inline>
              </w:drawing>
            </w:r>
            <w:r>
              <w:rPr/>
              <w:t xml:space="preserve"> </w:t>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spacing w:before="0" w:after="283"/>
              <w:jc w:val="right"/>
              <w:rPr/>
            </w:pPr>
            <w:r>
              <w:rPr/>
              <w:t>​</w:t>
            </w:r>
          </w:p>
        </w:tc>
      </w:tr>
    </w:tbl>
    <w:p>
      <w:pPr>
        <w:pStyle w:val="TextBody"/>
        <w:rPr/>
      </w:pPr>
      <w:r>
        <w:rPr>
          <w:color w:val="000000"/>
        </w:rPr>
        <w:commentReference w:id="54"/>
      </w:r>
      <w:r>
        <w:rPr>
          <w:color w:val="000000"/>
        </w:rPr>
        <w:t>​</w:t>
      </w:r>
      <w:r>
        <w:rPr/>
        <w:t xml:space="preserve"> </w:t>
      </w:r>
    </w:p>
    <w:p>
      <w:pPr>
        <w:pStyle w:val="TextBody"/>
        <w:rPr>
          <w:rFonts w:ascii="arial" w:hAnsi="arial"/>
          <w:sz w:val="20"/>
        </w:rPr>
      </w:pPr>
      <w:r>
        <w:rPr>
          <w:rFonts w:ascii="arial" w:hAnsi="arial"/>
          <w:sz w:val="20"/>
        </w:rPr>
        <w:t xml:space="preserve">Morettini and Müller-Ineichen, with Mr. Morettini serving as the Chairman. Each member of the Compliance Committee is independent as defined by Nasdaq listing standards. </w:t>
      </w:r>
    </w:p>
    <w:p>
      <w:pPr>
        <w:pStyle w:val="TextBody"/>
        <w:rPr>
          <w:rFonts w:ascii="arial" w:hAnsi="arial"/>
          <w:sz w:val="20"/>
        </w:rPr>
      </w:pPr>
      <w:r>
        <w:rPr>
          <w:rFonts w:ascii="arial" w:hAnsi="arial"/>
          <w:sz w:val="20"/>
        </w:rPr>
        <w:t xml:space="preserve">Our Compliance Committee operates under a written charter approved by our Board of Directors, a copy of which is available on our website at </w:t>
      </w:r>
      <w:r>
        <w:rPr>
          <w:rFonts w:ascii="arial" w:hAnsi="arial"/>
          <w:sz w:val="20"/>
          <w:u w:val="single"/>
        </w:rPr>
        <w:t>www.altisource.com</w:t>
      </w:r>
      <w:r>
        <w:rPr>
          <w:rFonts w:ascii="arial" w:hAnsi="arial"/>
          <w:sz w:val="20"/>
        </w:rPr>
        <w:t xml:space="preserve"> and is available in print to any shareholder who requests it. On an annual basis, the Compliance Committee reviews its charter and presents any recommendations for amendments to the Board. The Compliance Committee also evaluates its performance under its charter and delivers a report to the Board setting forth the results of its evaluation, including an assessment of the adequacy of its charter. The charter was last reviewed by the Compliance Committee in December 2020. The Compliance Committee met four (4) times in 2020. </w:t>
      </w:r>
    </w:p>
    <w:p>
      <w:pPr>
        <w:pStyle w:val="TextBody"/>
        <w:rPr>
          <w:rFonts w:ascii="arial" w:hAnsi="arial"/>
        </w:rPr>
      </w:pPr>
      <w:r>
        <w:rPr>
          <w:rFonts w:ascii="arial" w:hAnsi="arial"/>
          <w:b/>
          <w:i/>
          <w:sz w:val="20"/>
        </w:rPr>
        <w:t>Nomination/Governance Committee.</w:t>
      </w:r>
      <w:r>
        <w:rPr>
          <w:rFonts w:ascii="arial" w:hAnsi="arial"/>
        </w:rPr>
        <w:t>    </w:t>
      </w:r>
      <w:r>
        <w:rPr>
          <w:rFonts w:ascii="arial" w:hAnsi="arial"/>
          <w:sz w:val="20"/>
        </w:rPr>
        <w:t xml:space="preserve">The Nomination/Governance Committee of our Board of Directors makes recommendations to the Board of individuals qualified to serve as Directors and committee members for our Board of Directors, advises the Board with respect to Board composition, procedures and committees, develops and presents our Board of Directors with a set of corporate governance guidelines and oversees the evaluation of our Board of Directors. The Nomination/Governance Committee may retain, at the Company's expense, such independent counsel or other advisors as it deems necessary. </w:t>
      </w:r>
    </w:p>
    <w:p>
      <w:pPr>
        <w:pStyle w:val="TextBody"/>
        <w:rPr>
          <w:rFonts w:ascii="arial" w:hAnsi="arial"/>
          <w:sz w:val="20"/>
        </w:rPr>
      </w:pPr>
      <w:r>
        <w:rPr>
          <w:rFonts w:ascii="arial" w:hAnsi="arial"/>
          <w:sz w:val="20"/>
        </w:rPr>
        <w:t xml:space="preserve">The members of the Nomination/Governance Committee during 2020 were Messrs. Burg, Morettini and Müller-Ineichen, with Mr. Morettini serving as the Chairman. Each member of the Nomination/Governance Committee is independent as defined by Nasdaq listing standards. </w:t>
      </w:r>
    </w:p>
    <w:p>
      <w:pPr>
        <w:pStyle w:val="TextBody"/>
        <w:rPr>
          <w:rFonts w:ascii="arial" w:hAnsi="arial"/>
          <w:sz w:val="20"/>
        </w:rPr>
      </w:pPr>
      <w:r>
        <w:rPr>
          <w:rFonts w:ascii="arial" w:hAnsi="arial"/>
          <w:sz w:val="20"/>
        </w:rPr>
        <w:t xml:space="preserve">Our Nomination/Governance Committee operates under a written charter approved by our Board of Directors, a copy of which is available on our website at </w:t>
      </w:r>
      <w:r>
        <w:rPr>
          <w:rFonts w:ascii="arial" w:hAnsi="arial"/>
          <w:sz w:val="20"/>
          <w:u w:val="single"/>
        </w:rPr>
        <w:t>www.altisource.com</w:t>
      </w:r>
      <w:r>
        <w:rPr>
          <w:rFonts w:ascii="arial" w:hAnsi="arial"/>
          <w:sz w:val="20"/>
        </w:rPr>
        <w:t xml:space="preserve"> and is available in print to any shareholder who requests it. On an annual basis, the Nomination/Governance Committee reviews its charter and presents any recommendations for amendments to the Board. The Nomination/Governance Committee also evaluates its performance under its charter and delivers a report to the Board setting forth the results of its evaluation, including an assessment of the adequacy of its charter. The charter was last reviewed by the Nomination/Governance Committee in December 2020. The Nomination/Governance Committee met four (4) times in 2020. </w:t>
      </w:r>
    </w:p>
    <w:p>
      <w:pPr>
        <w:pStyle w:val="TextBody"/>
        <w:rPr>
          <w:rFonts w:ascii="arial" w:hAnsi="arial"/>
          <w:sz w:val="20"/>
        </w:rPr>
      </w:pPr>
      <w:r>
        <w:rPr>
          <w:rFonts w:ascii="arial" w:hAnsi="arial"/>
          <w:sz w:val="20"/>
        </w:rPr>
        <w:t xml:space="preserve">The Nomination/Governance Committee regularly assesses the appropriate size of the Board of Directors and whether any vacancies on the Board are anticipated. Various potential candidates for Director are then identified. Candidates may come to the attention of the Nomination/Governance Committee through current members of the Board of Directors, professional search firms, shareholders or industry sources. </w:t>
      </w:r>
    </w:p>
    <w:p>
      <w:pPr>
        <w:pStyle w:val="TextBody"/>
        <w:rPr>
          <w:rFonts w:ascii="arial" w:hAnsi="arial"/>
          <w:sz w:val="20"/>
        </w:rPr>
      </w:pPr>
      <w:r>
        <w:rPr>
          <w:rFonts w:ascii="arial" w:hAnsi="arial"/>
          <w:sz w:val="20"/>
        </w:rPr>
        <w:t xml:space="preserve">When recommending nominees to the Board, the Nomination/Governance Committee considers candidates based on merit, against objective criteria relating to the candidate's knowledge, experience, skills and expertise, with due regard for the benefits of diversity on the Board of Directors. In considering diversity, the Nomination/Governance Committee considers differences that relate to gender, age, ethnicity, race, national origin, cultural background, disability, religion and other personal distinctions. The Nomination/Governance Committee assesses the effectiveness of our Board Diversity policy as part of its annual review of the composition of our Board of Directors and considers the results of this assessment when evaluating director nominees. Our Board Diversity Policy is available on our website at </w:t>
      </w:r>
      <w:r>
        <w:rPr>
          <w:rFonts w:ascii="arial" w:hAnsi="arial"/>
          <w:sz w:val="20"/>
          <w:u w:val="single"/>
        </w:rPr>
        <w:t>www.altisource.com</w:t>
      </w:r>
      <w:r>
        <w:rPr>
          <w:rFonts w:ascii="arial" w:hAnsi="arial"/>
          <w:sz w:val="20"/>
        </w:rPr>
        <w:t xml:space="preserve">. </w:t>
      </w:r>
    </w:p>
    <w:p>
      <w:pPr>
        <w:pStyle w:val="TextBody"/>
        <w:rPr>
          <w:rFonts w:ascii="arial" w:hAnsi="arial"/>
          <w:sz w:val="20"/>
        </w:rPr>
      </w:pPr>
      <w:r>
        <w:rPr>
          <w:rFonts w:ascii="arial" w:hAnsi="arial"/>
          <w:sz w:val="20"/>
        </w:rPr>
        <w:t xml:space="preserve">In evaluating a particular candidate, the Nomination/Governance Committee will also consider factors other than the candidate's qualifications and background, including (i) the current composition of the Board of Directors and the interplay of the candidate's experience with the backgrounds of the current members of our Board of Directors, (ii) whether the candidate meets the independence standards set forth under applicable laws, regulations and Nasdaq listing standards, (iii) the balance of management and independent Directors, (iv) the need for Audit Committee expertise and (v) the evaluation of other prospective nominees. </w:t>
      </w:r>
    </w:p>
    <w:p>
      <w:pPr>
        <w:pStyle w:val="TextBody"/>
        <w:jc w:val="center"/>
        <w:rPr>
          <w:rFonts w:ascii="arial" w:hAnsi="arial"/>
          <w:sz w:val="20"/>
        </w:rPr>
      </w:pPr>
      <w:r>
        <w:rPr>
          <w:rFonts w:ascii="arial" w:hAnsi="arial"/>
          <w:sz w:val="20"/>
        </w:rPr>
        <w:t>20</w:t>
      </w:r>
    </w:p>
    <w:p>
      <w:pPr>
        <w:pStyle w:val="HorizontalLine"/>
        <w:pBdr>
          <w:bottom w:val="single" w:sz="20" w:space="0" w:color="808080"/>
        </w:pBdr>
        <w:rPr/>
      </w:pPr>
      <w:r>
        <w:rPr/>
      </w:r>
      <w:r>
        <w:br w:type="page"/>
      </w:r>
    </w:p>
    <w:p>
      <w:pPr>
        <w:pStyle w:val="TextBody"/>
        <w:rPr/>
      </w:pPr>
      <w:hyperlink w:anchor="bg45301a_main_toc">
        <w:bookmarkStart w:id="46" w:name="page_dg45301_1_21"/>
        <w:bookmarkEnd w:id="46"/>
        <w:r>
          <w:rPr>
            <w:rStyle w:val="InternetLink"/>
            <w:rFonts w:ascii="arial" w:hAnsi="arial"/>
            <w:sz w:val="20"/>
          </w:rPr>
          <w:t>Table of Contents</w:t>
        </w:r>
      </w:hyperlink>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3367"/>
        <w:gridCol w:w="101"/>
        <w:gridCol w:w="6737"/>
      </w:tblGrid>
      <w:tr>
        <w:trPr/>
        <w:tc>
          <w:tcPr>
            <w:tcW w:w="3367" w:type="dxa"/>
            <w:tcBorders/>
            <w:shd w:fill="auto" w:val="clear"/>
            <w:vAlign w:val="center"/>
          </w:tcPr>
          <w:p>
            <w:pPr>
              <w:pStyle w:val="TableContents"/>
              <w:spacing w:before="0" w:after="283"/>
              <w:rPr/>
            </w:pPr>
            <w:r>
              <w:rPr/>
              <w:commentReference w:id="55"/>
            </w:r>
            <w:r>
              <w:rPr/>
              <w:commentReference w:id="56"/>
            </w:r>
            <w:r>
              <w:rPr/>
              <w:commentReference w:id="57"/>
            </w:r>
            <w:r>
              <w:rPr/>
              <w:t>​</w:t>
            </w:r>
          </w:p>
        </w:tc>
        <w:tc>
          <w:tcPr>
            <w:tcW w:w="101" w:type="dxa"/>
            <w:tcBorders/>
            <w:shd w:fill="auto" w:val="clear"/>
            <w:vAlign w:val="center"/>
          </w:tcPr>
          <w:p>
            <w:pPr>
              <w:pStyle w:val="TableContents"/>
              <w:spacing w:before="0" w:after="283"/>
              <w:rPr/>
            </w:pPr>
            <w:r>
              <w:rPr/>
              <w:t>​</w:t>
            </w:r>
          </w:p>
        </w:tc>
        <w:tc>
          <w:tcPr>
            <w:tcW w:w="6737" w:type="dxa"/>
            <w:tcBorders/>
            <w:shd w:fill="auto" w:val="clear"/>
            <w:vAlign w:val="center"/>
          </w:tcPr>
          <w:p>
            <w:pPr>
              <w:pStyle w:val="TableContents"/>
              <w:spacing w:before="0" w:after="283"/>
              <w:rPr/>
            </w:pPr>
            <w:r>
              <w:rPr/>
              <w:t>​</w:t>
            </w:r>
            <w:r>
              <w:rPr>
                <w:rFonts w:eastAsia="arial" w:cs="arial" w:ascii="arial" w:hAnsi="arial"/>
              </w:rPr>
              <w:commentReference w:id="58"/>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drawing>
                <wp:inline distT="0" distB="0" distL="0" distR="0">
                  <wp:extent cx="3695700" cy="1809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3695700" cy="180975"/>
                          </a:xfrm>
                          <a:prstGeom prst="rect">
                            <a:avLst/>
                          </a:prstGeom>
                        </pic:spPr>
                      </pic:pic>
                    </a:graphicData>
                  </a:graphic>
                </wp:inline>
              </w:drawing>
            </w:r>
            <w:r>
              <w:rPr/>
              <w:t xml:space="preserve"> </w:t>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t> </w:t>
            </w:r>
          </w:p>
        </w:tc>
      </w:tr>
    </w:tbl>
    <w:p>
      <w:pPr>
        <w:pStyle w:val="TextBody"/>
        <w:rPr/>
      </w:pPr>
      <w:r>
        <w:rPr>
          <w:color w:val="000000"/>
        </w:rPr>
        <w:commentReference w:id="59"/>
      </w:r>
      <w:r>
        <w:rPr>
          <w:color w:val="000000"/>
        </w:rPr>
        <w:t>​</w:t>
      </w:r>
      <w:r>
        <w:rPr/>
        <w:t xml:space="preserve"> </w:t>
      </w:r>
    </w:p>
    <w:p>
      <w:pPr>
        <w:pStyle w:val="TextBody"/>
        <w:rPr>
          <w:rFonts w:ascii="arial" w:hAnsi="arial"/>
          <w:sz w:val="20"/>
        </w:rPr>
      </w:pPr>
      <w:r>
        <w:rPr>
          <w:rFonts w:ascii="arial" w:hAnsi="arial"/>
          <w:sz w:val="20"/>
        </w:rPr>
        <w:t xml:space="preserve">In connection with this evaluation, one or more members of the Nomination/Governance Committee, and others as appropriate, will interview prospective nominees. After completing the evaluation and interviews, the Nomination/Governance Committee makes a recommendation to the full Board of Directors as to the persons who should be nominated by the Board of Directors. The Board of Directors determines whether the candidates will be nominated and presented to the shareholders for election, after considering the recommendation and report of the Nomination/Governance Committee. </w:t>
      </w:r>
    </w:p>
    <w:p>
      <w:pPr>
        <w:pStyle w:val="TextBody"/>
        <w:rPr>
          <w:rFonts w:ascii="arial" w:hAnsi="arial"/>
          <w:sz w:val="20"/>
        </w:rPr>
      </w:pPr>
      <w:r>
        <w:rPr>
          <w:rFonts w:ascii="arial" w:hAnsi="arial"/>
          <w:sz w:val="20"/>
        </w:rPr>
        <w:t xml:space="preserve">The Nomination/Governance Committee considers director candidates recommended by shareholders. If you want to recommend persons for consideration by our Nomination/Governance Committee as nominees for election to our Board of Directors, you can do so by writing to our Corporate Secretary at Altisource Portfolio Solutions S.A., 40, avenue Monterey, L-2163 Luxembourg City, Grand Duchy of Luxembourg. Should you recommend a qualified candidate for Director, our Nomination/Governance Committee would evaluate such candidate in the same manner that it evaluates any other candidate. You should provide each proposed nominee's name, biographical data, qualifications and expertise. Your recommendation should also include a written statement from the proposed nominee consenting to be named as a nominee and, if nominated and elected, to serve as a Director. Any recommendation that a shareholder desires to have included in our proxy materials for consideration at our 2022 annual meeting of shareholders must be received at our registered office no later than December 6, 2021. Please see the "Shareholder Rights" and "Shareholder Proposals" sections for additional information regarding shareholder proposals. </w:t>
      </w:r>
    </w:p>
    <w:p>
      <w:pPr>
        <w:pStyle w:val="TextBody"/>
        <w:rPr>
          <w:rFonts w:ascii="arial" w:hAnsi="arial"/>
          <w:sz w:val="20"/>
        </w:rPr>
      </w:pPr>
      <w:r>
        <w:rPr>
          <w:rFonts w:ascii="arial" w:hAnsi="arial"/>
          <w:sz w:val="20"/>
        </w:rPr>
        <w:t xml:space="preserve">Board diversity has been an area of focus during 2020, our Nomination/Governance Committee addressed this subject during the course of the year and undertook efforts to recruit a diverse director candidate with relevant experience in the mortgage industry. Our Nomination/Governance Committee will continue to focus on these efforts during 2021. </w:t>
      </w:r>
    </w:p>
    <w:p>
      <w:pPr>
        <w:pStyle w:val="TextBody"/>
        <w:rPr>
          <w:rFonts w:ascii="arial" w:hAnsi="arial"/>
        </w:rPr>
      </w:pPr>
      <w:r>
        <w:rPr>
          <w:rFonts w:ascii="arial" w:hAnsi="arial"/>
          <w:b/>
          <w:i/>
          <w:sz w:val="20"/>
        </w:rPr>
        <w:t>Executive Committee.</w:t>
      </w:r>
      <w:r>
        <w:rPr>
          <w:rFonts w:ascii="arial" w:hAnsi="arial"/>
        </w:rPr>
        <w:t>    </w:t>
      </w:r>
      <w:r>
        <w:rPr>
          <w:rFonts w:ascii="arial" w:hAnsi="arial"/>
          <w:sz w:val="20"/>
        </w:rPr>
        <w:t xml:space="preserve">Our Executive Committee is generally responsible to act on behalf of our Board of Directors during the intervals between meetings of our Board and to otherwise assist the Board in handling matters that, in the opinion of the Chairman of the Board, should not be postponed until the next scheduled meeting of the Board. The members of our Executive Committee during 2020 were Messrs. Shepro and Müller-Ineichen, with Mr. Müller-Ineichen serving as the Chairman. </w:t>
      </w:r>
    </w:p>
    <w:p>
      <w:pPr>
        <w:pStyle w:val="TextBody"/>
        <w:rPr>
          <w:rFonts w:ascii="arial" w:hAnsi="arial"/>
          <w:sz w:val="20"/>
        </w:rPr>
      </w:pPr>
      <w:r>
        <w:rPr>
          <w:rFonts w:ascii="arial" w:hAnsi="arial"/>
          <w:sz w:val="20"/>
        </w:rPr>
        <w:t xml:space="preserve">Our Executive Committee operates under a written charter approved by our Board of Directors, a copy of which is available on our website at </w:t>
      </w:r>
      <w:r>
        <w:rPr>
          <w:rFonts w:ascii="arial" w:hAnsi="arial"/>
          <w:sz w:val="20"/>
          <w:u w:val="single"/>
        </w:rPr>
        <w:t>www.altisource.com</w:t>
      </w:r>
      <w:r>
        <w:rPr>
          <w:rFonts w:ascii="arial" w:hAnsi="arial"/>
          <w:sz w:val="20"/>
        </w:rPr>
        <w:t xml:space="preserve"> and is available in print to any shareholder who requests it. On an annual basis, the Executive Committee reviews and approves its charter and presents any recommendations for amendments to the Board. The Executive Committee also evaluates its performance under its charter and delivers a report to the Board setting forth the results of its evaluation, provided that such performance evaluation shall not be necessary where minimal action was taken during the year. The charter was last reviewed by the Executive Committee in December 2020. The Executive Committee did not meet and took no action pursuant to written consent in 2020. </w:t>
      </w:r>
    </w:p>
    <w:p>
      <w:pPr>
        <w:pStyle w:val="TextBody"/>
        <w:ind w:left="220" w:right="0" w:hanging="220"/>
        <w:rPr>
          <w:rFonts w:ascii="arial" w:hAnsi="arial"/>
          <w:b/>
          <w:sz w:val="20"/>
        </w:rPr>
      </w:pPr>
      <w:r>
        <w:rPr>
          <w:rFonts w:ascii="arial" w:hAnsi="arial"/>
          <w:b/>
          <w:sz w:val="20"/>
        </w:rPr>
        <w:t xml:space="preserve">Corporate Governance Guidelines </w:t>
      </w:r>
    </w:p>
    <w:p>
      <w:pPr>
        <w:pStyle w:val="TextBody"/>
        <w:rPr>
          <w:rFonts w:ascii="arial" w:hAnsi="arial"/>
          <w:sz w:val="20"/>
        </w:rPr>
      </w:pPr>
      <w:r>
        <w:rPr>
          <w:rFonts w:ascii="arial" w:hAnsi="arial"/>
          <w:sz w:val="20"/>
        </w:rPr>
        <w:t xml:space="preserve">The Corporate Governance Guidelines adopted by our Board of Directors provide guidelines for effective corporate governance and to promote the effective functioning of the Board and its Committees. The Corporate Governance Guidelines cover topics such as Director qualification standards, Board of Directors and committee composition, Director responsibilities, minimum stock ownership requirements for our non-management Directors and our Chief Executive Officer, anti-hedging and anti-pledging policies, Director access to management and independent advisors, Director compensation, Director orientation and continuing education, management succession and annual performance reviews of the Board of Directors. </w:t>
      </w:r>
    </w:p>
    <w:p>
      <w:pPr>
        <w:pStyle w:val="TextBody"/>
        <w:rPr>
          <w:rFonts w:ascii="arial" w:hAnsi="arial"/>
          <w:sz w:val="20"/>
        </w:rPr>
      </w:pPr>
      <w:r>
        <w:rPr>
          <w:rFonts w:ascii="arial" w:hAnsi="arial"/>
          <w:sz w:val="20"/>
        </w:rPr>
        <w:t xml:space="preserve">Our Nomination/Governance Committee reviews our Corporate Governance Guidelines at least once a year and, if necessary, recommends changes to the Corporate Governance Guidelines to our Board of Directors. </w:t>
      </w:r>
    </w:p>
    <w:p>
      <w:pPr>
        <w:pStyle w:val="TextBody"/>
        <w:jc w:val="center"/>
        <w:rPr>
          <w:rFonts w:ascii="arial" w:hAnsi="arial"/>
          <w:sz w:val="20"/>
        </w:rPr>
      </w:pPr>
      <w:r>
        <w:rPr>
          <w:rFonts w:ascii="arial" w:hAnsi="arial"/>
          <w:sz w:val="20"/>
        </w:rPr>
        <w:t>21</w:t>
      </w:r>
    </w:p>
    <w:p>
      <w:pPr>
        <w:pStyle w:val="HorizontalLine"/>
        <w:pBdr>
          <w:bottom w:val="single" w:sz="20" w:space="0" w:color="808080"/>
        </w:pBdr>
        <w:rPr/>
      </w:pPr>
      <w:r>
        <w:rPr/>
      </w:r>
      <w:r>
        <w:br w:type="page"/>
      </w:r>
    </w:p>
    <w:p>
      <w:pPr>
        <w:pStyle w:val="TextBody"/>
        <w:rPr/>
      </w:pPr>
      <w:hyperlink w:anchor="bg45301a_main_toc">
        <w:bookmarkStart w:id="47" w:name="page_dg45301_1_22"/>
        <w:bookmarkEnd w:id="47"/>
        <w:r>
          <w:rPr>
            <w:rStyle w:val="InternetLink"/>
            <w:rFonts w:ascii="arial" w:hAnsi="arial"/>
            <w:sz w:val="20"/>
          </w:rPr>
          <w:t>Table of Contents</w:t>
        </w:r>
      </w:hyperlink>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3367"/>
        <w:gridCol w:w="101"/>
        <w:gridCol w:w="6737"/>
      </w:tblGrid>
      <w:tr>
        <w:trPr/>
        <w:tc>
          <w:tcPr>
            <w:tcW w:w="3367" w:type="dxa"/>
            <w:tcBorders/>
            <w:shd w:fill="auto" w:val="clear"/>
            <w:vAlign w:val="center"/>
          </w:tcPr>
          <w:p>
            <w:pPr>
              <w:pStyle w:val="TableContents"/>
              <w:spacing w:before="0" w:after="283"/>
              <w:rPr/>
            </w:pPr>
            <w:r>
              <w:rPr/>
              <w:commentReference w:id="60"/>
            </w:r>
            <w:r>
              <w:rPr/>
              <w:commentReference w:id="61"/>
            </w:r>
            <w:r>
              <w:rPr/>
              <w:commentReference w:id="62"/>
            </w:r>
            <w:r>
              <w:rPr/>
              <w:t>​</w:t>
            </w:r>
          </w:p>
        </w:tc>
        <w:tc>
          <w:tcPr>
            <w:tcW w:w="101" w:type="dxa"/>
            <w:tcBorders/>
            <w:shd w:fill="auto" w:val="clear"/>
            <w:vAlign w:val="center"/>
          </w:tcPr>
          <w:p>
            <w:pPr>
              <w:pStyle w:val="TableContents"/>
              <w:spacing w:before="0" w:after="283"/>
              <w:rPr/>
            </w:pPr>
            <w:r>
              <w:rPr/>
              <w:t>​</w:t>
            </w:r>
          </w:p>
        </w:tc>
        <w:tc>
          <w:tcPr>
            <w:tcW w:w="6737" w:type="dxa"/>
            <w:tcBorders/>
            <w:shd w:fill="auto" w:val="clear"/>
            <w:vAlign w:val="center"/>
          </w:tcPr>
          <w:p>
            <w:pPr>
              <w:pStyle w:val="TableContents"/>
              <w:spacing w:before="0" w:after="283"/>
              <w:rPr/>
            </w:pPr>
            <w:r>
              <w:rPr/>
              <w:t>​</w:t>
            </w:r>
            <w:r>
              <w:rPr>
                <w:rFonts w:eastAsia="arial" w:cs="arial" w:ascii="arial" w:hAnsi="arial"/>
              </w:rPr>
              <w:commentReference w:id="63"/>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drawing>
                <wp:inline distT="0" distB="0" distL="0" distR="0">
                  <wp:extent cx="3695700" cy="1809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3695700" cy="180975"/>
                          </a:xfrm>
                          <a:prstGeom prst="rect">
                            <a:avLst/>
                          </a:prstGeom>
                        </pic:spPr>
                      </pic:pic>
                    </a:graphicData>
                  </a:graphic>
                </wp:inline>
              </w:drawing>
            </w:r>
            <w:r>
              <w:rPr/>
              <w:t xml:space="preserve"> </w:t>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t> </w:t>
            </w:r>
          </w:p>
        </w:tc>
      </w:tr>
    </w:tbl>
    <w:p>
      <w:pPr>
        <w:pStyle w:val="TextBody"/>
        <w:rPr/>
      </w:pPr>
      <w:r>
        <w:rPr>
          <w:color w:val="000000"/>
        </w:rPr>
        <w:commentReference w:id="64"/>
      </w:r>
      <w:r>
        <w:rPr>
          <w:color w:val="000000"/>
        </w:rPr>
        <w:t>​</w:t>
      </w:r>
      <w:r>
        <w:rPr/>
        <w:t xml:space="preserve"> </w:t>
      </w:r>
    </w:p>
    <w:p>
      <w:pPr>
        <w:pStyle w:val="TextBody"/>
        <w:rPr>
          <w:rFonts w:ascii="arial" w:hAnsi="arial"/>
          <w:sz w:val="20"/>
        </w:rPr>
      </w:pPr>
      <w:r>
        <w:rPr>
          <w:rFonts w:ascii="arial" w:hAnsi="arial"/>
          <w:sz w:val="20"/>
        </w:rPr>
        <w:t xml:space="preserve">Our Corporate Governance Guidelines were last reviewed by the Nomination/Governance Committee in December 2020. Our Corporate Governance Guidelines are available on our website at </w:t>
      </w:r>
      <w:r>
        <w:rPr>
          <w:rFonts w:ascii="arial" w:hAnsi="arial"/>
          <w:sz w:val="20"/>
          <w:u w:val="single"/>
        </w:rPr>
        <w:t>www.altisource.com</w:t>
      </w:r>
      <w:r>
        <w:rPr>
          <w:rFonts w:ascii="arial" w:hAnsi="arial"/>
          <w:sz w:val="20"/>
        </w:rPr>
        <w:t xml:space="preserve">. </w:t>
      </w:r>
    </w:p>
    <w:p>
      <w:pPr>
        <w:pStyle w:val="TextBody"/>
        <w:ind w:left="220" w:right="0" w:hanging="220"/>
        <w:rPr>
          <w:rFonts w:ascii="arial" w:hAnsi="arial"/>
          <w:b/>
          <w:sz w:val="20"/>
        </w:rPr>
      </w:pPr>
      <w:r>
        <w:rPr>
          <w:rFonts w:ascii="arial" w:hAnsi="arial"/>
          <w:b/>
          <w:sz w:val="20"/>
        </w:rPr>
        <w:t xml:space="preserve">Shareholder Rights </w:t>
      </w:r>
    </w:p>
    <w:p>
      <w:pPr>
        <w:pStyle w:val="TextBody"/>
        <w:rPr>
          <w:rFonts w:ascii="arial" w:hAnsi="arial"/>
          <w:sz w:val="20"/>
        </w:rPr>
      </w:pPr>
      <w:r>
        <w:rPr>
          <w:rFonts w:ascii="arial" w:hAnsi="arial"/>
          <w:sz w:val="20"/>
        </w:rPr>
        <w:t xml:space="preserve">We are committed to governance policies and practices that serve the interests of the Company and its shareholders in accordance with Luxembourg law. The following is a summary of our policies and practices that provide rights to our shareholders: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ind w:left="1274" w:right="0" w:hanging="0"/>
        <w:rPr>
          <w:rFonts w:ascii="arial" w:hAnsi="arial"/>
        </w:rPr>
      </w:pPr>
      <w:r>
        <w:rPr>
          <w:rFonts w:ascii="arial" w:hAnsi="arial"/>
          <w:i/>
          <w:sz w:val="20"/>
        </w:rPr>
        <w:t>Majority Voting:</w:t>
      </w:r>
      <w:r>
        <w:rPr>
          <w:rFonts w:ascii="arial" w:hAnsi="arial"/>
        </w:rPr>
        <w:t>  </w:t>
      </w:r>
      <w:r>
        <w:rPr>
          <w:rFonts w:ascii="arial" w:hAnsi="arial"/>
          <w:sz w:val="20"/>
        </w:rPr>
        <w:t xml:space="preserve">Directors are elected by the majority of votes cast.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ind w:left="1274" w:right="0" w:hanging="0"/>
        <w:rPr>
          <w:rFonts w:ascii="arial" w:hAnsi="arial"/>
        </w:rPr>
      </w:pPr>
      <w:r>
        <w:rPr>
          <w:rFonts w:ascii="arial" w:hAnsi="arial"/>
          <w:i/>
          <w:sz w:val="20"/>
        </w:rPr>
        <w:t>Annual Elections:</w:t>
      </w:r>
      <w:r>
        <w:rPr>
          <w:rFonts w:ascii="arial" w:hAnsi="arial"/>
        </w:rPr>
        <w:t>  </w:t>
      </w:r>
      <w:r>
        <w:rPr>
          <w:rFonts w:ascii="arial" w:hAnsi="arial"/>
          <w:sz w:val="20"/>
        </w:rPr>
        <w:t xml:space="preserve">All Directors are elected annually. Altisource does not have a staggered board.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ind w:left="1274" w:right="0" w:hanging="0"/>
        <w:rPr>
          <w:rFonts w:ascii="arial" w:hAnsi="arial"/>
        </w:rPr>
      </w:pPr>
      <w:r>
        <w:rPr>
          <w:rFonts w:ascii="arial" w:hAnsi="arial"/>
          <w:i/>
          <w:sz w:val="20"/>
        </w:rPr>
        <w:t>Shareholder Proposals:</w:t>
      </w:r>
      <w:r>
        <w:rPr>
          <w:rFonts w:ascii="arial" w:hAnsi="arial"/>
        </w:rPr>
        <w:t>  </w:t>
      </w:r>
      <w:r>
        <w:rPr>
          <w:rFonts w:ascii="arial" w:hAnsi="arial"/>
          <w:sz w:val="20"/>
        </w:rPr>
        <w:t xml:space="preserve">Shareholders representing individually or jointly at least ten percent (10%) of the Company's share capital may nominate candidates for election to the Altisource Board and make other proposals for inclusion in the proxy statement, subject to completing certain formalities. Please see the "Shareholder Proposals" section for additional information.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ind w:left="1274" w:right="0" w:hanging="0"/>
        <w:rPr>
          <w:rFonts w:ascii="arial" w:hAnsi="arial"/>
        </w:rPr>
      </w:pPr>
      <w:r>
        <w:rPr>
          <w:rFonts w:ascii="arial" w:hAnsi="arial"/>
          <w:i/>
          <w:sz w:val="20"/>
        </w:rPr>
        <w:t>Shareholder Meetings:</w:t>
      </w:r>
      <w:r>
        <w:rPr>
          <w:rFonts w:ascii="arial" w:hAnsi="arial"/>
        </w:rPr>
        <w:t>  </w:t>
      </w:r>
      <w:r>
        <w:rPr>
          <w:rFonts w:ascii="arial" w:hAnsi="arial"/>
          <w:sz w:val="20"/>
        </w:rPr>
        <w:t xml:space="preserve">A meeting of shareholders may be called at any time by the holders of at least ten percent (10%) of our share capital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spacing w:before="0" w:after="283"/>
        <w:ind w:left="1274" w:right="0" w:hanging="0"/>
        <w:rPr>
          <w:rFonts w:ascii="arial" w:hAnsi="arial"/>
        </w:rPr>
      </w:pPr>
      <w:r>
        <w:rPr>
          <w:rFonts w:ascii="arial" w:hAnsi="arial"/>
          <w:i/>
          <w:sz w:val="20"/>
        </w:rPr>
        <w:t>No Shareholder Rights Plan:</w:t>
      </w:r>
      <w:r>
        <w:rPr>
          <w:rFonts w:ascii="arial" w:hAnsi="arial"/>
        </w:rPr>
        <w:t>  </w:t>
      </w:r>
      <w:r>
        <w:rPr>
          <w:rFonts w:ascii="arial" w:hAnsi="arial"/>
          <w:sz w:val="20"/>
        </w:rPr>
        <w:t xml:space="preserve">Altisource does not maintain a shareholder rights plan (sometimes called a "poison pill"). </w:t>
      </w:r>
    </w:p>
    <w:p>
      <w:pPr>
        <w:pStyle w:val="TextBody"/>
        <w:rPr>
          <w:rFonts w:ascii="arial" w:hAnsi="arial"/>
          <w:sz w:val="20"/>
        </w:rPr>
      </w:pPr>
      <w:r>
        <w:rPr>
          <w:rFonts w:ascii="arial" w:hAnsi="arial"/>
          <w:sz w:val="20"/>
        </w:rPr>
        <w:t xml:space="preserve">The Board of Directors and its Committees monitor developments in governance best practices to assure that the Board continues to meet its commitment to represent shareholder interests. </w:t>
      </w:r>
    </w:p>
    <w:p>
      <w:pPr>
        <w:pStyle w:val="TextBody"/>
        <w:ind w:left="220" w:right="0" w:hanging="220"/>
        <w:rPr>
          <w:rFonts w:ascii="arial" w:hAnsi="arial"/>
          <w:b/>
          <w:sz w:val="20"/>
        </w:rPr>
      </w:pPr>
      <w:r>
        <w:rPr>
          <w:rFonts w:ascii="arial" w:hAnsi="arial"/>
          <w:b/>
          <w:sz w:val="20"/>
        </w:rPr>
        <w:t xml:space="preserve">Shareholder Engagement </w:t>
      </w:r>
    </w:p>
    <w:p>
      <w:pPr>
        <w:pStyle w:val="TextBody"/>
        <w:rPr>
          <w:rFonts w:ascii="arial" w:hAnsi="arial"/>
          <w:sz w:val="20"/>
        </w:rPr>
      </w:pPr>
      <w:r>
        <w:rPr>
          <w:rFonts w:ascii="arial" w:hAnsi="arial"/>
          <w:sz w:val="20"/>
        </w:rPr>
        <w:t xml:space="preserve">Engagement with our shareholders helps us gain useful feedback on a wide variety of relevant topics, which may include corporate governance, compensation practices, Board diversity, capital structure, business performance and the operation of the Company. If such feedback is received, it is shared regularly with the Company's management and the Board, and may be considered in setting the governance practices and strategic direction for the Company. Shareholder feedback may also help us to better tailor the public information we provide to address the interests and inquiries of our shareholders and other interested parties. </w:t>
      </w:r>
    </w:p>
    <w:p>
      <w:pPr>
        <w:pStyle w:val="TextBody"/>
        <w:rPr>
          <w:rFonts w:ascii="arial" w:hAnsi="arial"/>
          <w:sz w:val="20"/>
        </w:rPr>
      </w:pPr>
      <w:r>
        <w:rPr>
          <w:rFonts w:ascii="arial" w:hAnsi="arial"/>
          <w:sz w:val="20"/>
        </w:rPr>
        <w:t xml:space="preserve">Altisource from time to time interacts and communicates with shareholders in a number of forums, including quarterly earnings presentations, SEC filings, investor conferences and meetings and press releases. In furtherance of the Company's commitment to constructive communication and engagement with shareholders, the Company's policy regarding communications by shareholders and other interested parties with the Board of Directors is designed to promote effective engagement with shareholders and clearly outline the parameters for such engagement. </w:t>
      </w:r>
    </w:p>
    <w:p>
      <w:pPr>
        <w:pStyle w:val="TextBody"/>
        <w:rPr>
          <w:rFonts w:ascii="arial" w:hAnsi="arial"/>
          <w:sz w:val="20"/>
        </w:rPr>
      </w:pPr>
      <w:r>
        <w:rPr>
          <w:rFonts w:ascii="arial" w:hAnsi="arial"/>
          <w:sz w:val="20"/>
        </w:rPr>
        <w:t xml:space="preserve">Shareholders who wish to contact our Board of Directors or any individual Director regarding Altisource may do so by mail addressed to our Corporate Secretary at Altisource Portfolio Solutions S.A., 40, avenue Monterey, L-2163 Luxembourg City, Grand Duchy of Luxembourg or by email to the Office of the Corporate Secretary at </w:t>
      </w:r>
      <w:r>
        <w:rPr>
          <w:rFonts w:ascii="arial" w:hAnsi="arial"/>
          <w:sz w:val="20"/>
          <w:u w:val="single"/>
        </w:rPr>
        <w:t>corporate.secretary@altisource.lu</w:t>
      </w:r>
      <w:r>
        <w:rPr>
          <w:rFonts w:ascii="arial" w:hAnsi="arial"/>
          <w:sz w:val="20"/>
        </w:rPr>
        <w:t xml:space="preserve">. Relevant communications received in writing are distributed to our Board of Directors or to individual Directors, as appropriate, depending on the facts and circumstances outlined in the communication received. </w:t>
      </w:r>
    </w:p>
    <w:p>
      <w:pPr>
        <w:pStyle w:val="TextBody"/>
        <w:ind w:left="220" w:right="0" w:hanging="220"/>
        <w:rPr>
          <w:rFonts w:ascii="arial" w:hAnsi="arial"/>
          <w:b/>
          <w:sz w:val="20"/>
        </w:rPr>
      </w:pPr>
      <w:r>
        <w:rPr>
          <w:rFonts w:ascii="arial" w:hAnsi="arial"/>
          <w:b/>
          <w:sz w:val="20"/>
        </w:rPr>
        <w:t xml:space="preserve">Code of Ethics </w:t>
      </w:r>
    </w:p>
    <w:p>
      <w:pPr>
        <w:pStyle w:val="TextBody"/>
        <w:rPr>
          <w:rFonts w:ascii="arial" w:hAnsi="arial"/>
          <w:sz w:val="20"/>
        </w:rPr>
      </w:pPr>
      <w:r>
        <w:rPr>
          <w:rFonts w:ascii="arial" w:hAnsi="arial"/>
          <w:sz w:val="20"/>
        </w:rPr>
        <w:t xml:space="preserve">We have adopted a Code of Business Conduct and Ethics that applies to our Directors, officers and employees as required by Nasdaq listing standards. We have also adopted a Code of Ethics for Senior Financial Officers that applies to our Chief Executive Officer, Chief Financial Officer, Chief Accounting Officer and the members of the Chief Financial Officer's financial leadership team. The Code of Business Conduct </w:t>
      </w:r>
    </w:p>
    <w:p>
      <w:pPr>
        <w:pStyle w:val="TextBody"/>
        <w:jc w:val="center"/>
        <w:rPr>
          <w:rFonts w:ascii="arial" w:hAnsi="arial"/>
          <w:sz w:val="20"/>
        </w:rPr>
      </w:pPr>
      <w:r>
        <w:rPr>
          <w:rFonts w:ascii="arial" w:hAnsi="arial"/>
          <w:sz w:val="20"/>
        </w:rPr>
        <w:t>22</w:t>
      </w:r>
    </w:p>
    <w:p>
      <w:pPr>
        <w:pStyle w:val="HorizontalLine"/>
        <w:pBdr>
          <w:bottom w:val="single" w:sz="20" w:space="0" w:color="808080"/>
        </w:pBdr>
        <w:rPr/>
      </w:pPr>
      <w:r>
        <w:rPr/>
      </w:r>
      <w:r>
        <w:br w:type="page"/>
      </w:r>
    </w:p>
    <w:p>
      <w:pPr>
        <w:pStyle w:val="TextBody"/>
        <w:rPr/>
      </w:pPr>
      <w:hyperlink w:anchor="bg45301a_main_toc">
        <w:bookmarkStart w:id="48" w:name="page_dg45301_1_23"/>
        <w:bookmarkEnd w:id="48"/>
        <w:r>
          <w:rPr>
            <w:rStyle w:val="InternetLink"/>
            <w:rFonts w:ascii="arial" w:hAnsi="arial"/>
            <w:sz w:val="20"/>
          </w:rPr>
          <w:t>Table of Contents</w:t>
        </w:r>
      </w:hyperlink>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3367"/>
        <w:gridCol w:w="101"/>
        <w:gridCol w:w="6737"/>
      </w:tblGrid>
      <w:tr>
        <w:trPr/>
        <w:tc>
          <w:tcPr>
            <w:tcW w:w="3367" w:type="dxa"/>
            <w:tcBorders/>
            <w:shd w:fill="auto" w:val="clear"/>
            <w:vAlign w:val="center"/>
          </w:tcPr>
          <w:p>
            <w:pPr>
              <w:pStyle w:val="TableContents"/>
              <w:spacing w:before="0" w:after="283"/>
              <w:rPr/>
            </w:pPr>
            <w:r>
              <w:rPr/>
              <w:commentReference w:id="65"/>
            </w:r>
            <w:r>
              <w:rPr/>
              <w:commentReference w:id="66"/>
            </w:r>
            <w:r>
              <w:rPr/>
              <w:commentReference w:id="67"/>
            </w:r>
            <w:r>
              <w:rPr/>
              <w:t>​</w:t>
            </w:r>
          </w:p>
        </w:tc>
        <w:tc>
          <w:tcPr>
            <w:tcW w:w="101" w:type="dxa"/>
            <w:tcBorders/>
            <w:shd w:fill="auto" w:val="clear"/>
            <w:vAlign w:val="center"/>
          </w:tcPr>
          <w:p>
            <w:pPr>
              <w:pStyle w:val="TableContents"/>
              <w:spacing w:before="0" w:after="283"/>
              <w:rPr/>
            </w:pPr>
            <w:r>
              <w:rPr/>
              <w:t>​</w:t>
            </w:r>
          </w:p>
        </w:tc>
        <w:tc>
          <w:tcPr>
            <w:tcW w:w="6737" w:type="dxa"/>
            <w:tcBorders/>
            <w:shd w:fill="auto" w:val="clear"/>
            <w:vAlign w:val="center"/>
          </w:tcPr>
          <w:p>
            <w:pPr>
              <w:pStyle w:val="TableContents"/>
              <w:spacing w:before="0" w:after="283"/>
              <w:rPr/>
            </w:pPr>
            <w:r>
              <w:rPr/>
              <w:t>​</w:t>
            </w:r>
            <w:r>
              <w:rPr>
                <w:rFonts w:eastAsia="arial" w:cs="arial" w:ascii="arial" w:hAnsi="arial"/>
              </w:rPr>
              <w:commentReference w:id="68"/>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drawing>
                <wp:inline distT="0" distB="0" distL="0" distR="0">
                  <wp:extent cx="3695700" cy="1809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3695700" cy="180975"/>
                          </a:xfrm>
                          <a:prstGeom prst="rect">
                            <a:avLst/>
                          </a:prstGeom>
                        </pic:spPr>
                      </pic:pic>
                    </a:graphicData>
                  </a:graphic>
                </wp:inline>
              </w:drawing>
            </w:r>
            <w:r>
              <w:rPr/>
              <w:t xml:space="preserve"> </w:t>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t> </w:t>
            </w:r>
          </w:p>
        </w:tc>
      </w:tr>
    </w:tbl>
    <w:p>
      <w:pPr>
        <w:pStyle w:val="TextBody"/>
        <w:rPr/>
      </w:pPr>
      <w:r>
        <w:rPr>
          <w:color w:val="000000"/>
        </w:rPr>
        <w:commentReference w:id="69"/>
      </w:r>
      <w:r>
        <w:rPr>
          <w:color w:val="000000"/>
        </w:rPr>
        <w:t>​</w:t>
      </w:r>
      <w:r>
        <w:rPr/>
        <w:t xml:space="preserve"> </w:t>
      </w:r>
    </w:p>
    <w:p>
      <w:pPr>
        <w:pStyle w:val="TextBody"/>
        <w:rPr>
          <w:rFonts w:ascii="arial" w:hAnsi="arial"/>
          <w:sz w:val="20"/>
        </w:rPr>
      </w:pPr>
      <w:r>
        <w:rPr>
          <w:rFonts w:ascii="arial" w:hAnsi="arial"/>
          <w:sz w:val="20"/>
        </w:rPr>
        <w:t xml:space="preserve">and Ethics and the Code of Ethics for Senior Financial Officers are available on our website at </w:t>
      </w:r>
      <w:r>
        <w:rPr>
          <w:rFonts w:ascii="arial" w:hAnsi="arial"/>
          <w:sz w:val="20"/>
          <w:u w:val="single"/>
        </w:rPr>
        <w:t>www.altisource.com</w:t>
      </w:r>
      <w:r>
        <w:rPr>
          <w:rFonts w:ascii="arial" w:hAnsi="arial"/>
          <w:sz w:val="20"/>
        </w:rPr>
        <w:t xml:space="preserve">. On an annual basis, the Board of Directors reviews and approves the Code of Business Conduct and Ethics and the Code of Ethics for Senior Financial Officers. The Code of Business Conduct and Ethics was last reviewed by the Board of Directors in March 2021 and the Code of Ethics for Senior Financial Officers was last reviewed by the Board of Directors in December 2020. Any amendments to the Code of Business Conduct and Ethics or the Code of Ethics for Senior Financial Officers, as well as any waivers that are required to be disclosed under SEC rules or Nasdaq listing standards, must be approved by our Board of Directors or the Audit Committee and will be posted on our website at </w:t>
      </w:r>
      <w:r>
        <w:rPr>
          <w:rFonts w:ascii="arial" w:hAnsi="arial"/>
          <w:sz w:val="20"/>
          <w:u w:val="single"/>
        </w:rPr>
        <w:t>www.altisource.com</w:t>
      </w:r>
      <w:r>
        <w:rPr>
          <w:rFonts w:ascii="arial" w:hAnsi="arial"/>
          <w:sz w:val="20"/>
        </w:rPr>
        <w:t xml:space="preserve"> or otherwise disclosed in accordance with such rules. </w:t>
      </w:r>
    </w:p>
    <w:p>
      <w:pPr>
        <w:pStyle w:val="TextBody"/>
        <w:ind w:left="220" w:right="0" w:hanging="220"/>
        <w:rPr>
          <w:rFonts w:ascii="arial" w:hAnsi="arial"/>
          <w:b/>
          <w:sz w:val="20"/>
        </w:rPr>
      </w:pPr>
      <w:r>
        <w:rPr>
          <w:rFonts w:ascii="arial" w:hAnsi="arial"/>
          <w:b/>
          <w:sz w:val="20"/>
        </w:rPr>
        <w:t xml:space="preserve">Risk Management and Oversight Process </w:t>
      </w:r>
    </w:p>
    <w:p>
      <w:pPr>
        <w:pStyle w:val="TextBody"/>
        <w:rPr>
          <w:rFonts w:ascii="arial" w:hAnsi="arial"/>
          <w:sz w:val="20"/>
        </w:rPr>
      </w:pPr>
      <w:r>
        <w:rPr>
          <w:rFonts w:ascii="arial" w:hAnsi="arial"/>
          <w:sz w:val="20"/>
        </w:rPr>
        <w:t xml:space="preserve">Our Board of Directors and its Committees play a key role in the oversight of the Company's risk management. </w:t>
      </w:r>
    </w:p>
    <w:p>
      <w:pPr>
        <w:pStyle w:val="TextBody"/>
        <w:rPr>
          <w:rFonts w:ascii="arial" w:hAnsi="arial"/>
          <w:sz w:val="20"/>
        </w:rPr>
      </w:pPr>
      <w:r>
        <w:rPr>
          <w:rFonts w:ascii="arial" w:hAnsi="arial"/>
          <w:sz w:val="20"/>
        </w:rPr>
        <w:t xml:space="preserve">Through regular reviews with management and internal and external auditors, the Board of Directors and the Audit Committee monitor Altisource's enterprise risks, including credit risk, liquidity risk, operational risk and legal and regulatory risk. In its periodic meetings with internal and external auditors, the Audit Committee discusses the scope and plan for the internal audit department and, in conjunction with management, considers whether accounting and financial controls are aligned with business risks. In its periodic meetings with the external auditors, the Audit Committee reviews the external audit scope, the external auditors' responsibilities and independence under the Standards of the Public Company Accounting Oversight Board ("PCAOB"), accounting policies and practices and other required communications. </w:t>
      </w:r>
    </w:p>
    <w:p>
      <w:pPr>
        <w:pStyle w:val="TextBody"/>
        <w:rPr>
          <w:rFonts w:ascii="arial" w:hAnsi="arial"/>
          <w:sz w:val="20"/>
        </w:rPr>
      </w:pPr>
      <w:r>
        <w:rPr>
          <w:rFonts w:ascii="arial" w:hAnsi="arial"/>
          <w:sz w:val="20"/>
        </w:rPr>
        <w:t xml:space="preserve">Our Audit Committee annually performs, and reports to the Board of Directors on, an enterprise risk assessment with management to review the principal risks that could adversely affect our business, and to monitor the steps management is taking to map and mitigate these risks. This enterprise risk assessment reviews: (i) operational risks; (ii) financial risks; (iii) legal and regulatory compliance risks; (iv) reputational risks; (v) technology risks; (vi) privacy risks; (vii) data security (including cybersecurity) risks; (viii) strategic risks; and (ix) other risks that could adversely affect our business. </w:t>
      </w:r>
    </w:p>
    <w:p>
      <w:pPr>
        <w:pStyle w:val="TextBody"/>
        <w:rPr>
          <w:rFonts w:ascii="arial" w:hAnsi="arial"/>
          <w:sz w:val="20"/>
        </w:rPr>
      </w:pPr>
      <w:r>
        <w:rPr>
          <w:rFonts w:ascii="arial" w:hAnsi="arial"/>
          <w:sz w:val="20"/>
        </w:rPr>
        <w:t xml:space="preserve">Our Board of Directors and Compliance Committee monitor the overall compliance function, including the compliance management system, and compliance with legal and regulatory requirements and related risks, through regular reviews with management. At least quarterly, our Compliance Committee reviews and discusses with management the Company's compliance with legal and regulatory requirements and compliance programs. </w:t>
      </w:r>
    </w:p>
    <w:p>
      <w:pPr>
        <w:pStyle w:val="TextBody"/>
        <w:rPr>
          <w:rFonts w:ascii="arial" w:hAnsi="arial"/>
          <w:sz w:val="20"/>
        </w:rPr>
      </w:pPr>
      <w:r>
        <w:rPr>
          <w:rFonts w:ascii="arial" w:hAnsi="arial"/>
          <w:sz w:val="20"/>
        </w:rPr>
        <w:t xml:space="preserve">In addition, working closely with management, our Nomination/Governance Committee assists our Board of Directors in monitoring the Company's governance and succession risks, and our Compensation Committee assists our Board of Directors in monitoring the Company's compensation policies and related risks. </w:t>
      </w:r>
    </w:p>
    <w:p>
      <w:pPr>
        <w:pStyle w:val="TextBody"/>
        <w:rPr>
          <w:rFonts w:ascii="arial" w:hAnsi="arial"/>
          <w:sz w:val="20"/>
        </w:rPr>
      </w:pPr>
      <w:r>
        <w:rPr>
          <w:rFonts w:ascii="arial" w:hAnsi="arial"/>
          <w:sz w:val="20"/>
        </w:rPr>
        <w:t xml:space="preserve">The role of our Board of Directors in risk oversight is consistent with the Company's leadership structure, with the Chief Executive Officer and other members of management having responsibility for assessing and managing the Company's risk exposure, and the Board of Directors and its Committees providing oversight of the management of these risks. </w:t>
      </w:r>
    </w:p>
    <w:p>
      <w:pPr>
        <w:pStyle w:val="TextBody"/>
        <w:ind w:left="220" w:right="0" w:hanging="220"/>
        <w:rPr>
          <w:rFonts w:ascii="arial" w:hAnsi="arial"/>
          <w:b/>
          <w:sz w:val="20"/>
        </w:rPr>
      </w:pPr>
      <w:r>
        <w:rPr>
          <w:rFonts w:ascii="arial" w:hAnsi="arial"/>
          <w:b/>
          <w:sz w:val="20"/>
        </w:rPr>
        <w:t xml:space="preserve">Corporate Responsibility, Sustainability and Human Rights </w:t>
      </w:r>
    </w:p>
    <w:p>
      <w:pPr>
        <w:pStyle w:val="TextBody"/>
        <w:rPr>
          <w:rFonts w:ascii="arial" w:hAnsi="arial"/>
          <w:sz w:val="20"/>
        </w:rPr>
      </w:pPr>
      <w:r>
        <w:rPr>
          <w:rFonts w:ascii="arial" w:hAnsi="arial"/>
          <w:sz w:val="20"/>
        </w:rPr>
        <w:t xml:space="preserve">At Altisource, we believe in the value of improving the welfare of the communities in which we operate. We believe that our commitment to corporate responsibility and community involvement is not only an expression of good corporate citizenship that aligns with our core value of enriching the communities in which we live and serve, but also strengthens our relationships with our customers and other stakeholders, </w:t>
      </w:r>
    </w:p>
    <w:p>
      <w:pPr>
        <w:pStyle w:val="TextBody"/>
        <w:jc w:val="center"/>
        <w:rPr>
          <w:rFonts w:ascii="arial" w:hAnsi="arial"/>
          <w:sz w:val="20"/>
        </w:rPr>
      </w:pPr>
      <w:r>
        <w:rPr>
          <w:rFonts w:ascii="arial" w:hAnsi="arial"/>
          <w:sz w:val="20"/>
        </w:rPr>
        <w:t>23</w:t>
      </w:r>
    </w:p>
    <w:p>
      <w:pPr>
        <w:pStyle w:val="HorizontalLine"/>
        <w:pBdr>
          <w:bottom w:val="single" w:sz="20" w:space="0" w:color="808080"/>
        </w:pBdr>
        <w:rPr/>
      </w:pPr>
      <w:r>
        <w:rPr/>
      </w:r>
      <w:r>
        <w:br w:type="page"/>
      </w:r>
    </w:p>
    <w:p>
      <w:pPr>
        <w:pStyle w:val="TextBody"/>
        <w:rPr/>
      </w:pPr>
      <w:hyperlink w:anchor="bg45301a_main_toc">
        <w:bookmarkStart w:id="49" w:name="page_dg45301_1_24"/>
        <w:bookmarkEnd w:id="49"/>
        <w:r>
          <w:rPr>
            <w:rStyle w:val="InternetLink"/>
            <w:rFonts w:ascii="arial" w:hAnsi="arial"/>
            <w:sz w:val="20"/>
          </w:rPr>
          <w:t>Table of Contents</w:t>
        </w:r>
      </w:hyperlink>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3367"/>
        <w:gridCol w:w="101"/>
        <w:gridCol w:w="6737"/>
      </w:tblGrid>
      <w:tr>
        <w:trPr/>
        <w:tc>
          <w:tcPr>
            <w:tcW w:w="3367" w:type="dxa"/>
            <w:tcBorders/>
            <w:shd w:fill="auto" w:val="clear"/>
            <w:vAlign w:val="center"/>
          </w:tcPr>
          <w:p>
            <w:pPr>
              <w:pStyle w:val="TableContents"/>
              <w:spacing w:before="0" w:after="283"/>
              <w:rPr/>
            </w:pPr>
            <w:r>
              <w:rPr/>
              <w:commentReference w:id="70"/>
            </w:r>
            <w:r>
              <w:rPr/>
              <w:commentReference w:id="71"/>
            </w:r>
            <w:r>
              <w:rPr/>
              <w:commentReference w:id="72"/>
            </w:r>
            <w:r>
              <w:rPr/>
              <w:t>​</w:t>
            </w:r>
          </w:p>
        </w:tc>
        <w:tc>
          <w:tcPr>
            <w:tcW w:w="101" w:type="dxa"/>
            <w:tcBorders/>
            <w:shd w:fill="auto" w:val="clear"/>
            <w:vAlign w:val="center"/>
          </w:tcPr>
          <w:p>
            <w:pPr>
              <w:pStyle w:val="TableContents"/>
              <w:spacing w:before="0" w:after="283"/>
              <w:rPr/>
            </w:pPr>
            <w:r>
              <w:rPr/>
              <w:t>​</w:t>
            </w:r>
          </w:p>
        </w:tc>
        <w:tc>
          <w:tcPr>
            <w:tcW w:w="6737" w:type="dxa"/>
            <w:tcBorders/>
            <w:shd w:fill="auto" w:val="clear"/>
            <w:vAlign w:val="center"/>
          </w:tcPr>
          <w:p>
            <w:pPr>
              <w:pStyle w:val="TableContents"/>
              <w:spacing w:before="0" w:after="283"/>
              <w:rPr/>
            </w:pPr>
            <w:r>
              <w:rPr/>
              <w:t>​</w:t>
            </w:r>
            <w:r>
              <w:rPr>
                <w:rFonts w:eastAsia="arial" w:cs="arial" w:ascii="arial" w:hAnsi="arial"/>
              </w:rPr>
              <w:commentReference w:id="73"/>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drawing>
                <wp:inline distT="0" distB="0" distL="0" distR="0">
                  <wp:extent cx="3695700" cy="1809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3695700" cy="180975"/>
                          </a:xfrm>
                          <a:prstGeom prst="rect">
                            <a:avLst/>
                          </a:prstGeom>
                        </pic:spPr>
                      </pic:pic>
                    </a:graphicData>
                  </a:graphic>
                </wp:inline>
              </w:drawing>
            </w:r>
            <w:r>
              <w:rPr/>
              <w:t xml:space="preserve"> </w:t>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t> </w:t>
            </w:r>
          </w:p>
        </w:tc>
      </w:tr>
    </w:tbl>
    <w:p>
      <w:pPr>
        <w:pStyle w:val="TextBody"/>
        <w:rPr/>
      </w:pPr>
      <w:r>
        <w:rPr>
          <w:color w:val="000000"/>
        </w:rPr>
        <w:commentReference w:id="74"/>
      </w:r>
      <w:r>
        <w:rPr>
          <w:color w:val="000000"/>
        </w:rPr>
        <w:t>​</w:t>
      </w:r>
      <w:r>
        <w:rPr/>
        <w:t xml:space="preserve"> </w:t>
      </w:r>
    </w:p>
    <w:p>
      <w:pPr>
        <w:pStyle w:val="TextBody"/>
        <w:rPr>
          <w:rFonts w:ascii="arial" w:hAnsi="arial"/>
          <w:sz w:val="20"/>
        </w:rPr>
      </w:pPr>
      <w:r>
        <w:rPr>
          <w:rFonts w:ascii="arial" w:hAnsi="arial"/>
          <w:sz w:val="20"/>
        </w:rPr>
        <w:t xml:space="preserve">contributing to the long-term success of our business. We undertake these efforts, many with employee support, through several initiatives. </w:t>
      </w:r>
    </w:p>
    <w:p>
      <w:pPr>
        <w:pStyle w:val="TextBody"/>
        <w:rPr>
          <w:rFonts w:ascii="arial" w:hAnsi="arial"/>
          <w:sz w:val="20"/>
        </w:rPr>
      </w:pPr>
      <w:r>
        <w:rPr>
          <w:rFonts w:ascii="arial" w:hAnsi="arial"/>
          <w:sz w:val="20"/>
        </w:rPr>
        <w:t xml:space="preserve">In 2020, we supported several worthwhile nonprofit initiatives committed to assisting communities and individuals, including Habitat for Humanity International, an organization that helps revitalize homes and communities worldwide; the Carrington Charitable Foundation, an organization that provides free air transportation to post 9/11 combat veterans and families; the Silverton Foundation, a charity which provides mortgage and rent assistance to families with children in long-term hospital care or ongoing medical life-saving treatment; and H.O.M.E., a U.S. Bank program that donates one home per quarter to a military service member. We also assisted Junior Achievement Worldwide (through Ocwen Financial Corporation), the world's largest organization dedicated to helping young people understand the economics of life and the free enterprise system; and the Veterans Financial Services Advisory Council, a group formed by prominent leaders from housing, banking, finance and mortgage-related companies to address the ongoing needs of veterans and their families in search of support related to housing and critical services. </w:t>
      </w:r>
    </w:p>
    <w:p>
      <w:pPr>
        <w:pStyle w:val="TextBody"/>
        <w:rPr>
          <w:rFonts w:ascii="arial" w:hAnsi="arial"/>
          <w:sz w:val="20"/>
        </w:rPr>
      </w:pPr>
      <w:r>
        <w:rPr>
          <w:rFonts w:ascii="arial" w:hAnsi="arial"/>
          <w:sz w:val="20"/>
        </w:rPr>
        <w:t xml:space="preserve">We are committed to respect for human rights as described in our Human Rights Statement available at </w:t>
      </w:r>
      <w:r>
        <w:rPr>
          <w:rFonts w:ascii="arial" w:hAnsi="arial"/>
          <w:sz w:val="20"/>
          <w:u w:val="single"/>
        </w:rPr>
        <w:t>www.altisource.com/humanrights.</w:t>
      </w:r>
      <w:r>
        <w:rPr>
          <w:rFonts w:ascii="arial" w:hAnsi="arial"/>
          <w:sz w:val="20"/>
        </w:rPr>
        <w:t xml:space="preserve"> </w:t>
      </w:r>
    </w:p>
    <w:p>
      <w:pPr>
        <w:pStyle w:val="TextBody"/>
        <w:rPr>
          <w:rFonts w:ascii="arial" w:hAnsi="arial"/>
          <w:sz w:val="20"/>
        </w:rPr>
      </w:pPr>
      <w:r>
        <w:rPr>
          <w:rFonts w:ascii="arial" w:hAnsi="arial"/>
          <w:sz w:val="20"/>
        </w:rPr>
        <w:t xml:space="preserve">We recognize the scientific consensus that climate change is a reality and that human activities are responsible for increasing the concentration of heat-trapping gases in the atmosphere. We acknowledge that we have an impact on the environment through our operations and we are taking actions to reduce the negative impact that we have on the environment. To that end, in September 2020, our Board of Directors approved the Company's Environmental Policy available at </w:t>
      </w:r>
      <w:r>
        <w:rPr>
          <w:rFonts w:ascii="arial" w:hAnsi="arial"/>
          <w:sz w:val="20"/>
          <w:u w:val="single"/>
        </w:rPr>
        <w:t>http://www.altisource.com/environmental-policy</w:t>
      </w:r>
      <w:r>
        <w:rPr>
          <w:rFonts w:ascii="arial" w:hAnsi="arial"/>
          <w:sz w:val="20"/>
        </w:rPr>
        <w:t xml:space="preserve">. During 2020, we reduced the number of Company locations by 33% (a 43% reduction of total square footage) and continued our e-waste and recycling programs. In 2021, we will be evaluating our real estate portfolio, work-from-home, telecommuting and transportation programs to further reduce our impact on the environment. </w:t>
      </w:r>
    </w:p>
    <w:p>
      <w:pPr>
        <w:pStyle w:val="TextBody"/>
        <w:rPr>
          <w:rFonts w:ascii="arial" w:hAnsi="arial"/>
          <w:sz w:val="20"/>
        </w:rPr>
      </w:pPr>
      <w:r>
        <w:rPr>
          <w:rFonts w:ascii="arial" w:hAnsi="arial"/>
          <w:sz w:val="20"/>
        </w:rPr>
        <w:t xml:space="preserve">Altisource's Corporate Responsibility Management Committee oversees the policies, procedures and strategies regarding corporate responsibility, sustainability and environment. The Committee typically meets quarterly and includes our Chief Legal and Compliance Officer, Chief Revenue Officer and other key operational executives. Our Board of Directors oversees the Corporate Responsibility Management Committee and receives regular updates on the effectiveness of our corporate responsibility initiatives. </w:t>
      </w:r>
    </w:p>
    <w:p>
      <w:pPr>
        <w:pStyle w:val="TextBody"/>
        <w:jc w:val="center"/>
        <w:rPr>
          <w:rFonts w:ascii="arial" w:hAnsi="arial"/>
          <w:sz w:val="20"/>
        </w:rPr>
      </w:pPr>
      <w:r>
        <w:rPr>
          <w:rFonts w:ascii="arial" w:hAnsi="arial"/>
          <w:sz w:val="20"/>
        </w:rPr>
        <w:t>24</w:t>
      </w:r>
    </w:p>
    <w:p>
      <w:pPr>
        <w:pStyle w:val="HorizontalLine"/>
        <w:pBdr>
          <w:bottom w:val="single" w:sz="20" w:space="0" w:color="808080"/>
        </w:pBdr>
        <w:rPr/>
      </w:pPr>
      <w:r>
        <w:rPr/>
      </w:r>
      <w:r>
        <w:br w:type="page"/>
      </w:r>
    </w:p>
    <w:p>
      <w:pPr>
        <w:pStyle w:val="TextBody"/>
        <w:rPr/>
      </w:pPr>
      <w:hyperlink w:anchor="bg45301a_main_toc">
        <w:bookmarkStart w:id="50" w:name="page_di45301_1_25"/>
        <w:bookmarkEnd w:id="50"/>
        <w:r>
          <w:rPr>
            <w:rStyle w:val="InternetLink"/>
            <w:rFonts w:ascii="arial" w:hAnsi="arial"/>
            <w:sz w:val="20"/>
          </w:rPr>
          <w:t>Table of Contents</w:t>
        </w:r>
      </w:hyperlink>
      <w:r>
        <w:rPr>
          <w:rFonts w:ascii="arial" w:hAnsi="arial"/>
          <w:sz w:val="20"/>
        </w:rPr>
        <w:t xml:space="preserve"> </w:t>
      </w:r>
    </w:p>
    <w:p>
      <w:pPr>
        <w:pStyle w:val="TextBody"/>
        <w:rPr/>
      </w:pPr>
      <w:r>
        <w:rPr>
          <w:color w:val="000000"/>
        </w:rPr>
        <w:t>​</w:t>
      </w:r>
      <w:r>
        <w:rPr/>
        <w:t xml:space="preserve"> </w:t>
      </w:r>
    </w:p>
    <w:p>
      <w:pPr>
        <w:pStyle w:val="Normal"/>
        <w:spacing w:before="0" w:after="0"/>
        <w:ind w:left="0" w:right="0" w:hanging="0"/>
        <w:rPr>
          <w:sz w:val="4"/>
          <w:szCs w:val="4"/>
        </w:rPr>
      </w:pPr>
      <w:r>
        <w:rPr>
          <w:sz w:val="4"/>
          <w:szCs w:val="4"/>
        </w:rPr>
      </w:r>
      <w:bookmarkStart w:id="51" w:name="toc_di45301_1"/>
      <w:bookmarkStart w:id="52" w:name="di45301_board_of_directors_compensation"/>
      <w:bookmarkStart w:id="53" w:name="toc_di45301_1"/>
      <w:bookmarkStart w:id="54" w:name="di45301_board_of_directors_compensation"/>
      <w:bookmarkEnd w:id="53"/>
      <w:bookmarkEnd w:id="54"/>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8" w:space="0" w:color="000000"/>
            </w:tcBorders>
            <w:shd w:fill="auto" w:val="clear"/>
            <w:vAlign w:val="center"/>
          </w:tcPr>
          <w:p>
            <w:pPr>
              <w:pStyle w:val="TableContents"/>
              <w:spacing w:before="0" w:after="0"/>
              <w:ind w:left="0" w:right="0" w:hanging="0"/>
              <w:jc w:val="left"/>
              <w:rPr>
                <w:rFonts w:ascii="arial" w:hAnsi="arial"/>
                <w:b/>
                <w:sz w:val="24"/>
              </w:rPr>
            </w:pPr>
            <w:r>
              <w:rPr>
                <w:rFonts w:ascii="arial" w:hAnsi="arial"/>
                <w:b/>
                <w:sz w:val="24"/>
              </w:rPr>
              <w:t xml:space="preserve">Board of Directors Compensation </w:t>
            </w:r>
          </w:p>
        </w:tc>
      </w:tr>
    </w:tbl>
    <w:p>
      <w:pPr>
        <w:pStyle w:val="TextBody"/>
        <w:ind w:left="220" w:right="0" w:hanging="220"/>
        <w:rPr>
          <w:rFonts w:ascii="arial" w:hAnsi="arial"/>
          <w:b/>
          <w:sz w:val="20"/>
        </w:rPr>
      </w:pPr>
      <w:r>
        <w:rPr>
          <w:rFonts w:ascii="arial" w:hAnsi="arial"/>
          <w:b/>
          <w:sz w:val="20"/>
        </w:rPr>
        <w:t xml:space="preserve">Compensation Arrangements for Non-Management Directors </w:t>
      </w:r>
    </w:p>
    <w:p>
      <w:pPr>
        <w:pStyle w:val="TextBody"/>
        <w:rPr>
          <w:rFonts w:ascii="arial" w:hAnsi="arial"/>
          <w:sz w:val="20"/>
        </w:rPr>
      </w:pPr>
      <w:r>
        <w:rPr>
          <w:rFonts w:ascii="arial" w:hAnsi="arial"/>
          <w:sz w:val="20"/>
        </w:rPr>
        <w:t xml:space="preserve">Altisource's director compensation program is designed to attract and retain highly qualified non-management directors. Our Compensation Committee believes that compensation for non-management directors should consist of both equity and cash to compensate members for their service on the Board of Directors and its committees and to align their interests with our shareholders. </w:t>
      </w:r>
    </w:p>
    <w:p>
      <w:pPr>
        <w:pStyle w:val="TextBody"/>
        <w:rPr>
          <w:rFonts w:ascii="arial" w:hAnsi="arial"/>
          <w:sz w:val="20"/>
        </w:rPr>
      </w:pPr>
      <w:r>
        <w:rPr>
          <w:rFonts w:ascii="arial" w:hAnsi="arial"/>
          <w:sz w:val="20"/>
        </w:rPr>
        <w:t xml:space="preserve">In line with our philosophy that the interests of our Directors should align with the interests of our shareholders, and to encourage active membership, non-management Directors who attend at least seventy-five percent (75%) of all meetings of the Board of Directors and Committees on which they serve are entitled to receive an award of shares of our common stock at the end of the applicable service year based on an award value periodically approved by our shareholders. We determine the number of shares to be granted by dividing the award value by the average of the high and low prices of our common stock as reported on the Nasdaq Global Select Market on the first day of the service year. </w:t>
      </w:r>
    </w:p>
    <w:p>
      <w:pPr>
        <w:pStyle w:val="TextBody"/>
        <w:rPr>
          <w:rFonts w:ascii="arial" w:hAnsi="arial"/>
          <w:sz w:val="20"/>
        </w:rPr>
      </w:pPr>
      <w:r>
        <w:rPr>
          <w:rFonts w:ascii="arial" w:hAnsi="arial"/>
          <w:sz w:val="20"/>
        </w:rPr>
        <w:t xml:space="preserve">For the 2019 to 2020 service year, each of our non-management Directors who attended at least seventy-five percent (75%) of all meetings of the Board of Directors and Committees on which they served received 5,367 shares of our common stock at the end of the service year, based on an award value of $120,000 divided by the average of the high and low prices of the common stock as reported on the Nasdaq Global Select Market on May 21, 2019 (the first day of the 2019 to 2020 service year). </w:t>
      </w:r>
    </w:p>
    <w:p>
      <w:pPr>
        <w:pStyle w:val="TextBody"/>
        <w:rPr>
          <w:rFonts w:ascii="arial" w:hAnsi="arial"/>
          <w:sz w:val="20"/>
        </w:rPr>
      </w:pPr>
      <w:r>
        <w:rPr>
          <w:rFonts w:ascii="arial" w:hAnsi="arial"/>
          <w:sz w:val="20"/>
        </w:rPr>
        <w:t xml:space="preserve">For the 2020 to 2021 service year, our non-management Directors who attend at least seventy-five percent (75%) of all meetings of the Board and Committees on which they serve will receive 12,786 shares of common stock at the end of the service year, based on an award value of $120,000, divided by the average of the high and low prices of the common stock as reported on the Nasdaq Global Select Market on May 20, 2020 (the first day of the 2020 to 2021 service year). </w:t>
      </w:r>
    </w:p>
    <w:p>
      <w:pPr>
        <w:pStyle w:val="TextBody"/>
        <w:rPr>
          <w:rFonts w:ascii="arial" w:hAnsi="arial"/>
          <w:sz w:val="20"/>
        </w:rPr>
      </w:pPr>
      <w:r>
        <w:rPr>
          <w:rFonts w:ascii="arial" w:hAnsi="arial"/>
          <w:sz w:val="20"/>
        </w:rPr>
        <w:t xml:space="preserve">In addition, in line with our philosophy that the interests of our Directors should be aligned with those of our shareholders, new non-management Directors are granted a one-time award of 500 restricted shares of common stock, which are scheduled to vest in four (4) equal installments, with the initial portion vesting on the date of the annual meeting following the award and vesting continuing on the dates of the next three (3) annual meetings. </w:t>
      </w:r>
    </w:p>
    <w:p>
      <w:pPr>
        <w:pStyle w:val="TextBody"/>
        <w:rPr>
          <w:rFonts w:ascii="arial" w:hAnsi="arial"/>
          <w:sz w:val="20"/>
        </w:rPr>
      </w:pPr>
      <w:r>
        <w:rPr>
          <w:rFonts w:ascii="arial" w:hAnsi="arial"/>
          <w:sz w:val="20"/>
        </w:rPr>
        <w:t>As approved by our shareholders at our 2016 annual meeting of shareholders, each non-management member of our Board of Directors also receives the following annual cash compensation, in quarterly installments:</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spacing w:before="0" w:after="283"/>
        <w:ind w:left="1274" w:right="0" w:hanging="0"/>
        <w:rPr>
          <w:rFonts w:ascii="arial" w:hAnsi="arial"/>
          <w:sz w:val="20"/>
        </w:rPr>
      </w:pPr>
      <w:r>
        <w:rPr>
          <w:rFonts w:ascii="arial" w:hAnsi="arial"/>
          <w:sz w:val="20"/>
        </w:rPr>
        <w:t xml:space="preserve">a retainer of $54,000;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spacing w:before="0" w:after="283"/>
        <w:ind w:left="1274" w:right="0" w:hanging="0"/>
        <w:rPr>
          <w:rFonts w:ascii="arial" w:hAnsi="arial"/>
        </w:rPr>
      </w:pPr>
      <w:r>
        <w:rPr>
          <w:rFonts w:ascii="arial" w:hAnsi="arial"/>
          <w:sz w:val="20"/>
        </w:rPr>
        <w:t>an additional $100,000 to the Chairman of the Board of Directors, if not a member of the Company's management</w:t>
      </w:r>
      <w:r>
        <w:rPr>
          <w:rFonts w:ascii="arial" w:hAnsi="arial"/>
          <w:position w:val="7"/>
          <w:sz w:val="16"/>
          <w:sz w:val="20"/>
        </w:rPr>
        <w:t>(1)</w:t>
      </w:r>
      <w:r>
        <w:rPr>
          <w:rFonts w:ascii="arial" w:hAnsi="arial"/>
          <w:sz w:val="20"/>
        </w:rPr>
        <w:t xml:space="preserve">;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spacing w:before="0" w:after="283"/>
        <w:ind w:left="1274" w:right="0" w:hanging="0"/>
        <w:rPr>
          <w:rFonts w:ascii="arial" w:hAnsi="arial"/>
          <w:sz w:val="20"/>
        </w:rPr>
      </w:pPr>
      <w:r>
        <w:rPr>
          <w:rFonts w:ascii="arial" w:hAnsi="arial"/>
          <w:sz w:val="20"/>
        </w:rPr>
        <w:t xml:space="preserve">an additional $25,000 to the Audit Committee Chairman;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spacing w:before="0" w:after="283"/>
        <w:ind w:left="1274" w:right="0" w:hanging="0"/>
        <w:rPr>
          <w:rFonts w:ascii="arial" w:hAnsi="arial"/>
          <w:sz w:val="20"/>
        </w:rPr>
      </w:pPr>
      <w:r>
        <w:rPr>
          <w:rFonts w:ascii="arial" w:hAnsi="arial"/>
          <w:sz w:val="20"/>
        </w:rPr>
        <w:t xml:space="preserve">an additional $17,500 to the Compliance Committee Chairman;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spacing w:before="0" w:after="283"/>
        <w:ind w:left="1274" w:right="0" w:hanging="0"/>
        <w:rPr>
          <w:rFonts w:ascii="arial" w:hAnsi="arial"/>
          <w:sz w:val="20"/>
        </w:rPr>
      </w:pPr>
      <w:r>
        <w:rPr>
          <w:rFonts w:ascii="arial" w:hAnsi="arial"/>
          <w:sz w:val="20"/>
        </w:rPr>
        <w:t xml:space="preserve">an additional $15,000 to the Compensation Committee Chairman;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spacing w:before="0" w:after="283"/>
        <w:ind w:left="1274" w:right="0" w:hanging="0"/>
        <w:rPr>
          <w:rFonts w:ascii="arial" w:hAnsi="arial"/>
          <w:sz w:val="20"/>
        </w:rPr>
      </w:pPr>
      <w:r>
        <w:rPr>
          <w:rFonts w:ascii="arial" w:hAnsi="arial"/>
          <w:sz w:val="20"/>
        </w:rPr>
        <w:t xml:space="preserve">an additional $12,500 to the Nomination/Governance Committee Chairman;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spacing w:before="0" w:after="283"/>
        <w:ind w:left="1274" w:right="0" w:hanging="0"/>
        <w:rPr>
          <w:rFonts w:ascii="arial" w:hAnsi="arial"/>
          <w:sz w:val="20"/>
        </w:rPr>
      </w:pPr>
      <w:r>
        <w:rPr>
          <w:rFonts w:ascii="arial" w:hAnsi="arial"/>
          <w:sz w:val="20"/>
        </w:rPr>
        <w:t xml:space="preserve">an additional $10,000 to all Audit Committee members (other than the Audit Committee Chairman); </w:t>
      </w:r>
    </w:p>
    <w:p>
      <w:pPr>
        <w:pStyle w:val="TextBody"/>
        <w:spacing w:lineRule="atLeast" w:line="141" w:before="0" w:after="0"/>
        <w:ind w:left="360" w:right="0" w:hanging="0"/>
        <w:rPr/>
      </w:pPr>
      <w:r>
        <w:rPr/>
        <w:t xml:space="preserve">    </w:t>
      </w:r>
    </w:p>
    <w:p>
      <w:pPr>
        <w:pStyle w:val="HorizontalLine"/>
        <w:pBdr>
          <w:bottom w:val="single" w:sz="6" w:space="0" w:color="000000"/>
        </w:pBdr>
        <w:ind w:left="0" w:right="7552" w:hanging="0"/>
        <w:rPr/>
      </w:pPr>
      <w:r>
        <w:rPr/>
      </w:r>
    </w:p>
    <w:p>
      <w:pPr>
        <w:pStyle w:val="ListHeading"/>
        <w:spacing w:before="0" w:after="0"/>
        <w:rPr>
          <w:rFonts w:ascii="arial" w:hAnsi="arial"/>
          <w:position w:val="7"/>
          <w:sz w:val="16"/>
          <w:sz w:val="20"/>
        </w:rPr>
      </w:pPr>
      <w:r>
        <w:rPr>
          <w:rFonts w:ascii="arial" w:hAnsi="arial"/>
          <w:position w:val="7"/>
          <w:sz w:val="16"/>
          <w:sz w:val="20"/>
        </w:rPr>
        <w:t>(1)</w:t>
      </w:r>
    </w:p>
    <w:p>
      <w:pPr>
        <w:pStyle w:val="ListContents"/>
        <w:spacing w:before="0" w:after="283"/>
        <w:rPr>
          <w:rFonts w:ascii="arial" w:hAnsi="arial"/>
          <w:sz w:val="20"/>
        </w:rPr>
      </w:pPr>
      <w:r>
        <w:rPr>
          <w:rFonts w:ascii="arial" w:hAnsi="arial"/>
          <w:sz w:val="20"/>
        </w:rPr>
        <w:t xml:space="preserve">As a management Director, our current Chairman does not receive an annual retainer or any other additional compensation for his service on the Board of Directors. </w:t>
      </w:r>
    </w:p>
    <w:p>
      <w:pPr>
        <w:pStyle w:val="TextBody"/>
        <w:jc w:val="center"/>
        <w:rPr>
          <w:rFonts w:ascii="arial" w:hAnsi="arial"/>
          <w:sz w:val="20"/>
        </w:rPr>
      </w:pPr>
      <w:r>
        <w:rPr>
          <w:rFonts w:ascii="arial" w:hAnsi="arial"/>
          <w:sz w:val="20"/>
        </w:rPr>
        <w:t>25</w:t>
      </w:r>
    </w:p>
    <w:p>
      <w:pPr>
        <w:pStyle w:val="HorizontalLine"/>
        <w:pBdr>
          <w:bottom w:val="single" w:sz="20" w:space="0" w:color="808080"/>
        </w:pBdr>
        <w:rPr/>
      </w:pPr>
      <w:r>
        <w:rPr/>
      </w:r>
      <w:r>
        <w:br w:type="page"/>
      </w:r>
    </w:p>
    <w:p>
      <w:pPr>
        <w:pStyle w:val="TextBody"/>
        <w:rPr/>
      </w:pPr>
      <w:hyperlink w:anchor="bg45301a_main_toc">
        <w:bookmarkStart w:id="55" w:name="page_di45301_1_26"/>
        <w:bookmarkEnd w:id="55"/>
        <w:r>
          <w:rPr>
            <w:rStyle w:val="InternetLink"/>
            <w:rFonts w:ascii="arial" w:hAnsi="arial"/>
            <w:sz w:val="20"/>
          </w:rPr>
          <w:t>Table of Contents</w:t>
        </w:r>
      </w:hyperlink>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3367"/>
        <w:gridCol w:w="101"/>
        <w:gridCol w:w="6737"/>
      </w:tblGrid>
      <w:tr>
        <w:trPr/>
        <w:tc>
          <w:tcPr>
            <w:tcW w:w="3367" w:type="dxa"/>
            <w:tcBorders/>
            <w:shd w:fill="auto" w:val="clear"/>
            <w:vAlign w:val="center"/>
          </w:tcPr>
          <w:p>
            <w:pPr>
              <w:pStyle w:val="TableContents"/>
              <w:spacing w:before="0" w:after="283"/>
              <w:rPr/>
            </w:pPr>
            <w:r>
              <w:rPr/>
              <w:commentReference w:id="75"/>
            </w:r>
            <w:r>
              <w:rPr/>
              <w:commentReference w:id="76"/>
            </w:r>
            <w:r>
              <w:rPr/>
              <w:commentReference w:id="77"/>
            </w:r>
            <w:r>
              <w:rPr/>
              <w:t>​</w:t>
            </w:r>
          </w:p>
        </w:tc>
        <w:tc>
          <w:tcPr>
            <w:tcW w:w="101" w:type="dxa"/>
            <w:tcBorders/>
            <w:shd w:fill="auto" w:val="clear"/>
            <w:vAlign w:val="center"/>
          </w:tcPr>
          <w:p>
            <w:pPr>
              <w:pStyle w:val="TableContents"/>
              <w:spacing w:before="0" w:after="283"/>
              <w:rPr/>
            </w:pPr>
            <w:r>
              <w:rPr/>
              <w:t>​</w:t>
            </w:r>
          </w:p>
        </w:tc>
        <w:tc>
          <w:tcPr>
            <w:tcW w:w="6737" w:type="dxa"/>
            <w:tcBorders/>
            <w:shd w:fill="auto" w:val="clear"/>
            <w:vAlign w:val="center"/>
          </w:tcPr>
          <w:p>
            <w:pPr>
              <w:pStyle w:val="TableContents"/>
              <w:spacing w:before="0" w:after="283"/>
              <w:rPr/>
            </w:pPr>
            <w:r>
              <w:rPr/>
              <w:t>​</w:t>
            </w:r>
            <w:r>
              <w:rPr>
                <w:rFonts w:eastAsia="arial" w:cs="arial" w:ascii="arial" w:hAnsi="arial"/>
              </w:rPr>
              <w:commentReference w:id="78"/>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drawing>
                <wp:inline distT="0" distB="0" distL="0" distR="0">
                  <wp:extent cx="2667000" cy="1809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2667000" cy="180975"/>
                          </a:xfrm>
                          <a:prstGeom prst="rect">
                            <a:avLst/>
                          </a:prstGeom>
                        </pic:spPr>
                      </pic:pic>
                    </a:graphicData>
                  </a:graphic>
                </wp:inline>
              </w:drawing>
            </w:r>
            <w:r>
              <w:rPr/>
              <w:t xml:space="preserve"> </w:t>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t> </w:t>
            </w:r>
          </w:p>
        </w:tc>
      </w:tr>
    </w:tbl>
    <w:p>
      <w:pPr>
        <w:pStyle w:val="TextBody"/>
        <w:rPr/>
      </w:pPr>
      <w:r>
        <w:rPr>
          <w:color w:val="000000"/>
        </w:rPr>
        <w:commentReference w:id="79"/>
      </w:r>
      <w:r>
        <w:rPr>
          <w:color w:val="000000"/>
        </w:rPr>
        <w:t>​</w:t>
      </w:r>
      <w:r>
        <w:rPr/>
        <w:t xml:space="preserve">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spacing w:before="0" w:after="283"/>
        <w:ind w:left="1274" w:right="0" w:hanging="0"/>
        <w:rPr>
          <w:rFonts w:ascii="arial" w:hAnsi="arial"/>
          <w:sz w:val="20"/>
        </w:rPr>
      </w:pPr>
      <w:r>
        <w:rPr>
          <w:rFonts w:ascii="arial" w:hAnsi="arial"/>
          <w:sz w:val="20"/>
        </w:rPr>
        <w:t xml:space="preserve">an additional $10,000 to all Compliance Committee members (other than the Compliance Committee chairman);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spacing w:before="0" w:after="283"/>
        <w:ind w:left="1274" w:right="0" w:hanging="0"/>
        <w:rPr>
          <w:rFonts w:ascii="arial" w:hAnsi="arial"/>
          <w:sz w:val="20"/>
        </w:rPr>
      </w:pPr>
      <w:r>
        <w:rPr>
          <w:rFonts w:ascii="arial" w:hAnsi="arial"/>
          <w:sz w:val="20"/>
        </w:rPr>
        <w:t xml:space="preserve">an additional $7,500 to all Compensation Committee members (other than the Compensation Committee Chairman); and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spacing w:before="0" w:after="283"/>
        <w:ind w:left="1274" w:right="0" w:hanging="0"/>
        <w:rPr>
          <w:rFonts w:ascii="arial" w:hAnsi="arial"/>
          <w:sz w:val="20"/>
        </w:rPr>
      </w:pPr>
      <w:r>
        <w:rPr>
          <w:rFonts w:ascii="arial" w:hAnsi="arial"/>
          <w:sz w:val="20"/>
        </w:rPr>
        <w:t xml:space="preserve">an additional $5,000 to all Nomination/Governance Committee members (other than the Nomination/ Governance Committee Chairman). </w:t>
      </w:r>
    </w:p>
    <w:p>
      <w:pPr>
        <w:pStyle w:val="TextBody"/>
        <w:rPr>
          <w:rFonts w:ascii="arial" w:hAnsi="arial"/>
          <w:sz w:val="20"/>
        </w:rPr>
      </w:pPr>
      <w:r>
        <w:rPr>
          <w:rFonts w:ascii="arial" w:hAnsi="arial"/>
          <w:sz w:val="20"/>
        </w:rPr>
        <w:t xml:space="preserve">The Company also pays for, or reimburses our Directors for, their reasonable travel, lodging, food and other expenses related to their attendance at Board, Committee or shareholder meetings or other corporate functions. In response to the impacts from the COVID-19 pandemic, in April 2020 the cash compensation of the independent members of the Board was reduced by 50% for six months. As of October 2020, the cash compensation of the independent members of the Board was adjusted to 80% of the pre-reduction cash compensation. </w:t>
      </w:r>
    </w:p>
    <w:p>
      <w:pPr>
        <w:pStyle w:val="TextBody"/>
        <w:rPr>
          <w:rFonts w:ascii="arial" w:hAnsi="arial"/>
          <w:sz w:val="20"/>
        </w:rPr>
      </w:pPr>
      <w:r>
        <w:rPr>
          <w:rFonts w:ascii="arial" w:hAnsi="arial"/>
          <w:sz w:val="20"/>
        </w:rPr>
        <w:t xml:space="preserve">Certain Directors are also required to file Luxembourg tax returns in connection with the compensation that they receive as Directors of Altisource. In connection with this requirement, as approved by our shareholders at the 2018 Annual Meeting, the Company pays for tax preparation services for any Luxembourg tax returns that must be filed by non-resident Directors as a result of their membership on the Board of Directors of Altisource. </w:t>
      </w:r>
    </w:p>
    <w:p>
      <w:pPr>
        <w:pStyle w:val="TextBody"/>
        <w:ind w:left="220" w:right="0" w:hanging="220"/>
        <w:rPr>
          <w:rFonts w:ascii="arial" w:hAnsi="arial"/>
          <w:b/>
          <w:sz w:val="20"/>
        </w:rPr>
      </w:pPr>
      <w:r>
        <w:rPr>
          <w:rFonts w:ascii="arial" w:hAnsi="arial"/>
          <w:b/>
          <w:sz w:val="20"/>
        </w:rPr>
        <w:t xml:space="preserve">Non-Management Director Compensation for 2020 </w:t>
      </w:r>
    </w:p>
    <w:p>
      <w:pPr>
        <w:pStyle w:val="TextBody"/>
        <w:rPr>
          <w:rFonts w:ascii="arial" w:hAnsi="arial"/>
          <w:sz w:val="20"/>
        </w:rPr>
      </w:pPr>
      <w:r>
        <w:rPr>
          <w:rFonts w:ascii="arial" w:hAnsi="arial"/>
          <w:sz w:val="20"/>
        </w:rPr>
        <w:t xml:space="preserve">The following table summarizes (i) cash compensation earned in 2020 by each non-management member of our Board of Directors who served as a Director during 2020, (ii) stock awards made to our non-management Directors in 2020 for their service in the 2019 to 2020 service year and (iii) any other compensation received in 2020. Mr. Shepro, as a member of the Company's management, does not receive an annual retainer or any other additional compensation for his service on the Board of Directors. </w:t>
      </w:r>
    </w:p>
    <w:tbl>
      <w:tblPr>
        <w:tblW w:w="5000" w:type="pct"/>
        <w:jc w:val="center"/>
        <w:tblInd w:w="0" w:type="dxa"/>
        <w:tblCellMar>
          <w:top w:w="0" w:type="dxa"/>
          <w:left w:w="0" w:type="dxa"/>
          <w:bottom w:w="0" w:type="dxa"/>
          <w:right w:w="0" w:type="dxa"/>
        </w:tblCellMar>
      </w:tblPr>
      <w:tblGrid>
        <w:gridCol w:w="5840"/>
        <w:gridCol w:w="23"/>
        <w:gridCol w:w="300"/>
        <w:gridCol w:w="98"/>
        <w:gridCol w:w="612"/>
        <w:gridCol w:w="23"/>
        <w:gridCol w:w="23"/>
        <w:gridCol w:w="240"/>
        <w:gridCol w:w="101"/>
        <w:gridCol w:w="610"/>
        <w:gridCol w:w="80"/>
        <w:gridCol w:w="23"/>
        <w:gridCol w:w="342"/>
        <w:gridCol w:w="342"/>
        <w:gridCol w:w="342"/>
        <w:gridCol w:w="344"/>
        <w:gridCol w:w="23"/>
        <w:gridCol w:w="100"/>
        <w:gridCol w:w="715"/>
        <w:gridCol w:w="24"/>
      </w:tblGrid>
      <w:tr>
        <w:trPr/>
        <w:tc>
          <w:tcPr>
            <w:tcW w:w="584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24" w:type="dxa"/>
            <w:tcBorders/>
            <w:shd w:fill="auto" w:val="clear"/>
            <w:vAlign w:val="center"/>
          </w:tcPr>
          <w:p>
            <w:pPr>
              <w:pStyle w:val="TableContents"/>
              <w:spacing w:before="0" w:after="283"/>
              <w:rPr>
                <w:sz w:val="4"/>
                <w:szCs w:val="4"/>
              </w:rPr>
            </w:pPr>
            <w:r>
              <w:rPr>
                <w:sz w:val="4"/>
                <w:szCs w:val="4"/>
              </w:rPr>
            </w:r>
          </w:p>
        </w:tc>
      </w:tr>
      <w:tr>
        <w:trPr/>
        <w:tc>
          <w:tcPr>
            <w:tcW w:w="5840" w:type="dxa"/>
            <w:tcBorders>
              <w:bottom w:val="single" w:sz="8" w:space="0" w:color="000000"/>
            </w:tcBorders>
            <w:shd w:fill="auto" w:val="clear"/>
            <w:tcMar>
              <w:bottom w:w="28" w:type="dxa"/>
            </w:tcMar>
            <w:vAlign w:val="bottom"/>
          </w:tcPr>
          <w:p>
            <w:pPr>
              <w:pStyle w:val="TableHeading"/>
              <w:spacing w:before="0" w:after="283"/>
              <w:jc w:val="center"/>
              <w:rPr>
                <w:rFonts w:ascii="arial" w:hAnsi="arial"/>
                <w:b/>
                <w:sz w:val="20"/>
              </w:rPr>
            </w:pPr>
            <w:r>
              <w:rPr>
                <w:rFonts w:ascii="arial" w:hAnsi="arial"/>
                <w:b/>
                <w:sz w:val="20"/>
              </w:rPr>
              <w:t xml:space="preserve">Name </w:t>
            </w:r>
          </w:p>
        </w:tc>
        <w:tc>
          <w:tcPr>
            <w:tcW w:w="23" w:type="dxa"/>
            <w:tcBorders/>
            <w:shd w:fill="auto" w:val="clear"/>
            <w:vAlign w:val="bottom"/>
          </w:tcPr>
          <w:p>
            <w:pPr>
              <w:pStyle w:val="TableHeading"/>
              <w:suppressLineNumbers/>
              <w:spacing w:before="0" w:after="283"/>
              <w:jc w:val="center"/>
              <w:rPr/>
            </w:pPr>
            <w:r>
              <w:rPr/>
              <w:t>​</w:t>
            </w:r>
          </w:p>
        </w:tc>
        <w:tc>
          <w:tcPr>
            <w:tcW w:w="1033" w:type="dxa"/>
            <w:gridSpan w:val="4"/>
            <w:tcBorders>
              <w:bottom w:val="single" w:sz="8" w:space="0" w:color="000000"/>
            </w:tcBorders>
            <w:shd w:fill="auto" w:val="clear"/>
            <w:tcMar>
              <w:bottom w:w="28" w:type="dxa"/>
            </w:tcMar>
            <w:vAlign w:val="bottom"/>
          </w:tcPr>
          <w:p>
            <w:pPr>
              <w:pStyle w:val="TableHeading"/>
              <w:spacing w:before="0" w:after="283"/>
              <w:jc w:val="center"/>
              <w:rPr>
                <w:rFonts w:ascii="arial" w:hAnsi="arial"/>
                <w:b/>
                <w:sz w:val="20"/>
              </w:rPr>
            </w:pPr>
            <w:r>
              <w:rPr>
                <w:rFonts w:ascii="arial" w:hAnsi="arial"/>
                <w:b/>
                <w:sz w:val="20"/>
              </w:rPr>
              <w:t>Fees Earned</w:t>
              <w:br/>
              <w:t>or Paid in Cash</w:t>
            </w:r>
            <w:r>
              <w:rPr>
                <w:rFonts w:ascii="arial" w:hAnsi="arial"/>
                <w:b/>
                <w:position w:val="7"/>
                <w:sz w:val="16"/>
                <w:sz w:val="20"/>
              </w:rPr>
              <w:t>(1)</w:t>
            </w:r>
            <w:r>
              <w:rPr>
                <w:rFonts w:ascii="arial" w:hAnsi="arial"/>
                <w:b/>
                <w:sz w:val="20"/>
              </w:rPr>
              <w:t xml:space="preserve"> </w:t>
            </w:r>
          </w:p>
        </w:tc>
        <w:tc>
          <w:tcPr>
            <w:tcW w:w="23" w:type="dxa"/>
            <w:tcBorders/>
            <w:shd w:fill="auto" w:val="clear"/>
            <w:vAlign w:val="bottom"/>
          </w:tcPr>
          <w:p>
            <w:pPr>
              <w:pStyle w:val="TableHeading"/>
              <w:suppressLineNumbers/>
              <w:spacing w:before="0" w:after="283"/>
              <w:jc w:val="center"/>
              <w:rPr/>
            </w:pPr>
            <w:r>
              <w:rPr/>
              <w:t>​</w:t>
            </w:r>
          </w:p>
        </w:tc>
        <w:tc>
          <w:tcPr>
            <w:tcW w:w="1031" w:type="dxa"/>
            <w:gridSpan w:val="4"/>
            <w:tcBorders>
              <w:bottom w:val="single" w:sz="8" w:space="0" w:color="000000"/>
            </w:tcBorders>
            <w:shd w:fill="auto" w:val="clear"/>
            <w:tcMar>
              <w:bottom w:w="28" w:type="dxa"/>
            </w:tcMar>
            <w:vAlign w:val="bottom"/>
          </w:tcPr>
          <w:p>
            <w:pPr>
              <w:pStyle w:val="TableHeading"/>
              <w:spacing w:before="0" w:after="283"/>
              <w:jc w:val="center"/>
              <w:rPr>
                <w:rFonts w:ascii="arial" w:hAnsi="arial"/>
                <w:b/>
                <w:sz w:val="20"/>
              </w:rPr>
            </w:pPr>
            <w:r>
              <w:rPr>
                <w:rFonts w:ascii="arial" w:hAnsi="arial"/>
                <w:b/>
                <w:sz w:val="20"/>
              </w:rPr>
              <w:t>Stock Awards</w:t>
            </w:r>
            <w:r>
              <w:rPr>
                <w:rFonts w:ascii="arial" w:hAnsi="arial"/>
                <w:b/>
                <w:position w:val="7"/>
                <w:sz w:val="16"/>
                <w:sz w:val="20"/>
              </w:rPr>
              <w:t>(2)</w:t>
            </w:r>
            <w:r>
              <w:rPr>
                <w:rFonts w:ascii="arial" w:hAnsi="arial"/>
                <w:b/>
                <w:sz w:val="20"/>
              </w:rPr>
              <w:t xml:space="preserve"> </w:t>
            </w:r>
          </w:p>
        </w:tc>
        <w:tc>
          <w:tcPr>
            <w:tcW w:w="23" w:type="dxa"/>
            <w:tcBorders/>
            <w:shd w:fill="auto" w:val="clear"/>
            <w:vAlign w:val="bottom"/>
          </w:tcPr>
          <w:p>
            <w:pPr>
              <w:pStyle w:val="TableHeading"/>
              <w:suppressLineNumbers/>
              <w:spacing w:before="0" w:after="283"/>
              <w:jc w:val="center"/>
              <w:rPr/>
            </w:pPr>
            <w:r>
              <w:rPr/>
              <w:t>​</w:t>
            </w:r>
          </w:p>
        </w:tc>
        <w:tc>
          <w:tcPr>
            <w:tcW w:w="1370" w:type="dxa"/>
            <w:gridSpan w:val="4"/>
            <w:tcBorders>
              <w:bottom w:val="single" w:sz="8" w:space="0" w:color="000000"/>
            </w:tcBorders>
            <w:shd w:fill="auto" w:val="clear"/>
            <w:tcMar>
              <w:bottom w:w="28" w:type="dxa"/>
            </w:tcMar>
            <w:vAlign w:val="bottom"/>
          </w:tcPr>
          <w:p>
            <w:pPr>
              <w:pStyle w:val="TableHeading"/>
              <w:spacing w:before="0" w:after="283"/>
              <w:jc w:val="center"/>
              <w:rPr>
                <w:rFonts w:ascii="arial" w:hAnsi="arial"/>
                <w:b/>
                <w:sz w:val="20"/>
              </w:rPr>
            </w:pPr>
            <w:r>
              <w:rPr>
                <w:rFonts w:ascii="arial" w:hAnsi="arial"/>
                <w:b/>
                <w:sz w:val="20"/>
              </w:rPr>
              <w:t>All Other</w:t>
              <w:br/>
              <w:t xml:space="preserve">Compensation </w:t>
            </w:r>
          </w:p>
        </w:tc>
        <w:tc>
          <w:tcPr>
            <w:tcW w:w="23" w:type="dxa"/>
            <w:tcBorders/>
            <w:shd w:fill="auto" w:val="clear"/>
            <w:vAlign w:val="bottom"/>
          </w:tcPr>
          <w:p>
            <w:pPr>
              <w:pStyle w:val="TableHeading"/>
              <w:suppressLineNumbers/>
              <w:spacing w:before="0" w:after="283"/>
              <w:jc w:val="center"/>
              <w:rPr/>
            </w:pPr>
            <w:r>
              <w:rPr/>
              <w:t>​</w:t>
            </w:r>
          </w:p>
        </w:tc>
        <w:tc>
          <w:tcPr>
            <w:tcW w:w="815" w:type="dxa"/>
            <w:gridSpan w:val="2"/>
            <w:tcBorders>
              <w:bottom w:val="single" w:sz="8" w:space="0" w:color="000000"/>
            </w:tcBorders>
            <w:shd w:fill="auto" w:val="clear"/>
            <w:tcMar>
              <w:bottom w:w="28" w:type="dxa"/>
            </w:tcMar>
            <w:vAlign w:val="bottom"/>
          </w:tcPr>
          <w:p>
            <w:pPr>
              <w:pStyle w:val="TableHeading"/>
              <w:spacing w:before="0" w:after="283"/>
              <w:jc w:val="center"/>
              <w:rPr>
                <w:rFonts w:ascii="arial" w:hAnsi="arial"/>
                <w:b/>
                <w:sz w:val="20"/>
              </w:rPr>
            </w:pPr>
            <w:r>
              <w:rPr>
                <w:rFonts w:ascii="arial" w:hAnsi="arial"/>
                <w:b/>
                <w:sz w:val="20"/>
              </w:rPr>
              <w:t xml:space="preserve">Total </w:t>
            </w:r>
          </w:p>
        </w:tc>
        <w:tc>
          <w:tcPr>
            <w:tcW w:w="24" w:type="dxa"/>
            <w:tcBorders/>
            <w:shd w:fill="auto" w:val="clear"/>
            <w:vAlign w:val="bottom"/>
          </w:tcPr>
          <w:p>
            <w:pPr>
              <w:pStyle w:val="TableHeading"/>
              <w:suppressLineNumbers/>
              <w:spacing w:before="0" w:after="283"/>
              <w:jc w:val="center"/>
              <w:rPr/>
            </w:pPr>
            <w:r>
              <w:rPr/>
              <w:t>​</w:t>
            </w:r>
          </w:p>
        </w:tc>
      </w:tr>
      <w:tr>
        <w:trPr/>
        <w:tc>
          <w:tcPr>
            <w:tcW w:w="5840" w:type="dxa"/>
            <w:tcBorders/>
            <w:shd w:fill="CCEEFF" w:val="clear"/>
            <w:vAlign w:val="bottom"/>
          </w:tcPr>
          <w:p>
            <w:pPr>
              <w:pStyle w:val="TableContents"/>
              <w:spacing w:before="0" w:after="283"/>
              <w:ind w:left="180" w:right="0" w:hanging="180"/>
              <w:rPr>
                <w:rFonts w:ascii="arial" w:hAnsi="arial"/>
                <w:sz w:val="20"/>
              </w:rPr>
            </w:pPr>
            <w:r>
              <w:rPr>
                <w:rFonts w:ascii="arial" w:hAnsi="arial"/>
                <w:sz w:val="20"/>
              </w:rPr>
              <w:t>Scott E. Burg</w:t>
            </w:r>
            <w:r>
              <w:rPr>
                <w:rFonts w:ascii="arial" w:hAnsi="arial"/>
                <w:position w:val="7"/>
                <w:sz w:val="16"/>
                <w:sz w:val="20"/>
              </w:rPr>
              <w:t>(3)</w:t>
            </w:r>
          </w:p>
        </w:tc>
        <w:tc>
          <w:tcPr>
            <w:tcW w:w="23" w:type="dxa"/>
            <w:tcBorders/>
            <w:shd w:fill="CCEEFF" w:val="clear"/>
            <w:vAlign w:val="bottom"/>
          </w:tcPr>
          <w:p>
            <w:pPr>
              <w:pStyle w:val="TableContents"/>
              <w:spacing w:before="0" w:after="283"/>
              <w:rPr/>
            </w:pPr>
            <w:r>
              <w:rPr/>
              <w:t>​</w:t>
            </w:r>
          </w:p>
        </w:tc>
        <w:tc>
          <w:tcPr>
            <w:tcW w:w="300" w:type="dxa"/>
            <w:tcBorders/>
            <w:shd w:fill="CCEEFF" w:val="clear"/>
            <w:vAlign w:val="bottom"/>
          </w:tcPr>
          <w:p>
            <w:pPr>
              <w:pStyle w:val="TableContents"/>
              <w:spacing w:before="0" w:after="283"/>
              <w:rPr/>
            </w:pPr>
            <w:r>
              <w:rPr/>
              <w:t>​</w:t>
            </w:r>
          </w:p>
        </w:tc>
        <w:tc>
          <w:tcPr>
            <w:tcW w:w="710"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$65,800</w:t>
            </w:r>
          </w:p>
        </w:tc>
        <w:tc>
          <w:tcPr>
            <w:tcW w:w="23" w:type="dxa"/>
            <w:tcBorders/>
            <w:shd w:fill="CCEEFF" w:val="clear"/>
            <w:vAlign w:val="bottom"/>
          </w:tcPr>
          <w:p>
            <w:pPr>
              <w:pStyle w:val="TableContents"/>
              <w:spacing w:before="0" w:after="283"/>
              <w:rPr/>
            </w:pPr>
            <w:r>
              <w:rPr/>
              <w:t>​</w:t>
            </w:r>
          </w:p>
        </w:tc>
        <w:tc>
          <w:tcPr>
            <w:tcW w:w="23" w:type="dxa"/>
            <w:tcBorders/>
            <w:shd w:fill="CCEEFF" w:val="clear"/>
            <w:vAlign w:val="bottom"/>
          </w:tcPr>
          <w:p>
            <w:pPr>
              <w:pStyle w:val="TableContents"/>
              <w:spacing w:before="0" w:after="283"/>
              <w:rPr/>
            </w:pPr>
            <w:r>
              <w:rPr/>
              <w:t>​</w:t>
            </w:r>
          </w:p>
        </w:tc>
        <w:tc>
          <w:tcPr>
            <w:tcW w:w="240" w:type="dxa"/>
            <w:tcBorders/>
            <w:shd w:fill="CCEEFF" w:val="clear"/>
            <w:vAlign w:val="bottom"/>
          </w:tcPr>
          <w:p>
            <w:pPr>
              <w:pStyle w:val="TableContents"/>
              <w:spacing w:before="0" w:after="283"/>
              <w:rPr/>
            </w:pPr>
            <w:r>
              <w:rPr/>
              <w:t>​</w:t>
            </w:r>
          </w:p>
        </w:tc>
        <w:tc>
          <w:tcPr>
            <w:tcW w:w="711"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$47,451</w:t>
            </w:r>
          </w:p>
        </w:tc>
        <w:tc>
          <w:tcPr>
            <w:tcW w:w="80" w:type="dxa"/>
            <w:tcBorders/>
            <w:shd w:fill="CCEEFF" w:val="clear"/>
            <w:vAlign w:val="bottom"/>
          </w:tcPr>
          <w:p>
            <w:pPr>
              <w:pStyle w:val="TableContents"/>
              <w:spacing w:before="0" w:after="283"/>
              <w:rPr/>
            </w:pPr>
            <w:r>
              <w:rPr/>
              <w:t>​</w:t>
            </w:r>
          </w:p>
        </w:tc>
        <w:tc>
          <w:tcPr>
            <w:tcW w:w="23" w:type="dxa"/>
            <w:tcBorders/>
            <w:shd w:fill="CCEEFF" w:val="clear"/>
            <w:vAlign w:val="bottom"/>
          </w:tcPr>
          <w:p>
            <w:pPr>
              <w:pStyle w:val="TableContents"/>
              <w:spacing w:before="0" w:after="283"/>
              <w:rPr/>
            </w:pPr>
            <w:r>
              <w:rPr/>
              <w:t>​</w:t>
            </w:r>
          </w:p>
        </w:tc>
        <w:tc>
          <w:tcPr>
            <w:tcW w:w="342" w:type="dxa"/>
            <w:tcBorders/>
            <w:shd w:fill="CCEEFF" w:val="clear"/>
            <w:vAlign w:val="bottom"/>
          </w:tcPr>
          <w:p>
            <w:pPr>
              <w:pStyle w:val="TableContents"/>
              <w:spacing w:before="0" w:after="283"/>
              <w:rPr/>
            </w:pPr>
            <w:r>
              <w:rPr/>
              <w:t>​</w:t>
            </w:r>
          </w:p>
        </w:tc>
        <w:tc>
          <w:tcPr>
            <w:tcW w:w="684" w:type="dxa"/>
            <w:gridSpan w:val="2"/>
            <w:tcBorders/>
            <w:shd w:fill="CCEEFF" w:val="clear"/>
            <w:vAlign w:val="bottom"/>
          </w:tcPr>
          <w:p>
            <w:pPr>
              <w:pStyle w:val="TableContents"/>
              <w:spacing w:before="0" w:after="283"/>
              <w:jc w:val="center"/>
              <w:rPr>
                <w:rFonts w:ascii="arial" w:hAnsi="arial"/>
                <w:sz w:val="20"/>
              </w:rPr>
            </w:pPr>
            <w:r>
              <w:rPr>
                <w:rFonts w:ascii="arial" w:hAnsi="arial"/>
                <w:sz w:val="20"/>
              </w:rPr>
              <w:t>-</w:t>
            </w:r>
          </w:p>
        </w:tc>
        <w:tc>
          <w:tcPr>
            <w:tcW w:w="344" w:type="dxa"/>
            <w:tcBorders/>
            <w:shd w:fill="CCEEFF" w:val="clear"/>
            <w:vAlign w:val="bottom"/>
          </w:tcPr>
          <w:p>
            <w:pPr>
              <w:pStyle w:val="TableContents"/>
              <w:spacing w:before="0" w:after="283"/>
              <w:rPr/>
            </w:pPr>
            <w:r>
              <w:rPr/>
              <w:t>​</w:t>
            </w:r>
          </w:p>
        </w:tc>
        <w:tc>
          <w:tcPr>
            <w:tcW w:w="23" w:type="dxa"/>
            <w:tcBorders/>
            <w:shd w:fill="CCEEFF" w:val="clear"/>
            <w:vAlign w:val="bottom"/>
          </w:tcPr>
          <w:p>
            <w:pPr>
              <w:pStyle w:val="TableContents"/>
              <w:spacing w:before="0" w:after="283"/>
              <w:rPr/>
            </w:pPr>
            <w:r>
              <w:rPr/>
              <w:t>​</w:t>
            </w:r>
          </w:p>
        </w:tc>
        <w:tc>
          <w:tcPr>
            <w:tcW w:w="815"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$113,251</w:t>
            </w:r>
          </w:p>
        </w:tc>
        <w:tc>
          <w:tcPr>
            <w:tcW w:w="24" w:type="dxa"/>
            <w:tcBorders/>
            <w:shd w:fill="CCEEFF" w:val="clear"/>
            <w:vAlign w:val="bottom"/>
          </w:tcPr>
          <w:p>
            <w:pPr>
              <w:pStyle w:val="TableContents"/>
              <w:spacing w:before="0" w:after="283"/>
              <w:rPr/>
            </w:pPr>
            <w:r>
              <w:rPr/>
              <w:t>​</w:t>
            </w:r>
          </w:p>
        </w:tc>
      </w:tr>
      <w:tr>
        <w:trPr/>
        <w:tc>
          <w:tcPr>
            <w:tcW w:w="5840" w:type="dxa"/>
            <w:tcBorders/>
            <w:shd w:fill="FFFFFF" w:val="clear"/>
            <w:vAlign w:val="bottom"/>
          </w:tcPr>
          <w:p>
            <w:pPr>
              <w:pStyle w:val="TableContents"/>
              <w:spacing w:before="0" w:after="283"/>
              <w:ind w:left="180" w:right="0" w:hanging="180"/>
              <w:rPr>
                <w:rFonts w:ascii="arial" w:hAnsi="arial"/>
                <w:sz w:val="20"/>
              </w:rPr>
            </w:pPr>
            <w:r>
              <w:rPr>
                <w:rFonts w:ascii="arial" w:hAnsi="arial"/>
                <w:sz w:val="20"/>
              </w:rPr>
              <w:t>Joseph L. Morettini</w:t>
            </w:r>
            <w:r>
              <w:rPr>
                <w:rFonts w:ascii="arial" w:hAnsi="arial"/>
                <w:position w:val="7"/>
                <w:sz w:val="16"/>
                <w:sz w:val="20"/>
              </w:rPr>
              <w:t>(4)</w:t>
            </w:r>
          </w:p>
        </w:tc>
        <w:tc>
          <w:tcPr>
            <w:tcW w:w="23" w:type="dxa"/>
            <w:tcBorders/>
            <w:shd w:fill="FFFFFF" w:val="clear"/>
            <w:vAlign w:val="bottom"/>
          </w:tcPr>
          <w:p>
            <w:pPr>
              <w:pStyle w:val="TableContents"/>
              <w:spacing w:before="0" w:after="283"/>
              <w:rPr/>
            </w:pPr>
            <w:r>
              <w:rPr/>
              <w:t>​</w:t>
            </w:r>
          </w:p>
        </w:tc>
        <w:tc>
          <w:tcPr>
            <w:tcW w:w="300" w:type="dxa"/>
            <w:tcBorders/>
            <w:shd w:fill="FFFFFF" w:val="clear"/>
            <w:vAlign w:val="bottom"/>
          </w:tcPr>
          <w:p>
            <w:pPr>
              <w:pStyle w:val="TableContents"/>
              <w:spacing w:before="0" w:after="283"/>
              <w:rPr/>
            </w:pPr>
            <w:r>
              <w:rPr/>
              <w:t>​</w:t>
            </w:r>
          </w:p>
        </w:tc>
        <w:tc>
          <w:tcPr>
            <w:tcW w:w="710" w:type="dxa"/>
            <w:gridSpan w:val="2"/>
            <w:tcBorders/>
            <w:shd w:fill="FFFFFF" w:val="clear"/>
            <w:vAlign w:val="bottom"/>
          </w:tcPr>
          <w:p>
            <w:pPr>
              <w:pStyle w:val="TableContents"/>
              <w:spacing w:before="0" w:after="283"/>
              <w:jc w:val="right"/>
              <w:rPr>
                <w:rFonts w:ascii="arial" w:hAnsi="arial"/>
                <w:sz w:val="20"/>
              </w:rPr>
            </w:pPr>
            <w:r>
              <w:rPr>
                <w:rFonts w:ascii="arial" w:hAnsi="arial"/>
                <w:sz w:val="20"/>
              </w:rPr>
              <w:t>$71,050</w:t>
            </w:r>
          </w:p>
        </w:tc>
        <w:tc>
          <w:tcPr>
            <w:tcW w:w="23" w:type="dxa"/>
            <w:tcBorders/>
            <w:shd w:fill="FFFFFF" w:val="clear"/>
            <w:vAlign w:val="bottom"/>
          </w:tcPr>
          <w:p>
            <w:pPr>
              <w:pStyle w:val="TableContents"/>
              <w:spacing w:before="0" w:after="283"/>
              <w:rPr/>
            </w:pPr>
            <w:r>
              <w:rPr/>
              <w:t>​</w:t>
            </w:r>
          </w:p>
        </w:tc>
        <w:tc>
          <w:tcPr>
            <w:tcW w:w="23" w:type="dxa"/>
            <w:tcBorders/>
            <w:shd w:fill="FFFFFF" w:val="clear"/>
            <w:vAlign w:val="bottom"/>
          </w:tcPr>
          <w:p>
            <w:pPr>
              <w:pStyle w:val="TableContents"/>
              <w:spacing w:before="0" w:after="283"/>
              <w:rPr/>
            </w:pPr>
            <w:r>
              <w:rPr/>
              <w:t>​</w:t>
            </w:r>
          </w:p>
        </w:tc>
        <w:tc>
          <w:tcPr>
            <w:tcW w:w="240" w:type="dxa"/>
            <w:tcBorders/>
            <w:shd w:fill="FFFFFF" w:val="clear"/>
            <w:vAlign w:val="bottom"/>
          </w:tcPr>
          <w:p>
            <w:pPr>
              <w:pStyle w:val="TableContents"/>
              <w:spacing w:before="0" w:after="283"/>
              <w:rPr/>
            </w:pPr>
            <w:r>
              <w:rPr/>
              <w:t>​</w:t>
            </w:r>
          </w:p>
        </w:tc>
        <w:tc>
          <w:tcPr>
            <w:tcW w:w="711" w:type="dxa"/>
            <w:gridSpan w:val="2"/>
            <w:tcBorders/>
            <w:shd w:fill="FFFFFF" w:val="clear"/>
            <w:vAlign w:val="bottom"/>
          </w:tcPr>
          <w:p>
            <w:pPr>
              <w:pStyle w:val="TableContents"/>
              <w:spacing w:before="0" w:after="283"/>
              <w:jc w:val="right"/>
              <w:rPr>
                <w:rFonts w:ascii="arial" w:hAnsi="arial"/>
                <w:sz w:val="20"/>
              </w:rPr>
            </w:pPr>
            <w:r>
              <w:rPr>
                <w:rFonts w:ascii="arial" w:hAnsi="arial"/>
                <w:sz w:val="20"/>
              </w:rPr>
              <w:t>$47,451</w:t>
            </w:r>
          </w:p>
        </w:tc>
        <w:tc>
          <w:tcPr>
            <w:tcW w:w="80" w:type="dxa"/>
            <w:tcBorders/>
            <w:shd w:fill="FFFFFF" w:val="clear"/>
            <w:vAlign w:val="bottom"/>
          </w:tcPr>
          <w:p>
            <w:pPr>
              <w:pStyle w:val="TableContents"/>
              <w:spacing w:before="0" w:after="283"/>
              <w:rPr/>
            </w:pPr>
            <w:r>
              <w:rPr/>
              <w:t>​</w:t>
            </w:r>
          </w:p>
        </w:tc>
        <w:tc>
          <w:tcPr>
            <w:tcW w:w="23" w:type="dxa"/>
            <w:tcBorders/>
            <w:shd w:fill="FFFFFF" w:val="clear"/>
            <w:vAlign w:val="bottom"/>
          </w:tcPr>
          <w:p>
            <w:pPr>
              <w:pStyle w:val="TableContents"/>
              <w:spacing w:before="0" w:after="283"/>
              <w:rPr/>
            </w:pPr>
            <w:r>
              <w:rPr/>
              <w:t>​</w:t>
            </w:r>
          </w:p>
        </w:tc>
        <w:tc>
          <w:tcPr>
            <w:tcW w:w="342" w:type="dxa"/>
            <w:tcBorders/>
            <w:shd w:fill="FFFFFF" w:val="clear"/>
            <w:vAlign w:val="bottom"/>
          </w:tcPr>
          <w:p>
            <w:pPr>
              <w:pStyle w:val="TableContents"/>
              <w:spacing w:before="0" w:after="283"/>
              <w:rPr/>
            </w:pPr>
            <w:r>
              <w:rPr/>
              <w:t>​</w:t>
            </w:r>
          </w:p>
        </w:tc>
        <w:tc>
          <w:tcPr>
            <w:tcW w:w="684" w:type="dxa"/>
            <w:gridSpan w:val="2"/>
            <w:tcBorders/>
            <w:shd w:fill="FFFFFF" w:val="clear"/>
            <w:vAlign w:val="bottom"/>
          </w:tcPr>
          <w:p>
            <w:pPr>
              <w:pStyle w:val="TableContents"/>
              <w:spacing w:before="0" w:after="283"/>
              <w:jc w:val="center"/>
              <w:rPr>
                <w:rFonts w:ascii="arial" w:hAnsi="arial"/>
                <w:sz w:val="20"/>
              </w:rPr>
            </w:pPr>
            <w:r>
              <w:rPr>
                <w:rFonts w:ascii="arial" w:hAnsi="arial"/>
                <w:sz w:val="20"/>
              </w:rPr>
              <w:t>-</w:t>
            </w:r>
          </w:p>
        </w:tc>
        <w:tc>
          <w:tcPr>
            <w:tcW w:w="344" w:type="dxa"/>
            <w:tcBorders/>
            <w:shd w:fill="FFFFFF" w:val="clear"/>
            <w:vAlign w:val="bottom"/>
          </w:tcPr>
          <w:p>
            <w:pPr>
              <w:pStyle w:val="TableContents"/>
              <w:spacing w:before="0" w:after="283"/>
              <w:rPr/>
            </w:pPr>
            <w:r>
              <w:rPr/>
              <w:t>​</w:t>
            </w:r>
          </w:p>
        </w:tc>
        <w:tc>
          <w:tcPr>
            <w:tcW w:w="23" w:type="dxa"/>
            <w:tcBorders/>
            <w:shd w:fill="FFFFFF" w:val="clear"/>
            <w:vAlign w:val="bottom"/>
          </w:tcPr>
          <w:p>
            <w:pPr>
              <w:pStyle w:val="TableContents"/>
              <w:spacing w:before="0" w:after="283"/>
              <w:rPr/>
            </w:pPr>
            <w:r>
              <w:rPr/>
              <w:t>​</w:t>
            </w:r>
          </w:p>
        </w:tc>
        <w:tc>
          <w:tcPr>
            <w:tcW w:w="815" w:type="dxa"/>
            <w:gridSpan w:val="2"/>
            <w:tcBorders/>
            <w:shd w:fill="FFFFFF" w:val="clear"/>
            <w:vAlign w:val="bottom"/>
          </w:tcPr>
          <w:p>
            <w:pPr>
              <w:pStyle w:val="TableContents"/>
              <w:spacing w:before="0" w:after="283"/>
              <w:jc w:val="right"/>
              <w:rPr>
                <w:rFonts w:ascii="arial" w:hAnsi="arial"/>
                <w:sz w:val="20"/>
              </w:rPr>
            </w:pPr>
            <w:r>
              <w:rPr>
                <w:rFonts w:ascii="arial" w:hAnsi="arial"/>
                <w:sz w:val="20"/>
              </w:rPr>
              <w:t>$118,501</w:t>
            </w:r>
          </w:p>
        </w:tc>
        <w:tc>
          <w:tcPr>
            <w:tcW w:w="24" w:type="dxa"/>
            <w:tcBorders/>
            <w:shd w:fill="FFFFFF" w:val="clear"/>
            <w:vAlign w:val="bottom"/>
          </w:tcPr>
          <w:p>
            <w:pPr>
              <w:pStyle w:val="TableContents"/>
              <w:spacing w:before="0" w:after="283"/>
              <w:rPr/>
            </w:pPr>
            <w:r>
              <w:rPr/>
              <w:t>​</w:t>
            </w:r>
          </w:p>
        </w:tc>
      </w:tr>
      <w:tr>
        <w:trPr/>
        <w:tc>
          <w:tcPr>
            <w:tcW w:w="5840" w:type="dxa"/>
            <w:tcBorders/>
            <w:shd w:fill="CCEEFF" w:val="clear"/>
            <w:vAlign w:val="bottom"/>
          </w:tcPr>
          <w:p>
            <w:pPr>
              <w:pStyle w:val="TableContents"/>
              <w:spacing w:before="0" w:after="283"/>
              <w:ind w:left="180" w:right="0" w:hanging="180"/>
              <w:rPr>
                <w:rFonts w:ascii="arial" w:hAnsi="arial"/>
                <w:sz w:val="20"/>
              </w:rPr>
            </w:pPr>
            <w:r>
              <w:rPr>
                <w:rFonts w:ascii="arial" w:hAnsi="arial"/>
                <w:sz w:val="20"/>
              </w:rPr>
              <w:t>Roland Müller-Ineichen</w:t>
            </w:r>
            <w:r>
              <w:rPr>
                <w:rFonts w:ascii="arial" w:hAnsi="arial"/>
                <w:position w:val="7"/>
                <w:sz w:val="16"/>
                <w:sz w:val="20"/>
              </w:rPr>
              <w:t>(5)</w:t>
            </w:r>
          </w:p>
        </w:tc>
        <w:tc>
          <w:tcPr>
            <w:tcW w:w="23" w:type="dxa"/>
            <w:tcBorders/>
            <w:shd w:fill="CCEEFF" w:val="clear"/>
            <w:vAlign w:val="bottom"/>
          </w:tcPr>
          <w:p>
            <w:pPr>
              <w:pStyle w:val="TableContents"/>
              <w:spacing w:before="0" w:after="283"/>
              <w:rPr/>
            </w:pPr>
            <w:r>
              <w:rPr/>
              <w:t>​</w:t>
            </w:r>
          </w:p>
        </w:tc>
        <w:tc>
          <w:tcPr>
            <w:tcW w:w="300" w:type="dxa"/>
            <w:tcBorders/>
            <w:shd w:fill="CCEEFF" w:val="clear"/>
            <w:vAlign w:val="bottom"/>
          </w:tcPr>
          <w:p>
            <w:pPr>
              <w:pStyle w:val="TableContents"/>
              <w:spacing w:before="0" w:after="283"/>
              <w:rPr/>
            </w:pPr>
            <w:r>
              <w:rPr/>
              <w:t>​</w:t>
            </w:r>
          </w:p>
        </w:tc>
        <w:tc>
          <w:tcPr>
            <w:tcW w:w="710"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$71,050</w:t>
            </w:r>
          </w:p>
        </w:tc>
        <w:tc>
          <w:tcPr>
            <w:tcW w:w="23" w:type="dxa"/>
            <w:tcBorders/>
            <w:shd w:fill="CCEEFF" w:val="clear"/>
            <w:vAlign w:val="bottom"/>
          </w:tcPr>
          <w:p>
            <w:pPr>
              <w:pStyle w:val="TableContents"/>
              <w:spacing w:before="0" w:after="283"/>
              <w:rPr/>
            </w:pPr>
            <w:r>
              <w:rPr/>
              <w:t>​</w:t>
            </w:r>
          </w:p>
        </w:tc>
        <w:tc>
          <w:tcPr>
            <w:tcW w:w="23" w:type="dxa"/>
            <w:tcBorders/>
            <w:shd w:fill="CCEEFF" w:val="clear"/>
            <w:vAlign w:val="bottom"/>
          </w:tcPr>
          <w:p>
            <w:pPr>
              <w:pStyle w:val="TableContents"/>
              <w:spacing w:before="0" w:after="283"/>
              <w:rPr/>
            </w:pPr>
            <w:r>
              <w:rPr/>
              <w:t>​</w:t>
            </w:r>
          </w:p>
        </w:tc>
        <w:tc>
          <w:tcPr>
            <w:tcW w:w="240" w:type="dxa"/>
            <w:tcBorders/>
            <w:shd w:fill="CCEEFF" w:val="clear"/>
            <w:vAlign w:val="bottom"/>
          </w:tcPr>
          <w:p>
            <w:pPr>
              <w:pStyle w:val="TableContents"/>
              <w:spacing w:before="0" w:after="283"/>
              <w:rPr/>
            </w:pPr>
            <w:r>
              <w:rPr/>
              <w:t>​</w:t>
            </w:r>
          </w:p>
        </w:tc>
        <w:tc>
          <w:tcPr>
            <w:tcW w:w="711"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$46,371</w:t>
            </w:r>
          </w:p>
        </w:tc>
        <w:tc>
          <w:tcPr>
            <w:tcW w:w="80" w:type="dxa"/>
            <w:tcBorders/>
            <w:shd w:fill="CCEEFF" w:val="clear"/>
            <w:vAlign w:val="bottom"/>
          </w:tcPr>
          <w:p>
            <w:pPr>
              <w:pStyle w:val="TableContents"/>
              <w:spacing w:before="0" w:after="283"/>
              <w:rPr/>
            </w:pPr>
            <w:r>
              <w:rPr/>
              <w:t>​</w:t>
            </w:r>
          </w:p>
        </w:tc>
        <w:tc>
          <w:tcPr>
            <w:tcW w:w="23" w:type="dxa"/>
            <w:tcBorders/>
            <w:shd w:fill="CCEEFF" w:val="clear"/>
            <w:vAlign w:val="bottom"/>
          </w:tcPr>
          <w:p>
            <w:pPr>
              <w:pStyle w:val="TableContents"/>
              <w:spacing w:before="0" w:after="283"/>
              <w:rPr/>
            </w:pPr>
            <w:r>
              <w:rPr/>
              <w:t>​</w:t>
            </w:r>
          </w:p>
        </w:tc>
        <w:tc>
          <w:tcPr>
            <w:tcW w:w="342" w:type="dxa"/>
            <w:tcBorders/>
            <w:shd w:fill="CCEEFF" w:val="clear"/>
            <w:vAlign w:val="bottom"/>
          </w:tcPr>
          <w:p>
            <w:pPr>
              <w:pStyle w:val="TableContents"/>
              <w:spacing w:before="0" w:after="283"/>
              <w:rPr/>
            </w:pPr>
            <w:r>
              <w:rPr/>
              <w:t>​</w:t>
            </w:r>
          </w:p>
        </w:tc>
        <w:tc>
          <w:tcPr>
            <w:tcW w:w="684" w:type="dxa"/>
            <w:gridSpan w:val="2"/>
            <w:tcBorders/>
            <w:shd w:fill="CCEEFF" w:val="clear"/>
            <w:vAlign w:val="bottom"/>
          </w:tcPr>
          <w:p>
            <w:pPr>
              <w:pStyle w:val="TableContents"/>
              <w:spacing w:before="0" w:after="283"/>
              <w:jc w:val="center"/>
              <w:rPr>
                <w:rFonts w:ascii="arial" w:hAnsi="arial"/>
                <w:sz w:val="20"/>
              </w:rPr>
            </w:pPr>
            <w:r>
              <w:rPr>
                <w:rFonts w:ascii="arial" w:hAnsi="arial"/>
                <w:sz w:val="20"/>
              </w:rPr>
              <w:t>-</w:t>
            </w:r>
          </w:p>
        </w:tc>
        <w:tc>
          <w:tcPr>
            <w:tcW w:w="344" w:type="dxa"/>
            <w:tcBorders/>
            <w:shd w:fill="CCEEFF" w:val="clear"/>
            <w:vAlign w:val="bottom"/>
          </w:tcPr>
          <w:p>
            <w:pPr>
              <w:pStyle w:val="TableContents"/>
              <w:spacing w:before="0" w:after="283"/>
              <w:rPr/>
            </w:pPr>
            <w:r>
              <w:rPr/>
              <w:t>​</w:t>
            </w:r>
          </w:p>
        </w:tc>
        <w:tc>
          <w:tcPr>
            <w:tcW w:w="23" w:type="dxa"/>
            <w:tcBorders/>
            <w:shd w:fill="CCEEFF" w:val="clear"/>
            <w:vAlign w:val="bottom"/>
          </w:tcPr>
          <w:p>
            <w:pPr>
              <w:pStyle w:val="TableContents"/>
              <w:spacing w:before="0" w:after="283"/>
              <w:rPr/>
            </w:pPr>
            <w:r>
              <w:rPr/>
              <w:t>​</w:t>
            </w:r>
          </w:p>
        </w:tc>
        <w:tc>
          <w:tcPr>
            <w:tcW w:w="815"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$117,421</w:t>
            </w:r>
          </w:p>
        </w:tc>
        <w:tc>
          <w:tcPr>
            <w:tcW w:w="24" w:type="dxa"/>
            <w:tcBorders/>
            <w:shd w:fill="CCEEFF" w:val="clear"/>
            <w:vAlign w:val="bottom"/>
          </w:tcPr>
          <w:p>
            <w:pPr>
              <w:pStyle w:val="TableContents"/>
              <w:spacing w:before="0" w:after="283"/>
              <w:rPr/>
            </w:pPr>
            <w:r>
              <w:rPr/>
              <w:t>​</w:t>
            </w:r>
          </w:p>
        </w:tc>
      </w:tr>
    </w:tbl>
    <w:p>
      <w:pPr>
        <w:pStyle w:val="ListHeading"/>
        <w:spacing w:before="0" w:after="0"/>
        <w:jc w:val="left"/>
        <w:rPr>
          <w:rFonts w:ascii="arial" w:hAnsi="arial"/>
          <w:position w:val="7"/>
          <w:sz w:val="16"/>
          <w:sz w:val="20"/>
        </w:rPr>
      </w:pPr>
      <w:r>
        <w:rPr>
          <w:rFonts w:ascii="arial" w:hAnsi="arial"/>
          <w:position w:val="7"/>
          <w:sz w:val="16"/>
          <w:sz w:val="20"/>
        </w:rPr>
        <w:t>(1)</w:t>
      </w:r>
    </w:p>
    <w:p>
      <w:pPr>
        <w:pStyle w:val="ListContents"/>
        <w:spacing w:before="0" w:after="283"/>
        <w:jc w:val="left"/>
        <w:rPr>
          <w:rFonts w:ascii="arial" w:hAnsi="arial"/>
          <w:sz w:val="20"/>
        </w:rPr>
      </w:pPr>
      <w:r>
        <w:rPr>
          <w:rFonts w:ascii="arial" w:hAnsi="arial"/>
          <w:sz w:val="20"/>
        </w:rPr>
        <w:t xml:space="preserve">Cash compensation for our non-management directors is established on a "service year" basis running from one annual meeting of shareholders to the next annual meeting of shareholders, and is paid in equal installments at the end of each quarter during which the non-management director served as a member of our Board of Directors. Director compensation may be prorated for a Director serving less than a full one (1) year term, as in the case of a Director joining the Board of Directors after an annual meeting of shareholders but during the service year. This table shows the amounts earned for service in 2020, including amounts earned for service in the fourth quarter of 2020 and paid in the first quarter of 2021. </w:t>
      </w:r>
    </w:p>
    <w:p>
      <w:pPr>
        <w:pStyle w:val="ListHeading"/>
        <w:spacing w:before="0" w:after="0"/>
        <w:jc w:val="left"/>
        <w:rPr>
          <w:rFonts w:ascii="arial" w:hAnsi="arial"/>
          <w:position w:val="7"/>
          <w:sz w:val="16"/>
          <w:sz w:val="20"/>
        </w:rPr>
      </w:pPr>
      <w:r>
        <w:rPr>
          <w:rFonts w:ascii="arial" w:hAnsi="arial"/>
          <w:position w:val="7"/>
          <w:sz w:val="16"/>
          <w:sz w:val="20"/>
        </w:rPr>
        <w:t>(2)</w:t>
      </w:r>
    </w:p>
    <w:p>
      <w:pPr>
        <w:pStyle w:val="ListContents"/>
        <w:spacing w:before="0" w:after="283"/>
        <w:jc w:val="left"/>
        <w:rPr>
          <w:rFonts w:ascii="arial" w:hAnsi="arial"/>
          <w:sz w:val="20"/>
        </w:rPr>
      </w:pPr>
      <w:r>
        <w:rPr>
          <w:rFonts w:ascii="arial" w:hAnsi="arial"/>
          <w:sz w:val="20"/>
        </w:rPr>
        <w:t xml:space="preserve">Non-management Directors who attended at least seventy-five percent (75%) of all meetings of the Board of Directors and Committees on which they served for the 2019 to 2020 service year were entitled to receive an award of Altisource common stock at the end of such service year. The number of shares of common stock was determined by dividing $120,000 by the average of the high and low prices of the common stock as reported on the Nasdaq Global Select Market on the first day of the service year. This table shows the aggregate award date fair value of such shares on the date awarded in May 2020. </w:t>
      </w:r>
    </w:p>
    <w:p>
      <w:pPr>
        <w:pStyle w:val="ListHeading"/>
        <w:spacing w:before="0" w:after="0"/>
        <w:jc w:val="left"/>
        <w:rPr>
          <w:rFonts w:ascii="arial" w:hAnsi="arial"/>
          <w:position w:val="7"/>
          <w:sz w:val="16"/>
          <w:sz w:val="20"/>
        </w:rPr>
      </w:pPr>
      <w:r>
        <w:rPr>
          <w:rFonts w:ascii="arial" w:hAnsi="arial"/>
          <w:position w:val="7"/>
          <w:sz w:val="16"/>
          <w:sz w:val="20"/>
        </w:rPr>
        <w:t>(3)</w:t>
      </w:r>
    </w:p>
    <w:p>
      <w:pPr>
        <w:pStyle w:val="ListContents"/>
        <w:spacing w:before="0" w:after="283"/>
        <w:jc w:val="left"/>
        <w:rPr>
          <w:rFonts w:ascii="arial" w:hAnsi="arial"/>
          <w:sz w:val="20"/>
        </w:rPr>
      </w:pPr>
      <w:r>
        <w:rPr>
          <w:rFonts w:ascii="arial" w:hAnsi="arial"/>
          <w:sz w:val="20"/>
        </w:rPr>
        <w:t xml:space="preserve">On the date of his initial election to our Board of Directors, Mr. Burg received a one-time grant of 500 shares of common stock. This award vests in four (4) equal installments beginning on the date of the 2019 </w:t>
      </w:r>
    </w:p>
    <w:p>
      <w:pPr>
        <w:pStyle w:val="TextBody"/>
        <w:jc w:val="center"/>
        <w:rPr>
          <w:rFonts w:ascii="arial" w:hAnsi="arial"/>
          <w:sz w:val="20"/>
        </w:rPr>
      </w:pPr>
      <w:r>
        <w:rPr>
          <w:rFonts w:ascii="arial" w:hAnsi="arial"/>
          <w:sz w:val="20"/>
        </w:rPr>
        <w:t>26</w:t>
      </w:r>
    </w:p>
    <w:p>
      <w:pPr>
        <w:pStyle w:val="HorizontalLine"/>
        <w:pBdr>
          <w:bottom w:val="single" w:sz="20" w:space="0" w:color="808080"/>
        </w:pBdr>
        <w:rPr/>
      </w:pPr>
      <w:r>
        <w:rPr/>
      </w:r>
      <w:r>
        <w:br w:type="page"/>
      </w:r>
    </w:p>
    <w:p>
      <w:pPr>
        <w:pStyle w:val="TextBody"/>
        <w:rPr/>
      </w:pPr>
      <w:hyperlink w:anchor="bg45301a_main_toc">
        <w:bookmarkStart w:id="56" w:name="page_di45301_1_27"/>
        <w:bookmarkEnd w:id="56"/>
        <w:r>
          <w:rPr>
            <w:rStyle w:val="InternetLink"/>
            <w:rFonts w:ascii="arial" w:hAnsi="arial"/>
            <w:sz w:val="20"/>
          </w:rPr>
          <w:t>Table of Contents</w:t>
        </w:r>
      </w:hyperlink>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3367"/>
        <w:gridCol w:w="101"/>
        <w:gridCol w:w="6737"/>
      </w:tblGrid>
      <w:tr>
        <w:trPr/>
        <w:tc>
          <w:tcPr>
            <w:tcW w:w="3367" w:type="dxa"/>
            <w:tcBorders/>
            <w:shd w:fill="auto" w:val="clear"/>
            <w:vAlign w:val="center"/>
          </w:tcPr>
          <w:p>
            <w:pPr>
              <w:pStyle w:val="TableContents"/>
              <w:spacing w:before="0" w:after="283"/>
              <w:rPr/>
            </w:pPr>
            <w:r>
              <w:rPr/>
              <w:commentReference w:id="80"/>
            </w:r>
            <w:r>
              <w:rPr/>
              <w:commentReference w:id="81"/>
            </w:r>
            <w:r>
              <w:rPr/>
              <w:commentReference w:id="82"/>
            </w:r>
            <w:r>
              <w:rPr/>
              <w:t>​</w:t>
            </w:r>
          </w:p>
        </w:tc>
        <w:tc>
          <w:tcPr>
            <w:tcW w:w="101" w:type="dxa"/>
            <w:tcBorders/>
            <w:shd w:fill="auto" w:val="clear"/>
            <w:vAlign w:val="center"/>
          </w:tcPr>
          <w:p>
            <w:pPr>
              <w:pStyle w:val="TableContents"/>
              <w:spacing w:before="0" w:after="283"/>
              <w:rPr/>
            </w:pPr>
            <w:r>
              <w:rPr/>
              <w:t>​</w:t>
            </w:r>
          </w:p>
        </w:tc>
        <w:tc>
          <w:tcPr>
            <w:tcW w:w="6737" w:type="dxa"/>
            <w:tcBorders/>
            <w:shd w:fill="auto" w:val="clear"/>
            <w:vAlign w:val="center"/>
          </w:tcPr>
          <w:p>
            <w:pPr>
              <w:pStyle w:val="TableContents"/>
              <w:spacing w:before="0" w:after="283"/>
              <w:rPr/>
            </w:pPr>
            <w:r>
              <w:rPr/>
              <w:t>​</w:t>
            </w:r>
            <w:r>
              <w:rPr>
                <w:rFonts w:eastAsia="arial" w:cs="arial" w:ascii="arial" w:hAnsi="arial"/>
              </w:rPr>
              <w:commentReference w:id="83"/>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drawing>
                <wp:inline distT="0" distB="0" distL="0" distR="0">
                  <wp:extent cx="2667000" cy="1809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2667000" cy="180975"/>
                          </a:xfrm>
                          <a:prstGeom prst="rect">
                            <a:avLst/>
                          </a:prstGeom>
                        </pic:spPr>
                      </pic:pic>
                    </a:graphicData>
                  </a:graphic>
                </wp:inline>
              </w:drawing>
            </w:r>
            <w:r>
              <w:rPr/>
              <w:t xml:space="preserve"> </w:t>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t> </w:t>
            </w:r>
          </w:p>
        </w:tc>
      </w:tr>
    </w:tbl>
    <w:p>
      <w:pPr>
        <w:pStyle w:val="TextBody"/>
        <w:rPr/>
      </w:pPr>
      <w:r>
        <w:rPr>
          <w:color w:val="000000"/>
        </w:rPr>
        <w:commentReference w:id="84"/>
      </w:r>
      <w:r>
        <w:rPr>
          <w:color w:val="000000"/>
        </w:rPr>
        <w:t>​</w:t>
      </w:r>
      <w:r>
        <w:rPr/>
        <w:t xml:space="preserve"> </w:t>
      </w:r>
    </w:p>
    <w:p>
      <w:pPr>
        <w:pStyle w:val="TextBody"/>
        <w:numPr>
          <w:ilvl w:val="0"/>
          <w:numId w:val="0"/>
        </w:numPr>
        <w:ind w:left="707" w:hanging="0"/>
        <w:jc w:val="left"/>
        <w:rPr>
          <w:rFonts w:ascii="arial" w:hAnsi="arial"/>
          <w:sz w:val="20"/>
        </w:rPr>
      </w:pPr>
      <w:r>
        <w:rPr>
          <w:rFonts w:ascii="arial" w:hAnsi="arial"/>
          <w:sz w:val="20"/>
        </w:rPr>
        <w:t xml:space="preserve">annual meeting of shareholders and the final two installments vesting on the dates of the 2021 and 2022 annual meetings of shareholders, subject to Mr. Burg's continued service on the Board. All cash compensation related to Mr. Burg's service as a Director is paid to STS Master Fund, Ltd. </w:t>
      </w:r>
    </w:p>
    <w:p>
      <w:pPr>
        <w:pStyle w:val="ListHeading"/>
        <w:spacing w:before="0" w:after="0"/>
        <w:jc w:val="left"/>
        <w:rPr>
          <w:rFonts w:ascii="arial" w:hAnsi="arial"/>
          <w:position w:val="7"/>
          <w:sz w:val="16"/>
          <w:sz w:val="20"/>
        </w:rPr>
      </w:pPr>
      <w:r>
        <w:rPr>
          <w:rFonts w:ascii="arial" w:hAnsi="arial"/>
          <w:position w:val="7"/>
          <w:sz w:val="16"/>
          <w:sz w:val="20"/>
        </w:rPr>
        <w:t>(4)</w:t>
      </w:r>
    </w:p>
    <w:p>
      <w:pPr>
        <w:pStyle w:val="ListContents"/>
        <w:spacing w:before="0" w:after="283"/>
        <w:jc w:val="left"/>
        <w:rPr>
          <w:rFonts w:ascii="arial" w:hAnsi="arial"/>
          <w:sz w:val="20"/>
        </w:rPr>
      </w:pPr>
      <w:r>
        <w:rPr>
          <w:rFonts w:ascii="arial" w:hAnsi="arial"/>
          <w:sz w:val="20"/>
        </w:rPr>
        <w:t xml:space="preserve">On the date of his initial election to our Board of Directors, Mr. Morettini received a one-time grant of 500 shares of common stock. This award vests in four (4) equal installments beginning on the date of the 2018 annual meeting of shareholders and the final installment vesting on the date of the 2021 annual meeting of shareholders, subject to Mr. Morettini's continued service on the Board. </w:t>
      </w:r>
    </w:p>
    <w:p>
      <w:pPr>
        <w:pStyle w:val="ListHeading"/>
        <w:spacing w:before="0" w:after="0"/>
        <w:jc w:val="left"/>
        <w:rPr>
          <w:rFonts w:ascii="arial" w:hAnsi="arial"/>
          <w:position w:val="7"/>
          <w:sz w:val="16"/>
          <w:sz w:val="20"/>
        </w:rPr>
      </w:pPr>
      <w:r>
        <w:rPr>
          <w:rFonts w:ascii="arial" w:hAnsi="arial"/>
          <w:position w:val="7"/>
          <w:sz w:val="16"/>
          <w:sz w:val="20"/>
        </w:rPr>
        <w:t>(5)</w:t>
      </w:r>
    </w:p>
    <w:p>
      <w:pPr>
        <w:pStyle w:val="ListContents"/>
        <w:spacing w:before="0" w:after="283"/>
        <w:jc w:val="left"/>
        <w:rPr>
          <w:rFonts w:ascii="arial" w:hAnsi="arial"/>
          <w:sz w:val="20"/>
        </w:rPr>
      </w:pPr>
      <w:r>
        <w:rPr>
          <w:rFonts w:ascii="arial" w:hAnsi="arial"/>
          <w:sz w:val="20"/>
        </w:rPr>
        <w:t xml:space="preserve">At Mr. Müller-Ineichen's election, his cash compensation was paid in euros for the first three quarters and Swiss francs for the fourth quarter using the following exchange rates that were in effect on the 15th day of the last month of the quarter for which the payment was made: for the first quarter, an exchange rate of 0.89940 euros to the U.S. dollar; for the second quarter, an exchange rate of 0.88693 euros to the U.S. dollar; for the third quarter, an exchange rate of 0.84246 euros to the U.S. dollar and for the fourth quarter, an exchange rate of 0.82281 Swiss francs to the U.S. dollar. The cash amounts reported herein are the U.S. dollar amounts prior to conversion to euros or Swiss francs. </w:t>
      </w:r>
    </w:p>
    <w:p>
      <w:pPr>
        <w:pStyle w:val="TextBody"/>
        <w:ind w:left="220" w:right="0" w:hanging="220"/>
        <w:rPr>
          <w:rFonts w:ascii="arial" w:hAnsi="arial"/>
          <w:b/>
          <w:sz w:val="20"/>
        </w:rPr>
      </w:pPr>
      <w:r>
        <w:rPr>
          <w:rFonts w:ascii="arial" w:hAnsi="arial"/>
          <w:b/>
          <w:sz w:val="20"/>
        </w:rPr>
        <w:t xml:space="preserve">Minimum Stock Ownership Requirements </w:t>
      </w:r>
    </w:p>
    <w:p>
      <w:pPr>
        <w:pStyle w:val="TextBody"/>
        <w:rPr>
          <w:rFonts w:ascii="arial" w:hAnsi="arial"/>
          <w:sz w:val="20"/>
        </w:rPr>
      </w:pPr>
      <w:r>
        <w:rPr>
          <w:rFonts w:ascii="arial" w:hAnsi="arial"/>
          <w:sz w:val="20"/>
        </w:rPr>
        <w:t xml:space="preserve">To further align our non-management Directors' interests with those of our shareholders, our Board of Directors has adopted minimum stock ownership requirements for non-management Directors. Pursuant to these ownership requirements, each non-management Director is required to attain and maintain stock ownership at a level equal to three times his or her annual cash retainer. The minimum number of shares is determined as of the latter of (i) the date of such person's initial election as a non-management director or (ii) the date when such person first became subject to this policy, if elected prior to the policy's adoption. Each non-management Director has two years from the effective date of his or her initial election or from the date on which he or she first becomes subject to the policy, whichever is later, to comply with these requirements. The minimum stock ownership level will not change as a result of fluctuations in the market price of the Company's common stock. Incremental increases in the level of required stock ownership will be determined as of the effective date of any increase in the annual cash retainer paid to non-management Directors. Each of our Directors currently meets the applicable minimum stock ownership requirements. For information regarding the minimum stock ownership requirements applicable to our Chief Executive Officer, please see "Minimum Stock Ownership Requirement for the Chief Executive Officer" in our Compensation Discussion and Analysis. The minimum stock ownership requirements for our non-management Directors and our Chief Executive Officer are set forth in our Corporate Governance Guidelines, which are available on our website at </w:t>
      </w:r>
      <w:r>
        <w:rPr>
          <w:rFonts w:ascii="arial" w:hAnsi="arial"/>
          <w:sz w:val="20"/>
          <w:u w:val="single"/>
        </w:rPr>
        <w:t>www.altisource.com</w:t>
      </w:r>
      <w:r>
        <w:rPr>
          <w:rFonts w:ascii="arial" w:hAnsi="arial"/>
          <w:sz w:val="20"/>
        </w:rPr>
        <w:t xml:space="preserve">. </w:t>
      </w:r>
    </w:p>
    <w:p>
      <w:pPr>
        <w:pStyle w:val="TextBody"/>
        <w:jc w:val="center"/>
        <w:rPr>
          <w:rFonts w:ascii="arial" w:hAnsi="arial"/>
          <w:sz w:val="20"/>
        </w:rPr>
      </w:pPr>
      <w:r>
        <w:rPr>
          <w:rFonts w:ascii="arial" w:hAnsi="arial"/>
          <w:sz w:val="20"/>
        </w:rPr>
        <w:t>27</w:t>
      </w:r>
    </w:p>
    <w:p>
      <w:pPr>
        <w:pStyle w:val="HorizontalLine"/>
        <w:pBdr>
          <w:bottom w:val="single" w:sz="20" w:space="0" w:color="808080"/>
        </w:pBdr>
        <w:rPr/>
      </w:pPr>
      <w:r>
        <w:rPr/>
      </w:r>
      <w:r>
        <w:br w:type="page"/>
      </w:r>
    </w:p>
    <w:p>
      <w:pPr>
        <w:pStyle w:val="TextBody"/>
        <w:rPr/>
      </w:pPr>
      <w:hyperlink w:anchor="bg45301a_main_toc">
        <w:bookmarkStart w:id="57" w:name="page_dk45301_1_28"/>
        <w:bookmarkEnd w:id="57"/>
        <w:r>
          <w:rPr>
            <w:rStyle w:val="InternetLink"/>
            <w:rFonts w:ascii="arial" w:hAnsi="arial"/>
            <w:sz w:val="20"/>
          </w:rPr>
          <w:t>Table of Contents</w:t>
        </w:r>
      </w:hyperlink>
      <w:r>
        <w:rPr>
          <w:rFonts w:ascii="arial" w:hAnsi="arial"/>
          <w:sz w:val="20"/>
        </w:rPr>
        <w:t xml:space="preserve"> </w:t>
      </w:r>
    </w:p>
    <w:p>
      <w:pPr>
        <w:pStyle w:val="Normal"/>
        <w:spacing w:before="0" w:after="0"/>
        <w:ind w:left="0" w:right="0" w:hanging="0"/>
        <w:rPr>
          <w:sz w:val="4"/>
          <w:szCs w:val="4"/>
        </w:rPr>
      </w:pPr>
      <w:r>
        <w:rPr>
          <w:sz w:val="4"/>
          <w:szCs w:val="4"/>
        </w:rPr>
      </w:r>
      <w:bookmarkStart w:id="58" w:name="toc_dk45301_1"/>
      <w:bookmarkStart w:id="59" w:name="dk45301_executive_officers_who_are_not_d"/>
      <w:bookmarkStart w:id="60" w:name="toc_dk45301_1"/>
      <w:bookmarkStart w:id="61" w:name="dk45301_executive_officers_who_are_not_d"/>
      <w:bookmarkEnd w:id="60"/>
      <w:bookmarkEnd w:id="61"/>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8" w:space="0" w:color="000000"/>
            </w:tcBorders>
            <w:shd w:fill="auto" w:val="clear"/>
            <w:vAlign w:val="center"/>
          </w:tcPr>
          <w:p>
            <w:pPr>
              <w:pStyle w:val="TableContents"/>
              <w:spacing w:before="0" w:after="0"/>
              <w:ind w:left="0" w:right="0" w:hanging="0"/>
              <w:jc w:val="left"/>
              <w:rPr>
                <w:rFonts w:ascii="arial" w:hAnsi="arial"/>
                <w:b/>
                <w:sz w:val="24"/>
              </w:rPr>
            </w:pPr>
            <w:r>
              <w:rPr>
                <w:rFonts w:ascii="arial" w:hAnsi="arial"/>
                <w:b/>
                <w:sz w:val="24"/>
              </w:rPr>
              <w:t xml:space="preserve">Executive Officers Who Are Not Directors </w:t>
            </w:r>
          </w:p>
        </w:tc>
      </w:tr>
    </w:tbl>
    <w:p>
      <w:pPr>
        <w:pStyle w:val="TextBody"/>
        <w:rPr>
          <w:rFonts w:ascii="arial" w:hAnsi="arial"/>
          <w:sz w:val="20"/>
        </w:rPr>
      </w:pPr>
      <w:r>
        <w:rPr>
          <w:rFonts w:ascii="arial" w:hAnsi="arial"/>
          <w:sz w:val="20"/>
        </w:rPr>
        <w:t xml:space="preserve">The following table sets forth certain information with respect to each person who served as one of our executive officers in 2020 but did not serve on our Board of Directors. Our executive officers are determined annually by our Board of Directors and generally serve at the discretion of our Board of Directors. None of our Directors or executive officers is related to any other Director or executive officer of Altisource by blood, marriage or adoption. </w:t>
      </w:r>
    </w:p>
    <w:tbl>
      <w:tblPr>
        <w:tblW w:w="5000" w:type="pct"/>
        <w:jc w:val="center"/>
        <w:tblInd w:w="0" w:type="dxa"/>
        <w:tblCellMar>
          <w:top w:w="0" w:type="dxa"/>
          <w:left w:w="0" w:type="dxa"/>
          <w:bottom w:w="0" w:type="dxa"/>
          <w:right w:w="0" w:type="dxa"/>
        </w:tblCellMar>
      </w:tblPr>
      <w:tblGrid>
        <w:gridCol w:w="8443"/>
        <w:gridCol w:w="23"/>
        <w:gridCol w:w="110"/>
        <w:gridCol w:w="120"/>
        <w:gridCol w:w="110"/>
        <w:gridCol w:w="110"/>
        <w:gridCol w:w="23"/>
        <w:gridCol w:w="1266"/>
      </w:tblGrid>
      <w:tr>
        <w:trPr/>
        <w:tc>
          <w:tcPr>
            <w:tcW w:w="844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266" w:type="dxa"/>
            <w:tcBorders/>
            <w:shd w:fill="auto" w:val="clear"/>
            <w:vAlign w:val="center"/>
          </w:tcPr>
          <w:p>
            <w:pPr>
              <w:pStyle w:val="TableContents"/>
              <w:spacing w:before="0" w:after="283"/>
              <w:rPr>
                <w:sz w:val="4"/>
                <w:szCs w:val="4"/>
              </w:rPr>
            </w:pPr>
            <w:r>
              <w:rPr>
                <w:sz w:val="4"/>
                <w:szCs w:val="4"/>
              </w:rPr>
            </w:r>
          </w:p>
        </w:tc>
      </w:tr>
      <w:tr>
        <w:trPr/>
        <w:tc>
          <w:tcPr>
            <w:tcW w:w="8443" w:type="dxa"/>
            <w:tcBorders>
              <w:bottom w:val="single" w:sz="8" w:space="0" w:color="000000"/>
            </w:tcBorders>
            <w:shd w:fill="auto" w:val="clear"/>
            <w:tcMar>
              <w:bottom w:w="28" w:type="dxa"/>
            </w:tcMar>
            <w:vAlign w:val="bottom"/>
          </w:tcPr>
          <w:p>
            <w:pPr>
              <w:pStyle w:val="TableHeading"/>
              <w:spacing w:before="0" w:after="283"/>
              <w:jc w:val="center"/>
              <w:rPr>
                <w:rFonts w:ascii="arial" w:hAnsi="arial"/>
                <w:b/>
                <w:sz w:val="20"/>
              </w:rPr>
            </w:pPr>
            <w:r>
              <w:rPr>
                <w:rFonts w:ascii="arial" w:hAnsi="arial"/>
                <w:b/>
                <w:sz w:val="20"/>
              </w:rPr>
              <w:t xml:space="preserve">Name </w:t>
            </w:r>
          </w:p>
        </w:tc>
        <w:tc>
          <w:tcPr>
            <w:tcW w:w="23" w:type="dxa"/>
            <w:tcBorders/>
            <w:shd w:fill="auto" w:val="clear"/>
            <w:vAlign w:val="bottom"/>
          </w:tcPr>
          <w:p>
            <w:pPr>
              <w:pStyle w:val="TableHeading"/>
              <w:suppressLineNumbers/>
              <w:spacing w:before="0" w:after="283"/>
              <w:jc w:val="center"/>
              <w:rPr/>
            </w:pPr>
            <w:r>
              <w:rPr/>
              <w:t>​</w:t>
            </w:r>
          </w:p>
        </w:tc>
        <w:tc>
          <w:tcPr>
            <w:tcW w:w="450" w:type="dxa"/>
            <w:gridSpan w:val="4"/>
            <w:tcBorders>
              <w:bottom w:val="single" w:sz="8" w:space="0" w:color="000000"/>
            </w:tcBorders>
            <w:shd w:fill="auto" w:val="clear"/>
            <w:tcMar>
              <w:bottom w:w="28" w:type="dxa"/>
            </w:tcMar>
            <w:vAlign w:val="bottom"/>
          </w:tcPr>
          <w:p>
            <w:pPr>
              <w:pStyle w:val="TableHeading"/>
              <w:spacing w:before="0" w:after="283"/>
              <w:jc w:val="center"/>
              <w:rPr>
                <w:rFonts w:ascii="arial" w:hAnsi="arial"/>
                <w:b/>
                <w:sz w:val="20"/>
              </w:rPr>
            </w:pPr>
            <w:r>
              <w:rPr>
                <w:rFonts w:ascii="arial" w:hAnsi="arial"/>
                <w:b/>
                <w:sz w:val="20"/>
              </w:rPr>
              <w:t>Age</w:t>
            </w:r>
            <w:r>
              <w:rPr>
                <w:rFonts w:ascii="arial" w:hAnsi="arial"/>
                <w:b/>
                <w:position w:val="7"/>
                <w:sz w:val="16"/>
                <w:sz w:val="20"/>
              </w:rPr>
              <w:t>(1)</w:t>
            </w:r>
            <w:r>
              <w:rPr>
                <w:rFonts w:ascii="arial" w:hAnsi="arial"/>
                <w:b/>
                <w:sz w:val="20"/>
              </w:rPr>
              <w:t xml:space="preserve"> </w:t>
            </w:r>
          </w:p>
        </w:tc>
        <w:tc>
          <w:tcPr>
            <w:tcW w:w="23" w:type="dxa"/>
            <w:tcBorders/>
            <w:shd w:fill="auto" w:val="clear"/>
            <w:vAlign w:val="bottom"/>
          </w:tcPr>
          <w:p>
            <w:pPr>
              <w:pStyle w:val="TableHeading"/>
              <w:suppressLineNumbers/>
              <w:spacing w:before="0" w:after="283"/>
              <w:jc w:val="center"/>
              <w:rPr/>
            </w:pPr>
            <w:r>
              <w:rPr/>
              <w:t>​</w:t>
            </w:r>
          </w:p>
        </w:tc>
        <w:tc>
          <w:tcPr>
            <w:tcW w:w="1266" w:type="dxa"/>
            <w:tcBorders>
              <w:bottom w:val="single" w:sz="8" w:space="0" w:color="000000"/>
            </w:tcBorders>
            <w:shd w:fill="auto" w:val="clear"/>
            <w:tcMar>
              <w:bottom w:w="28" w:type="dxa"/>
            </w:tcMar>
            <w:vAlign w:val="bottom"/>
          </w:tcPr>
          <w:p>
            <w:pPr>
              <w:pStyle w:val="TableHeading"/>
              <w:spacing w:before="0" w:after="283"/>
              <w:jc w:val="center"/>
              <w:rPr>
                <w:rFonts w:ascii="arial" w:hAnsi="arial"/>
                <w:b/>
                <w:sz w:val="20"/>
              </w:rPr>
            </w:pPr>
            <w:r>
              <w:rPr>
                <w:rFonts w:ascii="arial" w:hAnsi="arial"/>
                <w:b/>
                <w:sz w:val="20"/>
              </w:rPr>
              <w:t xml:space="preserve">Position </w:t>
            </w:r>
          </w:p>
        </w:tc>
      </w:tr>
      <w:tr>
        <w:trPr/>
        <w:tc>
          <w:tcPr>
            <w:tcW w:w="8443" w:type="dxa"/>
            <w:tcBorders/>
            <w:shd w:fill="CCEEFF" w:val="clear"/>
          </w:tcPr>
          <w:p>
            <w:pPr>
              <w:pStyle w:val="TableContents"/>
              <w:spacing w:before="0" w:after="283"/>
              <w:ind w:left="200" w:right="0" w:hanging="200"/>
              <w:rPr>
                <w:rFonts w:ascii="arial" w:hAnsi="arial"/>
                <w:sz w:val="20"/>
              </w:rPr>
            </w:pPr>
            <w:r>
              <w:rPr>
                <w:rFonts w:ascii="arial" w:hAnsi="arial"/>
                <w:sz w:val="20"/>
              </w:rPr>
              <w:t>Gregory J. Ritts</w:t>
            </w:r>
          </w:p>
        </w:tc>
        <w:tc>
          <w:tcPr>
            <w:tcW w:w="23" w:type="dxa"/>
            <w:tcBorders/>
            <w:shd w:fill="CCEEFF" w:val="clear"/>
          </w:tcPr>
          <w:p>
            <w:pPr>
              <w:pStyle w:val="TableContents"/>
              <w:spacing w:before="0" w:after="283"/>
              <w:rPr/>
            </w:pPr>
            <w:r>
              <w:rPr/>
              <w:t>​</w:t>
            </w:r>
          </w:p>
        </w:tc>
        <w:tc>
          <w:tcPr>
            <w:tcW w:w="110" w:type="dxa"/>
            <w:tcBorders/>
            <w:shd w:fill="CCEEFF" w:val="clear"/>
          </w:tcPr>
          <w:p>
            <w:pPr>
              <w:pStyle w:val="TableContents"/>
              <w:spacing w:before="0" w:after="283"/>
              <w:rPr/>
            </w:pPr>
            <w:r>
              <w:rPr/>
              <w:t>​</w:t>
            </w:r>
          </w:p>
        </w:tc>
        <w:tc>
          <w:tcPr>
            <w:tcW w:w="230" w:type="dxa"/>
            <w:gridSpan w:val="2"/>
            <w:tcBorders/>
            <w:shd w:fill="CCEEFF" w:val="clear"/>
          </w:tcPr>
          <w:p>
            <w:pPr>
              <w:pStyle w:val="TableContents"/>
              <w:spacing w:before="0" w:after="283"/>
              <w:jc w:val="center"/>
              <w:rPr>
                <w:rFonts w:ascii="arial" w:hAnsi="arial"/>
                <w:sz w:val="20"/>
              </w:rPr>
            </w:pPr>
            <w:r>
              <w:rPr>
                <w:rFonts w:ascii="arial" w:hAnsi="arial"/>
                <w:sz w:val="20"/>
              </w:rPr>
              <w:t>52</w:t>
            </w:r>
          </w:p>
        </w:tc>
        <w:tc>
          <w:tcPr>
            <w:tcW w:w="110" w:type="dxa"/>
            <w:tcBorders/>
            <w:shd w:fill="CCEEFF" w:val="clear"/>
          </w:tcPr>
          <w:p>
            <w:pPr>
              <w:pStyle w:val="TableContents"/>
              <w:spacing w:before="0" w:after="283"/>
              <w:rPr/>
            </w:pPr>
            <w:r>
              <w:rPr/>
              <w:t>​</w:t>
            </w:r>
          </w:p>
        </w:tc>
        <w:tc>
          <w:tcPr>
            <w:tcW w:w="23" w:type="dxa"/>
            <w:tcBorders/>
            <w:shd w:fill="CCEEFF" w:val="clear"/>
          </w:tcPr>
          <w:p>
            <w:pPr>
              <w:pStyle w:val="TableContents"/>
              <w:spacing w:before="0" w:after="283"/>
              <w:rPr/>
            </w:pPr>
            <w:r>
              <w:rPr/>
              <w:t>​</w:t>
            </w:r>
          </w:p>
        </w:tc>
        <w:tc>
          <w:tcPr>
            <w:tcW w:w="1266" w:type="dxa"/>
            <w:tcBorders/>
            <w:shd w:fill="CCEEFF" w:val="clear"/>
          </w:tcPr>
          <w:p>
            <w:pPr>
              <w:pStyle w:val="TableContents"/>
              <w:spacing w:before="0" w:after="283"/>
              <w:rPr>
                <w:rFonts w:ascii="arial" w:hAnsi="arial"/>
                <w:sz w:val="20"/>
              </w:rPr>
            </w:pPr>
            <w:r>
              <w:rPr>
                <w:rFonts w:ascii="arial" w:hAnsi="arial"/>
                <w:sz w:val="20"/>
              </w:rPr>
              <w:t>Chief Legal and Compliance Officer</w:t>
            </w:r>
          </w:p>
        </w:tc>
      </w:tr>
      <w:tr>
        <w:trPr/>
        <w:tc>
          <w:tcPr>
            <w:tcW w:w="8443" w:type="dxa"/>
            <w:tcBorders/>
            <w:shd w:fill="FFFFFF" w:val="clear"/>
          </w:tcPr>
          <w:p>
            <w:pPr>
              <w:pStyle w:val="TableContents"/>
              <w:spacing w:before="0" w:after="283"/>
              <w:ind w:left="200" w:right="0" w:hanging="200"/>
              <w:rPr>
                <w:rFonts w:ascii="arial" w:hAnsi="arial"/>
                <w:sz w:val="20"/>
              </w:rPr>
            </w:pPr>
            <w:r>
              <w:rPr>
                <w:rFonts w:ascii="arial" w:hAnsi="arial"/>
                <w:sz w:val="20"/>
              </w:rPr>
              <w:t>Marcello Mastioni</w:t>
            </w:r>
            <w:r>
              <w:rPr>
                <w:rFonts w:ascii="arial" w:hAnsi="arial"/>
                <w:position w:val="7"/>
                <w:sz w:val="16"/>
                <w:sz w:val="20"/>
              </w:rPr>
              <w:t>(2)</w:t>
            </w:r>
          </w:p>
        </w:tc>
        <w:tc>
          <w:tcPr>
            <w:tcW w:w="23" w:type="dxa"/>
            <w:tcBorders/>
            <w:shd w:fill="FFFFFF" w:val="clear"/>
          </w:tcPr>
          <w:p>
            <w:pPr>
              <w:pStyle w:val="TableContents"/>
              <w:spacing w:before="0" w:after="283"/>
              <w:rPr/>
            </w:pPr>
            <w:r>
              <w:rPr/>
              <w:t>​</w:t>
            </w:r>
          </w:p>
        </w:tc>
        <w:tc>
          <w:tcPr>
            <w:tcW w:w="110" w:type="dxa"/>
            <w:tcBorders/>
            <w:shd w:fill="FFFFFF" w:val="clear"/>
          </w:tcPr>
          <w:p>
            <w:pPr>
              <w:pStyle w:val="TableContents"/>
              <w:spacing w:before="0" w:after="283"/>
              <w:rPr/>
            </w:pPr>
            <w:r>
              <w:rPr/>
              <w:t>​</w:t>
            </w:r>
          </w:p>
        </w:tc>
        <w:tc>
          <w:tcPr>
            <w:tcW w:w="230" w:type="dxa"/>
            <w:gridSpan w:val="2"/>
            <w:tcBorders/>
            <w:shd w:fill="FFFFFF" w:val="clear"/>
          </w:tcPr>
          <w:p>
            <w:pPr>
              <w:pStyle w:val="TableContents"/>
              <w:spacing w:before="0" w:after="283"/>
              <w:jc w:val="center"/>
              <w:rPr>
                <w:rFonts w:ascii="arial" w:hAnsi="arial"/>
                <w:sz w:val="20"/>
              </w:rPr>
            </w:pPr>
            <w:r>
              <w:rPr>
                <w:rFonts w:ascii="arial" w:hAnsi="arial"/>
                <w:sz w:val="20"/>
              </w:rPr>
              <w:t>45</w:t>
            </w:r>
          </w:p>
        </w:tc>
        <w:tc>
          <w:tcPr>
            <w:tcW w:w="110" w:type="dxa"/>
            <w:tcBorders/>
            <w:shd w:fill="FFFFFF" w:val="clear"/>
          </w:tcPr>
          <w:p>
            <w:pPr>
              <w:pStyle w:val="TableContents"/>
              <w:spacing w:before="0" w:after="283"/>
              <w:rPr/>
            </w:pPr>
            <w:r>
              <w:rPr/>
              <w:t>​</w:t>
            </w:r>
          </w:p>
        </w:tc>
        <w:tc>
          <w:tcPr>
            <w:tcW w:w="23" w:type="dxa"/>
            <w:tcBorders/>
            <w:shd w:fill="FFFFFF" w:val="clear"/>
          </w:tcPr>
          <w:p>
            <w:pPr>
              <w:pStyle w:val="TableContents"/>
              <w:spacing w:before="0" w:after="283"/>
              <w:rPr/>
            </w:pPr>
            <w:r>
              <w:rPr/>
              <w:t>​</w:t>
            </w:r>
          </w:p>
        </w:tc>
        <w:tc>
          <w:tcPr>
            <w:tcW w:w="1266" w:type="dxa"/>
            <w:tcBorders/>
            <w:shd w:fill="FFFFFF" w:val="clear"/>
          </w:tcPr>
          <w:p>
            <w:pPr>
              <w:pStyle w:val="TableContents"/>
              <w:spacing w:before="0" w:after="283"/>
              <w:rPr>
                <w:rFonts w:ascii="arial" w:hAnsi="arial"/>
                <w:sz w:val="20"/>
              </w:rPr>
            </w:pPr>
            <w:r>
              <w:rPr>
                <w:rFonts w:ascii="arial" w:hAnsi="arial"/>
                <w:sz w:val="20"/>
              </w:rPr>
              <w:t>Chief Operating Officer</w:t>
            </w:r>
          </w:p>
        </w:tc>
      </w:tr>
      <w:tr>
        <w:trPr/>
        <w:tc>
          <w:tcPr>
            <w:tcW w:w="8443" w:type="dxa"/>
            <w:tcBorders/>
            <w:shd w:fill="CCEEFF" w:val="clear"/>
          </w:tcPr>
          <w:p>
            <w:pPr>
              <w:pStyle w:val="TableContents"/>
              <w:spacing w:before="0" w:after="283"/>
              <w:ind w:left="200" w:right="0" w:hanging="200"/>
              <w:rPr>
                <w:rFonts w:ascii="arial" w:hAnsi="arial"/>
                <w:sz w:val="20"/>
              </w:rPr>
            </w:pPr>
            <w:r>
              <w:rPr>
                <w:rFonts w:ascii="arial" w:hAnsi="arial"/>
                <w:sz w:val="20"/>
              </w:rPr>
              <w:t>Michelle D. Esterman</w:t>
            </w:r>
          </w:p>
        </w:tc>
        <w:tc>
          <w:tcPr>
            <w:tcW w:w="23" w:type="dxa"/>
            <w:tcBorders/>
            <w:shd w:fill="CCEEFF" w:val="clear"/>
          </w:tcPr>
          <w:p>
            <w:pPr>
              <w:pStyle w:val="TableContents"/>
              <w:spacing w:before="0" w:after="283"/>
              <w:rPr/>
            </w:pPr>
            <w:r>
              <w:rPr/>
              <w:t>​</w:t>
            </w:r>
          </w:p>
        </w:tc>
        <w:tc>
          <w:tcPr>
            <w:tcW w:w="110" w:type="dxa"/>
            <w:tcBorders/>
            <w:shd w:fill="CCEEFF" w:val="clear"/>
          </w:tcPr>
          <w:p>
            <w:pPr>
              <w:pStyle w:val="TableContents"/>
              <w:spacing w:before="0" w:after="283"/>
              <w:rPr/>
            </w:pPr>
            <w:r>
              <w:rPr/>
              <w:t>​</w:t>
            </w:r>
          </w:p>
        </w:tc>
        <w:tc>
          <w:tcPr>
            <w:tcW w:w="230" w:type="dxa"/>
            <w:gridSpan w:val="2"/>
            <w:tcBorders/>
            <w:shd w:fill="CCEEFF" w:val="clear"/>
          </w:tcPr>
          <w:p>
            <w:pPr>
              <w:pStyle w:val="TableContents"/>
              <w:spacing w:before="0" w:after="283"/>
              <w:jc w:val="center"/>
              <w:rPr>
                <w:rFonts w:ascii="arial" w:hAnsi="arial"/>
                <w:sz w:val="20"/>
              </w:rPr>
            </w:pPr>
            <w:r>
              <w:rPr>
                <w:rFonts w:ascii="arial" w:hAnsi="arial"/>
                <w:sz w:val="20"/>
              </w:rPr>
              <w:t>48</w:t>
            </w:r>
          </w:p>
        </w:tc>
        <w:tc>
          <w:tcPr>
            <w:tcW w:w="110" w:type="dxa"/>
            <w:tcBorders/>
            <w:shd w:fill="CCEEFF" w:val="clear"/>
          </w:tcPr>
          <w:p>
            <w:pPr>
              <w:pStyle w:val="TableContents"/>
              <w:spacing w:before="0" w:after="283"/>
              <w:rPr/>
            </w:pPr>
            <w:r>
              <w:rPr/>
              <w:t>​</w:t>
            </w:r>
          </w:p>
        </w:tc>
        <w:tc>
          <w:tcPr>
            <w:tcW w:w="23" w:type="dxa"/>
            <w:tcBorders/>
            <w:shd w:fill="CCEEFF" w:val="clear"/>
          </w:tcPr>
          <w:p>
            <w:pPr>
              <w:pStyle w:val="TableContents"/>
              <w:spacing w:before="0" w:after="283"/>
              <w:rPr/>
            </w:pPr>
            <w:r>
              <w:rPr/>
              <w:t>​</w:t>
            </w:r>
          </w:p>
        </w:tc>
        <w:tc>
          <w:tcPr>
            <w:tcW w:w="1266" w:type="dxa"/>
            <w:tcBorders/>
            <w:shd w:fill="CCEEFF" w:val="clear"/>
          </w:tcPr>
          <w:p>
            <w:pPr>
              <w:pStyle w:val="TableContents"/>
              <w:spacing w:before="0" w:after="283"/>
              <w:rPr>
                <w:rFonts w:ascii="arial" w:hAnsi="arial"/>
                <w:sz w:val="20"/>
              </w:rPr>
            </w:pPr>
            <w:r>
              <w:rPr>
                <w:rFonts w:ascii="arial" w:hAnsi="arial"/>
                <w:sz w:val="20"/>
              </w:rPr>
              <w:t>Chief Financial Officer</w:t>
            </w:r>
          </w:p>
        </w:tc>
      </w:tr>
      <w:tr>
        <w:trPr/>
        <w:tc>
          <w:tcPr>
            <w:tcW w:w="8443" w:type="dxa"/>
            <w:tcBorders/>
            <w:shd w:fill="FFFFFF" w:val="clear"/>
          </w:tcPr>
          <w:p>
            <w:pPr>
              <w:pStyle w:val="TableContents"/>
              <w:spacing w:before="0" w:after="283"/>
              <w:ind w:left="200" w:right="0" w:hanging="200"/>
              <w:rPr>
                <w:rFonts w:ascii="arial" w:hAnsi="arial"/>
                <w:sz w:val="20"/>
              </w:rPr>
            </w:pPr>
            <w:r>
              <w:rPr>
                <w:rFonts w:ascii="arial" w:hAnsi="arial"/>
                <w:sz w:val="20"/>
              </w:rPr>
              <w:t>Kevin J. Wilcox</w:t>
            </w:r>
            <w:r>
              <w:rPr>
                <w:rFonts w:ascii="arial" w:hAnsi="arial"/>
                <w:position w:val="7"/>
                <w:sz w:val="16"/>
                <w:sz w:val="20"/>
              </w:rPr>
              <w:t>(3)</w:t>
            </w:r>
          </w:p>
        </w:tc>
        <w:tc>
          <w:tcPr>
            <w:tcW w:w="23" w:type="dxa"/>
            <w:tcBorders/>
            <w:shd w:fill="FFFFFF" w:val="clear"/>
          </w:tcPr>
          <w:p>
            <w:pPr>
              <w:pStyle w:val="TableContents"/>
              <w:spacing w:before="0" w:after="283"/>
              <w:rPr/>
            </w:pPr>
            <w:r>
              <w:rPr/>
              <w:t>​</w:t>
            </w:r>
          </w:p>
        </w:tc>
        <w:tc>
          <w:tcPr>
            <w:tcW w:w="110" w:type="dxa"/>
            <w:tcBorders/>
            <w:shd w:fill="FFFFFF" w:val="clear"/>
          </w:tcPr>
          <w:p>
            <w:pPr>
              <w:pStyle w:val="TableContents"/>
              <w:spacing w:before="0" w:after="283"/>
              <w:rPr/>
            </w:pPr>
            <w:r>
              <w:rPr/>
              <w:t>​</w:t>
            </w:r>
          </w:p>
        </w:tc>
        <w:tc>
          <w:tcPr>
            <w:tcW w:w="230" w:type="dxa"/>
            <w:gridSpan w:val="2"/>
            <w:tcBorders/>
            <w:shd w:fill="FFFFFF" w:val="clear"/>
          </w:tcPr>
          <w:p>
            <w:pPr>
              <w:pStyle w:val="TableContents"/>
              <w:spacing w:before="0" w:after="283"/>
              <w:jc w:val="center"/>
              <w:rPr>
                <w:rFonts w:ascii="arial" w:hAnsi="arial"/>
                <w:sz w:val="20"/>
              </w:rPr>
            </w:pPr>
            <w:r>
              <w:rPr>
                <w:rFonts w:ascii="arial" w:hAnsi="arial"/>
                <w:sz w:val="20"/>
              </w:rPr>
              <w:t>57</w:t>
            </w:r>
          </w:p>
        </w:tc>
        <w:tc>
          <w:tcPr>
            <w:tcW w:w="110" w:type="dxa"/>
            <w:tcBorders/>
            <w:shd w:fill="FFFFFF" w:val="clear"/>
          </w:tcPr>
          <w:p>
            <w:pPr>
              <w:pStyle w:val="TableContents"/>
              <w:spacing w:before="0" w:after="283"/>
              <w:rPr/>
            </w:pPr>
            <w:r>
              <w:rPr/>
              <w:t>​</w:t>
            </w:r>
          </w:p>
        </w:tc>
        <w:tc>
          <w:tcPr>
            <w:tcW w:w="23" w:type="dxa"/>
            <w:tcBorders/>
            <w:shd w:fill="FFFFFF" w:val="clear"/>
          </w:tcPr>
          <w:p>
            <w:pPr>
              <w:pStyle w:val="TableContents"/>
              <w:spacing w:before="0" w:after="283"/>
              <w:rPr/>
            </w:pPr>
            <w:r>
              <w:rPr/>
              <w:t>​</w:t>
            </w:r>
          </w:p>
        </w:tc>
        <w:tc>
          <w:tcPr>
            <w:tcW w:w="1266" w:type="dxa"/>
            <w:tcBorders/>
            <w:shd w:fill="FFFFFF" w:val="clear"/>
          </w:tcPr>
          <w:p>
            <w:pPr>
              <w:pStyle w:val="TableContents"/>
              <w:spacing w:before="0" w:after="283"/>
              <w:rPr>
                <w:rFonts w:ascii="arial" w:hAnsi="arial"/>
                <w:sz w:val="20"/>
              </w:rPr>
            </w:pPr>
            <w:r>
              <w:rPr>
                <w:rFonts w:ascii="arial" w:hAnsi="arial"/>
                <w:sz w:val="20"/>
              </w:rPr>
              <w:t>Chief Administration and Risk Officer</w:t>
            </w:r>
          </w:p>
        </w:tc>
      </w:tr>
    </w:tbl>
    <w:p>
      <w:pPr>
        <w:pStyle w:val="ListHeading"/>
        <w:spacing w:before="0" w:after="0"/>
        <w:jc w:val="left"/>
        <w:rPr>
          <w:rFonts w:ascii="arial" w:hAnsi="arial"/>
          <w:position w:val="7"/>
          <w:sz w:val="16"/>
          <w:sz w:val="20"/>
        </w:rPr>
      </w:pPr>
      <w:r>
        <w:rPr>
          <w:rFonts w:ascii="arial" w:hAnsi="arial"/>
          <w:position w:val="7"/>
          <w:sz w:val="16"/>
          <w:sz w:val="20"/>
        </w:rPr>
        <w:t>(1)</w:t>
      </w:r>
    </w:p>
    <w:p>
      <w:pPr>
        <w:pStyle w:val="ListContents"/>
        <w:spacing w:before="0" w:after="283"/>
        <w:jc w:val="left"/>
        <w:rPr>
          <w:rFonts w:ascii="arial" w:hAnsi="arial"/>
          <w:sz w:val="20"/>
        </w:rPr>
      </w:pPr>
      <w:r>
        <w:rPr>
          <w:rFonts w:ascii="arial" w:hAnsi="arial"/>
          <w:sz w:val="20"/>
        </w:rPr>
        <w:t xml:space="preserve">As of March 26, 2021 </w:t>
      </w:r>
    </w:p>
    <w:p>
      <w:pPr>
        <w:pStyle w:val="ListHeading"/>
        <w:spacing w:before="0" w:after="0"/>
        <w:jc w:val="left"/>
        <w:rPr>
          <w:rFonts w:ascii="arial" w:hAnsi="arial"/>
          <w:position w:val="7"/>
          <w:sz w:val="16"/>
          <w:sz w:val="20"/>
        </w:rPr>
      </w:pPr>
      <w:r>
        <w:rPr>
          <w:rFonts w:ascii="arial" w:hAnsi="arial"/>
          <w:position w:val="7"/>
          <w:sz w:val="16"/>
          <w:sz w:val="20"/>
        </w:rPr>
        <w:t>(2)</w:t>
      </w:r>
    </w:p>
    <w:p>
      <w:pPr>
        <w:pStyle w:val="ListContents"/>
        <w:spacing w:before="0" w:after="283"/>
        <w:jc w:val="left"/>
        <w:rPr>
          <w:rFonts w:ascii="arial" w:hAnsi="arial"/>
          <w:sz w:val="20"/>
        </w:rPr>
      </w:pPr>
      <w:r>
        <w:rPr>
          <w:rFonts w:ascii="arial" w:hAnsi="arial"/>
          <w:sz w:val="20"/>
        </w:rPr>
        <w:t xml:space="preserve">Mr. Mastioni is currently under a three-month notice that his employment with the Company will end as of May 31, 2021 </w:t>
      </w:r>
    </w:p>
    <w:p>
      <w:pPr>
        <w:pStyle w:val="ListHeading"/>
        <w:spacing w:before="0" w:after="0"/>
        <w:jc w:val="left"/>
        <w:rPr>
          <w:rFonts w:ascii="arial" w:hAnsi="arial"/>
          <w:position w:val="7"/>
          <w:sz w:val="16"/>
          <w:sz w:val="20"/>
        </w:rPr>
      </w:pPr>
      <w:r>
        <w:rPr>
          <w:rFonts w:ascii="arial" w:hAnsi="arial"/>
          <w:position w:val="7"/>
          <w:sz w:val="16"/>
          <w:sz w:val="20"/>
        </w:rPr>
        <w:t>(3)</w:t>
      </w:r>
    </w:p>
    <w:p>
      <w:pPr>
        <w:pStyle w:val="ListContents"/>
        <w:spacing w:before="0" w:after="283"/>
        <w:jc w:val="left"/>
        <w:rPr>
          <w:rFonts w:ascii="arial" w:hAnsi="arial"/>
          <w:sz w:val="20"/>
        </w:rPr>
      </w:pPr>
      <w:r>
        <w:rPr>
          <w:rFonts w:ascii="arial" w:hAnsi="arial"/>
          <w:sz w:val="20"/>
        </w:rPr>
        <w:t xml:space="preserve">Employment of Mr. Wilcox with the Company ended in April 2020 </w:t>
      </w:r>
    </w:p>
    <w:p>
      <w:pPr>
        <w:pStyle w:val="TextBody"/>
        <w:rPr>
          <w:rFonts w:ascii="arial" w:hAnsi="arial"/>
          <w:sz w:val="20"/>
        </w:rPr>
      </w:pPr>
      <w:r>
        <w:rPr>
          <w:rFonts w:ascii="arial" w:hAnsi="arial"/>
          <w:sz w:val="20"/>
        </w:rPr>
        <w:t xml:space="preserve">The principal occupation for the last five (5) years, as well as certain other biographical information, for each of our current executive officers that is not a Director is set forth below. </w:t>
      </w:r>
    </w:p>
    <w:p>
      <w:pPr>
        <w:pStyle w:val="TextBody"/>
        <w:rPr>
          <w:rFonts w:ascii="arial" w:hAnsi="arial"/>
        </w:rPr>
      </w:pPr>
      <w:r>
        <w:rPr>
          <w:rFonts w:ascii="arial" w:hAnsi="arial"/>
          <w:b/>
          <w:i/>
          <w:sz w:val="20"/>
        </w:rPr>
        <w:t>Gregory J. Ritts.</w:t>
      </w:r>
      <w:r>
        <w:rPr>
          <w:rFonts w:ascii="arial" w:hAnsi="arial"/>
        </w:rPr>
        <w:t>    </w:t>
      </w:r>
      <w:r>
        <w:rPr>
          <w:rFonts w:ascii="arial" w:hAnsi="arial"/>
          <w:sz w:val="20"/>
        </w:rPr>
        <w:t xml:space="preserve">Mr. Ritts has served as Chief Legal and Compliance Officer of Altisource since February 2018 and has served as General Counsel since joining Altisource in October 2014. Before joining Altisource, he served as Senior Vice President, Deputy General Counsel of Publicis Groupe, an advertising and communications group, beginning in June 2010. Mr. Ritts also served as Global Vice President of Business Affairs and Corporate Development at Razorfish LLC, and held various senior legal positions with aQuantive, Inc. and Microsoft Corporation. Mr. Ritts began his career with the law firms of Nixon Peabody and Perkins Coie as an associate attorney. He holds a Bachelor of Arts from Miami University and a Juris Doctor from the University of Michigan Law School. </w:t>
      </w:r>
    </w:p>
    <w:p>
      <w:pPr>
        <w:pStyle w:val="TextBody"/>
        <w:rPr>
          <w:rFonts w:ascii="arial" w:hAnsi="arial"/>
        </w:rPr>
      </w:pPr>
      <w:r>
        <w:rPr>
          <w:rFonts w:ascii="arial" w:hAnsi="arial"/>
          <w:b/>
          <w:i/>
          <w:sz w:val="20"/>
        </w:rPr>
        <w:t>Marcello Mastioni.</w:t>
      </w:r>
      <w:r>
        <w:rPr>
          <w:rFonts w:ascii="arial" w:hAnsi="arial"/>
        </w:rPr>
        <w:t>    </w:t>
      </w:r>
      <w:r>
        <w:rPr>
          <w:rFonts w:ascii="arial" w:hAnsi="arial"/>
          <w:sz w:val="20"/>
        </w:rPr>
        <w:t xml:space="preserve">Mr. Mastioni has served as Chief Operating Officer of Altisource since March 2019. He previously served as President, Consumer Real Estate Marketplace since joining Altisource in August 2017. Prior to joining the Company, Mr. Mastioni served as Vice President and Managing Director of Europe, Middle East and Africa at HomeAway from March 2013 to July 2017. He was also Director of Strategy and Business Development at Expedia from June 2010 to March 2013. Mr. Mastioni served as Head of Retail and Consumer Goods Industries at the World Economic Forum and led operations for General Electric ("GE") in Europe, including those of GE's Digital Energy UPS business. He holds a Master of Science in Industrial Engineering and Business Administration from the Polytechnic University of Milan and a Master of Advanced Studies in Global Leadership from Columbia, INSEAD and London Business School. </w:t>
      </w:r>
    </w:p>
    <w:p>
      <w:pPr>
        <w:pStyle w:val="TextBody"/>
        <w:rPr>
          <w:rFonts w:ascii="arial" w:hAnsi="arial"/>
        </w:rPr>
      </w:pPr>
      <w:r>
        <w:rPr>
          <w:rFonts w:ascii="arial" w:hAnsi="arial"/>
          <w:b/>
          <w:i/>
          <w:sz w:val="20"/>
        </w:rPr>
        <w:t>Michelle D. Esterman.</w:t>
      </w:r>
      <w:r>
        <w:rPr>
          <w:rFonts w:ascii="arial" w:hAnsi="arial"/>
        </w:rPr>
        <w:t>    </w:t>
      </w:r>
      <w:r>
        <w:rPr>
          <w:rFonts w:ascii="arial" w:hAnsi="arial"/>
          <w:sz w:val="20"/>
        </w:rPr>
        <w:t xml:space="preserve">Ms. Esterman has served as Chief Financial Officer of Altisource since August 2018. She also served as Chief Financial Officer of Altisource from March 2012 to October 2017 and as Executive Vice President, Finance of Altisource from October 2017 to August 2018. Before joining Altisource in March 2012, she served as Senior Manager, Audit &amp; Enterprise Risk Services for Deloitte since 2003, including a two-year rotation with Deloitte Touche Tohmatsu Deloitte &amp; Touche LLP from 1996 to 2003. Ms. Esterman began her career with Georgia Pacific Corporation in 1994 and is a Certified Public Accountant (Florida). She holds a Bachelor of Business Administration with a concentration in Accounting and a Master of Accountancy with a concentration in Tax from the University of North Florida. </w:t>
      </w:r>
    </w:p>
    <w:p>
      <w:pPr>
        <w:pStyle w:val="TextBody"/>
        <w:rPr>
          <w:rFonts w:ascii="arial" w:hAnsi="arial"/>
        </w:rPr>
      </w:pPr>
      <w:r>
        <w:rPr>
          <w:rFonts w:ascii="arial" w:hAnsi="arial"/>
          <w:b/>
          <w:i/>
          <w:sz w:val="20"/>
        </w:rPr>
        <w:t>Kevin J. Wilcox.</w:t>
      </w:r>
      <w:r>
        <w:rPr>
          <w:rFonts w:ascii="arial" w:hAnsi="arial"/>
        </w:rPr>
        <w:t>    </w:t>
      </w:r>
      <w:r>
        <w:rPr>
          <w:rFonts w:ascii="arial" w:hAnsi="arial"/>
          <w:sz w:val="20"/>
        </w:rPr>
        <w:t xml:space="preserve">Mr. Wilcox served as Chief Administration and Risk Officer of Altisource until his departure in April 15, 2020. Mr. Wilcox had served as Chief Administration Officer since August 2009 and as General Counsel from August 2009 through October 2014. Before joining Altisource, he served as Executive Vice President, Chief Administration Officer and Corporate Secretary for Ocwen from May 2008. Mr. Wilcox also served as Senior Vice President of Human Resources and Corporate Services for Ocwen. He joined Ocwen in March 1998 as Senior Manager, Litigation in the Law Department, where he was responsible for the management and resolution of all corporate litigation. He holds a Bachelor of Science in Business Administration from the University of Florida and a Juris Doctor from the Florida State University College of Law. </w:t>
      </w:r>
    </w:p>
    <w:p>
      <w:pPr>
        <w:pStyle w:val="TextBody"/>
        <w:jc w:val="center"/>
        <w:rPr>
          <w:rFonts w:ascii="arial" w:hAnsi="arial"/>
          <w:sz w:val="20"/>
        </w:rPr>
      </w:pPr>
      <w:r>
        <w:rPr>
          <w:rFonts w:ascii="arial" w:hAnsi="arial"/>
          <w:sz w:val="20"/>
        </w:rPr>
        <w:t>28</w:t>
      </w:r>
    </w:p>
    <w:p>
      <w:pPr>
        <w:pStyle w:val="HorizontalLine"/>
        <w:pBdr>
          <w:bottom w:val="single" w:sz="20" w:space="0" w:color="808080"/>
        </w:pBdr>
        <w:rPr/>
      </w:pPr>
      <w:r>
        <w:rPr/>
      </w:r>
      <w:r>
        <w:br w:type="page"/>
      </w:r>
    </w:p>
    <w:p>
      <w:pPr>
        <w:pStyle w:val="TextBody"/>
        <w:rPr/>
      </w:pPr>
      <w:hyperlink w:anchor="bg45301a_main_toc">
        <w:bookmarkStart w:id="62" w:name="page_dm45301_1_29"/>
        <w:bookmarkEnd w:id="62"/>
        <w:r>
          <w:rPr>
            <w:rStyle w:val="InternetLink"/>
            <w:rFonts w:ascii="arial" w:hAnsi="arial"/>
            <w:sz w:val="20"/>
          </w:rPr>
          <w:t>Table of Contents</w:t>
        </w:r>
      </w:hyperlink>
      <w:r>
        <w:rPr>
          <w:rFonts w:ascii="arial" w:hAnsi="arial"/>
          <w:sz w:val="20"/>
        </w:rPr>
        <w:t xml:space="preserve"> </w:t>
      </w:r>
    </w:p>
    <w:p>
      <w:pPr>
        <w:pStyle w:val="TextBody"/>
        <w:rPr/>
      </w:pPr>
      <w:r>
        <w:rPr>
          <w:color w:val="000000"/>
        </w:rPr>
        <w:t>​</w:t>
      </w:r>
      <w:r>
        <w:rPr/>
        <w:t xml:space="preserve"> </w:t>
      </w:r>
    </w:p>
    <w:p>
      <w:pPr>
        <w:pStyle w:val="Normal"/>
        <w:spacing w:before="0" w:after="0"/>
        <w:ind w:left="0" w:right="0" w:hanging="0"/>
        <w:rPr>
          <w:sz w:val="4"/>
          <w:szCs w:val="4"/>
        </w:rPr>
      </w:pPr>
      <w:r>
        <w:rPr>
          <w:sz w:val="4"/>
          <w:szCs w:val="4"/>
        </w:rPr>
      </w:r>
      <w:bookmarkStart w:id="63" w:name="toc_dm45301_1"/>
      <w:bookmarkStart w:id="64" w:name="dm45301_security_ownership_of_certain___"/>
      <w:bookmarkStart w:id="65" w:name="toc_dm45301_1"/>
      <w:bookmarkStart w:id="66" w:name="dm45301_security_ownership_of_certain___"/>
      <w:bookmarkEnd w:id="65"/>
      <w:bookmarkEnd w:id="66"/>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8" w:space="0" w:color="000000"/>
            </w:tcBorders>
            <w:shd w:fill="auto" w:val="clear"/>
            <w:vAlign w:val="center"/>
          </w:tcPr>
          <w:p>
            <w:pPr>
              <w:pStyle w:val="TableContents"/>
              <w:spacing w:before="0" w:after="0"/>
              <w:ind w:left="0" w:right="0" w:hanging="0"/>
              <w:jc w:val="left"/>
              <w:rPr>
                <w:rFonts w:ascii="arial" w:hAnsi="arial"/>
                <w:b/>
                <w:sz w:val="24"/>
              </w:rPr>
            </w:pPr>
            <w:r>
              <w:rPr>
                <w:rFonts w:ascii="arial" w:hAnsi="arial"/>
                <w:b/>
                <w:sz w:val="24"/>
              </w:rPr>
              <w:t xml:space="preserve">Security Ownership of Certain Beneficial Owners and Management </w:t>
            </w:r>
          </w:p>
        </w:tc>
      </w:tr>
    </w:tbl>
    <w:p>
      <w:pPr>
        <w:pStyle w:val="TextBody"/>
        <w:ind w:left="220" w:right="0" w:hanging="220"/>
        <w:rPr>
          <w:rFonts w:ascii="arial" w:hAnsi="arial"/>
          <w:b/>
          <w:sz w:val="20"/>
        </w:rPr>
      </w:pPr>
      <w:r>
        <w:rPr>
          <w:rFonts w:ascii="arial" w:hAnsi="arial"/>
          <w:b/>
          <w:sz w:val="20"/>
        </w:rPr>
        <w:t xml:space="preserve">Beneficial Ownership of Common Stock </w:t>
      </w:r>
    </w:p>
    <w:p>
      <w:pPr>
        <w:pStyle w:val="TextBody"/>
        <w:rPr>
          <w:rFonts w:ascii="arial" w:hAnsi="arial"/>
          <w:sz w:val="20"/>
        </w:rPr>
      </w:pPr>
      <w:r>
        <w:rPr>
          <w:rFonts w:ascii="arial" w:hAnsi="arial"/>
          <w:sz w:val="20"/>
        </w:rPr>
        <w:t>The following table sets forth certain information regarding the beneficial ownership of our common stock by:</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ind w:left="1274" w:right="0" w:hanging="0"/>
        <w:rPr>
          <w:rFonts w:ascii="arial" w:hAnsi="arial"/>
          <w:sz w:val="20"/>
        </w:rPr>
      </w:pPr>
      <w:r>
        <w:rPr>
          <w:rFonts w:ascii="arial" w:hAnsi="arial"/>
          <w:sz w:val="20"/>
        </w:rPr>
        <w:t xml:space="preserve">all persons known by Altisource to beneficially own five percent (5%) or more of the outstanding common stock;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ind w:left="1274" w:right="0" w:hanging="0"/>
        <w:rPr>
          <w:rFonts w:ascii="arial" w:hAnsi="arial"/>
          <w:sz w:val="20"/>
        </w:rPr>
      </w:pPr>
      <w:r>
        <w:rPr>
          <w:rFonts w:ascii="arial" w:hAnsi="arial"/>
          <w:sz w:val="20"/>
        </w:rPr>
        <w:t xml:space="preserve">each Director and Named Executive Officer (as defined in "Compensation Discussion and Analysis") of Altisource; and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spacing w:before="0" w:after="283"/>
        <w:ind w:left="1274" w:right="0" w:hanging="0"/>
        <w:rPr>
          <w:rFonts w:ascii="arial" w:hAnsi="arial"/>
          <w:sz w:val="20"/>
        </w:rPr>
      </w:pPr>
      <w:r>
        <w:rPr>
          <w:rFonts w:ascii="arial" w:hAnsi="arial"/>
          <w:sz w:val="20"/>
        </w:rPr>
        <w:t xml:space="preserve">all Directors and current executive officers of Altisource as a group. </w:t>
      </w:r>
    </w:p>
    <w:p>
      <w:pPr>
        <w:pStyle w:val="TextBody"/>
        <w:rPr>
          <w:rFonts w:ascii="arial" w:hAnsi="arial"/>
          <w:sz w:val="20"/>
        </w:rPr>
      </w:pPr>
      <w:r>
        <w:rPr>
          <w:rFonts w:ascii="arial" w:hAnsi="arial"/>
          <w:sz w:val="20"/>
        </w:rPr>
        <w:t xml:space="preserve">The table is based upon information supplied to us by Directors, executive officers and principal shareholders and filings under the Securities Exchange Act of 1934, as amended (the "Exchange Act") and is based on an aggregate of 15,782,286 shares issued and outstanding as of March 26, 2021. Unless otherwise indicated in the footnotes below, the information is provided as of the record date, March 26, 2021. </w:t>
      </w:r>
    </w:p>
    <w:p>
      <w:pPr>
        <w:pStyle w:val="TextBody"/>
        <w:rPr>
          <w:rFonts w:ascii="arial" w:hAnsi="arial"/>
          <w:sz w:val="20"/>
        </w:rPr>
      </w:pPr>
      <w:r>
        <w:rPr>
          <w:rFonts w:ascii="arial" w:hAnsi="arial"/>
          <w:sz w:val="20"/>
        </w:rPr>
        <w:t xml:space="preserve">Unless otherwise noted, the address for contacting the Directors and Named Executive Officers listed below is: Altisource Portfolio Solutions S.A., 40, avenue Monterey, L-2163 Luxembourg City, Grand Duchy of Luxembourg. </w:t>
      </w:r>
    </w:p>
    <w:p>
      <w:pPr>
        <w:pStyle w:val="TextBody"/>
        <w:jc w:val="center"/>
        <w:rPr>
          <w:rFonts w:ascii="arial" w:hAnsi="arial"/>
        </w:rPr>
      </w:pPr>
      <w:bookmarkStart w:id="67" w:name="toc_dm45301_2"/>
      <w:bookmarkStart w:id="68" w:name="dm45301_shares_beneficially_owned(1)"/>
      <w:bookmarkEnd w:id="67"/>
      <w:bookmarkEnd w:id="68"/>
      <w:r>
        <w:rPr>
          <w:rFonts w:ascii="arial" w:hAnsi="arial"/>
          <w:sz w:val="20"/>
        </w:rPr>
        <w:br/>
      </w:r>
      <w:r>
        <w:rPr>
          <w:rFonts w:ascii="arial" w:hAnsi="arial"/>
          <w:b/>
          <w:sz w:val="20"/>
        </w:rPr>
        <w:t>Shares Beneficially Owned</w:t>
      </w:r>
      <w:r>
        <w:rPr>
          <w:rFonts w:ascii="arial" w:hAnsi="arial"/>
          <w:b/>
          <w:position w:val="7"/>
          <w:sz w:val="16"/>
          <w:sz w:val="20"/>
        </w:rPr>
        <w:t>(1)</w:t>
      </w:r>
      <w:r>
        <w:rPr>
          <w:rFonts w:ascii="arial" w:hAnsi="arial"/>
          <w:b/>
          <w:sz w:val="20"/>
        </w:rPr>
        <w:t xml:space="preserve"> </w:t>
      </w:r>
    </w:p>
    <w:tbl>
      <w:tblPr>
        <w:tblW w:w="5000" w:type="pct"/>
        <w:jc w:val="center"/>
        <w:tblInd w:w="0" w:type="dxa"/>
        <w:tblCellMar>
          <w:top w:w="0" w:type="dxa"/>
          <w:left w:w="0" w:type="dxa"/>
          <w:bottom w:w="0" w:type="dxa"/>
          <w:right w:w="0" w:type="dxa"/>
        </w:tblCellMar>
      </w:tblPr>
      <w:tblGrid>
        <w:gridCol w:w="8142"/>
        <w:gridCol w:w="23"/>
        <w:gridCol w:w="377"/>
        <w:gridCol w:w="498"/>
        <w:gridCol w:w="23"/>
        <w:gridCol w:w="61"/>
        <w:gridCol w:w="250"/>
        <w:gridCol w:w="265"/>
        <w:gridCol w:w="542"/>
        <w:gridCol w:w="24"/>
      </w:tblGrid>
      <w:tr>
        <w:trPr/>
        <w:tc>
          <w:tcPr>
            <w:tcW w:w="8142"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24" w:type="dxa"/>
            <w:tcBorders/>
            <w:shd w:fill="auto" w:val="clear"/>
            <w:vAlign w:val="center"/>
          </w:tcPr>
          <w:p>
            <w:pPr>
              <w:pStyle w:val="TableContents"/>
              <w:spacing w:before="0" w:after="283"/>
              <w:rPr>
                <w:sz w:val="4"/>
                <w:szCs w:val="4"/>
              </w:rPr>
            </w:pPr>
            <w:r>
              <w:rPr>
                <w:sz w:val="4"/>
                <w:szCs w:val="4"/>
              </w:rPr>
            </w:r>
          </w:p>
        </w:tc>
      </w:tr>
      <w:tr>
        <w:trPr/>
        <w:tc>
          <w:tcPr>
            <w:tcW w:w="8142" w:type="dxa"/>
            <w:tcBorders/>
            <w:shd w:fill="auto" w:val="clear"/>
            <w:vAlign w:val="bottom"/>
          </w:tcPr>
          <w:p>
            <w:pPr>
              <w:pStyle w:val="TableHeading"/>
              <w:spacing w:before="0" w:after="0"/>
              <w:jc w:val="left"/>
              <w:rPr>
                <w:rFonts w:ascii="arial" w:hAnsi="arial"/>
                <w:b/>
                <w:sz w:val="20"/>
                <w:bdr w:val="single" w:sz="8" w:space="1" w:color="000000"/>
              </w:rPr>
            </w:pPr>
            <w:r>
              <w:rPr>
                <w:rFonts w:ascii="arial" w:hAnsi="arial"/>
                <w:b/>
                <w:sz w:val="20"/>
                <w:bdr w:val="single" w:sz="8" w:space="1" w:color="000000"/>
              </w:rPr>
              <w:t xml:space="preserve">Name of Beneficial Owner: </w:t>
            </w:r>
          </w:p>
        </w:tc>
        <w:tc>
          <w:tcPr>
            <w:tcW w:w="23" w:type="dxa"/>
            <w:tcBorders/>
            <w:shd w:fill="auto" w:val="clear"/>
            <w:vAlign w:val="bottom"/>
          </w:tcPr>
          <w:p>
            <w:pPr>
              <w:pStyle w:val="TableHeading"/>
              <w:suppressLineNumbers/>
              <w:spacing w:before="0" w:after="283"/>
              <w:jc w:val="center"/>
              <w:rPr/>
            </w:pPr>
            <w:r>
              <w:rPr/>
              <w:t>​</w:t>
            </w:r>
          </w:p>
        </w:tc>
        <w:tc>
          <w:tcPr>
            <w:tcW w:w="875" w:type="dxa"/>
            <w:gridSpan w:val="2"/>
            <w:tcBorders>
              <w:bottom w:val="single" w:sz="8" w:space="0" w:color="000000"/>
            </w:tcBorders>
            <w:shd w:fill="auto" w:val="clear"/>
            <w:tcMar>
              <w:bottom w:w="28" w:type="dxa"/>
            </w:tcMar>
            <w:vAlign w:val="bottom"/>
          </w:tcPr>
          <w:p>
            <w:pPr>
              <w:pStyle w:val="TableHeading"/>
              <w:spacing w:before="0" w:after="283"/>
              <w:jc w:val="center"/>
              <w:rPr>
                <w:rFonts w:ascii="arial" w:hAnsi="arial"/>
                <w:b/>
                <w:sz w:val="20"/>
              </w:rPr>
            </w:pPr>
            <w:r>
              <w:rPr>
                <w:rFonts w:ascii="arial" w:hAnsi="arial"/>
                <w:b/>
                <w:sz w:val="20"/>
              </w:rPr>
              <w:t xml:space="preserve">Amount </w:t>
            </w:r>
          </w:p>
        </w:tc>
        <w:tc>
          <w:tcPr>
            <w:tcW w:w="23" w:type="dxa"/>
            <w:tcBorders/>
            <w:shd w:fill="auto" w:val="clear"/>
            <w:vAlign w:val="bottom"/>
          </w:tcPr>
          <w:p>
            <w:pPr>
              <w:pStyle w:val="TableHeading"/>
              <w:suppressLineNumbers/>
              <w:spacing w:before="0" w:after="283"/>
              <w:jc w:val="center"/>
              <w:rPr/>
            </w:pPr>
            <w:r>
              <w:rPr/>
              <w:t>​</w:t>
            </w:r>
          </w:p>
        </w:tc>
        <w:tc>
          <w:tcPr>
            <w:tcW w:w="1118" w:type="dxa"/>
            <w:gridSpan w:val="4"/>
            <w:tcBorders>
              <w:bottom w:val="single" w:sz="8" w:space="0" w:color="000000"/>
            </w:tcBorders>
            <w:shd w:fill="auto" w:val="clear"/>
            <w:tcMar>
              <w:bottom w:w="28" w:type="dxa"/>
            </w:tcMar>
            <w:vAlign w:val="bottom"/>
          </w:tcPr>
          <w:p>
            <w:pPr>
              <w:pStyle w:val="TableHeading"/>
              <w:spacing w:before="0" w:after="283"/>
              <w:jc w:val="center"/>
              <w:rPr>
                <w:rFonts w:ascii="arial" w:hAnsi="arial"/>
                <w:b/>
                <w:sz w:val="20"/>
              </w:rPr>
            </w:pPr>
            <w:r>
              <w:rPr>
                <w:rFonts w:ascii="arial" w:hAnsi="arial"/>
                <w:b/>
                <w:sz w:val="20"/>
              </w:rPr>
              <w:t xml:space="preserve">Percent </w:t>
            </w:r>
          </w:p>
        </w:tc>
        <w:tc>
          <w:tcPr>
            <w:tcW w:w="24" w:type="dxa"/>
            <w:tcBorders/>
            <w:shd w:fill="auto" w:val="clear"/>
            <w:vAlign w:val="bottom"/>
          </w:tcPr>
          <w:p>
            <w:pPr>
              <w:pStyle w:val="TableHeading"/>
              <w:suppressLineNumbers/>
              <w:spacing w:before="0" w:after="283"/>
              <w:jc w:val="center"/>
              <w:rPr/>
            </w:pPr>
            <w:r>
              <w:rPr/>
              <w:t>​</w:t>
            </w:r>
          </w:p>
        </w:tc>
      </w:tr>
      <w:tr>
        <w:trPr/>
        <w:tc>
          <w:tcPr>
            <w:tcW w:w="8142" w:type="dxa"/>
            <w:tcBorders/>
            <w:shd w:fill="CCEEFF" w:val="clear"/>
            <w:vAlign w:val="bottom"/>
          </w:tcPr>
          <w:p>
            <w:pPr>
              <w:pStyle w:val="TableContents"/>
              <w:spacing w:before="0" w:after="283"/>
              <w:ind w:left="200" w:right="0" w:hanging="200"/>
              <w:rPr>
                <w:rFonts w:ascii="arial" w:hAnsi="arial"/>
                <w:sz w:val="20"/>
              </w:rPr>
            </w:pPr>
            <w:r>
              <w:rPr>
                <w:rFonts w:ascii="arial" w:hAnsi="arial"/>
                <w:sz w:val="20"/>
              </w:rPr>
              <w:t>William C. Erbey</w:t>
            </w:r>
            <w:r>
              <w:rPr>
                <w:rFonts w:ascii="arial" w:hAnsi="arial"/>
                <w:position w:val="7"/>
                <w:sz w:val="16"/>
                <w:sz w:val="20"/>
              </w:rPr>
              <w:t>(2)</w:t>
            </w:r>
          </w:p>
        </w:tc>
        <w:tc>
          <w:tcPr>
            <w:tcW w:w="23" w:type="dxa"/>
            <w:tcBorders/>
            <w:shd w:fill="CCEEFF" w:val="clear"/>
            <w:vAlign w:val="bottom"/>
          </w:tcPr>
          <w:p>
            <w:pPr>
              <w:pStyle w:val="TableContents"/>
              <w:spacing w:before="0" w:after="283"/>
              <w:rPr/>
            </w:pPr>
            <w:r>
              <w:rPr/>
              <w:t>​</w:t>
            </w:r>
          </w:p>
        </w:tc>
        <w:tc>
          <w:tcPr>
            <w:tcW w:w="875"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6,000,709</w:t>
            </w:r>
          </w:p>
        </w:tc>
        <w:tc>
          <w:tcPr>
            <w:tcW w:w="23" w:type="dxa"/>
            <w:tcBorders/>
            <w:shd w:fill="CCEEFF" w:val="clear"/>
            <w:vAlign w:val="bottom"/>
          </w:tcPr>
          <w:p>
            <w:pPr>
              <w:pStyle w:val="TableContents"/>
              <w:spacing w:before="0" w:after="283"/>
              <w:rPr/>
            </w:pPr>
            <w:r>
              <w:rPr/>
              <w:t>​</w:t>
            </w:r>
          </w:p>
        </w:tc>
        <w:tc>
          <w:tcPr>
            <w:tcW w:w="61" w:type="dxa"/>
            <w:tcBorders/>
            <w:shd w:fill="CCEEFF" w:val="clear"/>
            <w:vAlign w:val="bottom"/>
          </w:tcPr>
          <w:p>
            <w:pPr>
              <w:pStyle w:val="TableContents"/>
              <w:spacing w:before="0" w:after="283"/>
              <w:rPr/>
            </w:pPr>
            <w:r>
              <w:rPr/>
              <w:t>​</w:t>
            </w:r>
          </w:p>
        </w:tc>
        <w:tc>
          <w:tcPr>
            <w:tcW w:w="515"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38.02</w:t>
            </w:r>
          </w:p>
        </w:tc>
        <w:tc>
          <w:tcPr>
            <w:tcW w:w="542" w:type="dxa"/>
            <w:tcBorders/>
            <w:shd w:fill="CCEEFF" w:val="clear"/>
            <w:vAlign w:val="bottom"/>
          </w:tcPr>
          <w:p>
            <w:pPr>
              <w:pStyle w:val="TableContents"/>
              <w:spacing w:before="0" w:after="283"/>
              <w:rPr>
                <w:rFonts w:ascii="arial" w:hAnsi="arial"/>
                <w:sz w:val="20"/>
              </w:rPr>
            </w:pPr>
            <w:r>
              <w:rPr>
                <w:rFonts w:ascii="arial" w:hAnsi="arial"/>
                <w:sz w:val="20"/>
              </w:rPr>
              <w:t>%</w:t>
            </w:r>
          </w:p>
        </w:tc>
        <w:tc>
          <w:tcPr>
            <w:tcW w:w="24" w:type="dxa"/>
            <w:tcBorders/>
            <w:shd w:fill="CCEEFF" w:val="clear"/>
            <w:vAlign w:val="bottom"/>
          </w:tcPr>
          <w:p>
            <w:pPr>
              <w:pStyle w:val="TableContents"/>
              <w:spacing w:before="0" w:after="283"/>
              <w:rPr/>
            </w:pPr>
            <w:r>
              <w:rPr/>
              <w:t>​</w:t>
            </w:r>
          </w:p>
        </w:tc>
      </w:tr>
      <w:tr>
        <w:trPr/>
        <w:tc>
          <w:tcPr>
            <w:tcW w:w="8142" w:type="dxa"/>
            <w:tcBorders/>
            <w:shd w:fill="auto" w:val="clear"/>
            <w:vAlign w:val="bottom"/>
          </w:tcPr>
          <w:p>
            <w:pPr>
              <w:pStyle w:val="TableContents"/>
              <w:spacing w:before="0" w:after="283"/>
              <w:ind w:left="200" w:right="0" w:hanging="200"/>
              <w:rPr>
                <w:rFonts w:ascii="arial" w:hAnsi="arial"/>
                <w:sz w:val="20"/>
              </w:rPr>
            </w:pPr>
            <w:r>
              <w:rPr>
                <w:rFonts w:ascii="arial" w:hAnsi="arial"/>
                <w:sz w:val="20"/>
              </w:rPr>
              <w:t>Deer Park Road Management Company, LP</w:t>
            </w:r>
            <w:r>
              <w:rPr>
                <w:rFonts w:ascii="arial" w:hAnsi="arial"/>
                <w:position w:val="7"/>
                <w:sz w:val="16"/>
                <w:sz w:val="20"/>
              </w:rPr>
              <w:t>(3)</w:t>
            </w:r>
          </w:p>
        </w:tc>
        <w:tc>
          <w:tcPr>
            <w:tcW w:w="23" w:type="dxa"/>
            <w:tcBorders/>
            <w:shd w:fill="auto" w:val="clear"/>
            <w:vAlign w:val="bottom"/>
          </w:tcPr>
          <w:p>
            <w:pPr>
              <w:pStyle w:val="TableContents"/>
              <w:spacing w:before="0" w:after="283"/>
              <w:rPr/>
            </w:pPr>
            <w:r>
              <w:rPr/>
              <w:t>​</w:t>
            </w:r>
          </w:p>
        </w:tc>
        <w:tc>
          <w:tcPr>
            <w:tcW w:w="875" w:type="dxa"/>
            <w:gridSpan w:val="2"/>
            <w:tcBorders/>
            <w:shd w:fill="auto" w:val="clear"/>
            <w:vAlign w:val="bottom"/>
          </w:tcPr>
          <w:p>
            <w:pPr>
              <w:pStyle w:val="TableContents"/>
              <w:spacing w:before="0" w:after="283"/>
              <w:jc w:val="right"/>
              <w:rPr>
                <w:rFonts w:ascii="arial" w:hAnsi="arial"/>
                <w:sz w:val="20"/>
              </w:rPr>
            </w:pPr>
            <w:r>
              <w:rPr>
                <w:rFonts w:ascii="arial" w:hAnsi="arial"/>
                <w:sz w:val="20"/>
              </w:rPr>
              <w:t>3,745,890</w:t>
            </w:r>
          </w:p>
        </w:tc>
        <w:tc>
          <w:tcPr>
            <w:tcW w:w="23" w:type="dxa"/>
            <w:tcBorders/>
            <w:shd w:fill="auto" w:val="clear"/>
            <w:vAlign w:val="bottom"/>
          </w:tcPr>
          <w:p>
            <w:pPr>
              <w:pStyle w:val="TableContents"/>
              <w:spacing w:before="0" w:after="283"/>
              <w:rPr/>
            </w:pPr>
            <w:r>
              <w:rPr/>
              <w:t>​</w:t>
            </w:r>
          </w:p>
        </w:tc>
        <w:tc>
          <w:tcPr>
            <w:tcW w:w="61" w:type="dxa"/>
            <w:tcBorders/>
            <w:shd w:fill="auto" w:val="clear"/>
            <w:vAlign w:val="bottom"/>
          </w:tcPr>
          <w:p>
            <w:pPr>
              <w:pStyle w:val="TableContents"/>
              <w:spacing w:before="0" w:after="283"/>
              <w:rPr/>
            </w:pPr>
            <w:r>
              <w:rPr/>
              <w:t>​</w:t>
            </w:r>
          </w:p>
        </w:tc>
        <w:tc>
          <w:tcPr>
            <w:tcW w:w="515" w:type="dxa"/>
            <w:gridSpan w:val="2"/>
            <w:tcBorders/>
            <w:shd w:fill="auto" w:val="clear"/>
            <w:vAlign w:val="bottom"/>
          </w:tcPr>
          <w:p>
            <w:pPr>
              <w:pStyle w:val="TableContents"/>
              <w:spacing w:before="0" w:after="283"/>
              <w:jc w:val="right"/>
              <w:rPr>
                <w:rFonts w:ascii="arial" w:hAnsi="arial"/>
                <w:sz w:val="20"/>
              </w:rPr>
            </w:pPr>
            <w:r>
              <w:rPr>
                <w:rFonts w:ascii="arial" w:hAnsi="arial"/>
                <w:sz w:val="20"/>
              </w:rPr>
              <w:t>23.74</w:t>
            </w:r>
          </w:p>
        </w:tc>
        <w:tc>
          <w:tcPr>
            <w:tcW w:w="542" w:type="dxa"/>
            <w:tcBorders/>
            <w:shd w:fill="auto" w:val="clear"/>
            <w:vAlign w:val="bottom"/>
          </w:tcPr>
          <w:p>
            <w:pPr>
              <w:pStyle w:val="TableContents"/>
              <w:spacing w:before="0" w:after="283"/>
              <w:rPr>
                <w:rFonts w:ascii="arial" w:hAnsi="arial"/>
                <w:sz w:val="20"/>
              </w:rPr>
            </w:pPr>
            <w:r>
              <w:rPr>
                <w:rFonts w:ascii="arial" w:hAnsi="arial"/>
                <w:sz w:val="20"/>
              </w:rPr>
              <w:t>%</w:t>
            </w:r>
          </w:p>
        </w:tc>
        <w:tc>
          <w:tcPr>
            <w:tcW w:w="24" w:type="dxa"/>
            <w:tcBorders/>
            <w:shd w:fill="auto" w:val="clear"/>
            <w:vAlign w:val="bottom"/>
          </w:tcPr>
          <w:p>
            <w:pPr>
              <w:pStyle w:val="TableContents"/>
              <w:spacing w:before="0" w:after="283"/>
              <w:rPr/>
            </w:pPr>
            <w:r>
              <w:rPr/>
              <w:t>​</w:t>
            </w:r>
          </w:p>
        </w:tc>
      </w:tr>
      <w:tr>
        <w:trPr/>
        <w:tc>
          <w:tcPr>
            <w:tcW w:w="8142" w:type="dxa"/>
            <w:tcBorders/>
            <w:shd w:fill="CCEEFF" w:val="clear"/>
            <w:vAlign w:val="bottom"/>
          </w:tcPr>
          <w:p>
            <w:pPr>
              <w:pStyle w:val="TableContents"/>
              <w:spacing w:before="240" w:after="283"/>
              <w:ind w:left="200" w:right="0" w:hanging="200"/>
              <w:rPr>
                <w:rFonts w:ascii="arial" w:hAnsi="arial"/>
                <w:b/>
                <w:sz w:val="20"/>
                <w:u w:val="single"/>
              </w:rPr>
            </w:pPr>
            <w:r>
              <w:rPr>
                <w:rFonts w:ascii="arial" w:hAnsi="arial"/>
                <w:b/>
                <w:sz w:val="20"/>
                <w:u w:val="single"/>
              </w:rPr>
              <w:t>Directors and Named Executive Officers:</w:t>
            </w:r>
          </w:p>
        </w:tc>
        <w:tc>
          <w:tcPr>
            <w:tcW w:w="23" w:type="dxa"/>
            <w:tcBorders/>
            <w:shd w:fill="CCEEFF" w:val="clear"/>
            <w:vAlign w:val="bottom"/>
          </w:tcPr>
          <w:p>
            <w:pPr>
              <w:pStyle w:val="TableContents"/>
              <w:spacing w:before="0" w:after="283"/>
              <w:rPr/>
            </w:pPr>
            <w:r>
              <w:rPr/>
              <w:t>​</w:t>
            </w:r>
          </w:p>
        </w:tc>
        <w:tc>
          <w:tcPr>
            <w:tcW w:w="875"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br/>
              <w:t> </w:t>
            </w:r>
          </w:p>
        </w:tc>
        <w:tc>
          <w:tcPr>
            <w:tcW w:w="23" w:type="dxa"/>
            <w:tcBorders/>
            <w:shd w:fill="CCEEFF" w:val="clear"/>
            <w:vAlign w:val="bottom"/>
          </w:tcPr>
          <w:p>
            <w:pPr>
              <w:pStyle w:val="TableContents"/>
              <w:spacing w:before="0" w:after="283"/>
              <w:rPr/>
            </w:pPr>
            <w:r>
              <w:rPr/>
              <w:t>​</w:t>
            </w:r>
          </w:p>
        </w:tc>
        <w:tc>
          <w:tcPr>
            <w:tcW w:w="61" w:type="dxa"/>
            <w:tcBorders/>
            <w:shd w:fill="CCEEFF" w:val="clear"/>
            <w:vAlign w:val="bottom"/>
          </w:tcPr>
          <w:p>
            <w:pPr>
              <w:pStyle w:val="TableContents"/>
              <w:spacing w:before="0" w:after="283"/>
              <w:rPr/>
            </w:pPr>
            <w:r>
              <w:rPr/>
              <w:t>​</w:t>
            </w:r>
          </w:p>
        </w:tc>
        <w:tc>
          <w:tcPr>
            <w:tcW w:w="515"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br/>
              <w:t> </w:t>
            </w:r>
          </w:p>
        </w:tc>
        <w:tc>
          <w:tcPr>
            <w:tcW w:w="542" w:type="dxa"/>
            <w:tcBorders/>
            <w:shd w:fill="CCEEFF" w:val="clear"/>
            <w:vAlign w:val="bottom"/>
          </w:tcPr>
          <w:p>
            <w:pPr>
              <w:pStyle w:val="TableContents"/>
              <w:spacing w:before="0" w:after="283"/>
              <w:rPr/>
            </w:pPr>
            <w:r>
              <w:rPr/>
              <w:t>​</w:t>
            </w:r>
          </w:p>
        </w:tc>
        <w:tc>
          <w:tcPr>
            <w:tcW w:w="24" w:type="dxa"/>
            <w:tcBorders/>
            <w:shd w:fill="CCEEFF" w:val="clear"/>
            <w:vAlign w:val="bottom"/>
          </w:tcPr>
          <w:p>
            <w:pPr>
              <w:pStyle w:val="TableContents"/>
              <w:spacing w:before="0" w:after="283"/>
              <w:rPr/>
            </w:pPr>
            <w:r>
              <w:rPr/>
              <w:t>​</w:t>
            </w:r>
          </w:p>
        </w:tc>
      </w:tr>
      <w:tr>
        <w:trPr/>
        <w:tc>
          <w:tcPr>
            <w:tcW w:w="8142" w:type="dxa"/>
            <w:tcBorders/>
            <w:shd w:fill="auto" w:val="clear"/>
            <w:vAlign w:val="bottom"/>
          </w:tcPr>
          <w:p>
            <w:pPr>
              <w:pStyle w:val="TableContents"/>
              <w:spacing w:before="0" w:after="283"/>
              <w:ind w:left="200" w:right="0" w:hanging="200"/>
              <w:rPr>
                <w:rFonts w:ascii="arial" w:hAnsi="arial"/>
                <w:sz w:val="20"/>
              </w:rPr>
            </w:pPr>
            <w:r>
              <w:rPr>
                <w:rFonts w:ascii="arial" w:hAnsi="arial"/>
                <w:sz w:val="20"/>
              </w:rPr>
              <w:t>Scott E. Burg</w:t>
            </w:r>
            <w:r>
              <w:rPr>
                <w:rFonts w:ascii="arial" w:hAnsi="arial"/>
                <w:position w:val="7"/>
                <w:sz w:val="16"/>
                <w:sz w:val="20"/>
              </w:rPr>
              <w:t>(3)</w:t>
            </w:r>
          </w:p>
        </w:tc>
        <w:tc>
          <w:tcPr>
            <w:tcW w:w="23" w:type="dxa"/>
            <w:tcBorders/>
            <w:shd w:fill="auto" w:val="clear"/>
            <w:vAlign w:val="bottom"/>
          </w:tcPr>
          <w:p>
            <w:pPr>
              <w:pStyle w:val="TableContents"/>
              <w:spacing w:before="0" w:after="283"/>
              <w:rPr/>
            </w:pPr>
            <w:r>
              <w:rPr/>
              <w:t>​</w:t>
            </w:r>
          </w:p>
        </w:tc>
        <w:tc>
          <w:tcPr>
            <w:tcW w:w="875" w:type="dxa"/>
            <w:gridSpan w:val="2"/>
            <w:tcBorders/>
            <w:shd w:fill="auto" w:val="clear"/>
            <w:vAlign w:val="bottom"/>
          </w:tcPr>
          <w:p>
            <w:pPr>
              <w:pStyle w:val="TableContents"/>
              <w:spacing w:before="0" w:after="283"/>
              <w:jc w:val="right"/>
              <w:rPr>
                <w:rFonts w:ascii="arial" w:hAnsi="arial"/>
                <w:sz w:val="20"/>
              </w:rPr>
            </w:pPr>
            <w:r>
              <w:rPr>
                <w:rFonts w:ascii="arial" w:hAnsi="arial"/>
                <w:sz w:val="20"/>
              </w:rPr>
              <w:t>3,746,015</w:t>
            </w:r>
          </w:p>
        </w:tc>
        <w:tc>
          <w:tcPr>
            <w:tcW w:w="23" w:type="dxa"/>
            <w:tcBorders/>
            <w:shd w:fill="auto" w:val="clear"/>
            <w:vAlign w:val="bottom"/>
          </w:tcPr>
          <w:p>
            <w:pPr>
              <w:pStyle w:val="TableContents"/>
              <w:spacing w:before="0" w:after="283"/>
              <w:rPr/>
            </w:pPr>
            <w:r>
              <w:rPr/>
              <w:t>​</w:t>
            </w:r>
          </w:p>
        </w:tc>
        <w:tc>
          <w:tcPr>
            <w:tcW w:w="61" w:type="dxa"/>
            <w:tcBorders/>
            <w:shd w:fill="auto" w:val="clear"/>
            <w:vAlign w:val="bottom"/>
          </w:tcPr>
          <w:p>
            <w:pPr>
              <w:pStyle w:val="TableContents"/>
              <w:spacing w:before="0" w:after="283"/>
              <w:rPr/>
            </w:pPr>
            <w:r>
              <w:rPr/>
              <w:t>​</w:t>
            </w:r>
          </w:p>
        </w:tc>
        <w:tc>
          <w:tcPr>
            <w:tcW w:w="515" w:type="dxa"/>
            <w:gridSpan w:val="2"/>
            <w:tcBorders/>
            <w:shd w:fill="auto" w:val="clear"/>
            <w:vAlign w:val="bottom"/>
          </w:tcPr>
          <w:p>
            <w:pPr>
              <w:pStyle w:val="TableContents"/>
              <w:spacing w:before="0" w:after="283"/>
              <w:jc w:val="right"/>
              <w:rPr>
                <w:rFonts w:ascii="arial" w:hAnsi="arial"/>
                <w:sz w:val="20"/>
              </w:rPr>
            </w:pPr>
            <w:r>
              <w:rPr>
                <w:rFonts w:ascii="arial" w:hAnsi="arial"/>
                <w:sz w:val="20"/>
              </w:rPr>
              <w:t>23.74</w:t>
            </w:r>
          </w:p>
        </w:tc>
        <w:tc>
          <w:tcPr>
            <w:tcW w:w="542" w:type="dxa"/>
            <w:tcBorders/>
            <w:shd w:fill="auto" w:val="clear"/>
            <w:vAlign w:val="bottom"/>
          </w:tcPr>
          <w:p>
            <w:pPr>
              <w:pStyle w:val="TableContents"/>
              <w:spacing w:before="0" w:after="283"/>
              <w:rPr>
                <w:rFonts w:ascii="arial" w:hAnsi="arial"/>
                <w:sz w:val="20"/>
              </w:rPr>
            </w:pPr>
            <w:r>
              <w:rPr>
                <w:rFonts w:ascii="arial" w:hAnsi="arial"/>
                <w:sz w:val="20"/>
              </w:rPr>
              <w:t>%</w:t>
            </w:r>
          </w:p>
        </w:tc>
        <w:tc>
          <w:tcPr>
            <w:tcW w:w="24" w:type="dxa"/>
            <w:tcBorders/>
            <w:shd w:fill="auto" w:val="clear"/>
            <w:vAlign w:val="bottom"/>
          </w:tcPr>
          <w:p>
            <w:pPr>
              <w:pStyle w:val="TableContents"/>
              <w:spacing w:before="0" w:after="283"/>
              <w:rPr/>
            </w:pPr>
            <w:r>
              <w:rPr/>
              <w:t>​</w:t>
            </w:r>
          </w:p>
        </w:tc>
      </w:tr>
      <w:tr>
        <w:trPr/>
        <w:tc>
          <w:tcPr>
            <w:tcW w:w="8142" w:type="dxa"/>
            <w:tcBorders/>
            <w:shd w:fill="CCEEFF" w:val="clear"/>
            <w:vAlign w:val="bottom"/>
          </w:tcPr>
          <w:p>
            <w:pPr>
              <w:pStyle w:val="TableContents"/>
              <w:spacing w:before="0" w:after="283"/>
              <w:ind w:left="200" w:right="0" w:hanging="200"/>
              <w:rPr>
                <w:rFonts w:ascii="arial" w:hAnsi="arial"/>
                <w:sz w:val="20"/>
              </w:rPr>
            </w:pPr>
            <w:r>
              <w:rPr>
                <w:rFonts w:ascii="arial" w:hAnsi="arial"/>
                <w:sz w:val="20"/>
              </w:rPr>
              <w:t>William B. Shepro</w:t>
            </w:r>
            <w:r>
              <w:rPr>
                <w:rFonts w:ascii="arial" w:hAnsi="arial"/>
                <w:position w:val="7"/>
                <w:sz w:val="16"/>
                <w:sz w:val="20"/>
              </w:rPr>
              <w:t>(4)</w:t>
            </w:r>
          </w:p>
        </w:tc>
        <w:tc>
          <w:tcPr>
            <w:tcW w:w="23" w:type="dxa"/>
            <w:tcBorders/>
            <w:shd w:fill="CCEEFF" w:val="clear"/>
            <w:vAlign w:val="bottom"/>
          </w:tcPr>
          <w:p>
            <w:pPr>
              <w:pStyle w:val="TableContents"/>
              <w:spacing w:before="0" w:after="283"/>
              <w:rPr/>
            </w:pPr>
            <w:r>
              <w:rPr/>
              <w:t>​</w:t>
            </w:r>
          </w:p>
        </w:tc>
        <w:tc>
          <w:tcPr>
            <w:tcW w:w="875"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712,578</w:t>
            </w:r>
          </w:p>
        </w:tc>
        <w:tc>
          <w:tcPr>
            <w:tcW w:w="23" w:type="dxa"/>
            <w:tcBorders/>
            <w:shd w:fill="CCEEFF" w:val="clear"/>
            <w:vAlign w:val="bottom"/>
          </w:tcPr>
          <w:p>
            <w:pPr>
              <w:pStyle w:val="TableContents"/>
              <w:spacing w:before="0" w:after="283"/>
              <w:rPr/>
            </w:pPr>
            <w:r>
              <w:rPr/>
              <w:t>​</w:t>
            </w:r>
          </w:p>
        </w:tc>
        <w:tc>
          <w:tcPr>
            <w:tcW w:w="61" w:type="dxa"/>
            <w:tcBorders/>
            <w:shd w:fill="CCEEFF" w:val="clear"/>
            <w:vAlign w:val="bottom"/>
          </w:tcPr>
          <w:p>
            <w:pPr>
              <w:pStyle w:val="TableContents"/>
              <w:spacing w:before="0" w:after="283"/>
              <w:rPr/>
            </w:pPr>
            <w:r>
              <w:rPr/>
              <w:t>​</w:t>
            </w:r>
          </w:p>
        </w:tc>
        <w:tc>
          <w:tcPr>
            <w:tcW w:w="515" w:type="dxa"/>
            <w:gridSpan w:val="2"/>
            <w:tcBorders/>
            <w:shd w:fill="CCEEFF" w:val="clear"/>
            <w:vAlign w:val="bottom"/>
          </w:tcPr>
          <w:p>
            <w:pPr>
              <w:pStyle w:val="TableContents"/>
              <w:spacing w:before="0" w:after="283"/>
              <w:jc w:val="right"/>
              <w:rPr/>
            </w:pPr>
            <w:r>
              <w:rPr/>
              <w:t>  </w:t>
            </w:r>
            <w:r>
              <w:rPr>
                <w:rFonts w:ascii="arial" w:hAnsi="arial"/>
                <w:sz w:val="20"/>
              </w:rPr>
              <w:t>4.52</w:t>
            </w:r>
          </w:p>
        </w:tc>
        <w:tc>
          <w:tcPr>
            <w:tcW w:w="542" w:type="dxa"/>
            <w:tcBorders/>
            <w:shd w:fill="CCEEFF" w:val="clear"/>
            <w:vAlign w:val="bottom"/>
          </w:tcPr>
          <w:p>
            <w:pPr>
              <w:pStyle w:val="TableContents"/>
              <w:spacing w:before="0" w:after="283"/>
              <w:rPr>
                <w:rFonts w:ascii="arial" w:hAnsi="arial"/>
                <w:sz w:val="20"/>
              </w:rPr>
            </w:pPr>
            <w:r>
              <w:rPr>
                <w:rFonts w:ascii="arial" w:hAnsi="arial"/>
                <w:sz w:val="20"/>
              </w:rPr>
              <w:t>%</w:t>
            </w:r>
          </w:p>
        </w:tc>
        <w:tc>
          <w:tcPr>
            <w:tcW w:w="24" w:type="dxa"/>
            <w:tcBorders/>
            <w:shd w:fill="CCEEFF" w:val="clear"/>
            <w:vAlign w:val="bottom"/>
          </w:tcPr>
          <w:p>
            <w:pPr>
              <w:pStyle w:val="TableContents"/>
              <w:spacing w:before="0" w:after="283"/>
              <w:rPr/>
            </w:pPr>
            <w:r>
              <w:rPr/>
              <w:t>​</w:t>
            </w:r>
          </w:p>
        </w:tc>
      </w:tr>
      <w:tr>
        <w:trPr/>
        <w:tc>
          <w:tcPr>
            <w:tcW w:w="8142" w:type="dxa"/>
            <w:tcBorders/>
            <w:shd w:fill="auto" w:val="clear"/>
            <w:vAlign w:val="bottom"/>
          </w:tcPr>
          <w:p>
            <w:pPr>
              <w:pStyle w:val="TableContents"/>
              <w:spacing w:before="0" w:after="283"/>
              <w:ind w:left="200" w:right="0" w:hanging="200"/>
              <w:rPr>
                <w:rFonts w:ascii="arial" w:hAnsi="arial"/>
                <w:sz w:val="20"/>
              </w:rPr>
            </w:pPr>
            <w:r>
              <w:rPr>
                <w:rFonts w:ascii="arial" w:hAnsi="arial"/>
                <w:sz w:val="20"/>
              </w:rPr>
              <w:t>Kevin J. Wilcox</w:t>
            </w:r>
            <w:r>
              <w:rPr>
                <w:rFonts w:ascii="arial" w:hAnsi="arial"/>
                <w:position w:val="7"/>
                <w:sz w:val="16"/>
                <w:sz w:val="20"/>
              </w:rPr>
              <w:t>(5)</w:t>
            </w:r>
          </w:p>
        </w:tc>
        <w:tc>
          <w:tcPr>
            <w:tcW w:w="23" w:type="dxa"/>
            <w:tcBorders/>
            <w:shd w:fill="auto" w:val="clear"/>
            <w:vAlign w:val="bottom"/>
          </w:tcPr>
          <w:p>
            <w:pPr>
              <w:pStyle w:val="TableContents"/>
              <w:spacing w:before="0" w:after="283"/>
              <w:rPr/>
            </w:pPr>
            <w:r>
              <w:rPr/>
              <w:t>​</w:t>
            </w:r>
          </w:p>
        </w:tc>
        <w:tc>
          <w:tcPr>
            <w:tcW w:w="875" w:type="dxa"/>
            <w:gridSpan w:val="2"/>
            <w:tcBorders/>
            <w:shd w:fill="auto" w:val="clear"/>
            <w:vAlign w:val="bottom"/>
          </w:tcPr>
          <w:p>
            <w:pPr>
              <w:pStyle w:val="TableContents"/>
              <w:spacing w:before="0" w:after="283"/>
              <w:jc w:val="right"/>
              <w:rPr>
                <w:rFonts w:ascii="arial" w:hAnsi="arial"/>
                <w:sz w:val="20"/>
              </w:rPr>
            </w:pPr>
            <w:r>
              <w:rPr>
                <w:rFonts w:ascii="arial" w:hAnsi="arial"/>
                <w:sz w:val="20"/>
              </w:rPr>
              <w:t>390,558</w:t>
            </w:r>
          </w:p>
        </w:tc>
        <w:tc>
          <w:tcPr>
            <w:tcW w:w="23" w:type="dxa"/>
            <w:tcBorders/>
            <w:shd w:fill="auto" w:val="clear"/>
            <w:vAlign w:val="bottom"/>
          </w:tcPr>
          <w:p>
            <w:pPr>
              <w:pStyle w:val="TableContents"/>
              <w:spacing w:before="0" w:after="283"/>
              <w:rPr/>
            </w:pPr>
            <w:r>
              <w:rPr/>
              <w:t>​</w:t>
            </w:r>
          </w:p>
        </w:tc>
        <w:tc>
          <w:tcPr>
            <w:tcW w:w="61" w:type="dxa"/>
            <w:tcBorders/>
            <w:shd w:fill="auto" w:val="clear"/>
            <w:vAlign w:val="bottom"/>
          </w:tcPr>
          <w:p>
            <w:pPr>
              <w:pStyle w:val="TableContents"/>
              <w:spacing w:before="0" w:after="283"/>
              <w:rPr/>
            </w:pPr>
            <w:r>
              <w:rPr/>
              <w:t>​</w:t>
            </w:r>
          </w:p>
        </w:tc>
        <w:tc>
          <w:tcPr>
            <w:tcW w:w="515" w:type="dxa"/>
            <w:gridSpan w:val="2"/>
            <w:tcBorders/>
            <w:shd w:fill="auto" w:val="clear"/>
            <w:vAlign w:val="bottom"/>
          </w:tcPr>
          <w:p>
            <w:pPr>
              <w:pStyle w:val="TableContents"/>
              <w:spacing w:before="0" w:after="283"/>
              <w:jc w:val="right"/>
              <w:rPr/>
            </w:pPr>
            <w:r>
              <w:rPr/>
              <w:t>  </w:t>
            </w:r>
            <w:r>
              <w:rPr>
                <w:rFonts w:ascii="arial" w:hAnsi="arial"/>
                <w:sz w:val="20"/>
              </w:rPr>
              <w:t>2.47</w:t>
            </w:r>
          </w:p>
        </w:tc>
        <w:tc>
          <w:tcPr>
            <w:tcW w:w="542" w:type="dxa"/>
            <w:tcBorders/>
            <w:shd w:fill="auto" w:val="clear"/>
            <w:vAlign w:val="bottom"/>
          </w:tcPr>
          <w:p>
            <w:pPr>
              <w:pStyle w:val="TableContents"/>
              <w:spacing w:before="0" w:after="283"/>
              <w:rPr>
                <w:rFonts w:ascii="arial" w:hAnsi="arial"/>
                <w:sz w:val="20"/>
              </w:rPr>
            </w:pPr>
            <w:r>
              <w:rPr>
                <w:rFonts w:ascii="arial" w:hAnsi="arial"/>
                <w:sz w:val="20"/>
              </w:rPr>
              <w:t>%</w:t>
            </w:r>
          </w:p>
        </w:tc>
        <w:tc>
          <w:tcPr>
            <w:tcW w:w="24" w:type="dxa"/>
            <w:tcBorders/>
            <w:shd w:fill="auto" w:val="clear"/>
            <w:vAlign w:val="bottom"/>
          </w:tcPr>
          <w:p>
            <w:pPr>
              <w:pStyle w:val="TableContents"/>
              <w:spacing w:before="0" w:after="283"/>
              <w:rPr/>
            </w:pPr>
            <w:r>
              <w:rPr/>
              <w:t>​</w:t>
            </w:r>
          </w:p>
        </w:tc>
      </w:tr>
      <w:tr>
        <w:trPr/>
        <w:tc>
          <w:tcPr>
            <w:tcW w:w="8142" w:type="dxa"/>
            <w:tcBorders/>
            <w:shd w:fill="CCEEFF" w:val="clear"/>
            <w:vAlign w:val="bottom"/>
          </w:tcPr>
          <w:p>
            <w:pPr>
              <w:pStyle w:val="TableContents"/>
              <w:spacing w:before="0" w:after="283"/>
              <w:ind w:left="200" w:right="0" w:hanging="200"/>
              <w:rPr>
                <w:rFonts w:ascii="arial" w:hAnsi="arial"/>
                <w:sz w:val="20"/>
              </w:rPr>
            </w:pPr>
            <w:r>
              <w:rPr>
                <w:rFonts w:ascii="arial" w:hAnsi="arial"/>
                <w:sz w:val="20"/>
              </w:rPr>
              <w:t>Michelle D. Esterman</w:t>
            </w:r>
            <w:r>
              <w:rPr>
                <w:rFonts w:ascii="arial" w:hAnsi="arial"/>
                <w:position w:val="7"/>
                <w:sz w:val="16"/>
                <w:sz w:val="20"/>
              </w:rPr>
              <w:t>(6)</w:t>
            </w:r>
          </w:p>
        </w:tc>
        <w:tc>
          <w:tcPr>
            <w:tcW w:w="23" w:type="dxa"/>
            <w:tcBorders/>
            <w:shd w:fill="CCEEFF" w:val="clear"/>
            <w:vAlign w:val="bottom"/>
          </w:tcPr>
          <w:p>
            <w:pPr>
              <w:pStyle w:val="TableContents"/>
              <w:spacing w:before="0" w:after="283"/>
              <w:rPr/>
            </w:pPr>
            <w:r>
              <w:rPr/>
              <w:t>​</w:t>
            </w:r>
          </w:p>
        </w:tc>
        <w:tc>
          <w:tcPr>
            <w:tcW w:w="875"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121,421</w:t>
            </w:r>
          </w:p>
        </w:tc>
        <w:tc>
          <w:tcPr>
            <w:tcW w:w="23" w:type="dxa"/>
            <w:tcBorders/>
            <w:shd w:fill="CCEEFF" w:val="clear"/>
            <w:vAlign w:val="bottom"/>
          </w:tcPr>
          <w:p>
            <w:pPr>
              <w:pStyle w:val="TableContents"/>
              <w:spacing w:before="0" w:after="283"/>
              <w:rPr/>
            </w:pPr>
            <w:r>
              <w:rPr/>
              <w:t>​</w:t>
            </w:r>
          </w:p>
        </w:tc>
        <w:tc>
          <w:tcPr>
            <w:tcW w:w="61" w:type="dxa"/>
            <w:tcBorders/>
            <w:shd w:fill="CCEEFF" w:val="clear"/>
            <w:vAlign w:val="bottom"/>
          </w:tcPr>
          <w:p>
            <w:pPr>
              <w:pStyle w:val="TableContents"/>
              <w:spacing w:before="0" w:after="283"/>
              <w:rPr/>
            </w:pPr>
            <w:r>
              <w:rPr/>
              <w:t>​</w:t>
            </w:r>
          </w:p>
        </w:tc>
        <w:tc>
          <w:tcPr>
            <w:tcW w:w="515"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w:t>
            </w:r>
          </w:p>
        </w:tc>
        <w:tc>
          <w:tcPr>
            <w:tcW w:w="542" w:type="dxa"/>
            <w:tcBorders/>
            <w:shd w:fill="CCEEFF" w:val="clear"/>
            <w:vAlign w:val="bottom"/>
          </w:tcPr>
          <w:p>
            <w:pPr>
              <w:pStyle w:val="TableContents"/>
              <w:spacing w:before="0" w:after="283"/>
              <w:rPr/>
            </w:pPr>
            <w:r>
              <w:rPr/>
              <w:t>​</w:t>
            </w:r>
          </w:p>
        </w:tc>
        <w:tc>
          <w:tcPr>
            <w:tcW w:w="24" w:type="dxa"/>
            <w:tcBorders/>
            <w:shd w:fill="CCEEFF" w:val="clear"/>
            <w:vAlign w:val="bottom"/>
          </w:tcPr>
          <w:p>
            <w:pPr>
              <w:pStyle w:val="TableContents"/>
              <w:spacing w:before="0" w:after="283"/>
              <w:rPr/>
            </w:pPr>
            <w:r>
              <w:rPr/>
              <w:t>​</w:t>
            </w:r>
          </w:p>
        </w:tc>
      </w:tr>
      <w:tr>
        <w:trPr/>
        <w:tc>
          <w:tcPr>
            <w:tcW w:w="8142" w:type="dxa"/>
            <w:tcBorders/>
            <w:shd w:fill="auto" w:val="clear"/>
            <w:vAlign w:val="bottom"/>
          </w:tcPr>
          <w:p>
            <w:pPr>
              <w:pStyle w:val="TableContents"/>
              <w:spacing w:before="0" w:after="283"/>
              <w:ind w:left="200" w:right="0" w:hanging="200"/>
              <w:rPr>
                <w:rFonts w:ascii="arial" w:hAnsi="arial"/>
                <w:sz w:val="20"/>
              </w:rPr>
            </w:pPr>
            <w:r>
              <w:rPr>
                <w:rFonts w:ascii="arial" w:hAnsi="arial"/>
                <w:sz w:val="20"/>
              </w:rPr>
              <w:t>Marcello Mastioni</w:t>
            </w:r>
            <w:r>
              <w:rPr>
                <w:rFonts w:ascii="arial" w:hAnsi="arial"/>
                <w:position w:val="7"/>
                <w:sz w:val="16"/>
                <w:sz w:val="20"/>
              </w:rPr>
              <w:t>(7)</w:t>
            </w:r>
          </w:p>
        </w:tc>
        <w:tc>
          <w:tcPr>
            <w:tcW w:w="23" w:type="dxa"/>
            <w:tcBorders/>
            <w:shd w:fill="auto" w:val="clear"/>
            <w:vAlign w:val="bottom"/>
          </w:tcPr>
          <w:p>
            <w:pPr>
              <w:pStyle w:val="TableContents"/>
              <w:spacing w:before="0" w:after="283"/>
              <w:rPr/>
            </w:pPr>
            <w:r>
              <w:rPr/>
              <w:t>​</w:t>
            </w:r>
          </w:p>
        </w:tc>
        <w:tc>
          <w:tcPr>
            <w:tcW w:w="875" w:type="dxa"/>
            <w:gridSpan w:val="2"/>
            <w:tcBorders/>
            <w:shd w:fill="auto" w:val="clear"/>
            <w:vAlign w:val="bottom"/>
          </w:tcPr>
          <w:p>
            <w:pPr>
              <w:pStyle w:val="TableContents"/>
              <w:spacing w:before="0" w:after="283"/>
              <w:jc w:val="right"/>
              <w:rPr>
                <w:rFonts w:ascii="arial" w:hAnsi="arial"/>
                <w:sz w:val="20"/>
              </w:rPr>
            </w:pPr>
            <w:r>
              <w:rPr>
                <w:rFonts w:ascii="arial" w:hAnsi="arial"/>
                <w:sz w:val="20"/>
              </w:rPr>
              <w:t>88,837</w:t>
            </w:r>
          </w:p>
        </w:tc>
        <w:tc>
          <w:tcPr>
            <w:tcW w:w="23" w:type="dxa"/>
            <w:tcBorders/>
            <w:shd w:fill="auto" w:val="clear"/>
            <w:vAlign w:val="bottom"/>
          </w:tcPr>
          <w:p>
            <w:pPr>
              <w:pStyle w:val="TableContents"/>
              <w:spacing w:before="0" w:after="283"/>
              <w:rPr/>
            </w:pPr>
            <w:r>
              <w:rPr/>
              <w:t>​</w:t>
            </w:r>
          </w:p>
        </w:tc>
        <w:tc>
          <w:tcPr>
            <w:tcW w:w="61" w:type="dxa"/>
            <w:tcBorders/>
            <w:shd w:fill="auto" w:val="clear"/>
            <w:vAlign w:val="bottom"/>
          </w:tcPr>
          <w:p>
            <w:pPr>
              <w:pStyle w:val="TableContents"/>
              <w:spacing w:before="0" w:after="283"/>
              <w:rPr/>
            </w:pPr>
            <w:r>
              <w:rPr/>
              <w:t>​</w:t>
            </w:r>
          </w:p>
        </w:tc>
        <w:tc>
          <w:tcPr>
            <w:tcW w:w="515" w:type="dxa"/>
            <w:gridSpan w:val="2"/>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542"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8142" w:type="dxa"/>
            <w:tcBorders/>
            <w:shd w:fill="CCEEFF" w:val="clear"/>
            <w:vAlign w:val="bottom"/>
          </w:tcPr>
          <w:p>
            <w:pPr>
              <w:pStyle w:val="TableContents"/>
              <w:spacing w:before="0" w:after="283"/>
              <w:ind w:left="200" w:right="0" w:hanging="200"/>
              <w:rPr>
                <w:rFonts w:ascii="arial" w:hAnsi="arial"/>
                <w:sz w:val="20"/>
              </w:rPr>
            </w:pPr>
            <w:r>
              <w:rPr>
                <w:rFonts w:ascii="arial" w:hAnsi="arial"/>
                <w:sz w:val="20"/>
              </w:rPr>
              <w:t>Gregory J. Ritts</w:t>
            </w:r>
            <w:r>
              <w:rPr>
                <w:rFonts w:ascii="arial" w:hAnsi="arial"/>
                <w:position w:val="7"/>
                <w:sz w:val="16"/>
                <w:sz w:val="20"/>
              </w:rPr>
              <w:t>(8)</w:t>
            </w:r>
          </w:p>
        </w:tc>
        <w:tc>
          <w:tcPr>
            <w:tcW w:w="23" w:type="dxa"/>
            <w:tcBorders/>
            <w:shd w:fill="CCEEFF" w:val="clear"/>
            <w:vAlign w:val="bottom"/>
          </w:tcPr>
          <w:p>
            <w:pPr>
              <w:pStyle w:val="TableContents"/>
              <w:spacing w:before="0" w:after="283"/>
              <w:rPr/>
            </w:pPr>
            <w:r>
              <w:rPr/>
              <w:t>​</w:t>
            </w:r>
          </w:p>
        </w:tc>
        <w:tc>
          <w:tcPr>
            <w:tcW w:w="875"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57,199</w:t>
            </w:r>
          </w:p>
        </w:tc>
        <w:tc>
          <w:tcPr>
            <w:tcW w:w="23" w:type="dxa"/>
            <w:tcBorders/>
            <w:shd w:fill="CCEEFF" w:val="clear"/>
            <w:vAlign w:val="bottom"/>
          </w:tcPr>
          <w:p>
            <w:pPr>
              <w:pStyle w:val="TableContents"/>
              <w:spacing w:before="0" w:after="283"/>
              <w:rPr/>
            </w:pPr>
            <w:r>
              <w:rPr/>
              <w:t>​</w:t>
            </w:r>
          </w:p>
        </w:tc>
        <w:tc>
          <w:tcPr>
            <w:tcW w:w="61" w:type="dxa"/>
            <w:tcBorders/>
            <w:shd w:fill="CCEEFF" w:val="clear"/>
            <w:vAlign w:val="bottom"/>
          </w:tcPr>
          <w:p>
            <w:pPr>
              <w:pStyle w:val="TableContents"/>
              <w:spacing w:before="0" w:after="283"/>
              <w:rPr/>
            </w:pPr>
            <w:r>
              <w:rPr/>
              <w:t>​</w:t>
            </w:r>
          </w:p>
        </w:tc>
        <w:tc>
          <w:tcPr>
            <w:tcW w:w="515"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w:t>
            </w:r>
          </w:p>
        </w:tc>
        <w:tc>
          <w:tcPr>
            <w:tcW w:w="542" w:type="dxa"/>
            <w:tcBorders/>
            <w:shd w:fill="CCEEFF" w:val="clear"/>
            <w:vAlign w:val="bottom"/>
          </w:tcPr>
          <w:p>
            <w:pPr>
              <w:pStyle w:val="TableContents"/>
              <w:spacing w:before="0" w:after="283"/>
              <w:rPr/>
            </w:pPr>
            <w:r>
              <w:rPr/>
              <w:t>​</w:t>
            </w:r>
          </w:p>
        </w:tc>
        <w:tc>
          <w:tcPr>
            <w:tcW w:w="24" w:type="dxa"/>
            <w:tcBorders/>
            <w:shd w:fill="CCEEFF" w:val="clear"/>
            <w:vAlign w:val="bottom"/>
          </w:tcPr>
          <w:p>
            <w:pPr>
              <w:pStyle w:val="TableContents"/>
              <w:spacing w:before="0" w:after="283"/>
              <w:rPr/>
            </w:pPr>
            <w:r>
              <w:rPr/>
              <w:t>​</w:t>
            </w:r>
          </w:p>
        </w:tc>
      </w:tr>
      <w:tr>
        <w:trPr/>
        <w:tc>
          <w:tcPr>
            <w:tcW w:w="8142" w:type="dxa"/>
            <w:tcBorders/>
            <w:shd w:fill="auto" w:val="clear"/>
            <w:vAlign w:val="bottom"/>
          </w:tcPr>
          <w:p>
            <w:pPr>
              <w:pStyle w:val="TableContents"/>
              <w:spacing w:before="0" w:after="283"/>
              <w:ind w:left="200" w:right="0" w:hanging="200"/>
              <w:rPr>
                <w:rFonts w:ascii="arial" w:hAnsi="arial"/>
                <w:sz w:val="20"/>
              </w:rPr>
            </w:pPr>
            <w:r>
              <w:rPr>
                <w:rFonts w:ascii="arial" w:hAnsi="arial"/>
                <w:sz w:val="20"/>
              </w:rPr>
              <w:t>Roland Müller-Ineichen</w:t>
            </w:r>
          </w:p>
        </w:tc>
        <w:tc>
          <w:tcPr>
            <w:tcW w:w="23" w:type="dxa"/>
            <w:tcBorders/>
            <w:shd w:fill="auto" w:val="clear"/>
            <w:vAlign w:val="bottom"/>
          </w:tcPr>
          <w:p>
            <w:pPr>
              <w:pStyle w:val="TableContents"/>
              <w:spacing w:before="0" w:after="283"/>
              <w:rPr/>
            </w:pPr>
            <w:r>
              <w:rPr/>
              <w:t>​</w:t>
            </w:r>
          </w:p>
        </w:tc>
        <w:tc>
          <w:tcPr>
            <w:tcW w:w="875" w:type="dxa"/>
            <w:gridSpan w:val="2"/>
            <w:tcBorders/>
            <w:shd w:fill="auto" w:val="clear"/>
            <w:vAlign w:val="bottom"/>
          </w:tcPr>
          <w:p>
            <w:pPr>
              <w:pStyle w:val="TableContents"/>
              <w:spacing w:before="0" w:after="283"/>
              <w:jc w:val="right"/>
              <w:rPr>
                <w:rFonts w:ascii="arial" w:hAnsi="arial"/>
                <w:sz w:val="20"/>
              </w:rPr>
            </w:pPr>
            <w:r>
              <w:rPr>
                <w:rFonts w:ascii="arial" w:hAnsi="arial"/>
                <w:sz w:val="20"/>
              </w:rPr>
              <w:t>39,001</w:t>
            </w:r>
          </w:p>
        </w:tc>
        <w:tc>
          <w:tcPr>
            <w:tcW w:w="23" w:type="dxa"/>
            <w:tcBorders/>
            <w:shd w:fill="auto" w:val="clear"/>
            <w:vAlign w:val="bottom"/>
          </w:tcPr>
          <w:p>
            <w:pPr>
              <w:pStyle w:val="TableContents"/>
              <w:spacing w:before="0" w:after="283"/>
              <w:rPr/>
            </w:pPr>
            <w:r>
              <w:rPr/>
              <w:t>​</w:t>
            </w:r>
          </w:p>
        </w:tc>
        <w:tc>
          <w:tcPr>
            <w:tcW w:w="61" w:type="dxa"/>
            <w:tcBorders/>
            <w:shd w:fill="auto" w:val="clear"/>
            <w:vAlign w:val="bottom"/>
          </w:tcPr>
          <w:p>
            <w:pPr>
              <w:pStyle w:val="TableContents"/>
              <w:spacing w:before="0" w:after="283"/>
              <w:rPr/>
            </w:pPr>
            <w:r>
              <w:rPr/>
              <w:t>​</w:t>
            </w:r>
          </w:p>
        </w:tc>
        <w:tc>
          <w:tcPr>
            <w:tcW w:w="515" w:type="dxa"/>
            <w:gridSpan w:val="2"/>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542"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8142" w:type="dxa"/>
            <w:tcBorders/>
            <w:shd w:fill="CCEEFF" w:val="clear"/>
            <w:vAlign w:val="bottom"/>
          </w:tcPr>
          <w:p>
            <w:pPr>
              <w:pStyle w:val="TableContents"/>
              <w:spacing w:before="0" w:after="283"/>
              <w:ind w:left="200" w:right="0" w:hanging="200"/>
              <w:rPr>
                <w:rFonts w:ascii="arial" w:hAnsi="arial"/>
                <w:sz w:val="20"/>
              </w:rPr>
            </w:pPr>
            <w:r>
              <w:rPr>
                <w:rFonts w:ascii="arial" w:hAnsi="arial"/>
                <w:sz w:val="20"/>
              </w:rPr>
              <w:t>Joseph L. Morettini</w:t>
            </w:r>
          </w:p>
        </w:tc>
        <w:tc>
          <w:tcPr>
            <w:tcW w:w="23" w:type="dxa"/>
            <w:tcBorders/>
            <w:shd w:fill="CCEEFF" w:val="clear"/>
            <w:vAlign w:val="bottom"/>
          </w:tcPr>
          <w:p>
            <w:pPr>
              <w:pStyle w:val="TableContents"/>
              <w:spacing w:before="0" w:after="283"/>
              <w:rPr/>
            </w:pPr>
            <w:r>
              <w:rPr/>
              <w:t>​</w:t>
            </w:r>
          </w:p>
        </w:tc>
        <w:tc>
          <w:tcPr>
            <w:tcW w:w="875"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15,768</w:t>
            </w:r>
          </w:p>
        </w:tc>
        <w:tc>
          <w:tcPr>
            <w:tcW w:w="23" w:type="dxa"/>
            <w:tcBorders/>
            <w:shd w:fill="CCEEFF" w:val="clear"/>
            <w:vAlign w:val="bottom"/>
          </w:tcPr>
          <w:p>
            <w:pPr>
              <w:pStyle w:val="TableContents"/>
              <w:spacing w:before="0" w:after="283"/>
              <w:rPr/>
            </w:pPr>
            <w:r>
              <w:rPr/>
              <w:t>​</w:t>
            </w:r>
          </w:p>
        </w:tc>
        <w:tc>
          <w:tcPr>
            <w:tcW w:w="61" w:type="dxa"/>
            <w:tcBorders/>
            <w:shd w:fill="CCEEFF" w:val="clear"/>
            <w:vAlign w:val="bottom"/>
          </w:tcPr>
          <w:p>
            <w:pPr>
              <w:pStyle w:val="TableContents"/>
              <w:spacing w:before="0" w:after="283"/>
              <w:rPr/>
            </w:pPr>
            <w:r>
              <w:rPr/>
              <w:t>​</w:t>
            </w:r>
          </w:p>
        </w:tc>
        <w:tc>
          <w:tcPr>
            <w:tcW w:w="515"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w:t>
            </w:r>
          </w:p>
        </w:tc>
        <w:tc>
          <w:tcPr>
            <w:tcW w:w="542" w:type="dxa"/>
            <w:tcBorders/>
            <w:shd w:fill="CCEEFF" w:val="clear"/>
            <w:vAlign w:val="bottom"/>
          </w:tcPr>
          <w:p>
            <w:pPr>
              <w:pStyle w:val="TableContents"/>
              <w:spacing w:before="0" w:after="283"/>
              <w:rPr/>
            </w:pPr>
            <w:r>
              <w:rPr/>
              <w:t>​</w:t>
            </w:r>
          </w:p>
        </w:tc>
        <w:tc>
          <w:tcPr>
            <w:tcW w:w="24" w:type="dxa"/>
            <w:tcBorders/>
            <w:shd w:fill="CCEEFF" w:val="clear"/>
            <w:vAlign w:val="bottom"/>
          </w:tcPr>
          <w:p>
            <w:pPr>
              <w:pStyle w:val="TableContents"/>
              <w:spacing w:before="0" w:after="283"/>
              <w:rPr/>
            </w:pPr>
            <w:r>
              <w:rPr/>
              <w:t>​</w:t>
            </w:r>
          </w:p>
        </w:tc>
      </w:tr>
      <w:tr>
        <w:trPr/>
        <w:tc>
          <w:tcPr>
            <w:tcW w:w="8142" w:type="dxa"/>
            <w:tcBorders/>
            <w:shd w:fill="auto" w:val="clear"/>
            <w:vAlign w:val="bottom"/>
          </w:tcPr>
          <w:p>
            <w:pPr>
              <w:pStyle w:val="TableContents"/>
              <w:spacing w:before="0" w:after="283"/>
              <w:ind w:left="200" w:right="0" w:hanging="200"/>
              <w:rPr>
                <w:rFonts w:ascii="arial" w:hAnsi="arial"/>
                <w:b/>
                <w:sz w:val="20"/>
              </w:rPr>
            </w:pPr>
            <w:r>
              <w:rPr>
                <w:rFonts w:ascii="arial" w:hAnsi="arial"/>
                <w:b/>
                <w:sz w:val="20"/>
              </w:rPr>
              <w:t>All Directors and Executive Officers as a Group (8 persons)</w:t>
            </w:r>
          </w:p>
        </w:tc>
        <w:tc>
          <w:tcPr>
            <w:tcW w:w="23" w:type="dxa"/>
            <w:tcBorders/>
            <w:shd w:fill="auto" w:val="clear"/>
            <w:vAlign w:val="bottom"/>
          </w:tcPr>
          <w:p>
            <w:pPr>
              <w:pStyle w:val="TableContents"/>
              <w:spacing w:before="0" w:after="283"/>
              <w:rPr/>
            </w:pPr>
            <w:r>
              <w:rPr/>
              <w:t>​</w:t>
            </w:r>
          </w:p>
        </w:tc>
        <w:tc>
          <w:tcPr>
            <w:tcW w:w="875" w:type="dxa"/>
            <w:gridSpan w:val="2"/>
            <w:tcBorders/>
            <w:shd w:fill="auto" w:val="clear"/>
            <w:vAlign w:val="bottom"/>
          </w:tcPr>
          <w:p>
            <w:pPr>
              <w:pStyle w:val="TableContents"/>
              <w:spacing w:before="0" w:after="283"/>
              <w:jc w:val="right"/>
              <w:rPr>
                <w:rFonts w:ascii="arial" w:hAnsi="arial"/>
                <w:b/>
                <w:sz w:val="20"/>
              </w:rPr>
            </w:pPr>
            <w:r>
              <w:rPr>
                <w:rFonts w:ascii="arial" w:hAnsi="arial"/>
                <w:b/>
                <w:sz w:val="20"/>
              </w:rPr>
              <w:t>5,171,377</w:t>
            </w:r>
          </w:p>
        </w:tc>
        <w:tc>
          <w:tcPr>
            <w:tcW w:w="23" w:type="dxa"/>
            <w:tcBorders/>
            <w:shd w:fill="auto" w:val="clear"/>
            <w:vAlign w:val="bottom"/>
          </w:tcPr>
          <w:p>
            <w:pPr>
              <w:pStyle w:val="TableContents"/>
              <w:spacing w:before="0" w:after="283"/>
              <w:rPr/>
            </w:pPr>
            <w:r>
              <w:rPr/>
              <w:t>​</w:t>
            </w:r>
          </w:p>
        </w:tc>
        <w:tc>
          <w:tcPr>
            <w:tcW w:w="61" w:type="dxa"/>
            <w:tcBorders/>
            <w:shd w:fill="auto" w:val="clear"/>
            <w:vAlign w:val="bottom"/>
          </w:tcPr>
          <w:p>
            <w:pPr>
              <w:pStyle w:val="TableContents"/>
              <w:spacing w:before="0" w:after="283"/>
              <w:rPr/>
            </w:pPr>
            <w:r>
              <w:rPr/>
              <w:t>​</w:t>
            </w:r>
          </w:p>
        </w:tc>
        <w:tc>
          <w:tcPr>
            <w:tcW w:w="515" w:type="dxa"/>
            <w:gridSpan w:val="2"/>
            <w:tcBorders/>
            <w:shd w:fill="auto" w:val="clear"/>
            <w:vAlign w:val="bottom"/>
          </w:tcPr>
          <w:p>
            <w:pPr>
              <w:pStyle w:val="TableContents"/>
              <w:spacing w:before="0" w:after="283"/>
              <w:jc w:val="right"/>
              <w:rPr>
                <w:rFonts w:ascii="arial" w:hAnsi="arial"/>
                <w:b/>
                <w:sz w:val="20"/>
              </w:rPr>
            </w:pPr>
            <w:r>
              <w:rPr>
                <w:rFonts w:ascii="arial" w:hAnsi="arial"/>
                <w:b/>
                <w:sz w:val="20"/>
              </w:rPr>
              <w:t>32.77</w:t>
            </w:r>
          </w:p>
        </w:tc>
        <w:tc>
          <w:tcPr>
            <w:tcW w:w="542" w:type="dxa"/>
            <w:tcBorders/>
            <w:shd w:fill="auto" w:val="clear"/>
            <w:vAlign w:val="bottom"/>
          </w:tcPr>
          <w:p>
            <w:pPr>
              <w:pStyle w:val="TableContents"/>
              <w:spacing w:before="0" w:after="283"/>
              <w:rPr>
                <w:rFonts w:ascii="arial" w:hAnsi="arial"/>
                <w:b/>
                <w:sz w:val="20"/>
              </w:rPr>
            </w:pPr>
            <w:r>
              <w:rPr>
                <w:rFonts w:ascii="arial" w:hAnsi="arial"/>
                <w:b/>
                <w:sz w:val="20"/>
              </w:rPr>
              <w:t>%</w:t>
            </w:r>
          </w:p>
        </w:tc>
        <w:tc>
          <w:tcPr>
            <w:tcW w:w="24" w:type="dxa"/>
            <w:tcBorders/>
            <w:shd w:fill="auto" w:val="clear"/>
            <w:vAlign w:val="bottom"/>
          </w:tcPr>
          <w:p>
            <w:pPr>
              <w:pStyle w:val="TableContents"/>
              <w:spacing w:before="0" w:after="283"/>
              <w:rPr/>
            </w:pPr>
            <w:r>
              <w:rPr/>
              <w:t>​</w:t>
            </w:r>
          </w:p>
        </w:tc>
      </w:tr>
    </w:tbl>
    <w:p>
      <w:pPr>
        <w:pStyle w:val="ListHeading"/>
        <w:spacing w:before="0" w:after="0"/>
        <w:jc w:val="left"/>
        <w:rPr>
          <w:rFonts w:ascii="arial" w:hAnsi="arial"/>
          <w:sz w:val="20"/>
        </w:rPr>
      </w:pPr>
      <w:r>
        <w:rPr>
          <w:rFonts w:ascii="arial" w:hAnsi="arial"/>
          <w:sz w:val="20"/>
        </w:rPr>
        <w:t>*</w:t>
      </w:r>
    </w:p>
    <w:p>
      <w:pPr>
        <w:pStyle w:val="ListContents"/>
        <w:spacing w:before="0" w:after="283"/>
        <w:jc w:val="left"/>
        <w:rPr>
          <w:rFonts w:ascii="arial" w:hAnsi="arial"/>
          <w:sz w:val="20"/>
        </w:rPr>
      </w:pPr>
      <w:r>
        <w:rPr>
          <w:rFonts w:ascii="arial" w:hAnsi="arial"/>
          <w:sz w:val="20"/>
        </w:rPr>
        <w:t xml:space="preserve">Less than one percent (1%) </w:t>
      </w:r>
    </w:p>
    <w:p>
      <w:pPr>
        <w:pStyle w:val="ListHeading"/>
        <w:spacing w:before="0" w:after="0"/>
        <w:jc w:val="left"/>
        <w:rPr>
          <w:rFonts w:ascii="arial" w:hAnsi="arial"/>
          <w:position w:val="7"/>
          <w:sz w:val="16"/>
          <w:sz w:val="20"/>
        </w:rPr>
      </w:pPr>
      <w:r>
        <w:rPr>
          <w:rFonts w:ascii="arial" w:hAnsi="arial"/>
          <w:position w:val="7"/>
          <w:sz w:val="16"/>
          <w:sz w:val="20"/>
        </w:rPr>
        <w:t>(1)</w:t>
      </w:r>
    </w:p>
    <w:p>
      <w:pPr>
        <w:pStyle w:val="ListContents"/>
        <w:spacing w:before="0" w:after="283"/>
        <w:jc w:val="left"/>
        <w:rPr>
          <w:rFonts w:ascii="arial" w:hAnsi="arial"/>
          <w:sz w:val="20"/>
        </w:rPr>
      </w:pPr>
      <w:r>
        <w:rPr>
          <w:rFonts w:ascii="arial" w:hAnsi="arial"/>
          <w:sz w:val="20"/>
        </w:rPr>
        <w:t xml:space="preserve">For purposes of this table, an individual is considered the beneficial owner of shares of common stock if he or she directly or indirectly has, or shares, voting power or investment power, as defined in the rules promulgated under the Exchange Act, or has the right to acquire such beneficial ownership within 60 days after March 26, 2021. Therefore, the table includes options to purchase shares of our common stock that are currently exercisable or will become exercisable within such 60-day period and restricted shares and restricted share units ("RSUs") that vest within 60 days. It does not include restricted shares that do not vest within such 60-day period and under which the holder has no voting rights until vested. With respect to shares, unless otherwise indicated, an individual has sole voting power and sole investment power with respect to the indicated shares. In accordance with Company policy, no shares have been pledged as security for indebtedness by the Named Executive Officers or Directors. </w:t>
      </w:r>
    </w:p>
    <w:p>
      <w:pPr>
        <w:pStyle w:val="TextBody"/>
        <w:jc w:val="center"/>
        <w:rPr>
          <w:rFonts w:ascii="arial" w:hAnsi="arial"/>
          <w:sz w:val="20"/>
        </w:rPr>
      </w:pPr>
      <w:r>
        <w:rPr>
          <w:rFonts w:ascii="arial" w:hAnsi="arial"/>
          <w:sz w:val="20"/>
        </w:rPr>
        <w:t>29</w:t>
      </w:r>
    </w:p>
    <w:p>
      <w:pPr>
        <w:pStyle w:val="HorizontalLine"/>
        <w:pBdr>
          <w:bottom w:val="single" w:sz="20" w:space="0" w:color="808080"/>
        </w:pBdr>
        <w:rPr/>
      </w:pPr>
      <w:r>
        <w:rPr/>
      </w:r>
      <w:r>
        <w:br w:type="page"/>
      </w:r>
    </w:p>
    <w:p>
      <w:pPr>
        <w:pStyle w:val="TextBody"/>
        <w:rPr/>
      </w:pPr>
      <w:hyperlink w:anchor="bg45301a_main_toc">
        <w:bookmarkStart w:id="69" w:name="page_dm45301_1_30"/>
        <w:bookmarkEnd w:id="69"/>
        <w:r>
          <w:rPr>
            <w:rStyle w:val="InternetLink"/>
            <w:rFonts w:ascii="arial" w:hAnsi="arial"/>
            <w:sz w:val="20"/>
          </w:rPr>
          <w:t>Table of Contents</w:t>
        </w:r>
      </w:hyperlink>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4122"/>
        <w:gridCol w:w="1375"/>
        <w:gridCol w:w="4708"/>
      </w:tblGrid>
      <w:tr>
        <w:trPr/>
        <w:tc>
          <w:tcPr>
            <w:tcW w:w="4122" w:type="dxa"/>
            <w:tcBorders/>
            <w:shd w:fill="auto" w:val="clear"/>
            <w:vAlign w:val="center"/>
          </w:tcPr>
          <w:p>
            <w:pPr>
              <w:pStyle w:val="TableContents"/>
              <w:spacing w:before="0" w:after="283"/>
              <w:rPr/>
            </w:pPr>
            <w:r>
              <w:rPr/>
              <w:commentReference w:id="85"/>
            </w:r>
            <w:r>
              <w:rPr/>
              <w:commentReference w:id="86"/>
            </w:r>
            <w:r>
              <w:rPr/>
              <w:commentReference w:id="87"/>
            </w:r>
            <w:r>
              <w:rPr/>
              <w:t>​</w:t>
            </w:r>
          </w:p>
        </w:tc>
        <w:tc>
          <w:tcPr>
            <w:tcW w:w="1375" w:type="dxa"/>
            <w:tcBorders/>
            <w:shd w:fill="auto" w:val="clear"/>
            <w:vAlign w:val="center"/>
          </w:tcPr>
          <w:p>
            <w:pPr>
              <w:pStyle w:val="TableContents"/>
              <w:spacing w:before="0" w:after="283"/>
              <w:rPr/>
            </w:pPr>
            <w:r>
              <w:rPr/>
              <w:t>​</w:t>
            </w:r>
          </w:p>
        </w:tc>
        <w:tc>
          <w:tcPr>
            <w:tcW w:w="4708" w:type="dxa"/>
            <w:tcBorders/>
            <w:shd w:fill="auto" w:val="clear"/>
            <w:vAlign w:val="center"/>
          </w:tcPr>
          <w:p>
            <w:pPr>
              <w:pStyle w:val="TableContents"/>
              <w:spacing w:before="0" w:after="283"/>
              <w:rPr/>
            </w:pPr>
            <w:r>
              <w:rPr/>
              <w:t>​</w:t>
            </w:r>
            <w:r>
              <w:rPr>
                <w:rFonts w:eastAsia="arial" w:cs="arial" w:ascii="arial" w:hAnsi="arial"/>
              </w:rPr>
              <w:commentReference w:id="88"/>
            </w:r>
          </w:p>
        </w:tc>
      </w:tr>
      <w:tr>
        <w:trPr/>
        <w:tc>
          <w:tcPr>
            <w:tcW w:w="10205" w:type="dxa"/>
            <w:gridSpan w:val="3"/>
            <w:tcBorders/>
            <w:shd w:fill="auto" w:val="clear"/>
          </w:tcPr>
          <w:p>
            <w:pPr>
              <w:pStyle w:val="TableContents"/>
              <w:jc w:val="right"/>
              <w:rPr/>
            </w:pPr>
            <w:r>
              <w:rPr/>
              <w:t>​</w:t>
            </w:r>
          </w:p>
          <w:p>
            <w:pPr>
              <w:pStyle w:val="TableContents"/>
              <w:spacing w:before="0" w:after="283"/>
              <w:jc w:val="right"/>
              <w:rPr/>
            </w:pPr>
            <w:r>
              <w:rPr/>
              <w:drawing>
                <wp:inline distT="0" distB="0" distL="0" distR="0">
                  <wp:extent cx="5429250" cy="209550"/>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5429250" cy="209550"/>
                          </a:xfrm>
                          <a:prstGeom prst="rect">
                            <a:avLst/>
                          </a:prstGeom>
                        </pic:spPr>
                      </pic:pic>
                    </a:graphicData>
                  </a:graphic>
                </wp:inline>
              </w:drawing>
            </w:r>
            <w:r>
              <w:rPr/>
              <w:t xml:space="preserve"> </w:t>
            </w:r>
          </w:p>
        </w:tc>
      </w:tr>
      <w:tr>
        <w:trPr/>
        <w:tc>
          <w:tcPr>
            <w:tcW w:w="4122" w:type="dxa"/>
            <w:tcBorders/>
            <w:shd w:fill="auto" w:val="clear"/>
          </w:tcPr>
          <w:p>
            <w:pPr>
              <w:pStyle w:val="TableContents"/>
              <w:jc w:val="right"/>
              <w:rPr/>
            </w:pPr>
            <w:r>
              <w:rPr/>
              <w:t>​</w:t>
            </w:r>
          </w:p>
          <w:p>
            <w:pPr>
              <w:pStyle w:val="TableContents"/>
              <w:spacing w:before="0" w:after="283"/>
              <w:jc w:val="right"/>
              <w:rPr/>
            </w:pPr>
            <w:r>
              <w:rPr/>
              <w:t> </w:t>
            </w:r>
          </w:p>
        </w:tc>
        <w:tc>
          <w:tcPr>
            <w:tcW w:w="1375" w:type="dxa"/>
            <w:tcBorders/>
            <w:shd w:fill="auto" w:val="clear"/>
          </w:tcPr>
          <w:p>
            <w:pPr>
              <w:pStyle w:val="TableContents"/>
              <w:rPr/>
            </w:pPr>
            <w:r>
              <w:rPr/>
              <w:t>​</w:t>
            </w:r>
          </w:p>
          <w:p>
            <w:pPr>
              <w:pStyle w:val="TableContents"/>
              <w:spacing w:before="0" w:after="283"/>
              <w:rPr/>
            </w:pPr>
            <w:r>
              <w:rPr/>
              <w:t>​</w:t>
            </w:r>
          </w:p>
        </w:tc>
        <w:tc>
          <w:tcPr>
            <w:tcW w:w="4708" w:type="dxa"/>
            <w:tcBorders/>
            <w:shd w:fill="auto" w:val="clear"/>
          </w:tcPr>
          <w:p>
            <w:pPr>
              <w:pStyle w:val="TableContents"/>
              <w:jc w:val="right"/>
              <w:rPr/>
            </w:pPr>
            <w:r>
              <w:rPr/>
              <w:t>​</w:t>
            </w:r>
          </w:p>
          <w:p>
            <w:pPr>
              <w:pStyle w:val="TableContents"/>
              <w:spacing w:before="0" w:after="283"/>
              <w:jc w:val="right"/>
              <w:rPr/>
            </w:pPr>
            <w:r>
              <w:rPr/>
              <w:t> </w:t>
            </w:r>
          </w:p>
        </w:tc>
      </w:tr>
    </w:tbl>
    <w:p>
      <w:pPr>
        <w:pStyle w:val="TextBody"/>
        <w:rPr/>
      </w:pPr>
      <w:r>
        <w:rPr>
          <w:color w:val="000000"/>
        </w:rPr>
        <w:commentReference w:id="89"/>
      </w:r>
      <w:r>
        <w:rPr>
          <w:color w:val="000000"/>
        </w:rPr>
        <w:t>​</w:t>
      </w:r>
      <w:r>
        <w:rPr/>
        <w:t xml:space="preserve"> </w:t>
      </w:r>
    </w:p>
    <w:p>
      <w:pPr>
        <w:pStyle w:val="ListHeading"/>
        <w:spacing w:before="0" w:after="0"/>
        <w:jc w:val="left"/>
        <w:rPr>
          <w:rFonts w:ascii="arial" w:hAnsi="arial"/>
          <w:position w:val="7"/>
          <w:sz w:val="16"/>
          <w:sz w:val="20"/>
        </w:rPr>
      </w:pPr>
      <w:r>
        <w:rPr>
          <w:rFonts w:ascii="arial" w:hAnsi="arial"/>
          <w:position w:val="7"/>
          <w:sz w:val="16"/>
          <w:sz w:val="20"/>
        </w:rPr>
        <w:t>(2)</w:t>
      </w:r>
    </w:p>
    <w:p>
      <w:pPr>
        <w:pStyle w:val="ListContents"/>
        <w:spacing w:before="0" w:after="283"/>
        <w:jc w:val="left"/>
        <w:rPr>
          <w:rFonts w:ascii="arial" w:hAnsi="arial"/>
          <w:sz w:val="20"/>
        </w:rPr>
      </w:pPr>
      <w:r>
        <w:rPr>
          <w:rFonts w:ascii="arial" w:hAnsi="arial"/>
          <w:sz w:val="20"/>
        </w:rPr>
        <w:t xml:space="preserve">Based on information contained in a Schedule 13D/A filed with the SEC on January 9, 2020, Mr. Erbey's holdings consist of 5,452,489 shares held by Salt Pond Holdings, LLC ("Salt Pond"), a United States Virgin Islands limited liability company, of which the members are the Christiansted Trust (as defined below), the Frederiksted Trust (as defined below) and Erbey Holding Corporation (as defined below); the Christiansted Trust, a United States Virgin Islands trust, of which Mr. Erbey, John Erbey (Mr. Erbey's brother), Mrs. Erbey and Salt Pond are co-trustees (the "Christiansted Trust"); the Frederiksted Trust, a United States Virgin Islands trust, of which Mr. Erbey, John Erbey and Salt Pond are co-trustees (the "Frederiksted Trust"); and Erbey Holding Corporation, Inc. ("Erbey Holding Corporation"), a Delaware corporation, wholly-owned by Carisma Trust, a Nevada trust, the trustee of which is Venia, LLC, a Nevada limited liability company; and 548,220 shares of common stock held by Mrs. Erbey. Mr. and Mrs. Erbey's business address is P.O. Box 25437, Christiansted, United States Virgin Islands 00824. </w:t>
      </w:r>
    </w:p>
    <w:p>
      <w:pPr>
        <w:pStyle w:val="ListHeading"/>
        <w:spacing w:before="0" w:after="0"/>
        <w:jc w:val="left"/>
        <w:rPr>
          <w:rFonts w:ascii="arial" w:hAnsi="arial"/>
          <w:position w:val="7"/>
          <w:sz w:val="16"/>
          <w:sz w:val="20"/>
        </w:rPr>
      </w:pPr>
      <w:r>
        <w:rPr>
          <w:rFonts w:ascii="arial" w:hAnsi="arial"/>
          <w:position w:val="7"/>
          <w:sz w:val="16"/>
          <w:sz w:val="20"/>
        </w:rPr>
        <w:t>(3)</w:t>
      </w:r>
    </w:p>
    <w:p>
      <w:pPr>
        <w:pStyle w:val="ListContents"/>
        <w:spacing w:before="0" w:after="283"/>
        <w:jc w:val="left"/>
        <w:rPr>
          <w:rFonts w:ascii="arial" w:hAnsi="arial"/>
          <w:sz w:val="20"/>
        </w:rPr>
      </w:pPr>
      <w:r>
        <w:rPr>
          <w:rFonts w:ascii="arial" w:hAnsi="arial"/>
          <w:sz w:val="20"/>
        </w:rPr>
        <w:t xml:space="preserve">Based on information contained in a Schedule 13D/A filed with the SEC on August 14, 2020 by Deer Park Road Management Company, LP ("Deer Park"), a limited partnership, on behalf of itself and Deer Park Road Management GP, LLC, Deer Park Road Corporation, Michael David Craig-Scheckman, AgateCreek LLC and Scott Edward Burg (collectively, the "Deer Park Reporting Persons"), Deer Park's holdings consist of 3,737,631 shares held for the account of STS Master Fund, Ltd., of which the Deer Park Reporting Persons share voting and dispositive power. Deer Park serves as investment adviser to STS Master Fund, Ltd., an exempted company organized under the laws of the Cayman Islands. On March 1, 2021, Mr. Burg transferred his ownership of 8,259 shares received from the Company in connection with his service as a non-management director of Altisource to STS Master Fund, Ltd. Mr. Burg currently owns 125 restricted shares that are scheduled to vest on or within 60 days after March 26, 2021. The total share amount of 3,746,015 listed for Mr. Burg in the table includes the 3,745,890 shares beneficially owned by Deer Park Road Management Company, LP. The business address of the Deer Park Reporting Persons is 1195 Bangtail Way, Steamboat Springs, Colorado 80487. </w:t>
      </w:r>
    </w:p>
    <w:p>
      <w:pPr>
        <w:pStyle w:val="ListHeading"/>
        <w:spacing w:before="0" w:after="0"/>
        <w:jc w:val="left"/>
        <w:rPr>
          <w:rFonts w:ascii="arial" w:hAnsi="arial"/>
          <w:position w:val="7"/>
          <w:sz w:val="16"/>
          <w:sz w:val="20"/>
        </w:rPr>
      </w:pPr>
      <w:r>
        <w:rPr>
          <w:rFonts w:ascii="arial" w:hAnsi="arial"/>
          <w:position w:val="7"/>
          <w:sz w:val="16"/>
          <w:sz w:val="20"/>
        </w:rPr>
        <w:t>(4)</w:t>
      </w:r>
    </w:p>
    <w:p>
      <w:pPr>
        <w:pStyle w:val="ListContents"/>
        <w:spacing w:before="0" w:after="283"/>
        <w:jc w:val="left"/>
        <w:rPr>
          <w:rFonts w:ascii="arial" w:hAnsi="arial"/>
          <w:sz w:val="20"/>
        </w:rPr>
      </w:pPr>
      <w:r>
        <w:rPr>
          <w:rFonts w:ascii="arial" w:hAnsi="arial"/>
          <w:sz w:val="20"/>
        </w:rPr>
        <w:t xml:space="preserve">Consists of options to purchase 202,400 shares exercisable on or within 60 days after March 26, 2021 and 510,718 shares held by the William B. Shepro Revocable Trust (as to which Mr. and Mrs. Shepro share voting and dispositive power), of which 35,000 were purchased in the open market on April 29, 2015; 7,200 were purchased in the open market on March 22, 2016; 2,300 were purchased in the open market on March 29, 2016; 1,700 were purchased in the open market on May 2, 2016; 21,066 were purchased in a stock option exercise on August 19, 2016; 6,130 were purchased in the open market on November 4, 2016; 5,250 were purchased in the open market on February 21, 2017; 4,608 were purchased in the open market on February 24, 2017; 9,966 were acquired pursuant to the vesting of a restricted share award on April 15, 2017; 56,250 were purchased in a stock option exercise on September 1, 2017; 168,751 were purchased in a stock option exercise on February 9, 2018; 4,309 were acquired pursuant to the vesting of a restricted share award on April 7, 2018; 18,866 were acquired pursuant to the vesting of a restricted share award on April 15, 2018; 13,205 were acquired pursuant to the vesting of a restricted share unit award on February 12, 2019; 2,277 were acquired pursuant to the vesting of a restricted share award on April 7, 2019; 9,966 were acquired pursuant to the vesting of a restricted share award on April 15, 2019; 3,150 were purchased in the open market on October 30, 2019; 1,400 were purchased in the open market on November 14, 2019; 13,205 were acquired pursuant to the vesting of a restricted share unit award on February 12, 2020; 10,153 were acquired pursuant to the vesting of a restricted share unit award on February 25, 2020; 4,322 were acquired pursuant to the vesting of a restricted share unit award on March 21, 2020; 4,309 were acquired pursuant to the vesting of a restricted share unit award on April 7, 2020; 11,600 were purchased in the open market on August 12, 2020; 13,205 were acquired pursuant to the vesting of a restricted share unit award on February 12, 2021; and 10,152 were acquired pursuant to the vesting of a restricted share unit award on February 25, 2021; 4,629 were acquired pursuant to the vesting of a restricted share unit award on February 26, 2021; 5,789 were acquired pursuant to the vesting of a performance-based restricted share unit award on February 27, 2021; and 4,322 were acquired pursuant to the vesting of a performance-based restricted share unit award on March 21, 2021. </w:t>
      </w:r>
    </w:p>
    <w:p>
      <w:pPr>
        <w:pStyle w:val="TextBody"/>
        <w:jc w:val="center"/>
        <w:rPr>
          <w:rFonts w:ascii="arial" w:hAnsi="arial"/>
          <w:sz w:val="20"/>
        </w:rPr>
      </w:pPr>
      <w:r>
        <w:rPr>
          <w:rFonts w:ascii="arial" w:hAnsi="arial"/>
          <w:sz w:val="20"/>
        </w:rPr>
        <w:t>30</w:t>
      </w:r>
    </w:p>
    <w:p>
      <w:pPr>
        <w:pStyle w:val="HorizontalLine"/>
        <w:pBdr>
          <w:bottom w:val="single" w:sz="20" w:space="0" w:color="808080"/>
        </w:pBdr>
        <w:rPr/>
      </w:pPr>
      <w:r>
        <w:rPr/>
      </w:r>
      <w:r>
        <w:br w:type="page"/>
      </w:r>
    </w:p>
    <w:p>
      <w:pPr>
        <w:pStyle w:val="TextBody"/>
        <w:rPr/>
      </w:pPr>
      <w:hyperlink w:anchor="bg45301a_main_toc">
        <w:bookmarkStart w:id="70" w:name="page_dm45301_1_31"/>
        <w:bookmarkEnd w:id="70"/>
        <w:r>
          <w:rPr>
            <w:rStyle w:val="InternetLink"/>
            <w:rFonts w:ascii="arial" w:hAnsi="arial"/>
            <w:sz w:val="20"/>
          </w:rPr>
          <w:t>Table of Contents</w:t>
        </w:r>
      </w:hyperlink>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5367"/>
        <w:gridCol w:w="1857"/>
        <w:gridCol w:w="2981"/>
      </w:tblGrid>
      <w:tr>
        <w:trPr/>
        <w:tc>
          <w:tcPr>
            <w:tcW w:w="5367" w:type="dxa"/>
            <w:tcBorders/>
            <w:shd w:fill="auto" w:val="clear"/>
            <w:vAlign w:val="center"/>
          </w:tcPr>
          <w:p>
            <w:pPr>
              <w:pStyle w:val="TableContents"/>
              <w:spacing w:before="0" w:after="283"/>
              <w:rPr/>
            </w:pPr>
            <w:r>
              <w:rPr/>
              <w:commentReference w:id="90"/>
            </w:r>
            <w:r>
              <w:rPr/>
              <w:commentReference w:id="91"/>
            </w:r>
            <w:r>
              <w:rPr/>
              <w:commentReference w:id="92"/>
            </w:r>
            <w:r>
              <w:rPr/>
              <w:t>​</w:t>
            </w:r>
          </w:p>
        </w:tc>
        <w:tc>
          <w:tcPr>
            <w:tcW w:w="1857" w:type="dxa"/>
            <w:tcBorders/>
            <w:shd w:fill="auto" w:val="clear"/>
            <w:vAlign w:val="center"/>
          </w:tcPr>
          <w:p>
            <w:pPr>
              <w:pStyle w:val="TableContents"/>
              <w:spacing w:before="0" w:after="283"/>
              <w:rPr/>
            </w:pPr>
            <w:r>
              <w:rPr/>
              <w:t>​</w:t>
            </w:r>
          </w:p>
        </w:tc>
        <w:tc>
          <w:tcPr>
            <w:tcW w:w="2981" w:type="dxa"/>
            <w:tcBorders/>
            <w:shd w:fill="auto" w:val="clear"/>
            <w:vAlign w:val="center"/>
          </w:tcPr>
          <w:p>
            <w:pPr>
              <w:pStyle w:val="TableContents"/>
              <w:spacing w:before="0" w:after="283"/>
              <w:rPr/>
            </w:pPr>
            <w:r>
              <w:rPr/>
              <w:t>​</w:t>
            </w:r>
            <w:r>
              <w:rPr>
                <w:rFonts w:eastAsia="arial" w:cs="arial" w:ascii="arial" w:hAnsi="arial"/>
              </w:rPr>
              <w:commentReference w:id="93"/>
            </w:r>
          </w:p>
        </w:tc>
      </w:tr>
      <w:tr>
        <w:trPr/>
        <w:tc>
          <w:tcPr>
            <w:tcW w:w="10205" w:type="dxa"/>
            <w:gridSpan w:val="3"/>
            <w:tcBorders/>
            <w:shd w:fill="auto" w:val="clear"/>
          </w:tcPr>
          <w:p>
            <w:pPr>
              <w:pStyle w:val="TableContents"/>
              <w:jc w:val="right"/>
              <w:rPr/>
            </w:pPr>
            <w:r>
              <w:rPr/>
              <w:t>​</w:t>
            </w:r>
          </w:p>
          <w:p>
            <w:pPr>
              <w:pStyle w:val="TableContents"/>
              <w:spacing w:before="0" w:after="283"/>
              <w:jc w:val="right"/>
              <w:rPr/>
            </w:pPr>
            <w:r>
              <w:rPr/>
              <w:drawing>
                <wp:inline distT="0" distB="0" distL="0" distR="0">
                  <wp:extent cx="5429250" cy="209550"/>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5429250" cy="209550"/>
                          </a:xfrm>
                          <a:prstGeom prst="rect">
                            <a:avLst/>
                          </a:prstGeom>
                        </pic:spPr>
                      </pic:pic>
                    </a:graphicData>
                  </a:graphic>
                </wp:inline>
              </w:drawing>
            </w:r>
            <w:r>
              <w:rPr/>
              <w:t xml:space="preserve"> </w:t>
            </w:r>
          </w:p>
        </w:tc>
      </w:tr>
      <w:tr>
        <w:trPr/>
        <w:tc>
          <w:tcPr>
            <w:tcW w:w="5367" w:type="dxa"/>
            <w:tcBorders/>
            <w:shd w:fill="auto" w:val="clear"/>
          </w:tcPr>
          <w:p>
            <w:pPr>
              <w:pStyle w:val="TableContents"/>
              <w:jc w:val="right"/>
              <w:rPr/>
            </w:pPr>
            <w:r>
              <w:rPr/>
              <w:t>​</w:t>
            </w:r>
          </w:p>
          <w:p>
            <w:pPr>
              <w:pStyle w:val="TableContents"/>
              <w:spacing w:before="0" w:after="283"/>
              <w:jc w:val="right"/>
              <w:rPr/>
            </w:pPr>
            <w:r>
              <w:rPr/>
              <w:t> </w:t>
            </w:r>
          </w:p>
        </w:tc>
        <w:tc>
          <w:tcPr>
            <w:tcW w:w="1857" w:type="dxa"/>
            <w:tcBorders/>
            <w:shd w:fill="auto" w:val="clear"/>
          </w:tcPr>
          <w:p>
            <w:pPr>
              <w:pStyle w:val="TableContents"/>
              <w:rPr/>
            </w:pPr>
            <w:r>
              <w:rPr/>
              <w:t>​</w:t>
            </w:r>
          </w:p>
          <w:p>
            <w:pPr>
              <w:pStyle w:val="TableContents"/>
              <w:spacing w:before="0" w:after="283"/>
              <w:rPr/>
            </w:pPr>
            <w:r>
              <w:rPr/>
              <w:t>​</w:t>
            </w:r>
          </w:p>
        </w:tc>
        <w:tc>
          <w:tcPr>
            <w:tcW w:w="2981" w:type="dxa"/>
            <w:tcBorders/>
            <w:shd w:fill="auto" w:val="clear"/>
          </w:tcPr>
          <w:p>
            <w:pPr>
              <w:pStyle w:val="TableContents"/>
              <w:spacing w:before="0" w:after="283"/>
              <w:jc w:val="right"/>
              <w:rPr/>
            </w:pPr>
            <w:r>
              <w:rPr/>
              <w:t>​</w:t>
            </w:r>
          </w:p>
        </w:tc>
      </w:tr>
    </w:tbl>
    <w:p>
      <w:pPr>
        <w:pStyle w:val="TextBody"/>
        <w:rPr/>
      </w:pPr>
      <w:r>
        <w:rPr>
          <w:color w:val="000000"/>
        </w:rPr>
        <w:commentReference w:id="94"/>
      </w:r>
      <w:r>
        <w:rPr>
          <w:color w:val="000000"/>
        </w:rPr>
        <w:t>​</w:t>
      </w:r>
      <w:r>
        <w:rPr/>
        <w:t xml:space="preserve"> </w:t>
      </w:r>
    </w:p>
    <w:p>
      <w:pPr>
        <w:pStyle w:val="ListHeading"/>
        <w:spacing w:before="0" w:after="0"/>
        <w:jc w:val="left"/>
        <w:rPr>
          <w:rFonts w:ascii="arial" w:hAnsi="arial"/>
          <w:position w:val="7"/>
          <w:sz w:val="16"/>
          <w:sz w:val="20"/>
        </w:rPr>
      </w:pPr>
      <w:r>
        <w:rPr>
          <w:rFonts w:ascii="arial" w:hAnsi="arial"/>
          <w:position w:val="7"/>
          <w:sz w:val="16"/>
          <w:sz w:val="20"/>
        </w:rPr>
        <w:t>(5)</w:t>
      </w:r>
    </w:p>
    <w:p>
      <w:pPr>
        <w:pStyle w:val="ListContents"/>
        <w:spacing w:before="0" w:after="283"/>
        <w:jc w:val="left"/>
        <w:rPr>
          <w:rFonts w:ascii="arial" w:hAnsi="arial"/>
          <w:sz w:val="20"/>
        </w:rPr>
      </w:pPr>
      <w:r>
        <w:rPr>
          <w:rFonts w:ascii="arial" w:hAnsi="arial"/>
          <w:sz w:val="20"/>
        </w:rPr>
        <w:t xml:space="preserve">Consists of options to purchase 119,000 shares exercisable on or within 60 days after March 26, 2021 and 271,558 shares, of which 18,000 were purchased in the open market on April 29, 2015; 8,130 were purchased in a stock option exercise on March 30, 2016; 1,700 were purchased in the open market on May 2, 2016; 22,999 were purchased in a stock option exercise on August 19, 2016; 3,610 were acquired pursuant to the vesting of a restricted share award on April 15, 2017; 39,167 were purchased in a stock option exercise on September 1, 2017; 117,501 were purchased in a stock option exercise on February 9, 2018; 1,005 were acquired pursuant to the vesting of a restricted share award on April 7, 2018; 6,834 were acquired pursuant to the vesting of a restricted share award on April 15, 2018; 6,603 were acquired pursuant to the vesting of a restricted share unit award on February 12, 2019; 532 were acquired pursuant to the vesting of a restricted share award on April 7, 2019; 3,610 were acquired pursuant to the vesting of a restricted share award on April 15, 2019; 6,603 were acquired pursuant to the vesting of a restricted share unit award on February 12, 2020; 4,023 were acquired pursuant to the vesting of a restricted share unit award on February 25, 2020; 2,110 were acquired pursuant to the vesting of a restricted share unit award on March 21, 2020; 1,005 were acquired pursuant to the vesting of a restricted share unit award on April 7, 2020; and 21,446 were acquired pursuant to the vesting of a restricted share unit award on May 15, 2020. </w:t>
      </w:r>
    </w:p>
    <w:p>
      <w:pPr>
        <w:pStyle w:val="ListHeading"/>
        <w:spacing w:before="0" w:after="0"/>
        <w:jc w:val="left"/>
        <w:rPr>
          <w:rFonts w:ascii="arial" w:hAnsi="arial"/>
          <w:position w:val="7"/>
          <w:sz w:val="16"/>
          <w:sz w:val="20"/>
        </w:rPr>
      </w:pPr>
      <w:r>
        <w:rPr>
          <w:rFonts w:ascii="arial" w:hAnsi="arial"/>
          <w:position w:val="7"/>
          <w:sz w:val="16"/>
          <w:sz w:val="20"/>
        </w:rPr>
        <w:t>(6)</w:t>
      </w:r>
    </w:p>
    <w:p>
      <w:pPr>
        <w:pStyle w:val="ListContents"/>
        <w:spacing w:before="0" w:after="283"/>
        <w:jc w:val="left"/>
        <w:rPr>
          <w:rFonts w:ascii="arial" w:hAnsi="arial"/>
          <w:sz w:val="20"/>
        </w:rPr>
      </w:pPr>
      <w:r>
        <w:rPr>
          <w:rFonts w:ascii="arial" w:hAnsi="arial"/>
          <w:sz w:val="20"/>
        </w:rPr>
        <w:t xml:space="preserve">Consists of options to purchase 89,013 shares exercisable on or within 60 days after March 26, 2021, 32,408 shares held jointly by Ms. Esterman and her spouse, Gregory F. Esterman, of which 2,553 were acquired pursuant to the vesting of a restricted share award on April 15, 2017; 603 were acquired pursuant to the vesting of a restricted share award on April 7, 2018; 3,206 were acquired pursuant to the vesting of a restricted share award on April 15, 2018; 801 were acquired pursuant to the vesting of a restricted share unit award on February 12, 2019; 416 were acquired pursuant to the vesting of a restricted share award on April 7, 2019; 3,250 were acquired pursuant to the vesting of a restricted share award on April 15, 2019; 780 were purchased in the open market on October 30, 2019; 3,230 were acquired pursuant to the vesting of a restricted share unit award on January 29, 2020; 878 were acquired pursuant to the vesting of a restricted share unit award on February 12, 2020; 2,975 were acquired pursuant to the vesting of a restricted share unit award on February 25, 2020; 1,303 were acquired pursuant to the vesting of a restricted share unit award on March 21, 2020; 418 were acquired pursuant to the vesting of a restricted share unit award on April 7, 2020; 1,587 were acquired pursuant to the vesting of a restricted share unit award on January 24, 2021; 3,230 were acquired pursuant to the vesting of a restricted share unit award on January 29, 2021; 801 were acquired pursuant to the vesting of a restricted share unit award on February 12, 2021; 2,750 were acquired pursuant to the vesting of a restricted share unit award on February 25, 2021; 2,422 were acquired pursuant to the vesting of a restricted share unit award on February 26, 2021; and 1,205 were acquired pursuant to the vesting of a performance-based restricted share unit award on March 21, 2021. </w:t>
      </w:r>
    </w:p>
    <w:p>
      <w:pPr>
        <w:pStyle w:val="ListHeading"/>
        <w:spacing w:before="0" w:after="0"/>
        <w:jc w:val="left"/>
        <w:rPr>
          <w:rFonts w:ascii="arial" w:hAnsi="arial"/>
          <w:position w:val="7"/>
          <w:sz w:val="16"/>
          <w:sz w:val="20"/>
        </w:rPr>
      </w:pPr>
      <w:r>
        <w:rPr>
          <w:rFonts w:ascii="arial" w:hAnsi="arial"/>
          <w:position w:val="7"/>
          <w:sz w:val="16"/>
          <w:sz w:val="20"/>
        </w:rPr>
        <w:t>(7)</w:t>
      </w:r>
    </w:p>
    <w:p>
      <w:pPr>
        <w:pStyle w:val="ListContents"/>
        <w:spacing w:before="0" w:after="283"/>
        <w:jc w:val="left"/>
        <w:rPr>
          <w:rFonts w:ascii="arial" w:hAnsi="arial"/>
          <w:sz w:val="20"/>
        </w:rPr>
      </w:pPr>
      <w:r>
        <w:rPr>
          <w:rFonts w:ascii="arial" w:hAnsi="arial"/>
          <w:sz w:val="20"/>
        </w:rPr>
        <w:t xml:space="preserve">Consists of options to purchase 36,698 shares exercisable on or within 60 days after March 26, 2021, and 52,139 shares, of which 6,808 were acquired pursuant to the vesting of a restricted share award on August 1, 2018; 1,078 were acquired pursuant to the vesting of a restricted share unit award on February 12, 2019; 7,463 were acquired pursuant to the vesting of a restricted share award on August 1, 2019; 4,025 were acquired pursuant to the vesting of a restricted share unit award on November 12, 2019; 1,213 were acquired pursuant to the vesting of a restricted share unit award on February 12, 2020; 3,345 were acquired pursuant to the vesting of a restricted share unit award on February 25, 2020; 2,180 were acquired pursuant to the vesting of a restricted share unit award on March 21, 2020; 7,792 were acquired pursuant to the vesting of a restricted share unit award on August 3, 2020; 4,371 were acquired pursuant to the vesting of a restricted share unit award on November 12, 2020; 3,131 were acquired pursuant to the vesting of a restricted share unit award on January 24, 2021; 1,327 were acquired pursuant to the vesting of a restricted share unit award on February 12, 2021; 3,558 were acquired pursuant to the vesting of a restricted share unit award on February 25, 2021; 3,511 were acquired pursuant to the vesting of a restricted share unit award on </w:t>
      </w:r>
    </w:p>
    <w:p>
      <w:pPr>
        <w:pStyle w:val="TextBody"/>
        <w:jc w:val="center"/>
        <w:rPr>
          <w:rFonts w:ascii="arial" w:hAnsi="arial"/>
          <w:sz w:val="20"/>
        </w:rPr>
      </w:pPr>
      <w:r>
        <w:rPr>
          <w:rFonts w:ascii="arial" w:hAnsi="arial"/>
          <w:sz w:val="20"/>
        </w:rPr>
        <w:t>31</w:t>
      </w:r>
    </w:p>
    <w:p>
      <w:pPr>
        <w:pStyle w:val="HorizontalLine"/>
        <w:pBdr>
          <w:bottom w:val="single" w:sz="20" w:space="0" w:color="808080"/>
        </w:pBdr>
        <w:rPr/>
      </w:pPr>
      <w:r>
        <w:rPr/>
      </w:r>
      <w:r>
        <w:br w:type="page"/>
      </w:r>
    </w:p>
    <w:p>
      <w:pPr>
        <w:pStyle w:val="TextBody"/>
        <w:rPr/>
      </w:pPr>
      <w:hyperlink w:anchor="bg45301a_main_toc">
        <w:bookmarkStart w:id="71" w:name="page_dm45301_1_32"/>
        <w:bookmarkEnd w:id="71"/>
        <w:r>
          <w:rPr>
            <w:rStyle w:val="InternetLink"/>
            <w:rFonts w:ascii="arial" w:hAnsi="arial"/>
            <w:sz w:val="20"/>
          </w:rPr>
          <w:t>Table of Contents</w:t>
        </w:r>
      </w:hyperlink>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4122"/>
        <w:gridCol w:w="1375"/>
        <w:gridCol w:w="4708"/>
      </w:tblGrid>
      <w:tr>
        <w:trPr/>
        <w:tc>
          <w:tcPr>
            <w:tcW w:w="4122" w:type="dxa"/>
            <w:tcBorders/>
            <w:shd w:fill="auto" w:val="clear"/>
            <w:vAlign w:val="center"/>
          </w:tcPr>
          <w:p>
            <w:pPr>
              <w:pStyle w:val="TableContents"/>
              <w:spacing w:before="0" w:after="283"/>
              <w:rPr/>
            </w:pPr>
            <w:r>
              <w:rPr/>
              <w:commentReference w:id="95"/>
            </w:r>
            <w:r>
              <w:rPr/>
              <w:commentReference w:id="96"/>
            </w:r>
            <w:r>
              <w:rPr/>
              <w:commentReference w:id="97"/>
            </w:r>
            <w:r>
              <w:rPr/>
              <w:t>​</w:t>
            </w:r>
          </w:p>
        </w:tc>
        <w:tc>
          <w:tcPr>
            <w:tcW w:w="1375" w:type="dxa"/>
            <w:tcBorders/>
            <w:shd w:fill="auto" w:val="clear"/>
            <w:vAlign w:val="center"/>
          </w:tcPr>
          <w:p>
            <w:pPr>
              <w:pStyle w:val="TableContents"/>
              <w:spacing w:before="0" w:after="283"/>
              <w:rPr/>
            </w:pPr>
            <w:r>
              <w:rPr/>
              <w:t>​</w:t>
            </w:r>
          </w:p>
        </w:tc>
        <w:tc>
          <w:tcPr>
            <w:tcW w:w="4708" w:type="dxa"/>
            <w:tcBorders/>
            <w:shd w:fill="auto" w:val="clear"/>
            <w:vAlign w:val="center"/>
          </w:tcPr>
          <w:p>
            <w:pPr>
              <w:pStyle w:val="TableContents"/>
              <w:spacing w:before="0" w:after="283"/>
              <w:rPr/>
            </w:pPr>
            <w:r>
              <w:rPr/>
              <w:t>​</w:t>
            </w:r>
            <w:r>
              <w:rPr>
                <w:rFonts w:eastAsia="arial" w:cs="arial" w:ascii="arial" w:hAnsi="arial"/>
              </w:rPr>
              <w:commentReference w:id="98"/>
            </w:r>
          </w:p>
        </w:tc>
      </w:tr>
      <w:tr>
        <w:trPr/>
        <w:tc>
          <w:tcPr>
            <w:tcW w:w="10205" w:type="dxa"/>
            <w:gridSpan w:val="3"/>
            <w:tcBorders/>
            <w:shd w:fill="auto" w:val="clear"/>
          </w:tcPr>
          <w:p>
            <w:pPr>
              <w:pStyle w:val="TableContents"/>
              <w:jc w:val="right"/>
              <w:rPr/>
            </w:pPr>
            <w:r>
              <w:rPr/>
              <w:t>​</w:t>
            </w:r>
          </w:p>
          <w:p>
            <w:pPr>
              <w:pStyle w:val="TableContents"/>
              <w:spacing w:before="0" w:after="283"/>
              <w:jc w:val="right"/>
              <w:rPr/>
            </w:pPr>
            <w:r>
              <w:rPr/>
              <w:drawing>
                <wp:inline distT="0" distB="0" distL="0" distR="0">
                  <wp:extent cx="5429250" cy="209550"/>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5429250" cy="209550"/>
                          </a:xfrm>
                          <a:prstGeom prst="rect">
                            <a:avLst/>
                          </a:prstGeom>
                        </pic:spPr>
                      </pic:pic>
                    </a:graphicData>
                  </a:graphic>
                </wp:inline>
              </w:drawing>
            </w:r>
            <w:r>
              <w:rPr/>
              <w:t xml:space="preserve"> </w:t>
            </w:r>
          </w:p>
        </w:tc>
      </w:tr>
      <w:tr>
        <w:trPr/>
        <w:tc>
          <w:tcPr>
            <w:tcW w:w="4122" w:type="dxa"/>
            <w:tcBorders/>
            <w:shd w:fill="auto" w:val="clear"/>
          </w:tcPr>
          <w:p>
            <w:pPr>
              <w:pStyle w:val="TableContents"/>
              <w:jc w:val="right"/>
              <w:rPr/>
            </w:pPr>
            <w:r>
              <w:rPr/>
              <w:t>​</w:t>
            </w:r>
          </w:p>
          <w:p>
            <w:pPr>
              <w:pStyle w:val="TableContents"/>
              <w:spacing w:before="0" w:after="283"/>
              <w:jc w:val="right"/>
              <w:rPr/>
            </w:pPr>
            <w:r>
              <w:rPr/>
              <w:t> </w:t>
            </w:r>
          </w:p>
        </w:tc>
        <w:tc>
          <w:tcPr>
            <w:tcW w:w="1375" w:type="dxa"/>
            <w:tcBorders/>
            <w:shd w:fill="auto" w:val="clear"/>
          </w:tcPr>
          <w:p>
            <w:pPr>
              <w:pStyle w:val="TableContents"/>
              <w:rPr/>
            </w:pPr>
            <w:r>
              <w:rPr/>
              <w:t>​</w:t>
            </w:r>
          </w:p>
          <w:p>
            <w:pPr>
              <w:pStyle w:val="TableContents"/>
              <w:spacing w:before="0" w:after="283"/>
              <w:rPr/>
            </w:pPr>
            <w:r>
              <w:rPr/>
              <w:t>​</w:t>
            </w:r>
          </w:p>
        </w:tc>
        <w:tc>
          <w:tcPr>
            <w:tcW w:w="4708" w:type="dxa"/>
            <w:tcBorders/>
            <w:shd w:fill="auto" w:val="clear"/>
          </w:tcPr>
          <w:p>
            <w:pPr>
              <w:pStyle w:val="TableContents"/>
              <w:jc w:val="right"/>
              <w:rPr/>
            </w:pPr>
            <w:r>
              <w:rPr/>
              <w:t>​</w:t>
            </w:r>
          </w:p>
          <w:p>
            <w:pPr>
              <w:pStyle w:val="TableContents"/>
              <w:spacing w:before="0" w:after="283"/>
              <w:jc w:val="right"/>
              <w:rPr/>
            </w:pPr>
            <w:r>
              <w:rPr/>
              <w:t> </w:t>
            </w:r>
          </w:p>
        </w:tc>
      </w:tr>
    </w:tbl>
    <w:p>
      <w:pPr>
        <w:pStyle w:val="TextBody"/>
        <w:rPr/>
      </w:pPr>
      <w:r>
        <w:rPr>
          <w:color w:val="000000"/>
        </w:rPr>
        <w:commentReference w:id="99"/>
      </w:r>
      <w:r>
        <w:rPr>
          <w:color w:val="000000"/>
        </w:rPr>
        <w:t>​</w:t>
      </w:r>
      <w:r>
        <w:rPr/>
        <w:t xml:space="preserve"> </w:t>
      </w:r>
    </w:p>
    <w:p>
      <w:pPr>
        <w:pStyle w:val="TextBody"/>
        <w:numPr>
          <w:ilvl w:val="0"/>
          <w:numId w:val="0"/>
        </w:numPr>
        <w:ind w:left="707" w:hanging="0"/>
        <w:jc w:val="left"/>
        <w:rPr>
          <w:rFonts w:ascii="arial" w:hAnsi="arial"/>
          <w:sz w:val="20"/>
        </w:rPr>
      </w:pPr>
      <w:r>
        <w:rPr>
          <w:rFonts w:ascii="arial" w:hAnsi="arial"/>
          <w:sz w:val="20"/>
        </w:rPr>
        <w:t xml:space="preserve">February 26, 2021; and 2,337 were acquired pursuant to the vesting of a performance-based restricted share unit award on March 21, 2021. </w:t>
      </w:r>
    </w:p>
    <w:p>
      <w:pPr>
        <w:pStyle w:val="ListHeading"/>
        <w:spacing w:before="0" w:after="0"/>
        <w:jc w:val="left"/>
        <w:rPr>
          <w:rFonts w:ascii="arial" w:hAnsi="arial"/>
          <w:position w:val="7"/>
          <w:sz w:val="16"/>
          <w:sz w:val="20"/>
        </w:rPr>
      </w:pPr>
      <w:r>
        <w:rPr>
          <w:rFonts w:ascii="arial" w:hAnsi="arial"/>
          <w:position w:val="7"/>
          <w:sz w:val="16"/>
          <w:sz w:val="20"/>
        </w:rPr>
        <w:t>(8)</w:t>
      </w:r>
    </w:p>
    <w:p>
      <w:pPr>
        <w:pStyle w:val="ListContents"/>
        <w:spacing w:before="0" w:after="283"/>
        <w:jc w:val="left"/>
        <w:rPr>
          <w:rFonts w:ascii="arial" w:hAnsi="arial"/>
          <w:sz w:val="20"/>
        </w:rPr>
      </w:pPr>
      <w:r>
        <w:rPr>
          <w:rFonts w:ascii="arial" w:hAnsi="arial"/>
          <w:sz w:val="20"/>
        </w:rPr>
        <w:t xml:space="preserve">Consists of options to purchase 31,432 shares exercisable on or within 60 days after March 26, 2021; 25,767 shares, of which 500 were purchased in the open market on March 21, 2016; 987 were acquired pursuant to the vesting of a restricted share award on April 15, 2017; 266 were acquired pursuant to the vesting of a restricted share award on April 7, 2018; 987 were acquired pursuant to the vesting of a restricted share award on April 15, 2018; 882 were acquired pursuant to the vesting of a restricted share award on July 27, 2018; 1,981 were acquired pursuant to the vesting of a restricted share award on November 13, 2018; 573 were acquired pursuant to the vesting of a restricted share unit award on February 12, 2019; 266 were acquired pursuant to the vesting of a restricted share award on April 7, 2019; 986 were acquired pursuant to the vesting of a restricted share award on April 15, 2019; 878 were acquired pursuant to the vesting of a restricted share award on July 27, 2019; 300 were purchased in the open market on October 29, 2019; 1,981 were acquired pursuant to the vesting of a restricted share award on November 13, 2019; 562 were acquired pursuant to the vesting of a restricted share unit award on February 12, 2020; 1,467 were acquired pursuant to the vesting of a restricted share unit award on February 25, 2020; 844 were acquired pursuant to the vesting of a restricted share unit award on March 21, 2020; 503 were acquired pursuant to the vesting of a restricted share unit award on April 7, 2020; 882 were acquired pursuant to the vesting of a restricted share unit award on July 27, 2020; 1,982 were acquired pursuant to the vesting of a restricted share unit award on November 13, 2020; 1,982 were acquired pursuant to the vesting of a restricted share unit award on January 24, 2021; 571 were acquired pursuant to the vesting of a restricted share unit award on February 12, 2021; 1,477 were acquired pursuant to the vesting of a restricted share unit award on February 25, 2021; 1,166 were acquired pursuant to the vesting of a restricted share unit award on February 26, 2021; and 855 were acquired pursuant to the vesting of a performance-based restricted share unit award on March 21, 2021. </w:t>
      </w:r>
    </w:p>
    <w:p>
      <w:pPr>
        <w:pStyle w:val="TextBody"/>
        <w:ind w:left="220" w:right="0" w:hanging="220"/>
        <w:rPr>
          <w:rFonts w:ascii="arial" w:hAnsi="arial"/>
          <w:b/>
          <w:sz w:val="20"/>
        </w:rPr>
      </w:pPr>
      <w:r>
        <w:rPr>
          <w:rFonts w:ascii="arial" w:hAnsi="arial"/>
          <w:b/>
          <w:sz w:val="20"/>
        </w:rPr>
        <w:t xml:space="preserve">Equity Compensation Plan Information </w:t>
      </w:r>
    </w:p>
    <w:p>
      <w:pPr>
        <w:pStyle w:val="TextBody"/>
        <w:rPr>
          <w:rFonts w:ascii="arial" w:hAnsi="arial"/>
          <w:sz w:val="20"/>
        </w:rPr>
      </w:pPr>
      <w:r>
        <w:rPr>
          <w:rFonts w:ascii="arial" w:hAnsi="arial"/>
          <w:sz w:val="20"/>
        </w:rPr>
        <w:t xml:space="preserve">The following table sets forth information as of the end of the most recently completed fiscal year with respect to compensation plans under which our equity securities are authorized for issuance. </w:t>
      </w:r>
    </w:p>
    <w:tbl>
      <w:tblPr>
        <w:tblW w:w="5000" w:type="pct"/>
        <w:jc w:val="center"/>
        <w:tblInd w:w="0" w:type="dxa"/>
        <w:tblCellMar>
          <w:top w:w="0" w:type="dxa"/>
          <w:left w:w="0" w:type="dxa"/>
          <w:bottom w:w="0" w:type="dxa"/>
          <w:right w:w="0" w:type="dxa"/>
        </w:tblCellMar>
      </w:tblPr>
      <w:tblGrid>
        <w:gridCol w:w="6061"/>
        <w:gridCol w:w="24"/>
        <w:gridCol w:w="360"/>
        <w:gridCol w:w="89"/>
        <w:gridCol w:w="621"/>
        <w:gridCol w:w="185"/>
        <w:gridCol w:w="23"/>
        <w:gridCol w:w="525"/>
        <w:gridCol w:w="89"/>
        <w:gridCol w:w="516"/>
        <w:gridCol w:w="200"/>
        <w:gridCol w:w="23"/>
        <w:gridCol w:w="540"/>
        <w:gridCol w:w="93"/>
        <w:gridCol w:w="617"/>
        <w:gridCol w:w="215"/>
        <w:gridCol w:w="24"/>
      </w:tblGrid>
      <w:tr>
        <w:trPr/>
        <w:tc>
          <w:tcPr>
            <w:tcW w:w="6061" w:type="dxa"/>
            <w:tcBorders/>
            <w:shd w:fill="auto" w:val="clear"/>
            <w:vAlign w:val="center"/>
          </w:tcPr>
          <w:p>
            <w:pPr>
              <w:pStyle w:val="TableContents"/>
              <w:spacing w:before="0" w:after="283"/>
              <w:rPr>
                <w:sz w:val="4"/>
                <w:szCs w:val="4"/>
              </w:rPr>
            </w:pPr>
            <w:r>
              <w:rPr>
                <w:sz w:val="4"/>
                <w:szCs w:val="4"/>
              </w:rPr>
            </w:r>
          </w:p>
        </w:tc>
        <w:tc>
          <w:tcPr>
            <w:tcW w:w="24"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4" w:type="dxa"/>
            <w:tcBorders/>
            <w:shd w:fill="auto" w:val="clear"/>
            <w:vAlign w:val="center"/>
          </w:tcPr>
          <w:p>
            <w:pPr>
              <w:pStyle w:val="TableContents"/>
              <w:spacing w:before="0" w:after="283"/>
              <w:rPr>
                <w:sz w:val="4"/>
                <w:szCs w:val="4"/>
              </w:rPr>
            </w:pPr>
            <w:r>
              <w:rPr>
                <w:sz w:val="4"/>
                <w:szCs w:val="4"/>
              </w:rPr>
            </w:r>
          </w:p>
        </w:tc>
      </w:tr>
      <w:tr>
        <w:trPr/>
        <w:tc>
          <w:tcPr>
            <w:tcW w:w="6061" w:type="dxa"/>
            <w:tcBorders>
              <w:bottom w:val="single" w:sz="8" w:space="0" w:color="000000"/>
            </w:tcBorders>
            <w:shd w:fill="auto" w:val="clear"/>
            <w:tcMar>
              <w:bottom w:w="28" w:type="dxa"/>
            </w:tcMar>
            <w:vAlign w:val="bottom"/>
          </w:tcPr>
          <w:p>
            <w:pPr>
              <w:pStyle w:val="TableHeading"/>
              <w:spacing w:before="0" w:after="283"/>
              <w:jc w:val="center"/>
              <w:rPr>
                <w:rFonts w:ascii="arial" w:hAnsi="arial"/>
                <w:b/>
                <w:sz w:val="20"/>
              </w:rPr>
            </w:pPr>
            <w:r>
              <w:rPr>
                <w:rFonts w:ascii="arial" w:hAnsi="arial"/>
                <w:b/>
                <w:sz w:val="20"/>
              </w:rPr>
              <w:t xml:space="preserve">Plan category </w:t>
            </w:r>
          </w:p>
        </w:tc>
        <w:tc>
          <w:tcPr>
            <w:tcW w:w="24" w:type="dxa"/>
            <w:tcBorders/>
            <w:shd w:fill="auto" w:val="clear"/>
            <w:vAlign w:val="bottom"/>
          </w:tcPr>
          <w:p>
            <w:pPr>
              <w:pStyle w:val="TableHeading"/>
              <w:suppressLineNumbers/>
              <w:spacing w:before="0" w:after="283"/>
              <w:jc w:val="center"/>
              <w:rPr/>
            </w:pPr>
            <w:r>
              <w:rPr/>
              <w:t>​</w:t>
            </w:r>
          </w:p>
        </w:tc>
        <w:tc>
          <w:tcPr>
            <w:tcW w:w="1255" w:type="dxa"/>
            <w:gridSpan w:val="4"/>
            <w:tcBorders>
              <w:bottom w:val="single" w:sz="8" w:space="0" w:color="000000"/>
            </w:tcBorders>
            <w:shd w:fill="auto" w:val="clear"/>
            <w:tcMar>
              <w:bottom w:w="28" w:type="dxa"/>
            </w:tcMar>
            <w:vAlign w:val="bottom"/>
          </w:tcPr>
          <w:p>
            <w:pPr>
              <w:pStyle w:val="TableHeading"/>
              <w:spacing w:before="0" w:after="283"/>
              <w:jc w:val="center"/>
              <w:rPr>
                <w:rFonts w:ascii="arial" w:hAnsi="arial"/>
                <w:b/>
                <w:sz w:val="20"/>
              </w:rPr>
            </w:pPr>
            <w:r>
              <w:rPr>
                <w:rFonts w:ascii="arial" w:hAnsi="arial"/>
                <w:b/>
                <w:sz w:val="20"/>
              </w:rPr>
              <w:t>Number of securities</w:t>
              <w:br/>
              <w:t>to be issued upon</w:t>
              <w:br/>
              <w:t>exercise</w:t>
              <w:br/>
              <w:t>of outstanding</w:t>
              <w:br/>
              <w:t>options,</w:t>
              <w:br/>
              <w:t xml:space="preserve">warrants and rights </w:t>
            </w:r>
          </w:p>
        </w:tc>
        <w:tc>
          <w:tcPr>
            <w:tcW w:w="23" w:type="dxa"/>
            <w:tcBorders/>
            <w:shd w:fill="auto" w:val="clear"/>
            <w:vAlign w:val="bottom"/>
          </w:tcPr>
          <w:p>
            <w:pPr>
              <w:pStyle w:val="TableHeading"/>
              <w:suppressLineNumbers/>
              <w:spacing w:before="0" w:after="283"/>
              <w:jc w:val="center"/>
              <w:rPr/>
            </w:pPr>
            <w:r>
              <w:rPr/>
              <w:t>​</w:t>
            </w:r>
          </w:p>
        </w:tc>
        <w:tc>
          <w:tcPr>
            <w:tcW w:w="1330" w:type="dxa"/>
            <w:gridSpan w:val="4"/>
            <w:tcBorders>
              <w:bottom w:val="single" w:sz="8" w:space="0" w:color="000000"/>
            </w:tcBorders>
            <w:shd w:fill="auto" w:val="clear"/>
            <w:tcMar>
              <w:bottom w:w="28" w:type="dxa"/>
            </w:tcMar>
            <w:vAlign w:val="bottom"/>
          </w:tcPr>
          <w:p>
            <w:pPr>
              <w:pStyle w:val="TableHeading"/>
              <w:spacing w:before="0" w:after="283"/>
              <w:jc w:val="center"/>
              <w:rPr>
                <w:rFonts w:ascii="arial" w:hAnsi="arial"/>
                <w:b/>
                <w:sz w:val="20"/>
              </w:rPr>
            </w:pPr>
            <w:r>
              <w:rPr>
                <w:rFonts w:ascii="arial" w:hAnsi="arial"/>
                <w:b/>
                <w:sz w:val="20"/>
              </w:rPr>
              <w:t>Weighted average</w:t>
              <w:br/>
              <w:t>exercise price of</w:t>
              <w:br/>
              <w:t>outstanding options,</w:t>
              <w:br/>
              <w:t>warrants and</w:t>
              <w:br/>
              <w:t xml:space="preserve">rights </w:t>
            </w:r>
          </w:p>
        </w:tc>
        <w:tc>
          <w:tcPr>
            <w:tcW w:w="23" w:type="dxa"/>
            <w:tcBorders/>
            <w:shd w:fill="auto" w:val="clear"/>
            <w:vAlign w:val="bottom"/>
          </w:tcPr>
          <w:p>
            <w:pPr>
              <w:pStyle w:val="TableHeading"/>
              <w:suppressLineNumbers/>
              <w:spacing w:before="0" w:after="283"/>
              <w:jc w:val="center"/>
              <w:rPr/>
            </w:pPr>
            <w:r>
              <w:rPr/>
              <w:t>​</w:t>
            </w:r>
          </w:p>
        </w:tc>
        <w:tc>
          <w:tcPr>
            <w:tcW w:w="1465" w:type="dxa"/>
            <w:gridSpan w:val="4"/>
            <w:tcBorders>
              <w:bottom w:val="single" w:sz="8" w:space="0" w:color="000000"/>
            </w:tcBorders>
            <w:shd w:fill="auto" w:val="clear"/>
            <w:tcMar>
              <w:bottom w:w="28" w:type="dxa"/>
            </w:tcMar>
            <w:vAlign w:val="bottom"/>
          </w:tcPr>
          <w:p>
            <w:pPr>
              <w:pStyle w:val="TableHeading"/>
              <w:spacing w:before="0" w:after="283"/>
              <w:jc w:val="center"/>
              <w:rPr>
                <w:rFonts w:ascii="arial" w:hAnsi="arial"/>
                <w:b/>
                <w:sz w:val="20"/>
              </w:rPr>
            </w:pPr>
            <w:r>
              <w:rPr>
                <w:rFonts w:ascii="arial" w:hAnsi="arial"/>
                <w:b/>
                <w:sz w:val="20"/>
              </w:rPr>
              <w:t>Number of securities</w:t>
              <w:br/>
              <w:t>remaining available for</w:t>
              <w:br/>
              <w:t>future issuance under</w:t>
              <w:br/>
              <w:t xml:space="preserve">equity compensation plans </w:t>
            </w:r>
          </w:p>
        </w:tc>
        <w:tc>
          <w:tcPr>
            <w:tcW w:w="24" w:type="dxa"/>
            <w:tcBorders/>
            <w:shd w:fill="auto" w:val="clear"/>
            <w:vAlign w:val="bottom"/>
          </w:tcPr>
          <w:p>
            <w:pPr>
              <w:pStyle w:val="TableHeading"/>
              <w:suppressLineNumbers/>
              <w:spacing w:before="0" w:after="283"/>
              <w:jc w:val="center"/>
              <w:rPr/>
            </w:pPr>
            <w:r>
              <w:rPr/>
              <w:t>​</w:t>
            </w:r>
          </w:p>
        </w:tc>
      </w:tr>
      <w:tr>
        <w:trPr/>
        <w:tc>
          <w:tcPr>
            <w:tcW w:w="6061" w:type="dxa"/>
            <w:tcBorders/>
            <w:shd w:fill="CCEEFF" w:val="clear"/>
            <w:vAlign w:val="bottom"/>
          </w:tcPr>
          <w:p>
            <w:pPr>
              <w:pStyle w:val="TableContents"/>
              <w:spacing w:before="0" w:after="283"/>
              <w:rPr>
                <w:rFonts w:ascii="arial" w:hAnsi="arial"/>
                <w:sz w:val="20"/>
              </w:rPr>
            </w:pPr>
            <w:r>
              <w:rPr>
                <w:rFonts w:ascii="arial" w:hAnsi="arial"/>
                <w:sz w:val="20"/>
              </w:rPr>
              <w:t>Equity compensation plans approved by security holders                                   </w:t>
            </w:r>
          </w:p>
        </w:tc>
        <w:tc>
          <w:tcPr>
            <w:tcW w:w="24" w:type="dxa"/>
            <w:tcBorders/>
            <w:shd w:fill="CCEEFF" w:val="clear"/>
            <w:vAlign w:val="bottom"/>
          </w:tcPr>
          <w:p>
            <w:pPr>
              <w:pStyle w:val="TableContents"/>
              <w:spacing w:before="0" w:after="283"/>
              <w:rPr/>
            </w:pPr>
            <w:r>
              <w:rPr/>
              <w:t>​</w:t>
            </w:r>
          </w:p>
        </w:tc>
        <w:tc>
          <w:tcPr>
            <w:tcW w:w="360" w:type="dxa"/>
            <w:tcBorders/>
            <w:shd w:fill="CCEEFF" w:val="clear"/>
            <w:vAlign w:val="center"/>
          </w:tcPr>
          <w:p>
            <w:pPr>
              <w:pStyle w:val="TableContents"/>
              <w:spacing w:before="0" w:after="283"/>
              <w:rPr/>
            </w:pPr>
            <w:r>
              <w:rPr/>
              <w:t>​</w:t>
            </w:r>
          </w:p>
        </w:tc>
        <w:tc>
          <w:tcPr>
            <w:tcW w:w="710" w:type="dxa"/>
            <w:gridSpan w:val="2"/>
            <w:tcBorders/>
            <w:shd w:fill="CCEEFF" w:val="clear"/>
            <w:vAlign w:val="center"/>
          </w:tcPr>
          <w:p>
            <w:pPr>
              <w:pStyle w:val="TableContents"/>
              <w:spacing w:before="0" w:after="283"/>
              <w:jc w:val="center"/>
              <w:rPr>
                <w:rFonts w:ascii="arial" w:hAnsi="arial"/>
                <w:sz w:val="20"/>
              </w:rPr>
            </w:pPr>
            <w:r>
              <w:rPr>
                <w:rFonts w:ascii="arial" w:hAnsi="arial"/>
                <w:sz w:val="20"/>
              </w:rPr>
              <w:t>899,914</w:t>
            </w:r>
          </w:p>
        </w:tc>
        <w:tc>
          <w:tcPr>
            <w:tcW w:w="185"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525" w:type="dxa"/>
            <w:tcBorders/>
            <w:shd w:fill="CCEEFF" w:val="clear"/>
            <w:vAlign w:val="center"/>
          </w:tcPr>
          <w:p>
            <w:pPr>
              <w:pStyle w:val="TableContents"/>
              <w:spacing w:before="0" w:after="283"/>
              <w:rPr/>
            </w:pPr>
            <w:r>
              <w:rPr/>
              <w:t>​</w:t>
            </w:r>
          </w:p>
        </w:tc>
        <w:tc>
          <w:tcPr>
            <w:tcW w:w="605" w:type="dxa"/>
            <w:gridSpan w:val="2"/>
            <w:tcBorders/>
            <w:shd w:fill="CCEEFF" w:val="clear"/>
            <w:vAlign w:val="center"/>
          </w:tcPr>
          <w:p>
            <w:pPr>
              <w:pStyle w:val="TableContents"/>
              <w:spacing w:before="0" w:after="283"/>
              <w:jc w:val="center"/>
              <w:rPr>
                <w:rFonts w:ascii="arial" w:hAnsi="arial"/>
                <w:sz w:val="20"/>
              </w:rPr>
            </w:pPr>
            <w:r>
              <w:rPr>
                <w:rFonts w:ascii="arial" w:hAnsi="arial"/>
                <w:sz w:val="20"/>
              </w:rPr>
              <w:t>$32.47</w:t>
            </w:r>
          </w:p>
        </w:tc>
        <w:tc>
          <w:tcPr>
            <w:tcW w:w="200"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540" w:type="dxa"/>
            <w:tcBorders/>
            <w:shd w:fill="CCEEFF" w:val="clear"/>
            <w:vAlign w:val="center"/>
          </w:tcPr>
          <w:p>
            <w:pPr>
              <w:pStyle w:val="TableContents"/>
              <w:spacing w:before="0" w:after="283"/>
              <w:rPr/>
            </w:pPr>
            <w:r>
              <w:rPr/>
              <w:t>​</w:t>
            </w:r>
          </w:p>
        </w:tc>
        <w:tc>
          <w:tcPr>
            <w:tcW w:w="710" w:type="dxa"/>
            <w:gridSpan w:val="2"/>
            <w:tcBorders/>
            <w:shd w:fill="CCEEFF" w:val="clear"/>
            <w:vAlign w:val="center"/>
          </w:tcPr>
          <w:p>
            <w:pPr>
              <w:pStyle w:val="TableContents"/>
              <w:spacing w:before="0" w:after="283"/>
              <w:jc w:val="center"/>
              <w:rPr>
                <w:rFonts w:ascii="arial" w:hAnsi="arial"/>
                <w:sz w:val="20"/>
              </w:rPr>
            </w:pPr>
            <w:r>
              <w:rPr>
                <w:rFonts w:ascii="arial" w:hAnsi="arial"/>
                <w:sz w:val="20"/>
              </w:rPr>
              <w:t>963,106</w:t>
            </w:r>
          </w:p>
        </w:tc>
        <w:tc>
          <w:tcPr>
            <w:tcW w:w="215" w:type="dxa"/>
            <w:tcBorders/>
            <w:shd w:fill="CCEEFF" w:val="clear"/>
            <w:vAlign w:val="center"/>
          </w:tcPr>
          <w:p>
            <w:pPr>
              <w:pStyle w:val="TableContents"/>
              <w:spacing w:before="0" w:after="283"/>
              <w:rPr/>
            </w:pPr>
            <w:r>
              <w:rPr/>
              <w:t>​</w:t>
            </w:r>
          </w:p>
        </w:tc>
        <w:tc>
          <w:tcPr>
            <w:tcW w:w="24" w:type="dxa"/>
            <w:tcBorders/>
            <w:shd w:fill="CCEEFF" w:val="clear"/>
            <w:vAlign w:val="center"/>
          </w:tcPr>
          <w:p>
            <w:pPr>
              <w:pStyle w:val="TableContents"/>
              <w:spacing w:before="0" w:after="283"/>
              <w:rPr/>
            </w:pPr>
            <w:r>
              <w:rPr/>
              <w:t>​</w:t>
            </w:r>
          </w:p>
        </w:tc>
      </w:tr>
    </w:tbl>
    <w:p>
      <w:pPr>
        <w:pStyle w:val="TextBody"/>
        <w:ind w:left="220" w:right="0" w:hanging="220"/>
        <w:rPr>
          <w:rFonts w:ascii="arial" w:hAnsi="arial"/>
          <w:b/>
          <w:sz w:val="20"/>
        </w:rPr>
      </w:pPr>
      <w:r>
        <w:rPr>
          <w:rFonts w:ascii="arial" w:hAnsi="arial"/>
          <w:b/>
          <w:sz w:val="20"/>
        </w:rPr>
        <w:t xml:space="preserve">Delinquent Section 16(a) Reports </w:t>
      </w:r>
    </w:p>
    <w:p>
      <w:pPr>
        <w:pStyle w:val="TextBody"/>
        <w:rPr>
          <w:rFonts w:ascii="arial" w:hAnsi="arial"/>
          <w:sz w:val="20"/>
        </w:rPr>
      </w:pPr>
      <w:r>
        <w:rPr>
          <w:rFonts w:ascii="arial" w:hAnsi="arial"/>
          <w:sz w:val="20"/>
        </w:rPr>
        <w:t xml:space="preserve">Section 16(a) of the Exchange Act requires our executive officers, Directors and persons who own more than ten percent (10%) of our common stock to file reports of ownership and changes in ownership with the SEC. Executive officers, Directors and greater than ten percent (10%) shareholders are required by SEC regulations to furnish us with copies of all Section 16(a) forms they file. Based upon the Company's review of Section 16(a) reports, the Company believes that all Section 16(a) filing requirements applicable to such reporting persons were complied with in 2020, except that the following Section 16 reports were filed late, each as a result of an administrative oversight: Michelle D. Esterman filed two late reports, which covered two transactions; Marcello Mastioni filed two late reports, which covered two transactions; Gregory J. Ritts filed one late report, which covered one transaction; William B. Shepro filed one late report, which covered one transaction and Scott E. Burg filed one late report, which covered one transaction. </w:t>
      </w:r>
    </w:p>
    <w:p>
      <w:pPr>
        <w:pStyle w:val="TextBody"/>
        <w:jc w:val="center"/>
        <w:rPr>
          <w:rFonts w:ascii="arial" w:hAnsi="arial"/>
          <w:sz w:val="20"/>
        </w:rPr>
      </w:pPr>
      <w:r>
        <w:rPr>
          <w:rFonts w:ascii="arial" w:hAnsi="arial"/>
          <w:sz w:val="20"/>
        </w:rPr>
        <w:t>32</w:t>
      </w:r>
    </w:p>
    <w:p>
      <w:pPr>
        <w:pStyle w:val="HorizontalLine"/>
        <w:pBdr>
          <w:bottom w:val="single" w:sz="20" w:space="0" w:color="808080"/>
        </w:pBdr>
        <w:rPr/>
      </w:pPr>
      <w:r>
        <w:rPr/>
      </w:r>
      <w:r>
        <w:br w:type="page"/>
      </w:r>
    </w:p>
    <w:p>
      <w:pPr>
        <w:pStyle w:val="TextBody"/>
        <w:rPr/>
      </w:pPr>
      <w:hyperlink w:anchor="bg45301a_main_toc">
        <w:bookmarkStart w:id="72" w:name="page_do45301_1_33"/>
        <w:bookmarkEnd w:id="72"/>
        <w:r>
          <w:rPr>
            <w:rStyle w:val="InternetLink"/>
            <w:rFonts w:ascii="arial" w:hAnsi="arial"/>
            <w:sz w:val="20"/>
          </w:rPr>
          <w:t>Table of Contents</w:t>
        </w:r>
      </w:hyperlink>
      <w:r>
        <w:rPr>
          <w:rFonts w:ascii="arial" w:hAnsi="arial"/>
          <w:sz w:val="20"/>
        </w:rPr>
        <w:t xml:space="preserve"> </w:t>
      </w:r>
    </w:p>
    <w:p>
      <w:pPr>
        <w:pStyle w:val="TextBody"/>
        <w:rPr/>
      </w:pPr>
      <w:r>
        <w:rPr>
          <w:color w:val="000000"/>
        </w:rPr>
        <w:t>​</w:t>
      </w:r>
      <w:r>
        <w:rPr/>
        <w:t xml:space="preserve"> </w:t>
      </w:r>
    </w:p>
    <w:p>
      <w:pPr>
        <w:pStyle w:val="Normal"/>
        <w:spacing w:before="0" w:after="0"/>
        <w:ind w:left="0" w:right="0" w:hanging="0"/>
        <w:rPr>
          <w:sz w:val="4"/>
          <w:szCs w:val="4"/>
        </w:rPr>
      </w:pPr>
      <w:r>
        <w:rPr>
          <w:sz w:val="4"/>
          <w:szCs w:val="4"/>
        </w:rPr>
      </w:r>
      <w:bookmarkStart w:id="73" w:name="toc_do45301_1"/>
      <w:bookmarkStart w:id="74" w:name="do45301_compensation_discussion_and_anal"/>
      <w:bookmarkStart w:id="75" w:name="toc_do45301_1"/>
      <w:bookmarkStart w:id="76" w:name="do45301_compensation_discussion_and_anal"/>
      <w:bookmarkEnd w:id="75"/>
      <w:bookmarkEnd w:id="76"/>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8" w:space="0" w:color="000000"/>
            </w:tcBorders>
            <w:shd w:fill="auto" w:val="clear"/>
            <w:vAlign w:val="center"/>
          </w:tcPr>
          <w:p>
            <w:pPr>
              <w:pStyle w:val="TableContents"/>
              <w:spacing w:before="0" w:after="0"/>
              <w:ind w:left="0" w:right="0" w:hanging="0"/>
              <w:jc w:val="left"/>
              <w:rPr>
                <w:rFonts w:ascii="arial" w:hAnsi="arial"/>
                <w:b/>
                <w:sz w:val="24"/>
              </w:rPr>
            </w:pPr>
            <w:r>
              <w:rPr>
                <w:rFonts w:ascii="arial" w:hAnsi="arial"/>
                <w:b/>
                <w:sz w:val="24"/>
              </w:rPr>
              <w:t xml:space="preserve">Compensation Discussion and Analysis </w:t>
            </w:r>
          </w:p>
        </w:tc>
      </w:tr>
    </w:tbl>
    <w:p>
      <w:pPr>
        <w:pStyle w:val="TextBody"/>
        <w:ind w:left="220" w:right="0" w:hanging="220"/>
        <w:rPr>
          <w:rFonts w:ascii="arial" w:hAnsi="arial"/>
          <w:b/>
          <w:sz w:val="20"/>
        </w:rPr>
      </w:pPr>
      <w:r>
        <w:rPr>
          <w:rFonts w:ascii="arial" w:hAnsi="arial"/>
          <w:b/>
          <w:sz w:val="20"/>
        </w:rPr>
        <w:t xml:space="preserve">Overview </w:t>
      </w:r>
    </w:p>
    <w:p>
      <w:pPr>
        <w:pStyle w:val="TextBody"/>
        <w:rPr>
          <w:rFonts w:ascii="arial" w:hAnsi="arial"/>
          <w:sz w:val="20"/>
        </w:rPr>
      </w:pPr>
      <w:r>
        <w:rPr>
          <w:rFonts w:ascii="arial" w:hAnsi="arial"/>
          <w:sz w:val="20"/>
        </w:rPr>
        <w:t>This Compensation Discussion and Analysis provides information regarding each of the following:</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spacing w:before="0" w:after="283"/>
        <w:ind w:left="1274" w:right="0" w:hanging="0"/>
        <w:rPr>
          <w:rFonts w:ascii="arial" w:hAnsi="arial"/>
          <w:sz w:val="20"/>
        </w:rPr>
      </w:pPr>
      <w:r>
        <w:rPr>
          <w:rFonts w:ascii="arial" w:hAnsi="arial"/>
          <w:sz w:val="20"/>
        </w:rPr>
        <w:t xml:space="preserve">our executive compensation philosophy and the overall objectives of our executive compensation program;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spacing w:before="0" w:after="283"/>
        <w:ind w:left="1274" w:right="0" w:hanging="0"/>
        <w:rPr>
          <w:rFonts w:ascii="arial" w:hAnsi="arial"/>
          <w:sz w:val="20"/>
        </w:rPr>
      </w:pPr>
      <w:r>
        <w:rPr>
          <w:rFonts w:ascii="arial" w:hAnsi="arial"/>
          <w:sz w:val="20"/>
        </w:rPr>
        <w:t xml:space="preserve">our compensation governance practices;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spacing w:before="0" w:after="283"/>
        <w:ind w:left="1274" w:right="0" w:hanging="0"/>
        <w:rPr>
          <w:rFonts w:ascii="arial" w:hAnsi="arial"/>
          <w:sz w:val="20"/>
        </w:rPr>
      </w:pPr>
      <w:r>
        <w:rPr>
          <w:rFonts w:ascii="arial" w:hAnsi="arial"/>
          <w:sz w:val="20"/>
        </w:rPr>
        <w:t xml:space="preserve">our executive compensation review process;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spacing w:before="0" w:after="283"/>
        <w:ind w:left="1274" w:right="0" w:hanging="0"/>
        <w:rPr>
          <w:rFonts w:ascii="arial" w:hAnsi="arial"/>
          <w:sz w:val="20"/>
        </w:rPr>
      </w:pPr>
      <w:r>
        <w:rPr>
          <w:rFonts w:ascii="arial" w:hAnsi="arial"/>
          <w:sz w:val="20"/>
        </w:rPr>
        <w:t xml:space="preserve">the elements of our executive compensation program; and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spacing w:before="0" w:after="283"/>
        <w:ind w:left="1274" w:right="0" w:hanging="0"/>
        <w:rPr>
          <w:rFonts w:ascii="arial" w:hAnsi="arial"/>
          <w:sz w:val="20"/>
        </w:rPr>
      </w:pPr>
      <w:r>
        <w:rPr>
          <w:rFonts w:ascii="arial" w:hAnsi="arial"/>
          <w:sz w:val="20"/>
        </w:rPr>
        <w:t xml:space="preserve">the decisions made in 2020 and the first quarter of 2021 with respect to the compensation of each of our named executive officers identified below (the "Named Executive Officers"). </w:t>
      </w:r>
    </w:p>
    <w:p>
      <w:pPr>
        <w:pStyle w:val="TextBody"/>
        <w:rPr>
          <w:rFonts w:ascii="arial" w:hAnsi="arial"/>
          <w:sz w:val="20"/>
        </w:rPr>
      </w:pPr>
      <w:r>
        <w:rPr>
          <w:rFonts w:ascii="arial" w:hAnsi="arial"/>
          <w:sz w:val="20"/>
        </w:rPr>
        <w:t xml:space="preserve">Our Named Executive Officers for 2020 were: </w:t>
      </w:r>
    </w:p>
    <w:tbl>
      <w:tblPr>
        <w:tblW w:w="5000" w:type="pct"/>
        <w:jc w:val="center"/>
        <w:tblInd w:w="0" w:type="dxa"/>
        <w:tblCellMar>
          <w:top w:w="0" w:type="dxa"/>
          <w:left w:w="0" w:type="dxa"/>
          <w:bottom w:w="0" w:type="dxa"/>
          <w:right w:w="0" w:type="dxa"/>
        </w:tblCellMar>
      </w:tblPr>
      <w:tblGrid>
        <w:gridCol w:w="860"/>
        <w:gridCol w:w="23"/>
        <w:gridCol w:w="9322"/>
      </w:tblGrid>
      <w:tr>
        <w:trPr/>
        <w:tc>
          <w:tcPr>
            <w:tcW w:w="8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9322" w:type="dxa"/>
            <w:tcBorders/>
            <w:shd w:fill="auto" w:val="clear"/>
            <w:vAlign w:val="center"/>
          </w:tcPr>
          <w:p>
            <w:pPr>
              <w:pStyle w:val="TableContents"/>
              <w:spacing w:before="0" w:after="283"/>
              <w:rPr>
                <w:sz w:val="4"/>
                <w:szCs w:val="4"/>
              </w:rPr>
            </w:pPr>
            <w:r>
              <w:rPr>
                <w:sz w:val="4"/>
                <w:szCs w:val="4"/>
              </w:rPr>
            </w:r>
          </w:p>
        </w:tc>
      </w:tr>
      <w:tr>
        <w:trPr/>
        <w:tc>
          <w:tcPr>
            <w:tcW w:w="860" w:type="dxa"/>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 xml:space="preserve">Name </w:t>
            </w:r>
          </w:p>
        </w:tc>
        <w:tc>
          <w:tcPr>
            <w:tcW w:w="23" w:type="dxa"/>
            <w:tcBorders/>
            <w:shd w:fill="auto" w:val="clear"/>
            <w:vAlign w:val="bottom"/>
          </w:tcPr>
          <w:p>
            <w:pPr>
              <w:pStyle w:val="TableHeading"/>
              <w:spacing w:lineRule="atLeast" w:line="180" w:before="0" w:after="283"/>
              <w:rPr/>
            </w:pPr>
            <w:r>
              <w:rPr/>
              <w:t>​</w:t>
            </w:r>
          </w:p>
        </w:tc>
        <w:tc>
          <w:tcPr>
            <w:tcW w:w="9322" w:type="dxa"/>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 xml:space="preserve">Position </w:t>
            </w:r>
          </w:p>
        </w:tc>
      </w:tr>
      <w:tr>
        <w:trPr/>
        <w:tc>
          <w:tcPr>
            <w:tcW w:w="860" w:type="dxa"/>
            <w:tcBorders/>
            <w:shd w:fill="CCEEFF" w:val="clear"/>
          </w:tcPr>
          <w:p>
            <w:pPr>
              <w:pStyle w:val="TableContents"/>
              <w:spacing w:before="0" w:after="283"/>
              <w:ind w:left="0" w:right="0" w:hanging="0"/>
              <w:rPr>
                <w:rFonts w:ascii="arial" w:hAnsi="arial"/>
                <w:sz w:val="20"/>
              </w:rPr>
            </w:pPr>
            <w:r>
              <w:rPr>
                <w:rFonts w:ascii="arial" w:hAnsi="arial"/>
                <w:sz w:val="20"/>
              </w:rPr>
              <w:t>William B. Shepro</w:t>
            </w:r>
          </w:p>
        </w:tc>
        <w:tc>
          <w:tcPr>
            <w:tcW w:w="23" w:type="dxa"/>
            <w:tcBorders/>
            <w:shd w:fill="CCEEFF" w:val="clear"/>
          </w:tcPr>
          <w:p>
            <w:pPr>
              <w:pStyle w:val="TableContents"/>
              <w:spacing w:before="0" w:after="283"/>
              <w:rPr/>
            </w:pPr>
            <w:r>
              <w:rPr/>
              <w:t>​</w:t>
            </w:r>
          </w:p>
        </w:tc>
        <w:tc>
          <w:tcPr>
            <w:tcW w:w="9322" w:type="dxa"/>
            <w:tcBorders/>
            <w:shd w:fill="CCEEFF" w:val="clear"/>
          </w:tcPr>
          <w:p>
            <w:pPr>
              <w:pStyle w:val="TableContents"/>
              <w:spacing w:before="0" w:after="283"/>
              <w:ind w:left="200" w:right="0" w:hanging="200"/>
              <w:rPr>
                <w:rFonts w:ascii="arial" w:hAnsi="arial"/>
                <w:sz w:val="20"/>
              </w:rPr>
            </w:pPr>
            <w:r>
              <w:rPr>
                <w:rFonts w:ascii="arial" w:hAnsi="arial"/>
                <w:sz w:val="20"/>
              </w:rPr>
              <w:t>Chief Executive Officer</w:t>
            </w:r>
          </w:p>
        </w:tc>
      </w:tr>
      <w:tr>
        <w:trPr/>
        <w:tc>
          <w:tcPr>
            <w:tcW w:w="860" w:type="dxa"/>
            <w:tcBorders/>
            <w:shd w:fill="FFFFFF" w:val="clear"/>
          </w:tcPr>
          <w:p>
            <w:pPr>
              <w:pStyle w:val="TableContents"/>
              <w:spacing w:before="240" w:after="283"/>
              <w:ind w:left="0" w:right="0" w:hanging="0"/>
              <w:rPr>
                <w:rFonts w:ascii="arial" w:hAnsi="arial"/>
                <w:sz w:val="20"/>
              </w:rPr>
            </w:pPr>
            <w:r>
              <w:rPr>
                <w:rFonts w:ascii="arial" w:hAnsi="arial"/>
                <w:sz w:val="20"/>
              </w:rPr>
              <w:br/>
              <w:t>Michelle D. Esterman</w:t>
            </w:r>
          </w:p>
        </w:tc>
        <w:tc>
          <w:tcPr>
            <w:tcW w:w="23" w:type="dxa"/>
            <w:tcBorders/>
            <w:shd w:fill="FFFFFF" w:val="clear"/>
          </w:tcPr>
          <w:p>
            <w:pPr>
              <w:pStyle w:val="TableContents"/>
              <w:spacing w:before="0" w:after="283"/>
              <w:rPr>
                <w:rFonts w:ascii="arial" w:hAnsi="arial"/>
                <w:sz w:val="20"/>
              </w:rPr>
            </w:pPr>
            <w:r>
              <w:rPr>
                <w:rFonts w:ascii="arial" w:hAnsi="arial"/>
                <w:sz w:val="20"/>
              </w:rPr>
              <w:br/>
              <w:t>​</w:t>
            </w:r>
          </w:p>
        </w:tc>
        <w:tc>
          <w:tcPr>
            <w:tcW w:w="9322" w:type="dxa"/>
            <w:tcBorders/>
            <w:shd w:fill="FFFFFF" w:val="clear"/>
          </w:tcPr>
          <w:p>
            <w:pPr>
              <w:pStyle w:val="TableContents"/>
              <w:spacing w:before="240" w:after="283"/>
              <w:ind w:left="200" w:right="0" w:hanging="200"/>
              <w:rPr>
                <w:rFonts w:ascii="arial" w:hAnsi="arial"/>
                <w:sz w:val="20"/>
              </w:rPr>
            </w:pPr>
            <w:r>
              <w:rPr>
                <w:rFonts w:ascii="arial" w:hAnsi="arial"/>
                <w:sz w:val="20"/>
              </w:rPr>
              <w:br/>
              <w:t>Chief Financial Officer</w:t>
            </w:r>
          </w:p>
        </w:tc>
      </w:tr>
      <w:tr>
        <w:trPr/>
        <w:tc>
          <w:tcPr>
            <w:tcW w:w="860" w:type="dxa"/>
            <w:tcBorders/>
            <w:shd w:fill="CCEEFF" w:val="clear"/>
          </w:tcPr>
          <w:p>
            <w:pPr>
              <w:pStyle w:val="TableContents"/>
              <w:spacing w:before="240" w:after="283"/>
              <w:ind w:left="0" w:right="0" w:hanging="0"/>
              <w:rPr>
                <w:rFonts w:ascii="arial" w:hAnsi="arial"/>
                <w:sz w:val="20"/>
              </w:rPr>
            </w:pPr>
            <w:r>
              <w:rPr>
                <w:rFonts w:ascii="arial" w:hAnsi="arial"/>
                <w:sz w:val="20"/>
              </w:rPr>
              <w:br/>
              <w:t>Marcello Mastioni</w:t>
            </w:r>
          </w:p>
        </w:tc>
        <w:tc>
          <w:tcPr>
            <w:tcW w:w="23" w:type="dxa"/>
            <w:tcBorders/>
            <w:shd w:fill="CCEEFF" w:val="clear"/>
          </w:tcPr>
          <w:p>
            <w:pPr>
              <w:pStyle w:val="TableContents"/>
              <w:spacing w:before="0" w:after="283"/>
              <w:rPr>
                <w:rFonts w:ascii="arial" w:hAnsi="arial"/>
                <w:sz w:val="20"/>
              </w:rPr>
            </w:pPr>
            <w:r>
              <w:rPr>
                <w:rFonts w:ascii="arial" w:hAnsi="arial"/>
                <w:sz w:val="20"/>
              </w:rPr>
              <w:br/>
              <w:t>​</w:t>
            </w:r>
          </w:p>
        </w:tc>
        <w:tc>
          <w:tcPr>
            <w:tcW w:w="9322" w:type="dxa"/>
            <w:tcBorders/>
            <w:shd w:fill="CCEEFF" w:val="clear"/>
          </w:tcPr>
          <w:p>
            <w:pPr>
              <w:pStyle w:val="TableContents"/>
              <w:spacing w:before="240" w:after="283"/>
              <w:ind w:left="200" w:right="0" w:hanging="200"/>
              <w:rPr>
                <w:rFonts w:ascii="arial" w:hAnsi="arial"/>
                <w:sz w:val="20"/>
              </w:rPr>
            </w:pPr>
            <w:r>
              <w:rPr>
                <w:rFonts w:ascii="arial" w:hAnsi="arial"/>
                <w:sz w:val="20"/>
              </w:rPr>
              <w:br/>
              <w:t>Chief Operating Officer</w:t>
            </w:r>
          </w:p>
        </w:tc>
      </w:tr>
      <w:tr>
        <w:trPr/>
        <w:tc>
          <w:tcPr>
            <w:tcW w:w="860" w:type="dxa"/>
            <w:tcBorders/>
            <w:shd w:fill="FFFFFF" w:val="clear"/>
          </w:tcPr>
          <w:p>
            <w:pPr>
              <w:pStyle w:val="TableContents"/>
              <w:spacing w:before="240" w:after="283"/>
              <w:ind w:left="0" w:right="0" w:hanging="0"/>
              <w:rPr>
                <w:rFonts w:ascii="arial" w:hAnsi="arial"/>
                <w:sz w:val="20"/>
              </w:rPr>
            </w:pPr>
            <w:r>
              <w:rPr>
                <w:rFonts w:ascii="arial" w:hAnsi="arial"/>
                <w:sz w:val="20"/>
              </w:rPr>
              <w:br/>
              <w:t>Gregory J. Ritts</w:t>
            </w:r>
          </w:p>
        </w:tc>
        <w:tc>
          <w:tcPr>
            <w:tcW w:w="23" w:type="dxa"/>
            <w:tcBorders/>
            <w:shd w:fill="FFFFFF" w:val="clear"/>
          </w:tcPr>
          <w:p>
            <w:pPr>
              <w:pStyle w:val="TableContents"/>
              <w:spacing w:before="0" w:after="283"/>
              <w:rPr>
                <w:rFonts w:ascii="arial" w:hAnsi="arial"/>
                <w:sz w:val="20"/>
              </w:rPr>
            </w:pPr>
            <w:r>
              <w:rPr>
                <w:rFonts w:ascii="arial" w:hAnsi="arial"/>
                <w:sz w:val="20"/>
              </w:rPr>
              <w:br/>
              <w:t>​</w:t>
            </w:r>
          </w:p>
        </w:tc>
        <w:tc>
          <w:tcPr>
            <w:tcW w:w="9322" w:type="dxa"/>
            <w:tcBorders/>
            <w:shd w:fill="FFFFFF" w:val="clear"/>
          </w:tcPr>
          <w:p>
            <w:pPr>
              <w:pStyle w:val="TableContents"/>
              <w:spacing w:before="240" w:after="283"/>
              <w:ind w:left="200" w:right="0" w:hanging="200"/>
              <w:rPr>
                <w:rFonts w:ascii="arial" w:hAnsi="arial"/>
                <w:sz w:val="20"/>
              </w:rPr>
            </w:pPr>
            <w:r>
              <w:rPr>
                <w:rFonts w:ascii="arial" w:hAnsi="arial"/>
                <w:sz w:val="20"/>
              </w:rPr>
              <w:br/>
              <w:t>Chief Legal and Compliance Officer</w:t>
            </w:r>
          </w:p>
        </w:tc>
      </w:tr>
      <w:tr>
        <w:trPr/>
        <w:tc>
          <w:tcPr>
            <w:tcW w:w="860" w:type="dxa"/>
            <w:tcBorders/>
            <w:shd w:fill="CCEEFF" w:val="clear"/>
          </w:tcPr>
          <w:p>
            <w:pPr>
              <w:pStyle w:val="TableContents"/>
              <w:spacing w:before="240" w:after="283"/>
              <w:ind w:left="0" w:right="0" w:hanging="0"/>
              <w:rPr>
                <w:rFonts w:ascii="arial" w:hAnsi="arial"/>
              </w:rPr>
            </w:pPr>
            <w:r>
              <w:rPr>
                <w:rFonts w:ascii="arial" w:hAnsi="arial"/>
                <w:sz w:val="20"/>
              </w:rPr>
              <w:br/>
              <w:t>Kevin J. Wilcox</w:t>
            </w:r>
            <w:r>
              <w:rPr>
                <w:rFonts w:ascii="arial" w:hAnsi="arial"/>
                <w:position w:val="7"/>
                <w:sz w:val="16"/>
                <w:sz w:val="20"/>
              </w:rPr>
              <w:t>(1)</w:t>
            </w:r>
          </w:p>
        </w:tc>
        <w:tc>
          <w:tcPr>
            <w:tcW w:w="23" w:type="dxa"/>
            <w:tcBorders/>
            <w:shd w:fill="CCEEFF" w:val="clear"/>
          </w:tcPr>
          <w:p>
            <w:pPr>
              <w:pStyle w:val="TableContents"/>
              <w:spacing w:before="0" w:after="283"/>
              <w:rPr>
                <w:rFonts w:ascii="arial" w:hAnsi="arial"/>
                <w:sz w:val="20"/>
              </w:rPr>
            </w:pPr>
            <w:r>
              <w:rPr>
                <w:rFonts w:ascii="arial" w:hAnsi="arial"/>
                <w:sz w:val="20"/>
              </w:rPr>
              <w:br/>
              <w:t>​</w:t>
            </w:r>
          </w:p>
        </w:tc>
        <w:tc>
          <w:tcPr>
            <w:tcW w:w="9322" w:type="dxa"/>
            <w:tcBorders/>
            <w:shd w:fill="CCEEFF" w:val="clear"/>
          </w:tcPr>
          <w:p>
            <w:pPr>
              <w:pStyle w:val="TableContents"/>
              <w:spacing w:before="240" w:after="283"/>
              <w:ind w:left="200" w:right="0" w:hanging="200"/>
              <w:rPr>
                <w:rFonts w:ascii="arial" w:hAnsi="arial"/>
                <w:sz w:val="20"/>
              </w:rPr>
            </w:pPr>
            <w:r>
              <w:rPr>
                <w:rFonts w:ascii="arial" w:hAnsi="arial"/>
                <w:sz w:val="20"/>
              </w:rPr>
              <w:br/>
              <w:t>Chief Administration and Risk Officer</w:t>
            </w:r>
          </w:p>
        </w:tc>
      </w:tr>
    </w:tbl>
    <w:p>
      <w:pPr>
        <w:pStyle w:val="HorizontalLine"/>
        <w:pBdr>
          <w:bottom w:val="single" w:sz="6" w:space="0" w:color="000000"/>
        </w:pBdr>
        <w:ind w:left="0" w:right="7552" w:hanging="0"/>
        <w:rPr/>
      </w:pPr>
      <w:r>
        <w:rPr/>
      </w:r>
    </w:p>
    <w:p>
      <w:pPr>
        <w:pStyle w:val="ListHeading"/>
        <w:spacing w:before="0" w:after="0"/>
        <w:jc w:val="left"/>
        <w:rPr>
          <w:rFonts w:ascii="arial" w:hAnsi="arial"/>
          <w:position w:val="7"/>
          <w:sz w:val="16"/>
          <w:sz w:val="20"/>
        </w:rPr>
      </w:pPr>
      <w:r>
        <w:rPr>
          <w:rFonts w:ascii="arial" w:hAnsi="arial"/>
          <w:position w:val="7"/>
          <w:sz w:val="16"/>
          <w:sz w:val="20"/>
        </w:rPr>
        <w:t>(1)</w:t>
      </w:r>
    </w:p>
    <w:p>
      <w:pPr>
        <w:pStyle w:val="ListContents"/>
        <w:spacing w:before="0" w:after="283"/>
        <w:jc w:val="left"/>
        <w:rPr>
          <w:rFonts w:ascii="arial" w:hAnsi="arial"/>
          <w:sz w:val="20"/>
        </w:rPr>
      </w:pPr>
      <w:r>
        <w:rPr>
          <w:rFonts w:ascii="arial" w:hAnsi="arial"/>
          <w:sz w:val="20"/>
        </w:rPr>
        <w:t xml:space="preserve">Employment of Mr. Wilcox with the Company ended on April 15, 2020 </w:t>
      </w:r>
    </w:p>
    <w:p>
      <w:pPr>
        <w:pStyle w:val="TextBody"/>
        <w:ind w:left="220" w:right="0" w:hanging="220"/>
        <w:rPr>
          <w:rFonts w:ascii="arial" w:hAnsi="arial"/>
          <w:b/>
          <w:sz w:val="20"/>
        </w:rPr>
      </w:pPr>
      <w:r>
        <w:rPr>
          <w:rFonts w:ascii="arial" w:hAnsi="arial"/>
          <w:b/>
          <w:sz w:val="20"/>
        </w:rPr>
        <w:t xml:space="preserve">Executive Compensation Philosophy and Objectives </w:t>
      </w:r>
    </w:p>
    <w:p>
      <w:pPr>
        <w:pStyle w:val="TextBody"/>
        <w:rPr>
          <w:rFonts w:ascii="arial" w:hAnsi="arial"/>
          <w:sz w:val="20"/>
        </w:rPr>
      </w:pPr>
      <w:r>
        <w:rPr>
          <w:rFonts w:ascii="arial" w:hAnsi="arial"/>
          <w:sz w:val="20"/>
        </w:rPr>
        <w:t xml:space="preserve">We believe an effective executive compensation program aligns executives' interests with shareholders by rewarding performance that achieves or exceeds specific financial targets and strategic goals designed to improve shareholder and stakeholder value. </w:t>
      </w:r>
    </w:p>
    <w:p>
      <w:pPr>
        <w:pStyle w:val="TextBody"/>
        <w:rPr>
          <w:rFonts w:ascii="arial" w:hAnsi="arial"/>
          <w:sz w:val="20"/>
        </w:rPr>
      </w:pPr>
      <w:r>
        <w:rPr>
          <w:rFonts w:ascii="arial" w:hAnsi="arial"/>
          <w:sz w:val="20"/>
        </w:rPr>
        <w:t xml:space="preserve">Our compensation program is highly leveraged towards creating a pay-for-performance culture that promotes consistent, high-level financial performance and individual service longevity. We believe our compensation program rewards executives for Company and individual performance, encouraging focus on our annual and long-term business goals and aligning executives' interest with those of our shareholders. </w:t>
      </w:r>
    </w:p>
    <w:p>
      <w:pPr>
        <w:pStyle w:val="TextBody"/>
        <w:rPr>
          <w:rFonts w:ascii="arial" w:hAnsi="arial"/>
          <w:sz w:val="20"/>
        </w:rPr>
      </w:pPr>
      <w:r>
        <w:rPr>
          <w:rFonts w:ascii="arial" w:hAnsi="arial"/>
          <w:sz w:val="20"/>
        </w:rPr>
        <w:t xml:space="preserve">The Compensation Committee evaluates our executive compensation programs to ensure that we maintain our ability to attract and retain high quality talent in key positions and that compensation provided to Named Executive Officers remains competitive relative to the compensation paid to similarly situated executives of our peer companies. </w:t>
      </w:r>
    </w:p>
    <w:p>
      <w:pPr>
        <w:pStyle w:val="TextBody"/>
        <w:rPr>
          <w:rFonts w:ascii="arial" w:hAnsi="arial"/>
          <w:sz w:val="20"/>
        </w:rPr>
      </w:pPr>
      <w:r>
        <w:rPr>
          <w:rFonts w:ascii="arial" w:hAnsi="arial"/>
          <w:sz w:val="20"/>
        </w:rPr>
        <w:t xml:space="preserve">The three elements of our executive compensation plan are base salary, annual performance-based incentive, and long-term equity awards. As illustrated in the following pay mix graphs, 28% of our Chief Executive Officer's total compensation for 2020 and 45% of our other Named Executive Officers' total compensation for 2020 was base salary (fixed compensation) and the remainder of their compensation elements are either linked to annual performance incentives covering 2020 performance or are in the form of long-term equity awards granted in 2020. At target level of achievement, 25% of the total compensation of our Chief Executive Officer and 41% of the total compensation of other Named Executive Officers is base salary (fixed compensation) and the remainder of the compensation items are linked to annual performance or are in the form of long-term equity awards. These percentages exclude All Other Compensation as set forth in the Summary Compensation table below. </w:t>
      </w:r>
    </w:p>
    <w:p>
      <w:pPr>
        <w:pStyle w:val="TextBody"/>
        <w:jc w:val="center"/>
        <w:rPr>
          <w:rFonts w:ascii="arial" w:hAnsi="arial"/>
          <w:sz w:val="20"/>
        </w:rPr>
      </w:pPr>
      <w:r>
        <w:rPr>
          <w:rFonts w:ascii="arial" w:hAnsi="arial"/>
          <w:sz w:val="20"/>
        </w:rPr>
        <w:t>33</w:t>
      </w:r>
    </w:p>
    <w:p>
      <w:pPr>
        <w:pStyle w:val="HorizontalLine"/>
        <w:pBdr>
          <w:bottom w:val="single" w:sz="20" w:space="0" w:color="808080"/>
        </w:pBdr>
        <w:rPr/>
      </w:pPr>
      <w:r>
        <w:rPr/>
      </w:r>
      <w:r>
        <w:br w:type="page"/>
      </w:r>
    </w:p>
    <w:p>
      <w:pPr>
        <w:pStyle w:val="TextBody"/>
        <w:rPr/>
      </w:pPr>
      <w:hyperlink w:anchor="bg45301a_main_toc">
        <w:bookmarkStart w:id="77" w:name="page_do45301_1_34"/>
        <w:bookmarkEnd w:id="77"/>
        <w:r>
          <w:rPr>
            <w:rStyle w:val="InternetLink"/>
            <w:rFonts w:ascii="arial" w:hAnsi="arial"/>
            <w:sz w:val="20"/>
          </w:rPr>
          <w:t>Table of Contents</w:t>
        </w:r>
      </w:hyperlink>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3367"/>
        <w:gridCol w:w="101"/>
        <w:gridCol w:w="6737"/>
      </w:tblGrid>
      <w:tr>
        <w:trPr/>
        <w:tc>
          <w:tcPr>
            <w:tcW w:w="3367" w:type="dxa"/>
            <w:tcBorders/>
            <w:shd w:fill="auto" w:val="clear"/>
            <w:vAlign w:val="center"/>
          </w:tcPr>
          <w:p>
            <w:pPr>
              <w:pStyle w:val="TableContents"/>
              <w:spacing w:before="0" w:after="283"/>
              <w:rPr/>
            </w:pPr>
            <w:r>
              <w:rPr/>
              <w:commentReference w:id="100"/>
            </w:r>
            <w:r>
              <w:rPr/>
              <w:commentReference w:id="101"/>
            </w:r>
            <w:r>
              <w:rPr/>
              <w:commentReference w:id="102"/>
            </w:r>
            <w:r>
              <w:rPr/>
              <w:t>​</w:t>
            </w:r>
          </w:p>
        </w:tc>
        <w:tc>
          <w:tcPr>
            <w:tcW w:w="101" w:type="dxa"/>
            <w:tcBorders/>
            <w:shd w:fill="auto" w:val="clear"/>
            <w:vAlign w:val="center"/>
          </w:tcPr>
          <w:p>
            <w:pPr>
              <w:pStyle w:val="TableContents"/>
              <w:spacing w:before="0" w:after="283"/>
              <w:rPr/>
            </w:pPr>
            <w:r>
              <w:rPr/>
              <w:t>​</w:t>
            </w:r>
          </w:p>
        </w:tc>
        <w:tc>
          <w:tcPr>
            <w:tcW w:w="6737" w:type="dxa"/>
            <w:tcBorders/>
            <w:shd w:fill="auto" w:val="clear"/>
            <w:vAlign w:val="center"/>
          </w:tcPr>
          <w:p>
            <w:pPr>
              <w:pStyle w:val="TableContents"/>
              <w:spacing w:before="0" w:after="283"/>
              <w:rPr/>
            </w:pPr>
            <w:r>
              <w:rPr/>
              <w:t>​</w:t>
            </w:r>
            <w:r>
              <w:rPr>
                <w:rFonts w:eastAsia="arial" w:cs="arial" w:ascii="arial" w:hAnsi="arial"/>
              </w:rPr>
              <w:commentReference w:id="103"/>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drawing>
                <wp:inline distT="0" distB="0" distL="0" distR="0">
                  <wp:extent cx="2943225" cy="1809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2943225" cy="180975"/>
                          </a:xfrm>
                          <a:prstGeom prst="rect">
                            <a:avLst/>
                          </a:prstGeom>
                        </pic:spPr>
                      </pic:pic>
                    </a:graphicData>
                  </a:graphic>
                </wp:inline>
              </w:drawing>
            </w:r>
            <w:r>
              <w:rPr/>
              <w:t xml:space="preserve"> </w:t>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t> </w:t>
            </w:r>
          </w:p>
        </w:tc>
      </w:tr>
    </w:tbl>
    <w:p>
      <w:pPr>
        <w:pStyle w:val="TextBody"/>
        <w:rPr/>
      </w:pPr>
      <w:r>
        <w:rPr>
          <w:color w:val="000000"/>
        </w:rPr>
        <w:commentReference w:id="104"/>
      </w:r>
      <w:r>
        <w:rPr>
          <w:color w:val="000000"/>
        </w:rPr>
        <w:t>​</w:t>
      </w:r>
      <w:r>
        <w:rPr/>
        <w:t xml:space="preserve"> </w:t>
      </w:r>
    </w:p>
    <w:p>
      <w:pPr>
        <w:pStyle w:val="TextBody"/>
        <w:jc w:val="center"/>
        <w:rPr>
          <w:rFonts w:ascii="arial" w:hAnsi="arial"/>
        </w:rPr>
      </w:pPr>
      <w:bookmarkStart w:id="78" w:name="toc_do45301_2"/>
      <w:bookmarkStart w:id="79" w:name="do45301_compensation_mix"/>
      <w:bookmarkEnd w:id="78"/>
      <w:bookmarkEnd w:id="79"/>
      <w:r>
        <w:rPr>
          <w:rFonts w:ascii="arial" w:hAnsi="arial"/>
          <w:sz w:val="20"/>
        </w:rPr>
        <w:br/>
      </w:r>
      <w:r>
        <w:rPr>
          <w:rFonts w:ascii="arial" w:hAnsi="arial"/>
          <w:b/>
          <w:sz w:val="20"/>
        </w:rPr>
        <w:t xml:space="preserve">Compensation Mix </w:t>
      </w:r>
    </w:p>
    <w:p>
      <w:pPr>
        <w:pStyle w:val="TextBody"/>
        <w:jc w:val="center"/>
        <w:rPr/>
      </w:pPr>
      <w:r>
        <w:rPr/>
        <w:drawing>
          <wp:inline distT="0" distB="0" distL="0" distR="0">
            <wp:extent cx="6353175" cy="1714500"/>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6353175" cy="1714500"/>
                    </a:xfrm>
                    <a:prstGeom prst="rect">
                      <a:avLst/>
                    </a:prstGeom>
                  </pic:spPr>
                </pic:pic>
              </a:graphicData>
            </a:graphic>
          </wp:inline>
        </w:drawing>
      </w:r>
      <w:r>
        <w:rPr/>
        <w:t xml:space="preserve"> </w:t>
      </w:r>
    </w:p>
    <w:p>
      <w:pPr>
        <w:pStyle w:val="TextBody"/>
        <w:rPr>
          <w:rFonts w:ascii="arial" w:hAnsi="arial"/>
          <w:sz w:val="20"/>
        </w:rPr>
      </w:pPr>
      <w:r>
        <w:rPr>
          <w:rFonts w:ascii="arial" w:hAnsi="arial"/>
          <w:sz w:val="20"/>
        </w:rPr>
        <w:t xml:space="preserve">Another key element of our executive compensation philosophy is the emphasis on equity compensation. We believe such a practice helps drive ownership and aligns executive interests to the long-term success of the Company. As illustrated in the graphs below, most of our Chief Executive Officer's (72%), and a substantial portion of our other Named Executive Officers' (55%) total compensation in 2020 was in the form of equity grants as compared to cash compensation. At target level of performance, 53% of our Chief Executive Officer's and 41% of our other Named Executive Officers' total compensation would be in the form of equity compensation. These percentages exclude All Other Compensation as set forth in the Summary Compensation table below. </w:t>
      </w:r>
    </w:p>
    <w:p>
      <w:pPr>
        <w:pStyle w:val="TextBody"/>
        <w:jc w:val="center"/>
        <w:rPr>
          <w:rFonts w:ascii="arial" w:hAnsi="arial"/>
        </w:rPr>
      </w:pPr>
      <w:bookmarkStart w:id="80" w:name="toc_do45301_3"/>
      <w:bookmarkStart w:id="81" w:name="do45301_cash_vs._equity_compensation"/>
      <w:bookmarkEnd w:id="80"/>
      <w:bookmarkEnd w:id="81"/>
      <w:r>
        <w:rPr>
          <w:rFonts w:ascii="arial" w:hAnsi="arial"/>
          <w:sz w:val="20"/>
        </w:rPr>
        <w:br/>
      </w:r>
      <w:r>
        <w:rPr>
          <w:rFonts w:ascii="arial" w:hAnsi="arial"/>
          <w:b/>
          <w:sz w:val="20"/>
        </w:rPr>
        <w:t xml:space="preserve">Cash vs. Equity Compensation </w:t>
      </w:r>
    </w:p>
    <w:p>
      <w:pPr>
        <w:pStyle w:val="TextBody"/>
        <w:jc w:val="center"/>
        <w:rPr/>
      </w:pPr>
      <w:r>
        <w:rPr/>
        <w:drawing>
          <wp:inline distT="0" distB="0" distL="0" distR="0">
            <wp:extent cx="6353175" cy="1714500"/>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7"/>
                    <a:stretch>
                      <a:fillRect/>
                    </a:stretch>
                  </pic:blipFill>
                  <pic:spPr bwMode="auto">
                    <a:xfrm>
                      <a:off x="0" y="0"/>
                      <a:ext cx="6353175" cy="1714500"/>
                    </a:xfrm>
                    <a:prstGeom prst="rect">
                      <a:avLst/>
                    </a:prstGeom>
                  </pic:spPr>
                </pic:pic>
              </a:graphicData>
            </a:graphic>
          </wp:inline>
        </w:drawing>
      </w:r>
      <w:r>
        <w:rPr/>
        <w:t xml:space="preserve"> </w:t>
      </w:r>
    </w:p>
    <w:p>
      <w:pPr>
        <w:pStyle w:val="TextBody"/>
        <w:rPr>
          <w:rFonts w:ascii="arial" w:hAnsi="arial"/>
          <w:sz w:val="20"/>
        </w:rPr>
      </w:pPr>
      <w:r>
        <w:rPr>
          <w:rFonts w:ascii="arial" w:hAnsi="arial"/>
          <w:sz w:val="20"/>
        </w:rPr>
        <w:t>In 2020, we faced significant challenges and lower revenues primarily owing to declines in our default business as a result of the COVID-19 pandemic and one of the MSR investors of our largest customer instructing that customer to redirect certain referrals from us to that investor's captive service provider. To address these reductions, we undertook cost reduction measures including changes to executive compensation as follows:</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spacing w:before="0" w:after="283"/>
        <w:ind w:left="1274" w:right="0" w:hanging="0"/>
        <w:rPr>
          <w:rFonts w:ascii="arial" w:hAnsi="arial"/>
        </w:rPr>
      </w:pPr>
      <w:r>
        <w:rPr>
          <w:rFonts w:ascii="arial" w:hAnsi="arial"/>
          <w:i/>
          <w:sz w:val="20"/>
        </w:rPr>
        <w:t>Reducing compensation</w:t>
      </w:r>
      <w:r>
        <w:rPr>
          <w:rFonts w:ascii="arial" w:hAnsi="arial"/>
          <w:sz w:val="20"/>
        </w:rPr>
        <w:t xml:space="preserve">The compensation of each of our Named Executive Officers (except our Chief Executive Officer) was voluntarily reduced by an amount equal to 25% of their base salary, and the base salary for our Chief Executive Officer was reduced by 40%, effective in April 2020 and continuing for a period of six months. There was no change in compensation for our Chief Administration and Risk Officer since his employment with the Company ceased in April 2020.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spacing w:before="0" w:after="283"/>
        <w:ind w:left="1274" w:right="0" w:hanging="0"/>
        <w:rPr>
          <w:rFonts w:ascii="arial" w:hAnsi="arial"/>
        </w:rPr>
      </w:pPr>
      <w:r>
        <w:rPr>
          <w:rFonts w:ascii="arial" w:hAnsi="arial"/>
          <w:i/>
          <w:sz w:val="20"/>
        </w:rPr>
        <w:t>Reducing maximum level of achievement for annual incentive compensation and revising incentive compensation metrics</w:t>
      </w:r>
      <w:r>
        <w:rPr>
          <w:rFonts w:ascii="arial" w:hAnsi="arial"/>
          <w:sz w:val="20"/>
        </w:rPr>
        <w:t xml:space="preserve">The Compensation Committee elected to exercise its discretion to revise the 2020 annual incentive compensation program by establishing the maximum incentive compensation pool at 80% of target, as opposed to 175% of target previously approved in the plan and revising </w:t>
      </w:r>
    </w:p>
    <w:p>
      <w:pPr>
        <w:pStyle w:val="TextBody"/>
        <w:jc w:val="center"/>
        <w:rPr>
          <w:rFonts w:ascii="arial" w:hAnsi="arial"/>
          <w:sz w:val="20"/>
        </w:rPr>
      </w:pPr>
      <w:r>
        <w:rPr>
          <w:rFonts w:ascii="arial" w:hAnsi="arial"/>
          <w:sz w:val="20"/>
        </w:rPr>
        <w:t>34</w:t>
      </w:r>
    </w:p>
    <w:p>
      <w:pPr>
        <w:pStyle w:val="HorizontalLine"/>
        <w:pBdr>
          <w:bottom w:val="single" w:sz="20" w:space="0" w:color="808080"/>
        </w:pBdr>
        <w:rPr/>
      </w:pPr>
      <w:r>
        <w:rPr/>
      </w:r>
      <w:r>
        <w:br w:type="page"/>
      </w:r>
    </w:p>
    <w:p>
      <w:pPr>
        <w:pStyle w:val="TextBody"/>
        <w:rPr/>
      </w:pPr>
      <w:hyperlink w:anchor="bg45301a_main_toc">
        <w:bookmarkStart w:id="82" w:name="page_do45301_1_35"/>
        <w:bookmarkEnd w:id="82"/>
        <w:r>
          <w:rPr>
            <w:rStyle w:val="InternetLink"/>
            <w:rFonts w:ascii="arial" w:hAnsi="arial"/>
            <w:sz w:val="20"/>
          </w:rPr>
          <w:t>Table of Contents</w:t>
        </w:r>
      </w:hyperlink>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3367"/>
        <w:gridCol w:w="101"/>
        <w:gridCol w:w="6737"/>
      </w:tblGrid>
      <w:tr>
        <w:trPr/>
        <w:tc>
          <w:tcPr>
            <w:tcW w:w="3367" w:type="dxa"/>
            <w:tcBorders/>
            <w:shd w:fill="auto" w:val="clear"/>
            <w:vAlign w:val="center"/>
          </w:tcPr>
          <w:p>
            <w:pPr>
              <w:pStyle w:val="TableContents"/>
              <w:spacing w:before="0" w:after="283"/>
              <w:rPr/>
            </w:pPr>
            <w:r>
              <w:rPr/>
              <w:commentReference w:id="105"/>
            </w:r>
            <w:r>
              <w:rPr/>
              <w:commentReference w:id="106"/>
            </w:r>
            <w:r>
              <w:rPr/>
              <w:commentReference w:id="107"/>
            </w:r>
            <w:r>
              <w:rPr/>
              <w:t>​</w:t>
            </w:r>
          </w:p>
        </w:tc>
        <w:tc>
          <w:tcPr>
            <w:tcW w:w="101" w:type="dxa"/>
            <w:tcBorders/>
            <w:shd w:fill="auto" w:val="clear"/>
            <w:vAlign w:val="center"/>
          </w:tcPr>
          <w:p>
            <w:pPr>
              <w:pStyle w:val="TableContents"/>
              <w:spacing w:before="0" w:after="283"/>
              <w:rPr/>
            </w:pPr>
            <w:r>
              <w:rPr/>
              <w:t>​</w:t>
            </w:r>
          </w:p>
        </w:tc>
        <w:tc>
          <w:tcPr>
            <w:tcW w:w="6737" w:type="dxa"/>
            <w:tcBorders/>
            <w:shd w:fill="auto" w:val="clear"/>
            <w:vAlign w:val="center"/>
          </w:tcPr>
          <w:p>
            <w:pPr>
              <w:pStyle w:val="TableContents"/>
              <w:spacing w:before="0" w:after="283"/>
              <w:rPr/>
            </w:pPr>
            <w:r>
              <w:rPr/>
              <w:t>​</w:t>
            </w:r>
            <w:r>
              <w:rPr>
                <w:rFonts w:eastAsia="arial" w:cs="arial" w:ascii="arial" w:hAnsi="arial"/>
              </w:rPr>
              <w:commentReference w:id="108"/>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drawing>
                <wp:inline distT="0" distB="0" distL="0" distR="0">
                  <wp:extent cx="2943225" cy="1809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68"/>
                          <a:stretch>
                            <a:fillRect/>
                          </a:stretch>
                        </pic:blipFill>
                        <pic:spPr bwMode="auto">
                          <a:xfrm>
                            <a:off x="0" y="0"/>
                            <a:ext cx="2943225" cy="180975"/>
                          </a:xfrm>
                          <a:prstGeom prst="rect">
                            <a:avLst/>
                          </a:prstGeom>
                        </pic:spPr>
                      </pic:pic>
                    </a:graphicData>
                  </a:graphic>
                </wp:inline>
              </w:drawing>
            </w:r>
            <w:r>
              <w:rPr/>
              <w:t xml:space="preserve"> </w:t>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spacing w:before="0" w:after="283"/>
              <w:jc w:val="right"/>
              <w:rPr/>
            </w:pPr>
            <w:r>
              <w:rPr/>
              <w:t>​</w:t>
            </w:r>
          </w:p>
        </w:tc>
      </w:tr>
    </w:tbl>
    <w:p>
      <w:pPr>
        <w:pStyle w:val="TextBody"/>
        <w:rPr/>
      </w:pPr>
      <w:r>
        <w:rPr>
          <w:color w:val="000000"/>
        </w:rPr>
        <w:commentReference w:id="109"/>
      </w:r>
      <w:r>
        <w:rPr>
          <w:color w:val="000000"/>
        </w:rPr>
        <w:t>​</w:t>
      </w:r>
      <w:r>
        <w:rPr/>
        <w:t xml:space="preserve"> </w:t>
      </w:r>
    </w:p>
    <w:p>
      <w:pPr>
        <w:pStyle w:val="TextBody"/>
        <w:numPr>
          <w:ilvl w:val="0"/>
          <w:numId w:val="0"/>
        </w:numPr>
        <w:ind w:left="1414" w:hanging="0"/>
        <w:rPr>
          <w:rFonts w:ascii="arial" w:hAnsi="arial"/>
          <w:sz w:val="20"/>
        </w:rPr>
      </w:pPr>
      <w:r>
        <w:rPr>
          <w:rFonts w:ascii="arial" w:hAnsi="arial"/>
          <w:sz w:val="20"/>
        </w:rPr>
        <w:t xml:space="preserve">the applicable metrics to align with the Company's cost reduction priorities. Subsequently, the Compensation Committee further elected to exercise its discretion to establish the maximum incentive pool at 27.3% of target and to cause all 2020 annual incentive awards to be paid in RSUs. Based upon actual performance against the cost reduction objectives, the achievement level for 2020 annual incentives was 91.7% of the 27.3% target pool which equated to a payout of 25.0% of target for the Named Executive Officers (other than the Chief Administration and Risk Officer, who was not eligible for 2020 incentives, and the Chief Executive Officer). The Compensation Committee paid the Chief Executive Officer at 20% of the annual incentive target.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spacing w:before="0" w:after="283"/>
        <w:ind w:left="1274" w:right="0" w:hanging="0"/>
        <w:rPr>
          <w:rFonts w:ascii="arial" w:hAnsi="arial"/>
        </w:rPr>
      </w:pPr>
      <w:r>
        <w:rPr>
          <w:rFonts w:ascii="arial" w:hAnsi="arial"/>
          <w:i/>
          <w:sz w:val="20"/>
        </w:rPr>
        <w:t>Reducing maximum level of achievement for long term incentive awards</w:t>
      </w:r>
      <w:r>
        <w:rPr>
          <w:rFonts w:ascii="arial" w:hAnsi="arial"/>
          <w:sz w:val="20"/>
        </w:rPr>
        <w:t xml:space="preserve">The Compensation Committee elected to exercise its discretion to revise the maximum level of achievement for 2020 performance in the 2019 and 2020 Long Term Incentive Plans ("LTIP") Type II awards at 80% of target, as opposed to the 150% previously approved in the plan, with the actual level of achievement to be determined by the Compensation Committee based on the level of achievement on the 2020 cost reduction objectives. Based upon actual performance against the cost reduction objectives, the Company's 2020 achievement level under the LTIP Type II award was 91.7% of the 80% maximum potential achievement, or 73.4% for the Named Executive Officers (other than the Chief Administration and Risk Officer, who was not eligible for 2020 incentives). The Type II RSU awards are not yet due to vest and the actual amount of Type II RSUs that vest will depend upon the performance against the established criteria. </w:t>
      </w:r>
    </w:p>
    <w:p>
      <w:pPr>
        <w:pStyle w:val="TextBody"/>
        <w:rPr>
          <w:rFonts w:ascii="arial" w:hAnsi="arial"/>
          <w:sz w:val="20"/>
        </w:rPr>
      </w:pPr>
      <w:r>
        <w:rPr>
          <w:rFonts w:ascii="arial" w:hAnsi="arial"/>
          <w:sz w:val="20"/>
        </w:rPr>
        <w:t xml:space="preserve">The details related to base salary, annual incentives and LTIPs are provided in subsequent sections. </w:t>
      </w:r>
    </w:p>
    <w:p>
      <w:pPr>
        <w:pStyle w:val="TextBody"/>
        <w:rPr>
          <w:rFonts w:ascii="arial" w:hAnsi="arial"/>
          <w:sz w:val="20"/>
        </w:rPr>
      </w:pPr>
      <w:r>
        <w:rPr>
          <w:rFonts w:ascii="arial" w:hAnsi="arial"/>
          <w:sz w:val="20"/>
        </w:rPr>
        <w:t xml:space="preserve">In determining executive compensation for the fiscal year, our Compensation Committee considered, among other factors, the shareholder support that the "Say-on-Pay" proposal received at our annual meeting of shareholders in 2020 (with approximately seventy-two (72%) of voted shares supporting the Company's Named Executive Officer compensation structure) and continued to apply principles and a philosophy focused on pay-for-performance and the use of a compensation program designed to motivate the creation of long-term value. </w:t>
      </w:r>
    </w:p>
    <w:p>
      <w:pPr>
        <w:pStyle w:val="TextBody"/>
        <w:rPr>
          <w:rFonts w:ascii="arial" w:hAnsi="arial"/>
          <w:sz w:val="20"/>
        </w:rPr>
      </w:pPr>
      <w:r>
        <w:rPr>
          <w:rFonts w:ascii="arial" w:hAnsi="arial"/>
          <w:sz w:val="20"/>
        </w:rPr>
        <w:t xml:space="preserve">We continued to evolve our executive compensation program in various areas over the past several years based on feedback that we received from our shareholders and other stakeholders. </w:t>
      </w:r>
    </w:p>
    <w:tbl>
      <w:tblPr>
        <w:tblW w:w="5000" w:type="pct"/>
        <w:jc w:val="center"/>
        <w:tblInd w:w="0" w:type="dxa"/>
        <w:tblCellMar>
          <w:top w:w="0" w:type="dxa"/>
          <w:left w:w="0" w:type="dxa"/>
          <w:bottom w:w="0" w:type="dxa"/>
          <w:right w:w="0" w:type="dxa"/>
        </w:tblCellMar>
      </w:tblPr>
      <w:tblGrid>
        <w:gridCol w:w="5090"/>
        <w:gridCol w:w="23"/>
        <w:gridCol w:w="5092"/>
      </w:tblGrid>
      <w:tr>
        <w:trPr/>
        <w:tc>
          <w:tcPr>
            <w:tcW w:w="509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5092" w:type="dxa"/>
            <w:tcBorders/>
            <w:shd w:fill="auto" w:val="clear"/>
            <w:vAlign w:val="center"/>
          </w:tcPr>
          <w:p>
            <w:pPr>
              <w:pStyle w:val="TableContents"/>
              <w:spacing w:before="0" w:after="283"/>
              <w:rPr>
                <w:sz w:val="4"/>
                <w:szCs w:val="4"/>
              </w:rPr>
            </w:pPr>
            <w:r>
              <w:rPr>
                <w:sz w:val="4"/>
                <w:szCs w:val="4"/>
              </w:rPr>
            </w:r>
          </w:p>
        </w:tc>
      </w:tr>
      <w:tr>
        <w:trPr/>
        <w:tc>
          <w:tcPr>
            <w:tcW w:w="5090" w:type="dxa"/>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 xml:space="preserve">What We Heard </w:t>
            </w:r>
          </w:p>
        </w:tc>
        <w:tc>
          <w:tcPr>
            <w:tcW w:w="23" w:type="dxa"/>
            <w:tcBorders/>
            <w:shd w:fill="auto" w:val="clear"/>
            <w:vAlign w:val="bottom"/>
          </w:tcPr>
          <w:p>
            <w:pPr>
              <w:pStyle w:val="TableHeading"/>
              <w:spacing w:lineRule="atLeast" w:line="180" w:before="0" w:after="283"/>
              <w:rPr/>
            </w:pPr>
            <w:r>
              <w:rPr/>
              <w:t>​</w:t>
            </w:r>
          </w:p>
        </w:tc>
        <w:tc>
          <w:tcPr>
            <w:tcW w:w="5092" w:type="dxa"/>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 xml:space="preserve">How We Responded </w:t>
            </w:r>
          </w:p>
        </w:tc>
      </w:tr>
      <w:tr>
        <w:trPr/>
        <w:tc>
          <w:tcPr>
            <w:tcW w:w="5090" w:type="dxa"/>
            <w:tcBorders/>
            <w:shd w:fill="auto" w:val="clear"/>
          </w:tcPr>
          <w:p>
            <w:pPr>
              <w:pStyle w:val="TableContents"/>
              <w:spacing w:before="0" w:after="283"/>
              <w:rPr>
                <w:rFonts w:ascii="arial" w:hAnsi="arial"/>
              </w:rPr>
            </w:pPr>
            <w:r>
              <w:rPr>
                <w:rFonts w:ascii="arial" w:hAnsi="arial"/>
                <w:sz w:val="20"/>
              </w:rPr>
              <w:t xml:space="preserve">The Company should work toward </w:t>
            </w:r>
            <w:r>
              <w:rPr>
                <w:rFonts w:ascii="arial" w:hAnsi="arial"/>
                <w:b/>
                <w:sz w:val="20"/>
              </w:rPr>
              <w:t>creating ownership</w:t>
            </w:r>
            <w:r>
              <w:rPr>
                <w:rFonts w:ascii="arial" w:hAnsi="arial"/>
              </w:rPr>
              <w:t xml:space="preserve"> </w:t>
            </w:r>
            <w:r>
              <w:rPr>
                <w:rFonts w:ascii="arial" w:hAnsi="arial"/>
                <w:sz w:val="20"/>
              </w:rPr>
              <w:t>across levels and align employee interest to long term value creation.</w:t>
            </w:r>
          </w:p>
        </w:tc>
        <w:tc>
          <w:tcPr>
            <w:tcW w:w="23" w:type="dxa"/>
            <w:tcBorders/>
            <w:shd w:fill="auto" w:val="clear"/>
          </w:tcPr>
          <w:p>
            <w:pPr>
              <w:pStyle w:val="TableContents"/>
              <w:spacing w:before="0" w:after="283"/>
              <w:rPr/>
            </w:pPr>
            <w:r>
              <w:rPr/>
              <w:t>​</w:t>
            </w:r>
          </w:p>
        </w:tc>
        <w:tc>
          <w:tcPr>
            <w:tcW w:w="5092" w:type="dxa"/>
            <w:tcBorders/>
            <w:shd w:fill="auto" w:val="clear"/>
          </w:tcPr>
          <w:p>
            <w:pPr>
              <w:pStyle w:val="TableContents"/>
              <w:spacing w:before="0" w:after="283"/>
              <w:rPr>
                <w:rFonts w:ascii="arial" w:hAnsi="arial"/>
                <w:sz w:val="20"/>
              </w:rPr>
            </w:pPr>
            <w:r>
              <w:rPr>
                <w:rFonts w:ascii="arial" w:hAnsi="arial"/>
                <w:sz w:val="20"/>
              </w:rPr>
              <w:t>Beginning in 2018, the Company amended its annual incentive payout methodology to pay a significant portion of the executives earned annual incentive based upon their scorecard performance, in time based RSU as opposed to all in cash. For the 2020 performance year, 100% of the earned annual incentives for our Named Executive Officers was paid in time based RSUs.</w:t>
            </w:r>
          </w:p>
        </w:tc>
      </w:tr>
    </w:tbl>
    <w:p>
      <w:pPr>
        <w:pStyle w:val="TextBody"/>
        <w:jc w:val="center"/>
        <w:rPr>
          <w:rFonts w:ascii="arial" w:hAnsi="arial"/>
          <w:sz w:val="20"/>
        </w:rPr>
      </w:pPr>
      <w:r>
        <w:rPr>
          <w:rFonts w:ascii="arial" w:hAnsi="arial"/>
          <w:sz w:val="20"/>
        </w:rPr>
        <w:t>35</w:t>
      </w:r>
    </w:p>
    <w:p>
      <w:pPr>
        <w:pStyle w:val="HorizontalLine"/>
        <w:pBdr>
          <w:bottom w:val="single" w:sz="20" w:space="0" w:color="808080"/>
        </w:pBdr>
        <w:rPr/>
      </w:pPr>
      <w:r>
        <w:rPr/>
      </w:r>
      <w:r>
        <w:br w:type="page"/>
      </w:r>
    </w:p>
    <w:p>
      <w:pPr>
        <w:pStyle w:val="TextBody"/>
        <w:rPr/>
      </w:pPr>
      <w:hyperlink w:anchor="bg45301a_main_toc">
        <w:bookmarkStart w:id="83" w:name="page_do45301_1_36"/>
        <w:bookmarkEnd w:id="83"/>
        <w:r>
          <w:rPr>
            <w:rStyle w:val="InternetLink"/>
            <w:rFonts w:ascii="arial" w:hAnsi="arial"/>
            <w:sz w:val="20"/>
          </w:rPr>
          <w:t>Table of Contents</w:t>
        </w:r>
      </w:hyperlink>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3367"/>
        <w:gridCol w:w="101"/>
        <w:gridCol w:w="6737"/>
      </w:tblGrid>
      <w:tr>
        <w:trPr/>
        <w:tc>
          <w:tcPr>
            <w:tcW w:w="3367" w:type="dxa"/>
            <w:tcBorders/>
            <w:shd w:fill="auto" w:val="clear"/>
            <w:vAlign w:val="center"/>
          </w:tcPr>
          <w:p>
            <w:pPr>
              <w:pStyle w:val="TableContents"/>
              <w:spacing w:before="0" w:after="283"/>
              <w:rPr/>
            </w:pPr>
            <w:r>
              <w:rPr/>
              <w:commentReference w:id="110"/>
            </w:r>
            <w:r>
              <w:rPr/>
              <w:commentReference w:id="111"/>
            </w:r>
            <w:r>
              <w:rPr/>
              <w:commentReference w:id="112"/>
            </w:r>
            <w:r>
              <w:rPr/>
              <w:t>​</w:t>
            </w:r>
          </w:p>
        </w:tc>
        <w:tc>
          <w:tcPr>
            <w:tcW w:w="101" w:type="dxa"/>
            <w:tcBorders/>
            <w:shd w:fill="auto" w:val="clear"/>
            <w:vAlign w:val="center"/>
          </w:tcPr>
          <w:p>
            <w:pPr>
              <w:pStyle w:val="TableContents"/>
              <w:spacing w:before="0" w:after="283"/>
              <w:rPr/>
            </w:pPr>
            <w:r>
              <w:rPr/>
              <w:t>​</w:t>
            </w:r>
          </w:p>
        </w:tc>
        <w:tc>
          <w:tcPr>
            <w:tcW w:w="6737" w:type="dxa"/>
            <w:tcBorders/>
            <w:shd w:fill="auto" w:val="clear"/>
            <w:vAlign w:val="center"/>
          </w:tcPr>
          <w:p>
            <w:pPr>
              <w:pStyle w:val="TableContents"/>
              <w:spacing w:before="0" w:after="283"/>
              <w:rPr/>
            </w:pPr>
            <w:r>
              <w:rPr/>
              <w:t>​</w:t>
            </w:r>
            <w:r>
              <w:rPr>
                <w:rFonts w:eastAsia="arial" w:cs="arial" w:ascii="arial" w:hAnsi="arial"/>
              </w:rPr>
              <w:commentReference w:id="113"/>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drawing>
                <wp:inline distT="0" distB="0" distL="0" distR="0">
                  <wp:extent cx="2943225" cy="1809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69"/>
                          <a:stretch>
                            <a:fillRect/>
                          </a:stretch>
                        </pic:blipFill>
                        <pic:spPr bwMode="auto">
                          <a:xfrm>
                            <a:off x="0" y="0"/>
                            <a:ext cx="2943225" cy="180975"/>
                          </a:xfrm>
                          <a:prstGeom prst="rect">
                            <a:avLst/>
                          </a:prstGeom>
                        </pic:spPr>
                      </pic:pic>
                    </a:graphicData>
                  </a:graphic>
                </wp:inline>
              </w:drawing>
            </w:r>
            <w:r>
              <w:rPr/>
              <w:t xml:space="preserve"> </w:t>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spacing w:before="0" w:after="283"/>
              <w:jc w:val="right"/>
              <w:rPr/>
            </w:pPr>
            <w:r>
              <w:rPr/>
              <w:t>​</w:t>
            </w:r>
          </w:p>
        </w:tc>
      </w:tr>
    </w:tbl>
    <w:p>
      <w:pPr>
        <w:pStyle w:val="TextBody"/>
        <w:spacing w:before="0" w:after="0"/>
        <w:rPr/>
      </w:pPr>
      <w:r>
        <w:rPr>
          <w:color w:val="000000"/>
        </w:rPr>
        <w:commentReference w:id="114"/>
      </w:r>
      <w:r>
        <w:rPr>
          <w:color w:val="000000"/>
        </w:rPr>
        <w:t>​</w:t>
      </w:r>
      <w:r>
        <w:rPr/>
        <w:t xml:space="preserve"> </w:t>
      </w:r>
    </w:p>
    <w:tbl>
      <w:tblPr>
        <w:tblW w:w="5000" w:type="pct"/>
        <w:jc w:val="center"/>
        <w:tblInd w:w="0" w:type="dxa"/>
        <w:tblCellMar>
          <w:top w:w="0" w:type="dxa"/>
          <w:left w:w="0" w:type="dxa"/>
          <w:bottom w:w="0" w:type="dxa"/>
          <w:right w:w="0" w:type="dxa"/>
        </w:tblCellMar>
      </w:tblPr>
      <w:tblGrid>
        <w:gridCol w:w="5090"/>
        <w:gridCol w:w="23"/>
        <w:gridCol w:w="5092"/>
      </w:tblGrid>
      <w:tr>
        <w:trPr/>
        <w:tc>
          <w:tcPr>
            <w:tcW w:w="509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5092" w:type="dxa"/>
            <w:tcBorders/>
            <w:shd w:fill="auto" w:val="clear"/>
            <w:vAlign w:val="center"/>
          </w:tcPr>
          <w:p>
            <w:pPr>
              <w:pStyle w:val="TableContents"/>
              <w:spacing w:before="0" w:after="283"/>
              <w:rPr>
                <w:sz w:val="4"/>
                <w:szCs w:val="4"/>
              </w:rPr>
            </w:pPr>
            <w:r>
              <w:rPr>
                <w:sz w:val="4"/>
                <w:szCs w:val="4"/>
              </w:rPr>
            </w:r>
          </w:p>
        </w:tc>
      </w:tr>
      <w:tr>
        <w:trPr/>
        <w:tc>
          <w:tcPr>
            <w:tcW w:w="5090" w:type="dxa"/>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 xml:space="preserve">What We Heard </w:t>
            </w:r>
          </w:p>
        </w:tc>
        <w:tc>
          <w:tcPr>
            <w:tcW w:w="23" w:type="dxa"/>
            <w:tcBorders/>
            <w:shd w:fill="auto" w:val="clear"/>
            <w:vAlign w:val="bottom"/>
          </w:tcPr>
          <w:p>
            <w:pPr>
              <w:pStyle w:val="TableHeading"/>
              <w:spacing w:lineRule="atLeast" w:line="180" w:before="0" w:after="283"/>
              <w:rPr/>
            </w:pPr>
            <w:r>
              <w:rPr/>
              <w:t>​</w:t>
            </w:r>
          </w:p>
        </w:tc>
        <w:tc>
          <w:tcPr>
            <w:tcW w:w="5092" w:type="dxa"/>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 xml:space="preserve">How We Responded </w:t>
            </w:r>
          </w:p>
        </w:tc>
      </w:tr>
      <w:tr>
        <w:trPr/>
        <w:tc>
          <w:tcPr>
            <w:tcW w:w="5090" w:type="dxa"/>
            <w:tcBorders/>
            <w:shd w:fill="auto" w:val="clear"/>
          </w:tcPr>
          <w:p>
            <w:pPr>
              <w:pStyle w:val="TableContents"/>
              <w:spacing w:before="0" w:after="283"/>
              <w:rPr>
                <w:rFonts w:ascii="arial" w:hAnsi="arial"/>
              </w:rPr>
            </w:pPr>
            <w:r>
              <w:rPr>
                <w:rFonts w:ascii="arial" w:hAnsi="arial"/>
                <w:sz w:val="20"/>
              </w:rPr>
              <w:t xml:space="preserve">The Company's LTIP Type I performance-based RSUs awards are based on the </w:t>
            </w:r>
            <w:r>
              <w:rPr>
                <w:rFonts w:ascii="arial" w:hAnsi="arial"/>
                <w:b/>
                <w:sz w:val="20"/>
              </w:rPr>
              <w:t>same goals</w:t>
            </w:r>
            <w:r>
              <w:rPr>
                <w:rFonts w:ascii="arial" w:hAnsi="arial"/>
              </w:rPr>
              <w:t xml:space="preserve"> </w:t>
            </w:r>
            <w:r>
              <w:rPr>
                <w:rFonts w:ascii="arial" w:hAnsi="arial"/>
                <w:sz w:val="20"/>
              </w:rPr>
              <w:t xml:space="preserve">as the annual incentive plan. In addition, each tranche vests if the executive's scorecard is a mere 50%. This structure, with similar metrics and performance period, provides </w:t>
            </w:r>
            <w:r>
              <w:rPr>
                <w:rFonts w:ascii="arial" w:hAnsi="arial"/>
                <w:b/>
                <w:sz w:val="20"/>
              </w:rPr>
              <w:t>two awards for one achievement.</w:t>
            </w:r>
            <w:r>
              <w:rPr>
                <w:rFonts w:ascii="arial" w:hAnsi="arial"/>
              </w:rPr>
              <w:t xml:space="preserve"> </w:t>
            </w:r>
            <w:r>
              <w:rPr>
                <w:rFonts w:ascii="arial" w:hAnsi="arial"/>
                <w:sz w:val="20"/>
              </w:rPr>
              <w:t xml:space="preserve">At least half of award is based on annual goals that are </w:t>
            </w:r>
            <w:r>
              <w:rPr>
                <w:rFonts w:ascii="arial" w:hAnsi="arial"/>
                <w:b/>
                <w:sz w:val="20"/>
              </w:rPr>
              <w:t>not rigorous.</w:t>
            </w:r>
          </w:p>
        </w:tc>
        <w:tc>
          <w:tcPr>
            <w:tcW w:w="23" w:type="dxa"/>
            <w:tcBorders/>
            <w:shd w:fill="auto" w:val="clear"/>
          </w:tcPr>
          <w:p>
            <w:pPr>
              <w:pStyle w:val="TableContents"/>
              <w:spacing w:before="0" w:after="283"/>
              <w:rPr/>
            </w:pPr>
            <w:r>
              <w:rPr/>
              <w:t>​</w:t>
            </w:r>
          </w:p>
        </w:tc>
        <w:tc>
          <w:tcPr>
            <w:tcW w:w="5092" w:type="dxa"/>
            <w:tcBorders/>
            <w:shd w:fill="auto" w:val="clear"/>
          </w:tcPr>
          <w:p>
            <w:pPr>
              <w:pStyle w:val="TableContents"/>
              <w:spacing w:before="0" w:after="283"/>
              <w:rPr>
                <w:rFonts w:ascii="arial" w:hAnsi="arial"/>
                <w:sz w:val="20"/>
              </w:rPr>
            </w:pPr>
            <w:r>
              <w:rPr>
                <w:rFonts w:ascii="arial" w:hAnsi="arial"/>
                <w:sz w:val="20"/>
              </w:rPr>
              <w:t>Our LTIP Type I performance-based RSU awards, which represent fifty (50%) percent of the target LTIP award, are primarily intended to serve as a retention tool through the grant of time-based RSUs. The Company, however, may withhold the LTIP Type I grant if the executive does not meet minimum performance standards in the given year. This contrasts with the annual incentive plan which is based upon the executive's performance against their scorecard with a percentage of the annual incentive earned typically paid in cash and a percentage paid in time-based RSUs (for 2020 calendar year's annual incentive, 100% of the annual incentive was paid in time-based RSUs).</w:t>
            </w:r>
          </w:p>
        </w:tc>
      </w:tr>
      <w:tr>
        <w:trPr/>
        <w:tc>
          <w:tcPr>
            <w:tcW w:w="5090" w:type="dxa"/>
            <w:tcBorders/>
            <w:shd w:fill="auto" w:val="clear"/>
          </w:tcPr>
          <w:p>
            <w:pPr>
              <w:pStyle w:val="TableContents"/>
              <w:spacing w:before="0" w:after="283"/>
              <w:rPr>
                <w:rFonts w:ascii="arial" w:hAnsi="arial"/>
              </w:rPr>
            </w:pPr>
            <w:r>
              <w:rPr>
                <w:rFonts w:ascii="arial" w:hAnsi="arial"/>
              </w:rPr>
              <w:br/>
            </w:r>
            <w:r>
              <w:rPr>
                <w:rFonts w:ascii="arial" w:hAnsi="arial"/>
                <w:sz w:val="20"/>
              </w:rPr>
              <w:t xml:space="preserve">The </w:t>
            </w:r>
            <w:r>
              <w:rPr>
                <w:rFonts w:ascii="arial" w:hAnsi="arial"/>
                <w:b/>
                <w:sz w:val="20"/>
              </w:rPr>
              <w:t>only multi-year LTIP</w:t>
            </w:r>
            <w:r>
              <w:rPr>
                <w:rFonts w:ascii="arial" w:hAnsi="arial"/>
              </w:rPr>
              <w:t xml:space="preserve"> </w:t>
            </w:r>
            <w:r>
              <w:rPr>
                <w:rFonts w:ascii="arial" w:hAnsi="arial"/>
                <w:sz w:val="20"/>
              </w:rPr>
              <w:t xml:space="preserve">performance measure is the </w:t>
            </w:r>
            <w:r>
              <w:rPr>
                <w:rFonts w:ascii="arial" w:hAnsi="arial"/>
                <w:b/>
                <w:sz w:val="20"/>
              </w:rPr>
              <w:t>Total Shareholder Return</w:t>
            </w:r>
            <w:r>
              <w:rPr>
                <w:rFonts w:ascii="arial" w:hAnsi="arial"/>
              </w:rPr>
              <w:t xml:space="preserve"> </w:t>
            </w:r>
            <w:r>
              <w:rPr>
                <w:rFonts w:ascii="arial" w:hAnsi="arial"/>
                <w:sz w:val="20"/>
              </w:rPr>
              <w:t xml:space="preserve">("TSR") </w:t>
            </w:r>
            <w:r>
              <w:rPr>
                <w:rFonts w:ascii="arial" w:hAnsi="arial"/>
                <w:b/>
                <w:sz w:val="20"/>
              </w:rPr>
              <w:t>modifier</w:t>
            </w:r>
            <w:r>
              <w:rPr>
                <w:rFonts w:ascii="arial" w:hAnsi="arial"/>
              </w:rPr>
              <w:t xml:space="preserve"> </w:t>
            </w:r>
            <w:r>
              <w:rPr>
                <w:rFonts w:ascii="arial" w:hAnsi="arial"/>
                <w:sz w:val="20"/>
              </w:rPr>
              <w:t>applied to Type II awards.</w:t>
            </w:r>
          </w:p>
        </w:tc>
        <w:tc>
          <w:tcPr>
            <w:tcW w:w="23" w:type="dxa"/>
            <w:tcBorders/>
            <w:shd w:fill="auto" w:val="clear"/>
          </w:tcPr>
          <w:p>
            <w:pPr>
              <w:pStyle w:val="TableContents"/>
              <w:spacing w:before="0" w:after="283"/>
              <w:rPr>
                <w:rFonts w:ascii="arial" w:hAnsi="arial"/>
                <w:sz w:val="20"/>
              </w:rPr>
            </w:pPr>
            <w:r>
              <w:rPr>
                <w:rFonts w:ascii="arial" w:hAnsi="arial"/>
                <w:sz w:val="20"/>
              </w:rPr>
              <w:br/>
              <w:t>​</w:t>
            </w:r>
          </w:p>
        </w:tc>
        <w:tc>
          <w:tcPr>
            <w:tcW w:w="5092" w:type="dxa"/>
            <w:tcBorders/>
            <w:shd w:fill="auto" w:val="clear"/>
          </w:tcPr>
          <w:p>
            <w:pPr>
              <w:pStyle w:val="TableContents"/>
              <w:spacing w:before="0" w:after="283"/>
              <w:rPr>
                <w:rFonts w:ascii="arial" w:hAnsi="arial"/>
              </w:rPr>
            </w:pPr>
            <w:r>
              <w:rPr>
                <w:rFonts w:ascii="arial" w:hAnsi="arial"/>
              </w:rPr>
              <w:br/>
            </w:r>
            <w:r>
              <w:rPr>
                <w:rFonts w:ascii="arial" w:hAnsi="arial"/>
                <w:sz w:val="20"/>
              </w:rPr>
              <w:t>The metrics for the LTIP Type II performance-based RSU awards, which represent fifty (50%) percent of the target LTIP award, are tied to (1) the Company's performance over a three-year period on key financial metrics, with the achievement level modified by (2) the TSR compared to the benchmark Russell 3000 stock market index during this period. In addition to the multi-year LTIP Type II performance measures, the LTIP Type I time-based RSUs and the payment of a significant portion of the earned annual incentive in time-based RSUs also serve to align executives' interests with shareholders over a multi-year period of time.</w:t>
            </w:r>
          </w:p>
        </w:tc>
      </w:tr>
      <w:tr>
        <w:trPr/>
        <w:tc>
          <w:tcPr>
            <w:tcW w:w="5090" w:type="dxa"/>
            <w:tcBorders/>
            <w:shd w:fill="auto" w:val="clear"/>
          </w:tcPr>
          <w:p>
            <w:pPr>
              <w:pStyle w:val="TableContents"/>
              <w:spacing w:before="0" w:after="283"/>
              <w:rPr>
                <w:rFonts w:ascii="arial" w:hAnsi="arial"/>
              </w:rPr>
            </w:pPr>
            <w:r>
              <w:rPr>
                <w:rFonts w:ascii="arial" w:hAnsi="arial"/>
              </w:rPr>
              <w:br/>
            </w:r>
            <w:r>
              <w:rPr>
                <w:rFonts w:ascii="arial" w:hAnsi="arial"/>
                <w:sz w:val="20"/>
              </w:rPr>
              <w:t xml:space="preserve">The adjusted Earnings Per Share ("EPS") and relative TSR goals for the LTIP Type II performance-based RSUs awards are </w:t>
            </w:r>
            <w:r>
              <w:rPr>
                <w:rFonts w:ascii="arial" w:hAnsi="arial"/>
                <w:b/>
                <w:sz w:val="20"/>
              </w:rPr>
              <w:t>undisclosed.</w:t>
            </w:r>
          </w:p>
        </w:tc>
        <w:tc>
          <w:tcPr>
            <w:tcW w:w="23" w:type="dxa"/>
            <w:tcBorders/>
            <w:shd w:fill="auto" w:val="clear"/>
          </w:tcPr>
          <w:p>
            <w:pPr>
              <w:pStyle w:val="TableContents"/>
              <w:spacing w:before="0" w:after="283"/>
              <w:rPr>
                <w:rFonts w:ascii="arial" w:hAnsi="arial"/>
                <w:sz w:val="20"/>
              </w:rPr>
            </w:pPr>
            <w:r>
              <w:rPr>
                <w:rFonts w:ascii="arial" w:hAnsi="arial"/>
                <w:sz w:val="20"/>
              </w:rPr>
              <w:br/>
              <w:t>​</w:t>
            </w:r>
          </w:p>
        </w:tc>
        <w:tc>
          <w:tcPr>
            <w:tcW w:w="5092" w:type="dxa"/>
            <w:tcBorders/>
            <w:shd w:fill="auto" w:val="clear"/>
          </w:tcPr>
          <w:p>
            <w:pPr>
              <w:pStyle w:val="TableContents"/>
              <w:spacing w:before="0" w:after="283"/>
              <w:rPr>
                <w:rFonts w:ascii="arial" w:hAnsi="arial"/>
              </w:rPr>
            </w:pPr>
            <w:r>
              <w:rPr>
                <w:rFonts w:ascii="arial" w:hAnsi="arial"/>
              </w:rPr>
              <w:br/>
            </w:r>
            <w:r>
              <w:rPr>
                <w:rFonts w:ascii="arial" w:hAnsi="arial"/>
                <w:sz w:val="20"/>
              </w:rPr>
              <w:t>The vesting of LTIP Type II performance-based RSU awards is typically linked to the average level of attainment of the adjusted EPS budget for each of the three years in the three-year period (provided, however, that for calendar year 2020 under the 2019 and 2020 LTIP plans, the adjusted EPS performance metric was replaced with an achieving a cost savings metric) with the achievement level modified by the TSR compared to the benchmark Russell 3000 stock market index during this period. The detailed methodology is explained in the Equity Award section of this proxy. Employees can typically earn between 0% to 225% of their target award depending on actual performance against both (1) the applicable financial metrics and (2) the TSR compared to the benchmark Russell 3000 stock market index over the three-year period.</w:t>
            </w:r>
          </w:p>
        </w:tc>
      </w:tr>
    </w:tbl>
    <w:p>
      <w:pPr>
        <w:pStyle w:val="TextBody"/>
        <w:jc w:val="center"/>
        <w:rPr>
          <w:rFonts w:ascii="arial" w:hAnsi="arial"/>
          <w:sz w:val="20"/>
        </w:rPr>
      </w:pPr>
      <w:r>
        <w:rPr>
          <w:rFonts w:ascii="arial" w:hAnsi="arial"/>
          <w:sz w:val="20"/>
        </w:rPr>
        <w:t>36</w:t>
      </w:r>
    </w:p>
    <w:p>
      <w:pPr>
        <w:pStyle w:val="HorizontalLine"/>
        <w:pBdr>
          <w:bottom w:val="single" w:sz="20" w:space="0" w:color="808080"/>
        </w:pBdr>
        <w:rPr/>
      </w:pPr>
      <w:r>
        <w:rPr/>
      </w:r>
      <w:r>
        <w:br w:type="page"/>
      </w:r>
    </w:p>
    <w:p>
      <w:pPr>
        <w:pStyle w:val="TextBody"/>
        <w:rPr/>
      </w:pPr>
      <w:hyperlink w:anchor="bg45301a_main_toc">
        <w:bookmarkStart w:id="84" w:name="page_do45301_1_37"/>
        <w:bookmarkEnd w:id="84"/>
        <w:r>
          <w:rPr>
            <w:rStyle w:val="InternetLink"/>
            <w:rFonts w:ascii="arial" w:hAnsi="arial"/>
            <w:sz w:val="20"/>
          </w:rPr>
          <w:t>Table of Contents</w:t>
        </w:r>
      </w:hyperlink>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3367"/>
        <w:gridCol w:w="101"/>
        <w:gridCol w:w="6737"/>
      </w:tblGrid>
      <w:tr>
        <w:trPr/>
        <w:tc>
          <w:tcPr>
            <w:tcW w:w="3367" w:type="dxa"/>
            <w:tcBorders/>
            <w:shd w:fill="auto" w:val="clear"/>
            <w:vAlign w:val="center"/>
          </w:tcPr>
          <w:p>
            <w:pPr>
              <w:pStyle w:val="TableContents"/>
              <w:spacing w:before="0" w:after="283"/>
              <w:rPr/>
            </w:pPr>
            <w:r>
              <w:rPr/>
              <w:commentReference w:id="115"/>
            </w:r>
            <w:r>
              <w:rPr/>
              <w:commentReference w:id="116"/>
            </w:r>
            <w:r>
              <w:rPr/>
              <w:commentReference w:id="117"/>
            </w:r>
            <w:r>
              <w:rPr/>
              <w:t>​</w:t>
            </w:r>
          </w:p>
        </w:tc>
        <w:tc>
          <w:tcPr>
            <w:tcW w:w="101" w:type="dxa"/>
            <w:tcBorders/>
            <w:shd w:fill="auto" w:val="clear"/>
            <w:vAlign w:val="center"/>
          </w:tcPr>
          <w:p>
            <w:pPr>
              <w:pStyle w:val="TableContents"/>
              <w:spacing w:before="0" w:after="283"/>
              <w:rPr/>
            </w:pPr>
            <w:r>
              <w:rPr/>
              <w:t>​</w:t>
            </w:r>
          </w:p>
        </w:tc>
        <w:tc>
          <w:tcPr>
            <w:tcW w:w="6737" w:type="dxa"/>
            <w:tcBorders/>
            <w:shd w:fill="auto" w:val="clear"/>
            <w:vAlign w:val="center"/>
          </w:tcPr>
          <w:p>
            <w:pPr>
              <w:pStyle w:val="TableContents"/>
              <w:spacing w:before="0" w:after="283"/>
              <w:rPr/>
            </w:pPr>
            <w:r>
              <w:rPr/>
              <w:t>​</w:t>
            </w:r>
            <w:r>
              <w:rPr>
                <w:rFonts w:eastAsia="arial" w:cs="arial" w:ascii="arial" w:hAnsi="arial"/>
              </w:rPr>
              <w:commentReference w:id="118"/>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drawing>
                <wp:inline distT="0" distB="0" distL="0" distR="0">
                  <wp:extent cx="2943225" cy="1809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0"/>
                          <a:stretch>
                            <a:fillRect/>
                          </a:stretch>
                        </pic:blipFill>
                        <pic:spPr bwMode="auto">
                          <a:xfrm>
                            <a:off x="0" y="0"/>
                            <a:ext cx="2943225" cy="180975"/>
                          </a:xfrm>
                          <a:prstGeom prst="rect">
                            <a:avLst/>
                          </a:prstGeom>
                        </pic:spPr>
                      </pic:pic>
                    </a:graphicData>
                  </a:graphic>
                </wp:inline>
              </w:drawing>
            </w:r>
            <w:r>
              <w:rPr/>
              <w:t xml:space="preserve"> </w:t>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spacing w:before="0" w:after="283"/>
              <w:jc w:val="right"/>
              <w:rPr/>
            </w:pPr>
            <w:r>
              <w:rPr/>
              <w:t>​</w:t>
            </w:r>
          </w:p>
        </w:tc>
      </w:tr>
    </w:tbl>
    <w:p>
      <w:pPr>
        <w:pStyle w:val="TextBody"/>
        <w:spacing w:before="0" w:after="0"/>
        <w:rPr/>
      </w:pPr>
      <w:r>
        <w:rPr>
          <w:color w:val="000000"/>
        </w:rPr>
        <w:commentReference w:id="119"/>
      </w:r>
      <w:r>
        <w:rPr>
          <w:color w:val="000000"/>
        </w:rPr>
        <w:t>​</w:t>
      </w:r>
      <w:r>
        <w:rPr/>
        <w:t xml:space="preserve"> </w:t>
      </w:r>
    </w:p>
    <w:tbl>
      <w:tblPr>
        <w:tblW w:w="5000" w:type="pct"/>
        <w:jc w:val="center"/>
        <w:tblInd w:w="0" w:type="dxa"/>
        <w:tblCellMar>
          <w:top w:w="0" w:type="dxa"/>
          <w:left w:w="0" w:type="dxa"/>
          <w:bottom w:w="0" w:type="dxa"/>
          <w:right w:w="0" w:type="dxa"/>
        </w:tblCellMar>
      </w:tblPr>
      <w:tblGrid>
        <w:gridCol w:w="5090"/>
        <w:gridCol w:w="23"/>
        <w:gridCol w:w="5092"/>
      </w:tblGrid>
      <w:tr>
        <w:trPr/>
        <w:tc>
          <w:tcPr>
            <w:tcW w:w="509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5092" w:type="dxa"/>
            <w:tcBorders/>
            <w:shd w:fill="auto" w:val="clear"/>
            <w:vAlign w:val="center"/>
          </w:tcPr>
          <w:p>
            <w:pPr>
              <w:pStyle w:val="TableContents"/>
              <w:spacing w:before="0" w:after="283"/>
              <w:rPr>
                <w:sz w:val="4"/>
                <w:szCs w:val="4"/>
              </w:rPr>
            </w:pPr>
            <w:r>
              <w:rPr>
                <w:sz w:val="4"/>
                <w:szCs w:val="4"/>
              </w:rPr>
            </w:r>
          </w:p>
        </w:tc>
      </w:tr>
      <w:tr>
        <w:trPr/>
        <w:tc>
          <w:tcPr>
            <w:tcW w:w="5090" w:type="dxa"/>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 xml:space="preserve">What We Heard </w:t>
            </w:r>
          </w:p>
        </w:tc>
        <w:tc>
          <w:tcPr>
            <w:tcW w:w="23" w:type="dxa"/>
            <w:tcBorders/>
            <w:shd w:fill="auto" w:val="clear"/>
            <w:vAlign w:val="bottom"/>
          </w:tcPr>
          <w:p>
            <w:pPr>
              <w:pStyle w:val="TableHeading"/>
              <w:spacing w:lineRule="atLeast" w:line="180" w:before="0" w:after="283"/>
              <w:rPr/>
            </w:pPr>
            <w:r>
              <w:rPr/>
              <w:t>​</w:t>
            </w:r>
          </w:p>
        </w:tc>
        <w:tc>
          <w:tcPr>
            <w:tcW w:w="5092" w:type="dxa"/>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 xml:space="preserve">How We Responded </w:t>
            </w:r>
          </w:p>
        </w:tc>
      </w:tr>
      <w:tr>
        <w:trPr/>
        <w:tc>
          <w:tcPr>
            <w:tcW w:w="5090" w:type="dxa"/>
            <w:tcBorders/>
            <w:shd w:fill="auto" w:val="clear"/>
          </w:tcPr>
          <w:p>
            <w:pPr>
              <w:pStyle w:val="TableContents"/>
              <w:spacing w:before="0" w:after="283"/>
              <w:rPr>
                <w:rFonts w:ascii="arial" w:hAnsi="arial"/>
              </w:rPr>
            </w:pPr>
            <w:r>
              <w:rPr>
                <w:rFonts w:ascii="arial" w:hAnsi="arial"/>
                <w:sz w:val="20"/>
              </w:rPr>
              <w:t xml:space="preserve">The Company should ensure sufficient </w:t>
            </w:r>
            <w:r>
              <w:rPr>
                <w:rFonts w:ascii="arial" w:hAnsi="arial"/>
                <w:b/>
                <w:sz w:val="20"/>
              </w:rPr>
              <w:t>rigor</w:t>
            </w:r>
            <w:r>
              <w:rPr>
                <w:rFonts w:ascii="arial" w:hAnsi="arial"/>
              </w:rPr>
              <w:t xml:space="preserve"> </w:t>
            </w:r>
            <w:r>
              <w:rPr>
                <w:rFonts w:ascii="arial" w:hAnsi="arial"/>
                <w:sz w:val="20"/>
              </w:rPr>
              <w:t>while setting the performance goals for long term awards.</w:t>
            </w:r>
          </w:p>
        </w:tc>
        <w:tc>
          <w:tcPr>
            <w:tcW w:w="23" w:type="dxa"/>
            <w:tcBorders/>
            <w:shd w:fill="auto" w:val="clear"/>
          </w:tcPr>
          <w:p>
            <w:pPr>
              <w:pStyle w:val="TableContents"/>
              <w:spacing w:before="0" w:after="283"/>
              <w:rPr/>
            </w:pPr>
            <w:r>
              <w:rPr/>
              <w:t>​</w:t>
            </w:r>
          </w:p>
        </w:tc>
        <w:tc>
          <w:tcPr>
            <w:tcW w:w="5092" w:type="dxa"/>
            <w:tcBorders/>
            <w:shd w:fill="auto" w:val="clear"/>
          </w:tcPr>
          <w:p>
            <w:pPr>
              <w:pStyle w:val="TableContents"/>
              <w:spacing w:before="0" w:after="283"/>
              <w:rPr>
                <w:rFonts w:ascii="arial" w:hAnsi="arial"/>
                <w:sz w:val="20"/>
              </w:rPr>
            </w:pPr>
            <w:r>
              <w:rPr>
                <w:rFonts w:ascii="arial" w:hAnsi="arial"/>
                <w:sz w:val="20"/>
              </w:rPr>
              <w:t>The Company leverages stretch Adjusted EPS targets (and for calendar year 2020, cost savings metrics) and TSR to determine the number of LTIP Type II performance-based RSU awards that vest. To further align executives' interests with shareholders and to support executive retention, in 2020, the Company granted additional RSU awards to the current Named Executive Officers with 80% of the award vesting only if the Company's share price achieves certain ambitious levels over a period of time. In order for 10%, 30% and 40% of the award to vest, the Company's share price must increase by 55%, 93% and 171%, respectively, compared to the value at the time of grant.</w:t>
            </w:r>
          </w:p>
        </w:tc>
      </w:tr>
      <w:tr>
        <w:trPr/>
        <w:tc>
          <w:tcPr>
            <w:tcW w:w="5090" w:type="dxa"/>
            <w:tcBorders/>
            <w:shd w:fill="auto" w:val="clear"/>
          </w:tcPr>
          <w:p>
            <w:pPr>
              <w:pStyle w:val="TableContents"/>
              <w:spacing w:before="0" w:after="283"/>
              <w:rPr>
                <w:rFonts w:ascii="arial" w:hAnsi="arial"/>
              </w:rPr>
            </w:pPr>
            <w:r>
              <w:rPr>
                <w:rFonts w:ascii="arial" w:hAnsi="arial"/>
              </w:rPr>
              <w:br/>
            </w:r>
            <w:r>
              <w:rPr>
                <w:rFonts w:ascii="arial" w:hAnsi="arial"/>
                <w:b/>
                <w:sz w:val="20"/>
              </w:rPr>
              <w:t>Pay for performance</w:t>
            </w:r>
            <w:r>
              <w:rPr>
                <w:rFonts w:ascii="arial" w:hAnsi="arial"/>
              </w:rPr>
              <w:t xml:space="preserve"> </w:t>
            </w:r>
            <w:r>
              <w:rPr>
                <w:rFonts w:ascii="arial" w:hAnsi="arial"/>
                <w:sz w:val="20"/>
              </w:rPr>
              <w:t>alignment should be rigorous.</w:t>
            </w:r>
          </w:p>
        </w:tc>
        <w:tc>
          <w:tcPr>
            <w:tcW w:w="23" w:type="dxa"/>
            <w:tcBorders/>
            <w:shd w:fill="auto" w:val="clear"/>
          </w:tcPr>
          <w:p>
            <w:pPr>
              <w:pStyle w:val="TableContents"/>
              <w:spacing w:before="0" w:after="283"/>
              <w:rPr>
                <w:rFonts w:ascii="arial" w:hAnsi="arial"/>
                <w:sz w:val="20"/>
              </w:rPr>
            </w:pPr>
            <w:r>
              <w:rPr>
                <w:rFonts w:ascii="arial" w:hAnsi="arial"/>
                <w:sz w:val="20"/>
              </w:rPr>
              <w:br/>
              <w:t>​</w:t>
            </w:r>
          </w:p>
        </w:tc>
        <w:tc>
          <w:tcPr>
            <w:tcW w:w="5092" w:type="dxa"/>
            <w:tcBorders/>
            <w:shd w:fill="auto" w:val="clear"/>
          </w:tcPr>
          <w:p>
            <w:pPr>
              <w:pStyle w:val="TableContents"/>
              <w:spacing w:before="0" w:after="283"/>
              <w:rPr>
                <w:rFonts w:ascii="arial" w:hAnsi="arial"/>
              </w:rPr>
            </w:pPr>
            <w:r>
              <w:rPr>
                <w:rFonts w:ascii="arial" w:hAnsi="arial"/>
              </w:rPr>
              <w:br/>
            </w:r>
            <w:r>
              <w:rPr>
                <w:rFonts w:ascii="arial" w:hAnsi="arial"/>
                <w:sz w:val="20"/>
              </w:rPr>
              <w:t>We establish rigorous pay for performance criteria by linking our annual incentives to the achievement of stretch annual financial goals and 50% of our LTIP to multi-year financial performance and TSR. For 2020, the Named Executive Officers were paid between 20% to 25% of their target annual incentive, based on the Board approved bonus pool funding level and the Company's performance on the applicable scorecard metrics which consisted of an aggressive cost reduction metric. The LTIP payouts target was also adjusted based upon the Board approved funding level and the Company's performance on the applicable scorecard metrics.</w:t>
            </w:r>
          </w:p>
        </w:tc>
      </w:tr>
    </w:tbl>
    <w:p>
      <w:pPr>
        <w:pStyle w:val="TextBody"/>
        <w:jc w:val="center"/>
        <w:rPr>
          <w:rFonts w:ascii="arial" w:hAnsi="arial"/>
          <w:sz w:val="20"/>
        </w:rPr>
      </w:pPr>
      <w:r>
        <w:rPr>
          <w:rFonts w:ascii="arial" w:hAnsi="arial"/>
          <w:sz w:val="20"/>
        </w:rPr>
        <w:t>37</w:t>
      </w:r>
    </w:p>
    <w:p>
      <w:pPr>
        <w:pStyle w:val="HorizontalLine"/>
        <w:pBdr>
          <w:bottom w:val="single" w:sz="20" w:space="0" w:color="808080"/>
        </w:pBdr>
        <w:rPr/>
      </w:pPr>
      <w:r>
        <w:rPr/>
      </w:r>
      <w:r>
        <w:br w:type="page"/>
      </w:r>
    </w:p>
    <w:p>
      <w:pPr>
        <w:pStyle w:val="TextBody"/>
        <w:rPr/>
      </w:pPr>
      <w:hyperlink w:anchor="bg45301a_main_toc">
        <w:bookmarkStart w:id="85" w:name="page_do45301_1_38"/>
        <w:bookmarkEnd w:id="85"/>
        <w:r>
          <w:rPr>
            <w:rStyle w:val="InternetLink"/>
            <w:rFonts w:ascii="arial" w:hAnsi="arial"/>
            <w:sz w:val="20"/>
          </w:rPr>
          <w:t>Table of Contents</w:t>
        </w:r>
      </w:hyperlink>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3367"/>
        <w:gridCol w:w="101"/>
        <w:gridCol w:w="6737"/>
      </w:tblGrid>
      <w:tr>
        <w:trPr/>
        <w:tc>
          <w:tcPr>
            <w:tcW w:w="3367" w:type="dxa"/>
            <w:tcBorders/>
            <w:shd w:fill="auto" w:val="clear"/>
            <w:vAlign w:val="center"/>
          </w:tcPr>
          <w:p>
            <w:pPr>
              <w:pStyle w:val="TableContents"/>
              <w:spacing w:before="0" w:after="283"/>
              <w:rPr/>
            </w:pPr>
            <w:r>
              <w:rPr/>
              <w:commentReference w:id="120"/>
            </w:r>
            <w:r>
              <w:rPr/>
              <w:commentReference w:id="121"/>
            </w:r>
            <w:r>
              <w:rPr/>
              <w:commentReference w:id="122"/>
            </w:r>
            <w:r>
              <w:rPr/>
              <w:t>​</w:t>
            </w:r>
          </w:p>
        </w:tc>
        <w:tc>
          <w:tcPr>
            <w:tcW w:w="101" w:type="dxa"/>
            <w:tcBorders/>
            <w:shd w:fill="auto" w:val="clear"/>
            <w:vAlign w:val="center"/>
          </w:tcPr>
          <w:p>
            <w:pPr>
              <w:pStyle w:val="TableContents"/>
              <w:spacing w:before="0" w:after="283"/>
              <w:rPr/>
            </w:pPr>
            <w:r>
              <w:rPr/>
              <w:t>​</w:t>
            </w:r>
          </w:p>
        </w:tc>
        <w:tc>
          <w:tcPr>
            <w:tcW w:w="6737" w:type="dxa"/>
            <w:tcBorders/>
            <w:shd w:fill="auto" w:val="clear"/>
            <w:vAlign w:val="center"/>
          </w:tcPr>
          <w:p>
            <w:pPr>
              <w:pStyle w:val="TableContents"/>
              <w:spacing w:before="0" w:after="283"/>
              <w:rPr/>
            </w:pPr>
            <w:r>
              <w:rPr/>
              <w:t>​</w:t>
            </w:r>
            <w:r>
              <w:rPr>
                <w:rFonts w:eastAsia="arial" w:cs="arial" w:ascii="arial" w:hAnsi="arial"/>
              </w:rPr>
              <w:commentReference w:id="123"/>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drawing>
                <wp:inline distT="0" distB="0" distL="0" distR="0">
                  <wp:extent cx="2943225" cy="1809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71"/>
                          <a:stretch>
                            <a:fillRect/>
                          </a:stretch>
                        </pic:blipFill>
                        <pic:spPr bwMode="auto">
                          <a:xfrm>
                            <a:off x="0" y="0"/>
                            <a:ext cx="2943225" cy="180975"/>
                          </a:xfrm>
                          <a:prstGeom prst="rect">
                            <a:avLst/>
                          </a:prstGeom>
                        </pic:spPr>
                      </pic:pic>
                    </a:graphicData>
                  </a:graphic>
                </wp:inline>
              </w:drawing>
            </w:r>
            <w:r>
              <w:rPr/>
              <w:t xml:space="preserve"> </w:t>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t> </w:t>
            </w:r>
          </w:p>
        </w:tc>
      </w:tr>
    </w:tbl>
    <w:p>
      <w:pPr>
        <w:pStyle w:val="TextBody"/>
        <w:rPr/>
      </w:pPr>
      <w:r>
        <w:rPr>
          <w:color w:val="000000"/>
        </w:rPr>
        <w:commentReference w:id="124"/>
      </w:r>
      <w:r>
        <w:rPr>
          <w:color w:val="000000"/>
        </w:rPr>
        <w:t>​</w:t>
      </w:r>
      <w:r>
        <w:rPr/>
        <w:t xml:space="preserve"> </w:t>
      </w:r>
    </w:p>
    <w:p>
      <w:pPr>
        <w:pStyle w:val="TextBody"/>
        <w:ind w:left="220" w:right="0" w:hanging="220"/>
        <w:rPr>
          <w:rFonts w:ascii="arial" w:hAnsi="arial"/>
          <w:b/>
          <w:sz w:val="20"/>
        </w:rPr>
      </w:pPr>
      <w:r>
        <w:rPr>
          <w:rFonts w:ascii="arial" w:hAnsi="arial"/>
          <w:b/>
          <w:sz w:val="20"/>
        </w:rPr>
        <w:t xml:space="preserve">Compensation Governance Practices </w:t>
      </w:r>
    </w:p>
    <w:p>
      <w:pPr>
        <w:pStyle w:val="TextBody"/>
        <w:rPr>
          <w:rFonts w:ascii="arial" w:hAnsi="arial"/>
          <w:sz w:val="20"/>
        </w:rPr>
      </w:pPr>
      <w:r>
        <w:rPr>
          <w:rFonts w:ascii="arial" w:hAnsi="arial"/>
          <w:sz w:val="20"/>
        </w:rPr>
        <w:t xml:space="preserve">Our compensation program maintains and continues to build upon the Company's executive compensation governance framework. In evaluating the design of this compensation program, our Compensation Committee considers whether such program discourages behavior that may result in unnecessary or excessive risk. </w:t>
      </w:r>
    </w:p>
    <w:tbl>
      <w:tblPr>
        <w:tblW w:w="5000" w:type="pct"/>
        <w:jc w:val="center"/>
        <w:tblInd w:w="0" w:type="dxa"/>
        <w:tblCellMar>
          <w:top w:w="0" w:type="dxa"/>
          <w:left w:w="0" w:type="dxa"/>
          <w:bottom w:w="0" w:type="dxa"/>
          <w:right w:w="0" w:type="dxa"/>
        </w:tblCellMar>
      </w:tblPr>
      <w:tblGrid>
        <w:gridCol w:w="5090"/>
        <w:gridCol w:w="23"/>
        <w:gridCol w:w="5092"/>
      </w:tblGrid>
      <w:tr>
        <w:trPr/>
        <w:tc>
          <w:tcPr>
            <w:tcW w:w="509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5092" w:type="dxa"/>
            <w:tcBorders/>
            <w:shd w:fill="auto" w:val="clear"/>
            <w:vAlign w:val="center"/>
          </w:tcPr>
          <w:p>
            <w:pPr>
              <w:pStyle w:val="TableContents"/>
              <w:spacing w:before="0" w:after="283"/>
              <w:rPr>
                <w:sz w:val="4"/>
                <w:szCs w:val="4"/>
              </w:rPr>
            </w:pPr>
            <w:r>
              <w:rPr>
                <w:sz w:val="4"/>
                <w:szCs w:val="4"/>
              </w:rPr>
            </w:r>
          </w:p>
        </w:tc>
      </w:tr>
      <w:tr>
        <w:trPr/>
        <w:tc>
          <w:tcPr>
            <w:tcW w:w="5090" w:type="dxa"/>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 xml:space="preserve">What We Do </w:t>
            </w:r>
          </w:p>
        </w:tc>
        <w:tc>
          <w:tcPr>
            <w:tcW w:w="23" w:type="dxa"/>
            <w:tcBorders/>
            <w:shd w:fill="auto" w:val="clear"/>
            <w:vAlign w:val="bottom"/>
          </w:tcPr>
          <w:p>
            <w:pPr>
              <w:pStyle w:val="TableHeading"/>
              <w:spacing w:lineRule="atLeast" w:line="180" w:before="0" w:after="283"/>
              <w:rPr/>
            </w:pPr>
            <w:r>
              <w:rPr/>
              <w:t>​</w:t>
            </w:r>
          </w:p>
        </w:tc>
        <w:tc>
          <w:tcPr>
            <w:tcW w:w="5092" w:type="dxa"/>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 xml:space="preserve">What We Do Not Do </w:t>
            </w:r>
          </w:p>
        </w:tc>
      </w:tr>
      <w:tr>
        <w:trPr/>
        <w:tc>
          <w:tcPr>
            <w:tcW w:w="5090" w:type="dxa"/>
            <w:tcBorders/>
            <w:shd w:fill="auto" w:val="clear"/>
          </w:tcPr>
          <w:p>
            <w:pPr>
              <w:pStyle w:val="TableContents"/>
              <w:spacing w:before="0" w:after="283"/>
              <w:rPr>
                <w:rFonts w:ascii="arial" w:hAnsi="arial"/>
                <w:sz w:val="20"/>
              </w:rPr>
            </w:pPr>
            <w:r>
              <w:rPr>
                <w:rFonts w:ascii="arial" w:hAnsi="arial"/>
                <w:sz w:val="20"/>
              </w:rPr>
              <w:t>Executive compensation based on pay-for-performance philosophy: We link a significant portion of our executive compensation to the achievement of pre-defined performance goals, through our performance-based annual incentive plan and LTIP. Our annual incentive plan is based upon performance against certain pre-established metrics. Such metrics typically include financial goals and key strategic initiatives, as well as satisfaction of certain individual performance metrics. Part of the annual incentive is paid in RSUs, with the Compensation Committee having the discretion to increase payment in RSUs up to 100% of the award value. By vesting the RSU component over a one to two-year period, employees are incentivized to perform over an extended period of time and balance the achievement of annual objectives with longer term corporate performance.</w:t>
            </w:r>
          </w:p>
        </w:tc>
        <w:tc>
          <w:tcPr>
            <w:tcW w:w="23" w:type="dxa"/>
            <w:tcBorders/>
            <w:shd w:fill="auto" w:val="clear"/>
          </w:tcPr>
          <w:p>
            <w:pPr>
              <w:pStyle w:val="TableContents"/>
              <w:spacing w:before="0" w:after="283"/>
              <w:rPr/>
            </w:pPr>
            <w:r>
              <w:rPr/>
              <w:t>​</w:t>
            </w:r>
          </w:p>
        </w:tc>
        <w:tc>
          <w:tcPr>
            <w:tcW w:w="5092" w:type="dxa"/>
            <w:tcBorders/>
            <w:shd w:fill="auto" w:val="clear"/>
          </w:tcPr>
          <w:p>
            <w:pPr>
              <w:pStyle w:val="TableContents"/>
              <w:spacing w:before="0" w:after="283"/>
              <w:rPr>
                <w:rFonts w:ascii="arial" w:hAnsi="arial"/>
                <w:sz w:val="20"/>
              </w:rPr>
            </w:pPr>
            <w:r>
              <w:rPr>
                <w:rFonts w:ascii="arial" w:hAnsi="arial"/>
                <w:sz w:val="20"/>
              </w:rPr>
              <w:t>No hedging or pledging of our securities: Our Corporate Governance Guidelines prohibit our executive officers from pledging or otherwise encumbering shares of the Company's common stock as collateral for indebtedness and from entering into any transaction that is designed to hedge or offset any decrease in the market value of the Company's common stock. We also maintain a Management Directive (Management Directive No. 5: Prevention of Insider Trading and Other Prohibitions) detailing our trading window period policy and our insider trading policy, which contains similar prohibitions.</w:t>
            </w:r>
          </w:p>
        </w:tc>
      </w:tr>
      <w:tr>
        <w:trPr/>
        <w:tc>
          <w:tcPr>
            <w:tcW w:w="5090" w:type="dxa"/>
            <w:tcBorders/>
            <w:shd w:fill="auto" w:val="clear"/>
          </w:tcPr>
          <w:p>
            <w:pPr>
              <w:pStyle w:val="TableContents"/>
              <w:spacing w:before="0" w:after="283"/>
              <w:rPr>
                <w:rFonts w:ascii="arial" w:hAnsi="arial"/>
              </w:rPr>
            </w:pPr>
            <w:r>
              <w:rPr>
                <w:rFonts w:ascii="arial" w:hAnsi="arial"/>
                <w:b/>
                <w:sz w:val="20"/>
              </w:rPr>
              <w:t>Incorporate long term performance-based criterion while determining compensation</w:t>
            </w:r>
            <w:r>
              <w:rPr>
                <w:rFonts w:ascii="arial" w:hAnsi="arial"/>
                <w:sz w:val="20"/>
              </w:rPr>
              <w:t>: 50% of our LTIP rewards Named Executive Officers based upon achievement of defined financial metrics and TSR (Company performance compared to the Russell 3000 stock market index) over a three-year period. The awards cliff vest three years after the grant date based upon performance against these metrics.</w:t>
            </w:r>
          </w:p>
        </w:tc>
        <w:tc>
          <w:tcPr>
            <w:tcW w:w="23" w:type="dxa"/>
            <w:tcBorders/>
            <w:shd w:fill="auto" w:val="clear"/>
          </w:tcPr>
          <w:p>
            <w:pPr>
              <w:pStyle w:val="TableContents"/>
              <w:spacing w:before="0" w:after="283"/>
              <w:rPr/>
            </w:pPr>
            <w:r>
              <w:rPr/>
              <w:t>​</w:t>
            </w:r>
          </w:p>
        </w:tc>
        <w:tc>
          <w:tcPr>
            <w:tcW w:w="5092" w:type="dxa"/>
            <w:tcBorders/>
            <w:shd w:fill="auto" w:val="clear"/>
          </w:tcPr>
          <w:p>
            <w:pPr>
              <w:pStyle w:val="TableContents"/>
              <w:spacing w:before="0" w:after="283"/>
              <w:rPr>
                <w:rFonts w:ascii="arial" w:hAnsi="arial"/>
              </w:rPr>
            </w:pPr>
            <w:r>
              <w:rPr>
                <w:rFonts w:ascii="arial" w:hAnsi="arial"/>
                <w:b/>
                <w:sz w:val="20"/>
              </w:rPr>
              <w:t>No option repricing or repurchase of underwater options without shareholder approval</w:t>
            </w:r>
            <w:r>
              <w:rPr>
                <w:rFonts w:ascii="arial" w:hAnsi="arial"/>
                <w:sz w:val="20"/>
              </w:rPr>
              <w:t>: We do not reprice any of our underwater options or approve repricing of any award that is underwater.</w:t>
            </w:r>
          </w:p>
        </w:tc>
      </w:tr>
      <w:tr>
        <w:trPr/>
        <w:tc>
          <w:tcPr>
            <w:tcW w:w="5090" w:type="dxa"/>
            <w:tcBorders/>
            <w:shd w:fill="auto" w:val="clear"/>
          </w:tcPr>
          <w:p>
            <w:pPr>
              <w:pStyle w:val="TableContents"/>
              <w:spacing w:before="0" w:after="283"/>
              <w:rPr>
                <w:rFonts w:ascii="arial" w:hAnsi="arial"/>
              </w:rPr>
            </w:pPr>
            <w:r>
              <w:rPr>
                <w:rFonts w:ascii="arial" w:hAnsi="arial"/>
              </w:rPr>
              <w:br/>
            </w:r>
            <w:r>
              <w:rPr>
                <w:rFonts w:ascii="arial" w:hAnsi="arial"/>
                <w:b/>
                <w:sz w:val="20"/>
              </w:rPr>
              <w:t>Use appropriate peer groups when establishing compensation</w:t>
            </w:r>
            <w:r>
              <w:rPr>
                <w:rFonts w:ascii="arial" w:hAnsi="arial"/>
                <w:sz w:val="20"/>
              </w:rPr>
              <w:t>: We established a peer group which helps benchmark our compensation practices. We review the peer group from time to time to ensure its relevancethe last revision of our peer group happened in the fourth calendar quarter of 2019. Peer group data is an important consideration used to set the overall compensation levels and pay mix for our Named Executive Officers.</w:t>
            </w:r>
          </w:p>
        </w:tc>
        <w:tc>
          <w:tcPr>
            <w:tcW w:w="23" w:type="dxa"/>
            <w:tcBorders/>
            <w:shd w:fill="auto" w:val="clear"/>
          </w:tcPr>
          <w:p>
            <w:pPr>
              <w:pStyle w:val="TableContents"/>
              <w:spacing w:before="0" w:after="283"/>
              <w:rPr>
                <w:rFonts w:ascii="arial" w:hAnsi="arial"/>
                <w:sz w:val="20"/>
              </w:rPr>
            </w:pPr>
            <w:r>
              <w:rPr>
                <w:rFonts w:ascii="arial" w:hAnsi="arial"/>
                <w:sz w:val="20"/>
              </w:rPr>
              <w:br/>
              <w:t>​</w:t>
            </w:r>
          </w:p>
        </w:tc>
        <w:tc>
          <w:tcPr>
            <w:tcW w:w="5092" w:type="dxa"/>
            <w:tcBorders/>
            <w:shd w:fill="auto" w:val="clear"/>
          </w:tcPr>
          <w:p>
            <w:pPr>
              <w:pStyle w:val="TableContents"/>
              <w:spacing w:before="0" w:after="283"/>
              <w:rPr>
                <w:rFonts w:ascii="arial" w:hAnsi="arial"/>
              </w:rPr>
            </w:pPr>
            <w:r>
              <w:rPr>
                <w:rFonts w:ascii="arial" w:hAnsi="arial"/>
              </w:rPr>
              <w:br/>
            </w:r>
            <w:r>
              <w:rPr>
                <w:rFonts w:ascii="arial" w:hAnsi="arial"/>
                <w:b/>
                <w:sz w:val="20"/>
              </w:rPr>
              <w:t>No option backdating or discounting</w:t>
            </w:r>
            <w:r>
              <w:rPr>
                <w:rFonts w:ascii="arial" w:hAnsi="arial"/>
                <w:sz w:val="20"/>
              </w:rPr>
              <w:t>: We do not backdate or discount any option granted to the Named Executive Officers (or any employee). The exercise price of all options is the closing price of Altisource common stock as on the date of the grant (the date when these awards are approved).</w:t>
            </w:r>
          </w:p>
        </w:tc>
      </w:tr>
    </w:tbl>
    <w:p>
      <w:pPr>
        <w:pStyle w:val="TextBody"/>
        <w:jc w:val="center"/>
        <w:rPr>
          <w:rFonts w:ascii="arial" w:hAnsi="arial"/>
          <w:sz w:val="20"/>
        </w:rPr>
      </w:pPr>
      <w:r>
        <w:rPr>
          <w:rFonts w:ascii="arial" w:hAnsi="arial"/>
          <w:sz w:val="20"/>
        </w:rPr>
        <w:t>38</w:t>
      </w:r>
    </w:p>
    <w:p>
      <w:pPr>
        <w:pStyle w:val="HorizontalLine"/>
        <w:pBdr>
          <w:bottom w:val="single" w:sz="20" w:space="0" w:color="808080"/>
        </w:pBdr>
        <w:rPr/>
      </w:pPr>
      <w:r>
        <w:rPr/>
      </w:r>
      <w:r>
        <w:br w:type="page"/>
      </w:r>
    </w:p>
    <w:p>
      <w:pPr>
        <w:pStyle w:val="TextBody"/>
        <w:rPr/>
      </w:pPr>
      <w:hyperlink w:anchor="bg45301a_main_toc">
        <w:bookmarkStart w:id="86" w:name="page_do45301_1_39"/>
        <w:bookmarkEnd w:id="86"/>
        <w:r>
          <w:rPr>
            <w:rStyle w:val="InternetLink"/>
            <w:rFonts w:ascii="arial" w:hAnsi="arial"/>
            <w:sz w:val="20"/>
          </w:rPr>
          <w:t>Table of Contents</w:t>
        </w:r>
      </w:hyperlink>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3367"/>
        <w:gridCol w:w="101"/>
        <w:gridCol w:w="6737"/>
      </w:tblGrid>
      <w:tr>
        <w:trPr/>
        <w:tc>
          <w:tcPr>
            <w:tcW w:w="3367" w:type="dxa"/>
            <w:tcBorders/>
            <w:shd w:fill="auto" w:val="clear"/>
            <w:vAlign w:val="center"/>
          </w:tcPr>
          <w:p>
            <w:pPr>
              <w:pStyle w:val="TableContents"/>
              <w:spacing w:before="0" w:after="283"/>
              <w:rPr/>
            </w:pPr>
            <w:r>
              <w:rPr/>
              <w:commentReference w:id="125"/>
            </w:r>
            <w:r>
              <w:rPr/>
              <w:commentReference w:id="126"/>
            </w:r>
            <w:r>
              <w:rPr/>
              <w:commentReference w:id="127"/>
            </w:r>
            <w:r>
              <w:rPr/>
              <w:t>​</w:t>
            </w:r>
          </w:p>
        </w:tc>
        <w:tc>
          <w:tcPr>
            <w:tcW w:w="101" w:type="dxa"/>
            <w:tcBorders/>
            <w:shd w:fill="auto" w:val="clear"/>
            <w:vAlign w:val="center"/>
          </w:tcPr>
          <w:p>
            <w:pPr>
              <w:pStyle w:val="TableContents"/>
              <w:spacing w:before="0" w:after="283"/>
              <w:rPr/>
            </w:pPr>
            <w:r>
              <w:rPr/>
              <w:t>​</w:t>
            </w:r>
          </w:p>
        </w:tc>
        <w:tc>
          <w:tcPr>
            <w:tcW w:w="6737" w:type="dxa"/>
            <w:tcBorders/>
            <w:shd w:fill="auto" w:val="clear"/>
            <w:vAlign w:val="center"/>
          </w:tcPr>
          <w:p>
            <w:pPr>
              <w:pStyle w:val="TableContents"/>
              <w:spacing w:before="0" w:after="283"/>
              <w:rPr/>
            </w:pPr>
            <w:r>
              <w:rPr/>
              <w:t>​</w:t>
            </w:r>
            <w:r>
              <w:rPr>
                <w:rFonts w:eastAsia="arial" w:cs="arial" w:ascii="arial" w:hAnsi="arial"/>
              </w:rPr>
              <w:commentReference w:id="128"/>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drawing>
                <wp:inline distT="0" distB="0" distL="0" distR="0">
                  <wp:extent cx="2943225" cy="1809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72"/>
                          <a:stretch>
                            <a:fillRect/>
                          </a:stretch>
                        </pic:blipFill>
                        <pic:spPr bwMode="auto">
                          <a:xfrm>
                            <a:off x="0" y="0"/>
                            <a:ext cx="2943225" cy="180975"/>
                          </a:xfrm>
                          <a:prstGeom prst="rect">
                            <a:avLst/>
                          </a:prstGeom>
                        </pic:spPr>
                      </pic:pic>
                    </a:graphicData>
                  </a:graphic>
                </wp:inline>
              </w:drawing>
            </w:r>
            <w:r>
              <w:rPr/>
              <w:t xml:space="preserve"> </w:t>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spacing w:before="0" w:after="283"/>
              <w:jc w:val="right"/>
              <w:rPr/>
            </w:pPr>
            <w:r>
              <w:rPr/>
              <w:t>​</w:t>
            </w:r>
          </w:p>
        </w:tc>
      </w:tr>
    </w:tbl>
    <w:p>
      <w:pPr>
        <w:pStyle w:val="TextBody"/>
        <w:spacing w:before="0" w:after="0"/>
        <w:rPr/>
      </w:pPr>
      <w:r>
        <w:rPr>
          <w:color w:val="000000"/>
        </w:rPr>
        <w:commentReference w:id="129"/>
      </w:r>
      <w:r>
        <w:rPr>
          <w:color w:val="000000"/>
        </w:rPr>
        <w:t>​</w:t>
      </w:r>
      <w:r>
        <w:rPr/>
        <w:t xml:space="preserve"> </w:t>
      </w:r>
    </w:p>
    <w:tbl>
      <w:tblPr>
        <w:tblW w:w="5000" w:type="pct"/>
        <w:jc w:val="center"/>
        <w:tblInd w:w="0" w:type="dxa"/>
        <w:tblCellMar>
          <w:top w:w="0" w:type="dxa"/>
          <w:left w:w="0" w:type="dxa"/>
          <w:bottom w:w="0" w:type="dxa"/>
          <w:right w:w="0" w:type="dxa"/>
        </w:tblCellMar>
      </w:tblPr>
      <w:tblGrid>
        <w:gridCol w:w="5090"/>
        <w:gridCol w:w="23"/>
        <w:gridCol w:w="5092"/>
      </w:tblGrid>
      <w:tr>
        <w:trPr/>
        <w:tc>
          <w:tcPr>
            <w:tcW w:w="509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5092" w:type="dxa"/>
            <w:tcBorders/>
            <w:shd w:fill="auto" w:val="clear"/>
            <w:vAlign w:val="center"/>
          </w:tcPr>
          <w:p>
            <w:pPr>
              <w:pStyle w:val="TableContents"/>
              <w:spacing w:before="0" w:after="283"/>
              <w:rPr>
                <w:sz w:val="4"/>
                <w:szCs w:val="4"/>
              </w:rPr>
            </w:pPr>
            <w:r>
              <w:rPr>
                <w:sz w:val="4"/>
                <w:szCs w:val="4"/>
              </w:rPr>
            </w:r>
          </w:p>
        </w:tc>
      </w:tr>
      <w:tr>
        <w:trPr/>
        <w:tc>
          <w:tcPr>
            <w:tcW w:w="5090" w:type="dxa"/>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 xml:space="preserve">What We Do </w:t>
            </w:r>
          </w:p>
        </w:tc>
        <w:tc>
          <w:tcPr>
            <w:tcW w:w="23" w:type="dxa"/>
            <w:tcBorders/>
            <w:shd w:fill="auto" w:val="clear"/>
            <w:vAlign w:val="bottom"/>
          </w:tcPr>
          <w:p>
            <w:pPr>
              <w:pStyle w:val="TableHeading"/>
              <w:spacing w:lineRule="atLeast" w:line="180" w:before="0" w:after="283"/>
              <w:rPr/>
            </w:pPr>
            <w:r>
              <w:rPr/>
              <w:t>​</w:t>
            </w:r>
          </w:p>
        </w:tc>
        <w:tc>
          <w:tcPr>
            <w:tcW w:w="5092" w:type="dxa"/>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 xml:space="preserve">What We Do Not Do </w:t>
            </w:r>
          </w:p>
        </w:tc>
      </w:tr>
      <w:tr>
        <w:trPr/>
        <w:tc>
          <w:tcPr>
            <w:tcW w:w="5090" w:type="dxa"/>
            <w:tcBorders/>
            <w:shd w:fill="auto" w:val="clear"/>
          </w:tcPr>
          <w:p>
            <w:pPr>
              <w:pStyle w:val="TableContents"/>
              <w:spacing w:before="0" w:after="283"/>
              <w:rPr>
                <w:rFonts w:ascii="arial" w:hAnsi="arial"/>
              </w:rPr>
            </w:pPr>
            <w:r>
              <w:rPr>
                <w:rFonts w:ascii="arial" w:hAnsi="arial"/>
                <w:b/>
                <w:sz w:val="20"/>
              </w:rPr>
              <w:t>Higher weightage of equity compensation versus cash compensation at senior levels:</w:t>
            </w:r>
            <w:r>
              <w:rPr>
                <w:rFonts w:ascii="arial" w:hAnsi="arial"/>
              </w:rPr>
              <w:t xml:space="preserve"> </w:t>
            </w:r>
            <w:r>
              <w:rPr>
                <w:rFonts w:ascii="arial" w:hAnsi="arial"/>
                <w:sz w:val="20"/>
              </w:rPr>
              <w:t>Equity compensation is one of the most significant components of our pay mix. This encourages our executives to create long-term stakeholder value and aligns their interest to the long-term success of the Company.</w:t>
            </w:r>
          </w:p>
        </w:tc>
        <w:tc>
          <w:tcPr>
            <w:tcW w:w="23" w:type="dxa"/>
            <w:tcBorders/>
            <w:shd w:fill="auto" w:val="clear"/>
          </w:tcPr>
          <w:p>
            <w:pPr>
              <w:pStyle w:val="TableContents"/>
              <w:spacing w:before="0" w:after="283"/>
              <w:rPr/>
            </w:pPr>
            <w:r>
              <w:rPr/>
              <w:t>​</w:t>
            </w:r>
          </w:p>
        </w:tc>
        <w:tc>
          <w:tcPr>
            <w:tcW w:w="5092" w:type="dxa"/>
            <w:tcBorders/>
            <w:shd w:fill="auto" w:val="clear"/>
          </w:tcPr>
          <w:p>
            <w:pPr>
              <w:pStyle w:val="TableContents"/>
              <w:spacing w:before="0" w:after="283"/>
              <w:rPr>
                <w:rFonts w:ascii="arial" w:hAnsi="arial"/>
              </w:rPr>
            </w:pPr>
            <w:r>
              <w:rPr>
                <w:rFonts w:ascii="arial" w:hAnsi="arial"/>
                <w:b/>
                <w:sz w:val="20"/>
              </w:rPr>
              <w:t>No excessive perquisites</w:t>
            </w:r>
            <w:r>
              <w:rPr>
                <w:rFonts w:ascii="arial" w:hAnsi="arial"/>
                <w:sz w:val="20"/>
              </w:rPr>
              <w:t>: We provide certain of our Named Executive Officers based in Luxembourg with limited perquisites based upon important business considerations. We consider the perquisites offered to our Named Executive Officers in Luxembourg important to attract qualified executives to relocate to Luxembourg.</w:t>
            </w:r>
          </w:p>
        </w:tc>
      </w:tr>
      <w:tr>
        <w:trPr/>
        <w:tc>
          <w:tcPr>
            <w:tcW w:w="5090" w:type="dxa"/>
            <w:tcBorders/>
            <w:shd w:fill="auto" w:val="clear"/>
          </w:tcPr>
          <w:p>
            <w:pPr>
              <w:pStyle w:val="TableContents"/>
              <w:spacing w:before="0" w:after="283"/>
              <w:rPr>
                <w:rFonts w:ascii="arial" w:hAnsi="arial"/>
              </w:rPr>
            </w:pPr>
            <w:r>
              <w:rPr>
                <w:rFonts w:ascii="arial" w:hAnsi="arial"/>
              </w:rPr>
              <w:br/>
            </w:r>
            <w:r>
              <w:rPr>
                <w:rFonts w:ascii="arial" w:hAnsi="arial"/>
                <w:b/>
                <w:sz w:val="20"/>
              </w:rPr>
              <w:t>Maintain an independent Compensation Committee:</w:t>
            </w:r>
            <w:r>
              <w:rPr>
                <w:rFonts w:ascii="arial" w:hAnsi="arial"/>
              </w:rPr>
              <w:t xml:space="preserve"> </w:t>
            </w:r>
            <w:r>
              <w:rPr>
                <w:rFonts w:ascii="arial" w:hAnsi="arial"/>
                <w:sz w:val="20"/>
              </w:rPr>
              <w:t>Our Compensation Committee is composed of independent Directors, who review and approve compensation related decisions for our Named Executive Officers. The Compensation Committee may from time to time consult with an independent compensation consultant as it deems appropriate.</w:t>
            </w:r>
          </w:p>
        </w:tc>
        <w:tc>
          <w:tcPr>
            <w:tcW w:w="23" w:type="dxa"/>
            <w:tcBorders/>
            <w:shd w:fill="auto" w:val="clear"/>
          </w:tcPr>
          <w:p>
            <w:pPr>
              <w:pStyle w:val="TableContents"/>
              <w:spacing w:before="0" w:after="283"/>
              <w:rPr>
                <w:rFonts w:ascii="arial" w:hAnsi="arial"/>
                <w:sz w:val="20"/>
              </w:rPr>
            </w:pPr>
            <w:r>
              <w:rPr>
                <w:rFonts w:ascii="arial" w:hAnsi="arial"/>
                <w:sz w:val="20"/>
              </w:rPr>
              <w:br/>
              <w:t>​</w:t>
            </w:r>
          </w:p>
        </w:tc>
        <w:tc>
          <w:tcPr>
            <w:tcW w:w="5092" w:type="dxa"/>
            <w:tcBorders/>
            <w:shd w:fill="auto" w:val="clear"/>
          </w:tcPr>
          <w:p>
            <w:pPr>
              <w:pStyle w:val="TableContents"/>
              <w:spacing w:before="0" w:after="283"/>
              <w:rPr>
                <w:rFonts w:ascii="arial" w:hAnsi="arial"/>
              </w:rPr>
            </w:pPr>
            <w:r>
              <w:rPr>
                <w:rFonts w:ascii="arial" w:hAnsi="arial"/>
              </w:rPr>
              <w:br/>
            </w:r>
            <w:r>
              <w:rPr>
                <w:rFonts w:ascii="arial" w:hAnsi="arial"/>
                <w:b/>
                <w:sz w:val="20"/>
              </w:rPr>
              <w:t>Golden parachute excise tax protection</w:t>
            </w:r>
            <w:r>
              <w:rPr>
                <w:rFonts w:ascii="arial" w:hAnsi="arial"/>
                <w:sz w:val="20"/>
              </w:rPr>
              <w:t>: We do not provide golden parachute excise tax gross-up protection for our executives.</w:t>
            </w:r>
          </w:p>
        </w:tc>
      </w:tr>
      <w:tr>
        <w:trPr/>
        <w:tc>
          <w:tcPr>
            <w:tcW w:w="5090" w:type="dxa"/>
            <w:tcBorders/>
            <w:shd w:fill="auto" w:val="clear"/>
          </w:tcPr>
          <w:p>
            <w:pPr>
              <w:pStyle w:val="TableContents"/>
              <w:spacing w:before="0" w:after="283"/>
              <w:rPr>
                <w:rFonts w:ascii="arial" w:hAnsi="arial"/>
              </w:rPr>
            </w:pPr>
            <w:r>
              <w:rPr>
                <w:rFonts w:ascii="arial" w:hAnsi="arial"/>
              </w:rPr>
              <w:br/>
            </w:r>
            <w:r>
              <w:rPr>
                <w:rFonts w:ascii="arial" w:hAnsi="arial"/>
                <w:b/>
                <w:sz w:val="20"/>
              </w:rPr>
              <w:t>Maintain a claw-back policy</w:t>
            </w:r>
            <w:r>
              <w:rPr>
                <w:rFonts w:ascii="arial" w:hAnsi="arial"/>
                <w:sz w:val="20"/>
              </w:rPr>
              <w:t>: Our claw back policy provides that the Company may seek to recoup incentive compensation paid to current or former executive officers in the event of their willful commission of a material error, fraud or misconduct resulting in: (i) one or more financial restatements; (ii) material reputational harm to, or adverse publicity of, the Company; or (iii) the Company terminating the executive officer for cause. This policy also provides that the Company may extend its provisions and apply them to other senior employees who are not executive officers.</w:t>
            </w:r>
          </w:p>
        </w:tc>
        <w:tc>
          <w:tcPr>
            <w:tcW w:w="23" w:type="dxa"/>
            <w:tcBorders/>
            <w:shd w:fill="auto" w:val="clear"/>
          </w:tcPr>
          <w:p>
            <w:pPr>
              <w:pStyle w:val="TableContents"/>
              <w:spacing w:before="0" w:after="283"/>
              <w:rPr>
                <w:rFonts w:ascii="arial" w:hAnsi="arial"/>
                <w:sz w:val="20"/>
              </w:rPr>
            </w:pPr>
            <w:r>
              <w:rPr>
                <w:rFonts w:ascii="arial" w:hAnsi="arial"/>
                <w:sz w:val="20"/>
              </w:rPr>
              <w:br/>
              <w:t>​</w:t>
            </w:r>
          </w:p>
        </w:tc>
        <w:tc>
          <w:tcPr>
            <w:tcW w:w="5092" w:type="dxa"/>
            <w:tcBorders/>
            <w:shd w:fill="auto" w:val="clear"/>
          </w:tcPr>
          <w:p>
            <w:pPr>
              <w:pStyle w:val="TableContents"/>
              <w:spacing w:before="0" w:after="283"/>
              <w:rPr>
                <w:rFonts w:ascii="arial" w:hAnsi="arial"/>
              </w:rPr>
            </w:pPr>
            <w:r>
              <w:rPr>
                <w:rFonts w:ascii="arial" w:hAnsi="arial"/>
              </w:rPr>
              <w:br/>
            </w:r>
            <w:r>
              <w:rPr>
                <w:rFonts w:ascii="arial" w:hAnsi="arial"/>
                <w:b/>
                <w:sz w:val="20"/>
              </w:rPr>
              <w:t>Guarantee salary increases</w:t>
            </w:r>
          </w:p>
        </w:tc>
      </w:tr>
      <w:tr>
        <w:trPr/>
        <w:tc>
          <w:tcPr>
            <w:tcW w:w="5090" w:type="dxa"/>
            <w:tcBorders/>
            <w:shd w:fill="auto" w:val="clear"/>
          </w:tcPr>
          <w:p>
            <w:pPr>
              <w:pStyle w:val="TableContents"/>
              <w:spacing w:before="0" w:after="283"/>
              <w:rPr>
                <w:rFonts w:ascii="arial" w:hAnsi="arial"/>
              </w:rPr>
            </w:pPr>
            <w:r>
              <w:rPr>
                <w:rFonts w:ascii="arial" w:hAnsi="arial"/>
              </w:rPr>
              <w:br/>
            </w:r>
            <w:r>
              <w:rPr>
                <w:rFonts w:ascii="arial" w:hAnsi="arial"/>
                <w:b/>
                <w:sz w:val="20"/>
              </w:rPr>
              <w:t>Maintain stock ownership and retention guidelines for Chief Executive Officer</w:t>
            </w:r>
            <w:r>
              <w:rPr>
                <w:rFonts w:ascii="arial" w:hAnsi="arial"/>
                <w:sz w:val="20"/>
              </w:rPr>
              <w:t>: The Board of Directors instituted a requirement for our Chief Executive Officer that he beneficially own Altisource stock equal to at least three times the Chief Executive Officer's annual base salary.</w:t>
            </w:r>
          </w:p>
        </w:tc>
        <w:tc>
          <w:tcPr>
            <w:tcW w:w="23" w:type="dxa"/>
            <w:tcBorders/>
            <w:shd w:fill="auto" w:val="clear"/>
          </w:tcPr>
          <w:p>
            <w:pPr>
              <w:pStyle w:val="TableContents"/>
              <w:spacing w:before="0" w:after="283"/>
              <w:rPr>
                <w:rFonts w:ascii="arial" w:hAnsi="arial"/>
                <w:sz w:val="20"/>
              </w:rPr>
            </w:pPr>
            <w:r>
              <w:rPr>
                <w:rFonts w:ascii="arial" w:hAnsi="arial"/>
                <w:sz w:val="20"/>
              </w:rPr>
              <w:br/>
              <w:t>​</w:t>
            </w:r>
          </w:p>
        </w:tc>
        <w:tc>
          <w:tcPr>
            <w:tcW w:w="5092" w:type="dxa"/>
            <w:tcBorders/>
            <w:shd w:fill="auto" w:val="clear"/>
          </w:tcPr>
          <w:p>
            <w:pPr>
              <w:pStyle w:val="TableContents"/>
              <w:spacing w:before="0" w:after="283"/>
              <w:rPr>
                <w:rFonts w:ascii="arial" w:hAnsi="arial"/>
              </w:rPr>
            </w:pPr>
            <w:r>
              <w:rPr>
                <w:rFonts w:ascii="arial" w:hAnsi="arial"/>
              </w:rPr>
              <w:br/>
            </w:r>
            <w:r>
              <w:rPr>
                <w:rFonts w:ascii="arial" w:hAnsi="arial"/>
                <w:b/>
                <w:sz w:val="20"/>
              </w:rPr>
              <w:t>Offer a supplemental executive retirement program</w:t>
            </w:r>
          </w:p>
        </w:tc>
      </w:tr>
      <w:tr>
        <w:trPr/>
        <w:tc>
          <w:tcPr>
            <w:tcW w:w="5090" w:type="dxa"/>
            <w:tcBorders/>
            <w:shd w:fill="auto" w:val="clear"/>
          </w:tcPr>
          <w:p>
            <w:pPr>
              <w:pStyle w:val="TableContents"/>
              <w:spacing w:before="0" w:after="283"/>
              <w:rPr>
                <w:rFonts w:ascii="arial" w:hAnsi="arial"/>
              </w:rPr>
            </w:pPr>
            <w:r>
              <w:rPr>
                <w:rFonts w:ascii="arial" w:hAnsi="arial"/>
              </w:rPr>
              <w:br/>
            </w:r>
            <w:r>
              <w:rPr>
                <w:rFonts w:ascii="arial" w:hAnsi="arial"/>
                <w:b/>
                <w:sz w:val="20"/>
              </w:rPr>
              <w:t>Restrictive Covenants</w:t>
            </w:r>
            <w:r>
              <w:rPr>
                <w:rFonts w:ascii="arial" w:hAnsi="arial"/>
                <w:sz w:val="20"/>
              </w:rPr>
              <w:t>: With respect to equity grants made after January 1, 2013, we generally have the right to cancel outstanding equity awards and recover realized gains if an executive breaches certain restrictive covenants within two years following departure from the Company.</w:t>
            </w:r>
          </w:p>
        </w:tc>
        <w:tc>
          <w:tcPr>
            <w:tcW w:w="23" w:type="dxa"/>
            <w:tcBorders/>
            <w:shd w:fill="auto" w:val="clear"/>
          </w:tcPr>
          <w:p>
            <w:pPr>
              <w:pStyle w:val="TableContents"/>
              <w:spacing w:before="0" w:after="283"/>
              <w:rPr>
                <w:rFonts w:ascii="arial" w:hAnsi="arial"/>
                <w:sz w:val="20"/>
              </w:rPr>
            </w:pPr>
            <w:r>
              <w:rPr>
                <w:rFonts w:ascii="arial" w:hAnsi="arial"/>
                <w:sz w:val="20"/>
              </w:rPr>
              <w:br/>
              <w:t>​</w:t>
            </w:r>
          </w:p>
        </w:tc>
        <w:tc>
          <w:tcPr>
            <w:tcW w:w="5092" w:type="dxa"/>
            <w:tcBorders/>
            <w:shd w:fill="auto" w:val="clear"/>
          </w:tcPr>
          <w:p>
            <w:pPr>
              <w:pStyle w:val="TableContents"/>
              <w:spacing w:before="0" w:after="283"/>
              <w:rPr>
                <w:rFonts w:ascii="arial" w:hAnsi="arial"/>
              </w:rPr>
            </w:pPr>
            <w:r>
              <w:rPr>
                <w:rFonts w:ascii="arial" w:hAnsi="arial"/>
              </w:rPr>
              <w:br/>
              <w:t> </w:t>
            </w:r>
          </w:p>
        </w:tc>
      </w:tr>
    </w:tbl>
    <w:p>
      <w:pPr>
        <w:pStyle w:val="TextBody"/>
        <w:ind w:left="220" w:right="0" w:hanging="220"/>
        <w:rPr>
          <w:rFonts w:ascii="arial" w:hAnsi="arial"/>
          <w:b/>
          <w:sz w:val="20"/>
        </w:rPr>
      </w:pPr>
      <w:r>
        <w:rPr>
          <w:rFonts w:ascii="arial" w:hAnsi="arial"/>
          <w:b/>
          <w:sz w:val="20"/>
        </w:rPr>
        <w:t xml:space="preserve">Our Executive Compensation Review Process </w:t>
      </w:r>
    </w:p>
    <w:p>
      <w:pPr>
        <w:pStyle w:val="TextBody"/>
        <w:ind w:left="200" w:right="0" w:hanging="200"/>
        <w:rPr>
          <w:rFonts w:ascii="arial" w:hAnsi="arial"/>
          <w:b/>
          <w:i/>
          <w:sz w:val="20"/>
        </w:rPr>
      </w:pPr>
      <w:r>
        <w:rPr>
          <w:rFonts w:ascii="arial" w:hAnsi="arial"/>
          <w:b/>
          <w:i/>
          <w:sz w:val="20"/>
        </w:rPr>
        <w:t xml:space="preserve">Role of Our Compensation Committee </w:t>
      </w:r>
    </w:p>
    <w:p>
      <w:pPr>
        <w:pStyle w:val="TextBody"/>
        <w:rPr>
          <w:rFonts w:ascii="arial" w:hAnsi="arial"/>
          <w:sz w:val="20"/>
        </w:rPr>
      </w:pPr>
      <w:r>
        <w:rPr>
          <w:rFonts w:ascii="arial" w:hAnsi="arial"/>
          <w:sz w:val="20"/>
        </w:rPr>
        <w:t xml:space="preserve">The Compensation Committee is responsible for overseeing our executive compensation program, including base salaries, non-equity and equity incentive compensation, equity awards, including those under our LTIP, </w:t>
      </w:r>
    </w:p>
    <w:p>
      <w:pPr>
        <w:pStyle w:val="TextBody"/>
        <w:jc w:val="center"/>
        <w:rPr>
          <w:rFonts w:ascii="arial" w:hAnsi="arial"/>
          <w:sz w:val="20"/>
        </w:rPr>
      </w:pPr>
      <w:r>
        <w:rPr>
          <w:rFonts w:ascii="arial" w:hAnsi="arial"/>
          <w:sz w:val="20"/>
        </w:rPr>
        <w:t>39</w:t>
      </w:r>
    </w:p>
    <w:p>
      <w:pPr>
        <w:pStyle w:val="HorizontalLine"/>
        <w:pBdr>
          <w:bottom w:val="single" w:sz="20" w:space="0" w:color="808080"/>
        </w:pBdr>
        <w:rPr/>
      </w:pPr>
      <w:r>
        <w:rPr/>
      </w:r>
      <w:r>
        <w:br w:type="page"/>
      </w:r>
    </w:p>
    <w:p>
      <w:pPr>
        <w:pStyle w:val="TextBody"/>
        <w:rPr/>
      </w:pPr>
      <w:hyperlink w:anchor="bg45301a_main_toc">
        <w:bookmarkStart w:id="87" w:name="page_do45301_1_40"/>
        <w:bookmarkEnd w:id="87"/>
        <w:r>
          <w:rPr>
            <w:rStyle w:val="InternetLink"/>
            <w:rFonts w:ascii="arial" w:hAnsi="arial"/>
            <w:sz w:val="20"/>
          </w:rPr>
          <w:t>Table of Contents</w:t>
        </w:r>
      </w:hyperlink>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3367"/>
        <w:gridCol w:w="101"/>
        <w:gridCol w:w="6737"/>
      </w:tblGrid>
      <w:tr>
        <w:trPr/>
        <w:tc>
          <w:tcPr>
            <w:tcW w:w="3367" w:type="dxa"/>
            <w:tcBorders/>
            <w:shd w:fill="auto" w:val="clear"/>
            <w:vAlign w:val="center"/>
          </w:tcPr>
          <w:p>
            <w:pPr>
              <w:pStyle w:val="TableContents"/>
              <w:spacing w:before="0" w:after="283"/>
              <w:rPr/>
            </w:pPr>
            <w:r>
              <w:rPr/>
              <w:commentReference w:id="130"/>
            </w:r>
            <w:r>
              <w:rPr/>
              <w:commentReference w:id="131"/>
            </w:r>
            <w:r>
              <w:rPr/>
              <w:commentReference w:id="132"/>
            </w:r>
            <w:r>
              <w:rPr/>
              <w:t>​</w:t>
            </w:r>
          </w:p>
        </w:tc>
        <w:tc>
          <w:tcPr>
            <w:tcW w:w="101" w:type="dxa"/>
            <w:tcBorders/>
            <w:shd w:fill="auto" w:val="clear"/>
            <w:vAlign w:val="center"/>
          </w:tcPr>
          <w:p>
            <w:pPr>
              <w:pStyle w:val="TableContents"/>
              <w:spacing w:before="0" w:after="283"/>
              <w:rPr/>
            </w:pPr>
            <w:r>
              <w:rPr/>
              <w:t>​</w:t>
            </w:r>
          </w:p>
        </w:tc>
        <w:tc>
          <w:tcPr>
            <w:tcW w:w="6737" w:type="dxa"/>
            <w:tcBorders/>
            <w:shd w:fill="auto" w:val="clear"/>
            <w:vAlign w:val="center"/>
          </w:tcPr>
          <w:p>
            <w:pPr>
              <w:pStyle w:val="TableContents"/>
              <w:spacing w:before="0" w:after="283"/>
              <w:rPr/>
            </w:pPr>
            <w:r>
              <w:rPr/>
              <w:t>​</w:t>
            </w:r>
            <w:r>
              <w:rPr>
                <w:rFonts w:eastAsia="arial" w:cs="arial" w:ascii="arial" w:hAnsi="arial"/>
              </w:rPr>
              <w:commentReference w:id="133"/>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drawing>
                <wp:inline distT="0" distB="0" distL="0" distR="0">
                  <wp:extent cx="2943225" cy="1809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73"/>
                          <a:stretch>
                            <a:fillRect/>
                          </a:stretch>
                        </pic:blipFill>
                        <pic:spPr bwMode="auto">
                          <a:xfrm>
                            <a:off x="0" y="0"/>
                            <a:ext cx="2943225" cy="180975"/>
                          </a:xfrm>
                          <a:prstGeom prst="rect">
                            <a:avLst/>
                          </a:prstGeom>
                        </pic:spPr>
                      </pic:pic>
                    </a:graphicData>
                  </a:graphic>
                </wp:inline>
              </w:drawing>
            </w:r>
            <w:r>
              <w:rPr/>
              <w:t xml:space="preserve"> </w:t>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t> </w:t>
            </w:r>
          </w:p>
        </w:tc>
      </w:tr>
    </w:tbl>
    <w:p>
      <w:pPr>
        <w:pStyle w:val="TextBody"/>
        <w:rPr/>
      </w:pPr>
      <w:r>
        <w:rPr>
          <w:color w:val="000000"/>
        </w:rPr>
        <w:commentReference w:id="134"/>
      </w:r>
      <w:r>
        <w:rPr>
          <w:color w:val="000000"/>
        </w:rPr>
        <w:t>​</w:t>
      </w:r>
      <w:r>
        <w:rPr/>
        <w:t xml:space="preserve"> </w:t>
      </w:r>
    </w:p>
    <w:p>
      <w:pPr>
        <w:pStyle w:val="TextBody"/>
        <w:rPr>
          <w:rFonts w:ascii="arial" w:hAnsi="arial"/>
          <w:sz w:val="20"/>
        </w:rPr>
      </w:pPr>
      <w:r>
        <w:rPr>
          <w:rFonts w:ascii="arial" w:hAnsi="arial"/>
          <w:sz w:val="20"/>
        </w:rPr>
        <w:t xml:space="preserve">and executive benefits. The Compensation Committee determines the compensation of our Chief Executive Officer and approves the compensation of our Named Executive Officers. </w:t>
      </w:r>
    </w:p>
    <w:p>
      <w:pPr>
        <w:pStyle w:val="TextBody"/>
        <w:rPr>
          <w:rFonts w:ascii="arial" w:hAnsi="arial"/>
          <w:sz w:val="20"/>
        </w:rPr>
      </w:pPr>
      <w:r>
        <w:rPr>
          <w:rFonts w:ascii="arial" w:hAnsi="arial"/>
          <w:sz w:val="20"/>
        </w:rPr>
        <w:t xml:space="preserve">The Compensation Committee reviews the compensation of our Chief Executive Officer and our Named Executive Officers periodically to determine whether compensation changes are appropriate, and may make changes to target total compensation opportunities from time to time. To make decisions that are informed by market practices, the Compensation Committee, typically in consultation with its independent compensation consultant, periodically conducts benchmarking analysis among peer companies that are comparable in size, industry and other attributes and that may compete with Altisource for qualified talent. In evaluating executive compensation, the Compensation Committee also considers such factors as the executive's performance against pre-set targets for the year, the Company's overall performance against its pre-set targets in the environment in which the Company is operating, the performance of the Company's stock price compared to similar companies, the executive's experience and expertise, the executive's scope of responsibility and other factors such as retention. </w:t>
      </w:r>
    </w:p>
    <w:p>
      <w:pPr>
        <w:pStyle w:val="TextBody"/>
        <w:ind w:left="200" w:right="0" w:hanging="200"/>
        <w:rPr>
          <w:rFonts w:ascii="arial" w:hAnsi="arial"/>
          <w:b/>
          <w:i/>
          <w:sz w:val="20"/>
        </w:rPr>
      </w:pPr>
      <w:r>
        <w:rPr>
          <w:rFonts w:ascii="arial" w:hAnsi="arial"/>
          <w:b/>
          <w:i/>
          <w:sz w:val="20"/>
        </w:rPr>
        <w:t xml:space="preserve">Role of Executive Officers in Compensation Decisions </w:t>
      </w:r>
    </w:p>
    <w:p>
      <w:pPr>
        <w:pStyle w:val="TextBody"/>
        <w:rPr>
          <w:rFonts w:ascii="arial" w:hAnsi="arial"/>
          <w:sz w:val="20"/>
        </w:rPr>
      </w:pPr>
      <w:r>
        <w:rPr>
          <w:rFonts w:ascii="arial" w:hAnsi="arial"/>
          <w:sz w:val="20"/>
        </w:rPr>
        <w:t xml:space="preserve">Certain executives are involved in the design and implementation of our executive compensation program. Historically, our Chief Executive Officer and Chief Administration and Risk Officer generally attended Compensation Committee meetings, except that they were not present during any voting or deliberations related to their own compensation. These executives actively participated in performance determinations and compensation discussions for other executive officers, including making recommendations to the Compensation Committee as to the amount and form of compensation. Since the departure of our Chief Administration and Risk Officer in April 2020, our Chief Executive Officer has continued to attend Compensation Committee meetings in the same manner. The Compensation Committee exercises its discretion in accepting, rejecting or modifying any such executive compensation recommendations. The Compensation Committee will generally delegate executive compensation matters (other than for Named Executive Officers) to the Chief Executive Officer for execution and, in limited circumstances, further development following approval by the Committee. </w:t>
      </w:r>
    </w:p>
    <w:p>
      <w:pPr>
        <w:pStyle w:val="TextBody"/>
        <w:rPr>
          <w:rFonts w:ascii="arial" w:hAnsi="arial"/>
          <w:sz w:val="20"/>
        </w:rPr>
      </w:pPr>
      <w:r>
        <w:rPr>
          <w:rFonts w:ascii="arial" w:hAnsi="arial"/>
          <w:sz w:val="20"/>
        </w:rPr>
        <w:t xml:space="preserve">In addition, the Compensation Committee has delegated authority to the Chief Executive Officer to approve equity awards of up to 5,000 stock options or 5,000 restricted shares (or similar equity instrument) per employee (other than Named Executive Officers), with an exercise price of up to $50 per share and in an aggregate amount of up to 75,000 stock options or restricted shares (or similar equity instrument) per calendar year. Awards approved by the Chief Executive Officer pursuant to this delegation are reported to the Compensation Committee on a regular basis. </w:t>
      </w:r>
    </w:p>
    <w:p>
      <w:pPr>
        <w:pStyle w:val="TextBody"/>
        <w:ind w:left="200" w:right="0" w:hanging="200"/>
        <w:rPr>
          <w:rFonts w:ascii="arial" w:hAnsi="arial"/>
          <w:b/>
          <w:i/>
          <w:sz w:val="20"/>
        </w:rPr>
      </w:pPr>
      <w:r>
        <w:rPr>
          <w:rFonts w:ascii="arial" w:hAnsi="arial"/>
          <w:b/>
          <w:i/>
          <w:sz w:val="20"/>
        </w:rPr>
        <w:t xml:space="preserve">Role of Compensation Consultant </w:t>
      </w:r>
    </w:p>
    <w:p>
      <w:pPr>
        <w:pStyle w:val="TextBody"/>
        <w:rPr>
          <w:rFonts w:ascii="arial" w:hAnsi="arial"/>
          <w:sz w:val="20"/>
        </w:rPr>
      </w:pPr>
      <w:r>
        <w:rPr>
          <w:rFonts w:ascii="arial" w:hAnsi="arial"/>
          <w:sz w:val="20"/>
        </w:rPr>
        <w:t xml:space="preserve">The Compensation Committee periodically engages an independent compensation consultant to provide compensation consulting services. With the consent of the Compensation Committee or Compensation Committee Chairman, the independent compensation consultant coordinates with the Company's human resources function to gather information necessary to provide these services and reviews, validates and provides input on information, programs and recommendations. </w:t>
      </w:r>
    </w:p>
    <w:p>
      <w:pPr>
        <w:pStyle w:val="TextBody"/>
        <w:rPr>
          <w:rFonts w:ascii="arial" w:hAnsi="arial"/>
          <w:sz w:val="20"/>
        </w:rPr>
      </w:pPr>
      <w:r>
        <w:rPr>
          <w:rFonts w:ascii="arial" w:hAnsi="arial"/>
          <w:sz w:val="20"/>
        </w:rPr>
        <w:t xml:space="preserve">Among other services, from time to time the Compensation Committee engages a compensation consultant to review the peer group used to benchmark executive and director pay to ensure the comparisons remain meaningful and relevant. In 2019, the Compensation Committee engaged Exequity, our independent compensation consultant, to conduct a review of the Company's peer group for purposes of compensation analysis and comparison. The Compensation Committee did not engage an independent compensation </w:t>
      </w:r>
    </w:p>
    <w:p>
      <w:pPr>
        <w:pStyle w:val="TextBody"/>
        <w:jc w:val="center"/>
        <w:rPr>
          <w:rFonts w:ascii="arial" w:hAnsi="arial"/>
          <w:sz w:val="20"/>
        </w:rPr>
      </w:pPr>
      <w:r>
        <w:rPr>
          <w:rFonts w:ascii="arial" w:hAnsi="arial"/>
          <w:sz w:val="20"/>
        </w:rPr>
        <w:t>40</w:t>
      </w:r>
    </w:p>
    <w:p>
      <w:pPr>
        <w:pStyle w:val="HorizontalLine"/>
        <w:pBdr>
          <w:bottom w:val="single" w:sz="20" w:space="0" w:color="808080"/>
        </w:pBdr>
        <w:rPr/>
      </w:pPr>
      <w:r>
        <w:rPr/>
      </w:r>
      <w:r>
        <w:br w:type="page"/>
      </w:r>
    </w:p>
    <w:p>
      <w:pPr>
        <w:pStyle w:val="TextBody"/>
        <w:rPr/>
      </w:pPr>
      <w:hyperlink w:anchor="bg45301a_main_toc">
        <w:bookmarkStart w:id="88" w:name="page_do45301_1_41"/>
        <w:bookmarkEnd w:id="88"/>
        <w:r>
          <w:rPr>
            <w:rStyle w:val="InternetLink"/>
            <w:rFonts w:ascii="arial" w:hAnsi="arial"/>
            <w:sz w:val="20"/>
          </w:rPr>
          <w:t>Table of Contents</w:t>
        </w:r>
      </w:hyperlink>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3367"/>
        <w:gridCol w:w="101"/>
        <w:gridCol w:w="6737"/>
      </w:tblGrid>
      <w:tr>
        <w:trPr/>
        <w:tc>
          <w:tcPr>
            <w:tcW w:w="3367" w:type="dxa"/>
            <w:tcBorders/>
            <w:shd w:fill="auto" w:val="clear"/>
            <w:vAlign w:val="center"/>
          </w:tcPr>
          <w:p>
            <w:pPr>
              <w:pStyle w:val="TableContents"/>
              <w:spacing w:before="0" w:after="283"/>
              <w:rPr/>
            </w:pPr>
            <w:r>
              <w:rPr/>
              <w:commentReference w:id="135"/>
            </w:r>
            <w:r>
              <w:rPr/>
              <w:commentReference w:id="136"/>
            </w:r>
            <w:r>
              <w:rPr/>
              <w:commentReference w:id="137"/>
            </w:r>
            <w:r>
              <w:rPr/>
              <w:t>​</w:t>
            </w:r>
          </w:p>
        </w:tc>
        <w:tc>
          <w:tcPr>
            <w:tcW w:w="101" w:type="dxa"/>
            <w:tcBorders/>
            <w:shd w:fill="auto" w:val="clear"/>
            <w:vAlign w:val="center"/>
          </w:tcPr>
          <w:p>
            <w:pPr>
              <w:pStyle w:val="TableContents"/>
              <w:spacing w:before="0" w:after="283"/>
              <w:rPr/>
            </w:pPr>
            <w:r>
              <w:rPr/>
              <w:t>​</w:t>
            </w:r>
          </w:p>
        </w:tc>
        <w:tc>
          <w:tcPr>
            <w:tcW w:w="6737" w:type="dxa"/>
            <w:tcBorders/>
            <w:shd w:fill="auto" w:val="clear"/>
            <w:vAlign w:val="center"/>
          </w:tcPr>
          <w:p>
            <w:pPr>
              <w:pStyle w:val="TableContents"/>
              <w:spacing w:before="0" w:after="283"/>
              <w:rPr/>
            </w:pPr>
            <w:r>
              <w:rPr/>
              <w:t>​</w:t>
            </w:r>
            <w:r>
              <w:rPr>
                <w:rFonts w:eastAsia="arial" w:cs="arial" w:ascii="arial" w:hAnsi="arial"/>
              </w:rPr>
              <w:commentReference w:id="138"/>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drawing>
                <wp:inline distT="0" distB="0" distL="0" distR="0">
                  <wp:extent cx="2943225" cy="1809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74"/>
                          <a:stretch>
                            <a:fillRect/>
                          </a:stretch>
                        </pic:blipFill>
                        <pic:spPr bwMode="auto">
                          <a:xfrm>
                            <a:off x="0" y="0"/>
                            <a:ext cx="2943225" cy="180975"/>
                          </a:xfrm>
                          <a:prstGeom prst="rect">
                            <a:avLst/>
                          </a:prstGeom>
                        </pic:spPr>
                      </pic:pic>
                    </a:graphicData>
                  </a:graphic>
                </wp:inline>
              </w:drawing>
            </w:r>
            <w:r>
              <w:rPr/>
              <w:t xml:space="preserve"> </w:t>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t> </w:t>
            </w:r>
          </w:p>
        </w:tc>
      </w:tr>
    </w:tbl>
    <w:p>
      <w:pPr>
        <w:pStyle w:val="TextBody"/>
        <w:rPr/>
      </w:pPr>
      <w:r>
        <w:rPr>
          <w:color w:val="000000"/>
        </w:rPr>
        <w:commentReference w:id="139"/>
      </w:r>
      <w:r>
        <w:rPr>
          <w:color w:val="000000"/>
        </w:rPr>
        <w:t>​</w:t>
      </w:r>
      <w:r>
        <w:rPr/>
        <w:t xml:space="preserve"> </w:t>
      </w:r>
    </w:p>
    <w:p>
      <w:pPr>
        <w:pStyle w:val="TextBody"/>
        <w:rPr>
          <w:rFonts w:ascii="arial" w:hAnsi="arial"/>
          <w:sz w:val="20"/>
        </w:rPr>
      </w:pPr>
      <w:r>
        <w:rPr>
          <w:rFonts w:ascii="arial" w:hAnsi="arial"/>
          <w:sz w:val="20"/>
        </w:rPr>
        <w:t xml:space="preserve">consultant in 2020. Based on Exequity's review and recommendation, we made certain changes to our peer group. </w:t>
      </w:r>
    </w:p>
    <w:p>
      <w:pPr>
        <w:pStyle w:val="TextBody"/>
        <w:rPr>
          <w:rFonts w:ascii="arial" w:hAnsi="arial"/>
          <w:sz w:val="20"/>
        </w:rPr>
      </w:pPr>
      <w:r>
        <w:rPr>
          <w:rFonts w:ascii="arial" w:hAnsi="arial"/>
          <w:sz w:val="20"/>
        </w:rPr>
        <w:t>Our peer group currently consists of the following sixteen (16) companies:</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ind w:left="1274" w:right="0" w:hanging="0"/>
        <w:rPr>
          <w:rFonts w:ascii="arial" w:hAnsi="arial"/>
          <w:sz w:val="20"/>
        </w:rPr>
      </w:pPr>
      <w:r>
        <w:rPr>
          <w:rFonts w:ascii="arial" w:hAnsi="arial"/>
          <w:sz w:val="20"/>
        </w:rPr>
        <w:t xml:space="preserve">Black Knight Financial Services, Inc.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ind w:left="1274" w:right="0" w:hanging="0"/>
        <w:rPr>
          <w:rFonts w:ascii="arial" w:hAnsi="arial"/>
          <w:sz w:val="20"/>
        </w:rPr>
      </w:pPr>
      <w:r>
        <w:rPr>
          <w:rFonts w:ascii="arial" w:hAnsi="arial"/>
          <w:sz w:val="20"/>
        </w:rPr>
        <w:t xml:space="preserve">Ellie Mae, Inc.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ind w:left="1274" w:right="0" w:hanging="0"/>
        <w:rPr>
          <w:rFonts w:ascii="arial" w:hAnsi="arial"/>
          <w:sz w:val="20"/>
        </w:rPr>
      </w:pPr>
      <w:r>
        <w:rPr>
          <w:rFonts w:ascii="arial" w:hAnsi="arial"/>
          <w:sz w:val="20"/>
        </w:rPr>
        <w:t xml:space="preserve">Everi Holdings, Inc.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ind w:left="1274" w:right="0" w:hanging="0"/>
        <w:rPr>
          <w:rFonts w:ascii="arial" w:hAnsi="arial"/>
          <w:sz w:val="20"/>
        </w:rPr>
      </w:pPr>
      <w:r>
        <w:rPr>
          <w:rFonts w:ascii="arial" w:hAnsi="arial"/>
          <w:sz w:val="20"/>
        </w:rPr>
        <w:t xml:space="preserve">ExlService Holdings, Inc.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ind w:left="1274" w:right="0" w:hanging="0"/>
        <w:rPr>
          <w:rFonts w:ascii="arial" w:hAnsi="arial"/>
          <w:sz w:val="20"/>
        </w:rPr>
      </w:pPr>
      <w:r>
        <w:rPr>
          <w:rFonts w:ascii="arial" w:hAnsi="arial"/>
          <w:sz w:val="20"/>
        </w:rPr>
        <w:t xml:space="preserve">FedNat Holding Company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ind w:left="1274" w:right="0" w:hanging="0"/>
        <w:rPr>
          <w:rFonts w:ascii="arial" w:hAnsi="arial"/>
          <w:sz w:val="20"/>
        </w:rPr>
      </w:pPr>
      <w:r>
        <w:rPr>
          <w:rFonts w:ascii="arial" w:hAnsi="arial"/>
          <w:sz w:val="20"/>
        </w:rPr>
        <w:t xml:space="preserve">GreenSky, Inc.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ind w:left="1274" w:right="0" w:hanging="0"/>
        <w:rPr>
          <w:rFonts w:ascii="arial" w:hAnsi="arial"/>
          <w:sz w:val="20"/>
        </w:rPr>
      </w:pPr>
      <w:r>
        <w:rPr>
          <w:rFonts w:ascii="arial" w:hAnsi="arial"/>
          <w:sz w:val="20"/>
        </w:rPr>
        <w:t xml:space="preserve">Impac Mortgage Holdings, Inc.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ind w:left="1274" w:right="0" w:hanging="0"/>
        <w:rPr>
          <w:rFonts w:ascii="arial" w:hAnsi="arial"/>
          <w:sz w:val="20"/>
        </w:rPr>
      </w:pPr>
      <w:r>
        <w:rPr>
          <w:rFonts w:ascii="arial" w:hAnsi="arial"/>
          <w:sz w:val="20"/>
        </w:rPr>
        <w:t xml:space="preserve">Mr. Cooper Group, Inc.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ind w:left="1274" w:right="0" w:hanging="0"/>
        <w:rPr>
          <w:rFonts w:ascii="arial" w:hAnsi="arial"/>
          <w:sz w:val="20"/>
        </w:rPr>
      </w:pPr>
      <w:r>
        <w:rPr>
          <w:rFonts w:ascii="arial" w:hAnsi="arial"/>
          <w:sz w:val="20"/>
        </w:rPr>
        <w:t xml:space="preserve">NMI Holdings, Inc.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ind w:left="1274" w:right="0" w:hanging="0"/>
        <w:rPr>
          <w:rFonts w:ascii="arial" w:hAnsi="arial"/>
          <w:sz w:val="20"/>
        </w:rPr>
      </w:pPr>
      <w:r>
        <w:rPr>
          <w:rFonts w:ascii="arial" w:hAnsi="arial"/>
          <w:sz w:val="20"/>
        </w:rPr>
        <w:t xml:space="preserve">PennyMac Financial Services, Inc.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ind w:left="1274" w:right="0" w:hanging="0"/>
        <w:rPr>
          <w:rFonts w:ascii="arial" w:hAnsi="arial"/>
          <w:sz w:val="20"/>
        </w:rPr>
      </w:pPr>
      <w:r>
        <w:rPr>
          <w:rFonts w:ascii="arial" w:hAnsi="arial"/>
          <w:sz w:val="20"/>
        </w:rPr>
        <w:t xml:space="preserve">Radian Group Inc.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ind w:left="1274" w:right="0" w:hanging="0"/>
        <w:rPr>
          <w:rFonts w:ascii="arial" w:hAnsi="arial"/>
          <w:sz w:val="20"/>
        </w:rPr>
      </w:pPr>
      <w:r>
        <w:rPr>
          <w:rFonts w:ascii="arial" w:hAnsi="arial"/>
          <w:sz w:val="20"/>
        </w:rPr>
        <w:t xml:space="preserve">RealPage, Inc.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ind w:left="1274" w:right="0" w:hanging="0"/>
        <w:rPr>
          <w:rFonts w:ascii="arial" w:hAnsi="arial"/>
          <w:sz w:val="20"/>
        </w:rPr>
      </w:pPr>
      <w:r>
        <w:rPr>
          <w:rFonts w:ascii="arial" w:hAnsi="arial"/>
          <w:sz w:val="20"/>
        </w:rPr>
        <w:t xml:space="preserve">Redfin Corporation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ind w:left="1274" w:right="0" w:hanging="0"/>
        <w:rPr>
          <w:rFonts w:ascii="arial" w:hAnsi="arial"/>
          <w:sz w:val="20"/>
        </w:rPr>
      </w:pPr>
      <w:r>
        <w:rPr>
          <w:rFonts w:ascii="arial" w:hAnsi="arial"/>
          <w:sz w:val="20"/>
        </w:rPr>
        <w:t xml:space="preserve">Regional Management Corp.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ind w:left="1274" w:right="0" w:hanging="0"/>
        <w:rPr>
          <w:rFonts w:ascii="arial" w:hAnsi="arial"/>
          <w:sz w:val="20"/>
        </w:rPr>
      </w:pPr>
      <w:r>
        <w:rPr>
          <w:rFonts w:ascii="arial" w:hAnsi="arial"/>
          <w:sz w:val="20"/>
        </w:rPr>
        <w:t xml:space="preserve">Virtusa Corp.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spacing w:before="0" w:after="283"/>
        <w:ind w:left="1274" w:right="0" w:hanging="0"/>
        <w:rPr>
          <w:rFonts w:ascii="arial" w:hAnsi="arial"/>
          <w:sz w:val="20"/>
        </w:rPr>
      </w:pPr>
      <w:r>
        <w:rPr>
          <w:rFonts w:ascii="arial" w:hAnsi="arial"/>
          <w:sz w:val="20"/>
        </w:rPr>
        <w:t xml:space="preserve">Zillow Group, Inc. </w:t>
      </w:r>
    </w:p>
    <w:p>
      <w:pPr>
        <w:pStyle w:val="TextBody"/>
        <w:ind w:left="220" w:right="0" w:hanging="220"/>
        <w:rPr>
          <w:rFonts w:ascii="arial" w:hAnsi="arial"/>
          <w:b/>
          <w:sz w:val="20"/>
        </w:rPr>
      </w:pPr>
      <w:r>
        <w:rPr>
          <w:rFonts w:ascii="arial" w:hAnsi="arial"/>
          <w:b/>
          <w:sz w:val="20"/>
        </w:rPr>
        <w:t xml:space="preserve">Elements of Executive Compensation </w:t>
      </w:r>
    </w:p>
    <w:p>
      <w:pPr>
        <w:pStyle w:val="TextBody"/>
        <w:rPr>
          <w:rFonts w:ascii="arial" w:hAnsi="arial"/>
          <w:sz w:val="20"/>
        </w:rPr>
      </w:pPr>
      <w:r>
        <w:rPr>
          <w:rFonts w:ascii="arial" w:hAnsi="arial"/>
          <w:sz w:val="20"/>
        </w:rPr>
        <w:t xml:space="preserve">The current annual compensation package for our Named Executive Officers primarily consists of three elements: </w:t>
      </w:r>
    </w:p>
    <w:tbl>
      <w:tblPr>
        <w:tblW w:w="5000" w:type="pct"/>
        <w:jc w:val="center"/>
        <w:tblInd w:w="0" w:type="dxa"/>
        <w:tblCellMar>
          <w:top w:w="0" w:type="dxa"/>
          <w:left w:w="0" w:type="dxa"/>
          <w:bottom w:w="0" w:type="dxa"/>
          <w:right w:w="0" w:type="dxa"/>
        </w:tblCellMar>
      </w:tblPr>
      <w:tblGrid>
        <w:gridCol w:w="3386"/>
        <w:gridCol w:w="23"/>
        <w:gridCol w:w="3386"/>
        <w:gridCol w:w="23"/>
        <w:gridCol w:w="3387"/>
      </w:tblGrid>
      <w:tr>
        <w:trPr/>
        <w:tc>
          <w:tcPr>
            <w:tcW w:w="3386"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3386"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3387" w:type="dxa"/>
            <w:tcBorders/>
            <w:shd w:fill="auto" w:val="clear"/>
            <w:vAlign w:val="center"/>
          </w:tcPr>
          <w:p>
            <w:pPr>
              <w:pStyle w:val="TableContents"/>
              <w:spacing w:before="0" w:after="283"/>
              <w:rPr>
                <w:sz w:val="4"/>
                <w:szCs w:val="4"/>
              </w:rPr>
            </w:pPr>
            <w:r>
              <w:rPr>
                <w:sz w:val="4"/>
                <w:szCs w:val="4"/>
              </w:rPr>
            </w:r>
          </w:p>
        </w:tc>
      </w:tr>
      <w:tr>
        <w:trPr/>
        <w:tc>
          <w:tcPr>
            <w:tcW w:w="3386" w:type="dxa"/>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 xml:space="preserve">Compensation Element </w:t>
            </w:r>
          </w:p>
        </w:tc>
        <w:tc>
          <w:tcPr>
            <w:tcW w:w="23" w:type="dxa"/>
            <w:tcBorders/>
            <w:shd w:fill="auto" w:val="clear"/>
            <w:vAlign w:val="bottom"/>
          </w:tcPr>
          <w:p>
            <w:pPr>
              <w:pStyle w:val="TableHeading"/>
              <w:spacing w:lineRule="atLeast" w:line="180" w:before="0" w:after="283"/>
              <w:rPr/>
            </w:pPr>
            <w:r>
              <w:rPr/>
              <w:t>​</w:t>
            </w:r>
          </w:p>
        </w:tc>
        <w:tc>
          <w:tcPr>
            <w:tcW w:w="3386" w:type="dxa"/>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 xml:space="preserve">Characteristics </w:t>
            </w:r>
          </w:p>
        </w:tc>
        <w:tc>
          <w:tcPr>
            <w:tcW w:w="23" w:type="dxa"/>
            <w:tcBorders/>
            <w:shd w:fill="auto" w:val="clear"/>
            <w:vAlign w:val="bottom"/>
          </w:tcPr>
          <w:p>
            <w:pPr>
              <w:pStyle w:val="TableHeading"/>
              <w:spacing w:lineRule="atLeast" w:line="180" w:before="0" w:after="283"/>
              <w:rPr/>
            </w:pPr>
            <w:r>
              <w:rPr/>
              <w:t>​</w:t>
            </w:r>
          </w:p>
        </w:tc>
        <w:tc>
          <w:tcPr>
            <w:tcW w:w="3387" w:type="dxa"/>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 xml:space="preserve">Objective </w:t>
            </w:r>
          </w:p>
        </w:tc>
      </w:tr>
      <w:tr>
        <w:trPr/>
        <w:tc>
          <w:tcPr>
            <w:tcW w:w="3386" w:type="dxa"/>
            <w:tcBorders/>
            <w:shd w:fill="auto" w:val="clear"/>
          </w:tcPr>
          <w:p>
            <w:pPr>
              <w:pStyle w:val="TableContents"/>
              <w:spacing w:before="0" w:after="283"/>
              <w:rPr>
                <w:rFonts w:ascii="arial" w:hAnsi="arial"/>
                <w:sz w:val="20"/>
              </w:rPr>
            </w:pPr>
            <w:r>
              <w:rPr>
                <w:rFonts w:ascii="arial" w:hAnsi="arial"/>
                <w:sz w:val="20"/>
              </w:rPr>
              <w:t>Base Salary</w:t>
            </w:r>
          </w:p>
        </w:tc>
        <w:tc>
          <w:tcPr>
            <w:tcW w:w="23" w:type="dxa"/>
            <w:tcBorders/>
            <w:shd w:fill="auto" w:val="clear"/>
          </w:tcPr>
          <w:p>
            <w:pPr>
              <w:pStyle w:val="TableContents"/>
              <w:spacing w:before="0" w:after="283"/>
              <w:rPr/>
            </w:pPr>
            <w:r>
              <w:rPr/>
              <w:t>​</w:t>
            </w:r>
          </w:p>
        </w:tc>
        <w:tc>
          <w:tcPr>
            <w:tcW w:w="3386" w:type="dxa"/>
            <w:tcBorders/>
            <w:shd w:fill="auto" w:val="clear"/>
          </w:tcPr>
          <w:p>
            <w:pPr>
              <w:pStyle w:val="TableContents"/>
              <w:spacing w:before="0" w:after="283"/>
              <w:rPr>
                <w:rFonts w:ascii="arial" w:hAnsi="arial"/>
                <w:sz w:val="20"/>
              </w:rPr>
            </w:pPr>
            <w:r>
              <w:rPr>
                <w:rFonts w:ascii="arial" w:hAnsi="arial"/>
                <w:sz w:val="20"/>
              </w:rPr>
              <w:t>Competitive fixed compensation</w:t>
            </w:r>
          </w:p>
        </w:tc>
        <w:tc>
          <w:tcPr>
            <w:tcW w:w="23" w:type="dxa"/>
            <w:tcBorders/>
            <w:shd w:fill="auto" w:val="clear"/>
          </w:tcPr>
          <w:p>
            <w:pPr>
              <w:pStyle w:val="TableContents"/>
              <w:spacing w:before="0" w:after="283"/>
              <w:rPr/>
            </w:pPr>
            <w:r>
              <w:rPr/>
              <w:t>​</w:t>
            </w:r>
          </w:p>
        </w:tc>
        <w:tc>
          <w:tcPr>
            <w:tcW w:w="3387" w:type="dxa"/>
            <w:tcBorders/>
            <w:shd w:fill="auto" w:val="clear"/>
          </w:tcPr>
          <w:p>
            <w:pPr>
              <w:pStyle w:val="TableContents"/>
              <w:spacing w:before="0" w:after="283"/>
              <w:rPr>
                <w:rFonts w:ascii="arial" w:hAnsi="arial"/>
                <w:sz w:val="20"/>
              </w:rPr>
            </w:pPr>
            <w:r>
              <w:rPr>
                <w:rFonts w:ascii="arial" w:hAnsi="arial"/>
                <w:sz w:val="20"/>
              </w:rPr>
              <w:t>Provide fixed compensation that is commensurate with the executive's scope of responsibility, experience and performance.</w:t>
            </w:r>
          </w:p>
        </w:tc>
      </w:tr>
      <w:tr>
        <w:trPr/>
        <w:tc>
          <w:tcPr>
            <w:tcW w:w="3386" w:type="dxa"/>
            <w:tcBorders/>
            <w:shd w:fill="auto" w:val="clear"/>
          </w:tcPr>
          <w:p>
            <w:pPr>
              <w:pStyle w:val="TableContents"/>
              <w:spacing w:before="0" w:after="283"/>
              <w:rPr>
                <w:rFonts w:ascii="arial" w:hAnsi="arial"/>
                <w:sz w:val="20"/>
              </w:rPr>
            </w:pPr>
            <w:r>
              <w:rPr>
                <w:rFonts w:ascii="arial" w:hAnsi="arial"/>
                <w:sz w:val="20"/>
              </w:rPr>
              <w:t>Annual Incentive Pay</w:t>
            </w:r>
          </w:p>
        </w:tc>
        <w:tc>
          <w:tcPr>
            <w:tcW w:w="23" w:type="dxa"/>
            <w:tcBorders/>
            <w:shd w:fill="auto" w:val="clear"/>
          </w:tcPr>
          <w:p>
            <w:pPr>
              <w:pStyle w:val="TableContents"/>
              <w:spacing w:before="0" w:after="283"/>
              <w:rPr/>
            </w:pPr>
            <w:r>
              <w:rPr/>
              <w:t>​</w:t>
            </w:r>
          </w:p>
        </w:tc>
        <w:tc>
          <w:tcPr>
            <w:tcW w:w="3386" w:type="dxa"/>
            <w:tcBorders/>
            <w:shd w:fill="auto" w:val="clear"/>
          </w:tcPr>
          <w:p>
            <w:pPr>
              <w:pStyle w:val="TableContents"/>
              <w:spacing w:before="0" w:after="283"/>
              <w:rPr>
                <w:rFonts w:ascii="arial" w:hAnsi="arial"/>
                <w:sz w:val="20"/>
              </w:rPr>
            </w:pPr>
            <w:r>
              <w:rPr>
                <w:rFonts w:ascii="arial" w:hAnsi="arial"/>
                <w:sz w:val="20"/>
              </w:rPr>
              <w:t>Performance based compensation, typically paid in a combination of cash and time-based RSUs (for calendar year 2020, paid solely in RSUs), linked to achievement of annual performance goals.</w:t>
            </w:r>
          </w:p>
        </w:tc>
        <w:tc>
          <w:tcPr>
            <w:tcW w:w="23" w:type="dxa"/>
            <w:tcBorders/>
            <w:shd w:fill="auto" w:val="clear"/>
          </w:tcPr>
          <w:p>
            <w:pPr>
              <w:pStyle w:val="TableContents"/>
              <w:spacing w:before="0" w:after="283"/>
              <w:rPr/>
            </w:pPr>
            <w:r>
              <w:rPr/>
              <w:t>​</w:t>
            </w:r>
          </w:p>
        </w:tc>
        <w:tc>
          <w:tcPr>
            <w:tcW w:w="3387" w:type="dxa"/>
            <w:tcBorders/>
            <w:shd w:fill="auto" w:val="clear"/>
          </w:tcPr>
          <w:p>
            <w:pPr>
              <w:pStyle w:val="TableContents"/>
              <w:spacing w:before="0" w:after="0"/>
              <w:ind w:left="0" w:right="0" w:hanging="0"/>
              <w:jc w:val="left"/>
              <w:rPr>
                <w:rFonts w:ascii="arial" w:hAnsi="arial"/>
                <w:sz w:val="20"/>
              </w:rPr>
            </w:pPr>
            <w:r>
              <w:rPr>
                <w:rFonts w:ascii="arial" w:hAnsi="arial"/>
                <w:sz w:val="20"/>
              </w:rPr>
              <w:t></w:t>
            </w:r>
          </w:p>
          <w:p>
            <w:pPr>
              <w:pStyle w:val="TableContents"/>
              <w:spacing w:before="0" w:after="283"/>
              <w:ind w:left="240" w:right="0" w:hanging="0"/>
              <w:jc w:val="left"/>
              <w:rPr>
                <w:rFonts w:ascii="arial" w:hAnsi="arial"/>
                <w:sz w:val="20"/>
              </w:rPr>
            </w:pPr>
            <w:r>
              <w:rPr>
                <w:rFonts w:ascii="arial" w:hAnsi="arial"/>
                <w:sz w:val="20"/>
              </w:rPr>
              <w:t xml:space="preserve">Align the executive's compensation with the Company's strategic business and financial goals </w:t>
            </w:r>
          </w:p>
          <w:p>
            <w:pPr>
              <w:pStyle w:val="TableContents"/>
              <w:spacing w:before="0" w:after="0"/>
              <w:ind w:left="0" w:right="0" w:hanging="0"/>
              <w:jc w:val="left"/>
              <w:rPr>
                <w:rFonts w:ascii="arial" w:hAnsi="arial"/>
                <w:sz w:val="20"/>
              </w:rPr>
            </w:pPr>
            <w:r>
              <w:rPr>
                <w:rFonts w:ascii="arial" w:hAnsi="arial"/>
                <w:sz w:val="20"/>
              </w:rPr>
              <w:t></w:t>
            </w:r>
          </w:p>
          <w:p>
            <w:pPr>
              <w:pStyle w:val="TableContents"/>
              <w:spacing w:before="0" w:after="283"/>
              <w:ind w:left="240" w:right="0" w:hanging="0"/>
              <w:jc w:val="left"/>
              <w:rPr>
                <w:rFonts w:ascii="arial" w:hAnsi="arial"/>
                <w:sz w:val="20"/>
              </w:rPr>
            </w:pPr>
            <w:r>
              <w:rPr>
                <w:rFonts w:ascii="arial" w:hAnsi="arial"/>
                <w:sz w:val="20"/>
              </w:rPr>
              <w:t>Incentive creation of shareholder value and retention of high performing executives through a portion of the earned incentive paid in time-based RSUs</w:t>
            </w:r>
          </w:p>
        </w:tc>
      </w:tr>
    </w:tbl>
    <w:p>
      <w:pPr>
        <w:pStyle w:val="TextBody"/>
        <w:jc w:val="center"/>
        <w:rPr>
          <w:rFonts w:ascii="arial" w:hAnsi="arial"/>
          <w:sz w:val="20"/>
        </w:rPr>
      </w:pPr>
      <w:r>
        <w:rPr>
          <w:rFonts w:ascii="arial" w:hAnsi="arial"/>
          <w:sz w:val="20"/>
        </w:rPr>
        <w:t>41</w:t>
      </w:r>
    </w:p>
    <w:p>
      <w:pPr>
        <w:pStyle w:val="HorizontalLine"/>
        <w:pBdr>
          <w:bottom w:val="single" w:sz="20" w:space="0" w:color="808080"/>
        </w:pBdr>
        <w:rPr/>
      </w:pPr>
      <w:r>
        <w:rPr/>
      </w:r>
      <w:r>
        <w:br w:type="page"/>
      </w:r>
    </w:p>
    <w:p>
      <w:pPr>
        <w:pStyle w:val="TextBody"/>
        <w:rPr/>
      </w:pPr>
      <w:hyperlink w:anchor="bg45301a_main_toc">
        <w:bookmarkStart w:id="89" w:name="page_do45301_1_42"/>
        <w:bookmarkEnd w:id="89"/>
        <w:r>
          <w:rPr>
            <w:rStyle w:val="InternetLink"/>
            <w:rFonts w:ascii="arial" w:hAnsi="arial"/>
            <w:sz w:val="20"/>
          </w:rPr>
          <w:t>Table of Contents</w:t>
        </w:r>
      </w:hyperlink>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3367"/>
        <w:gridCol w:w="101"/>
        <w:gridCol w:w="6737"/>
      </w:tblGrid>
      <w:tr>
        <w:trPr/>
        <w:tc>
          <w:tcPr>
            <w:tcW w:w="3367" w:type="dxa"/>
            <w:tcBorders/>
            <w:shd w:fill="auto" w:val="clear"/>
            <w:vAlign w:val="center"/>
          </w:tcPr>
          <w:p>
            <w:pPr>
              <w:pStyle w:val="TableContents"/>
              <w:spacing w:before="0" w:after="283"/>
              <w:rPr/>
            </w:pPr>
            <w:r>
              <w:rPr/>
              <w:commentReference w:id="140"/>
            </w:r>
            <w:r>
              <w:rPr/>
              <w:commentReference w:id="141"/>
            </w:r>
            <w:r>
              <w:rPr/>
              <w:commentReference w:id="142"/>
            </w:r>
            <w:r>
              <w:rPr/>
              <w:t>​</w:t>
            </w:r>
          </w:p>
        </w:tc>
        <w:tc>
          <w:tcPr>
            <w:tcW w:w="101" w:type="dxa"/>
            <w:tcBorders/>
            <w:shd w:fill="auto" w:val="clear"/>
            <w:vAlign w:val="center"/>
          </w:tcPr>
          <w:p>
            <w:pPr>
              <w:pStyle w:val="TableContents"/>
              <w:spacing w:before="0" w:after="283"/>
              <w:rPr/>
            </w:pPr>
            <w:r>
              <w:rPr/>
              <w:t>​</w:t>
            </w:r>
          </w:p>
        </w:tc>
        <w:tc>
          <w:tcPr>
            <w:tcW w:w="6737" w:type="dxa"/>
            <w:tcBorders/>
            <w:shd w:fill="auto" w:val="clear"/>
            <w:vAlign w:val="center"/>
          </w:tcPr>
          <w:p>
            <w:pPr>
              <w:pStyle w:val="TableContents"/>
              <w:spacing w:before="0" w:after="283"/>
              <w:rPr/>
            </w:pPr>
            <w:r>
              <w:rPr/>
              <w:t>​</w:t>
            </w:r>
            <w:r>
              <w:rPr>
                <w:rFonts w:eastAsia="arial" w:cs="arial" w:ascii="arial" w:hAnsi="arial"/>
              </w:rPr>
              <w:commentReference w:id="143"/>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drawing>
                <wp:inline distT="0" distB="0" distL="0" distR="0">
                  <wp:extent cx="2943225" cy="1809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75"/>
                          <a:stretch>
                            <a:fillRect/>
                          </a:stretch>
                        </pic:blipFill>
                        <pic:spPr bwMode="auto">
                          <a:xfrm>
                            <a:off x="0" y="0"/>
                            <a:ext cx="2943225" cy="180975"/>
                          </a:xfrm>
                          <a:prstGeom prst="rect">
                            <a:avLst/>
                          </a:prstGeom>
                        </pic:spPr>
                      </pic:pic>
                    </a:graphicData>
                  </a:graphic>
                </wp:inline>
              </w:drawing>
            </w:r>
            <w:r>
              <w:rPr/>
              <w:t xml:space="preserve"> </w:t>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spacing w:before="0" w:after="283"/>
              <w:jc w:val="right"/>
              <w:rPr/>
            </w:pPr>
            <w:r>
              <w:rPr/>
              <w:t>​</w:t>
            </w:r>
          </w:p>
        </w:tc>
      </w:tr>
    </w:tbl>
    <w:p>
      <w:pPr>
        <w:pStyle w:val="TextBody"/>
        <w:spacing w:before="0" w:after="0"/>
        <w:rPr/>
      </w:pPr>
      <w:r>
        <w:rPr>
          <w:color w:val="000000"/>
        </w:rPr>
        <w:commentReference w:id="144"/>
      </w:r>
      <w:r>
        <w:rPr>
          <w:color w:val="000000"/>
        </w:rPr>
        <w:t>​</w:t>
      </w:r>
      <w:r>
        <w:rPr/>
        <w:t xml:space="preserve"> </w:t>
      </w:r>
    </w:p>
    <w:tbl>
      <w:tblPr>
        <w:tblW w:w="5000" w:type="pct"/>
        <w:jc w:val="center"/>
        <w:tblInd w:w="0" w:type="dxa"/>
        <w:tblCellMar>
          <w:top w:w="0" w:type="dxa"/>
          <w:left w:w="0" w:type="dxa"/>
          <w:bottom w:w="0" w:type="dxa"/>
          <w:right w:w="0" w:type="dxa"/>
        </w:tblCellMar>
      </w:tblPr>
      <w:tblGrid>
        <w:gridCol w:w="3386"/>
        <w:gridCol w:w="23"/>
        <w:gridCol w:w="3386"/>
        <w:gridCol w:w="23"/>
        <w:gridCol w:w="3387"/>
      </w:tblGrid>
      <w:tr>
        <w:trPr/>
        <w:tc>
          <w:tcPr>
            <w:tcW w:w="3386"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3386"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3387" w:type="dxa"/>
            <w:tcBorders/>
            <w:shd w:fill="auto" w:val="clear"/>
            <w:vAlign w:val="center"/>
          </w:tcPr>
          <w:p>
            <w:pPr>
              <w:pStyle w:val="TableContents"/>
              <w:spacing w:before="0" w:after="283"/>
              <w:rPr>
                <w:sz w:val="4"/>
                <w:szCs w:val="4"/>
              </w:rPr>
            </w:pPr>
            <w:r>
              <w:rPr>
                <w:sz w:val="4"/>
                <w:szCs w:val="4"/>
              </w:rPr>
            </w:r>
          </w:p>
        </w:tc>
      </w:tr>
      <w:tr>
        <w:trPr/>
        <w:tc>
          <w:tcPr>
            <w:tcW w:w="3386" w:type="dxa"/>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 xml:space="preserve">Compensation Element </w:t>
            </w:r>
          </w:p>
        </w:tc>
        <w:tc>
          <w:tcPr>
            <w:tcW w:w="23" w:type="dxa"/>
            <w:tcBorders/>
            <w:shd w:fill="auto" w:val="clear"/>
            <w:vAlign w:val="bottom"/>
          </w:tcPr>
          <w:p>
            <w:pPr>
              <w:pStyle w:val="TableHeading"/>
              <w:spacing w:lineRule="atLeast" w:line="180" w:before="0" w:after="283"/>
              <w:rPr/>
            </w:pPr>
            <w:r>
              <w:rPr/>
              <w:t>​</w:t>
            </w:r>
          </w:p>
        </w:tc>
        <w:tc>
          <w:tcPr>
            <w:tcW w:w="3386" w:type="dxa"/>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 xml:space="preserve">Characteristics </w:t>
            </w:r>
          </w:p>
        </w:tc>
        <w:tc>
          <w:tcPr>
            <w:tcW w:w="23" w:type="dxa"/>
            <w:tcBorders/>
            <w:shd w:fill="auto" w:val="clear"/>
            <w:vAlign w:val="bottom"/>
          </w:tcPr>
          <w:p>
            <w:pPr>
              <w:pStyle w:val="TableHeading"/>
              <w:spacing w:lineRule="atLeast" w:line="180" w:before="0" w:after="283"/>
              <w:rPr/>
            </w:pPr>
            <w:r>
              <w:rPr/>
              <w:t>​</w:t>
            </w:r>
          </w:p>
        </w:tc>
        <w:tc>
          <w:tcPr>
            <w:tcW w:w="3387" w:type="dxa"/>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 xml:space="preserve">Objective </w:t>
            </w:r>
          </w:p>
        </w:tc>
      </w:tr>
      <w:tr>
        <w:trPr/>
        <w:tc>
          <w:tcPr>
            <w:tcW w:w="3386" w:type="dxa"/>
            <w:tcBorders/>
            <w:shd w:fill="auto" w:val="clear"/>
          </w:tcPr>
          <w:p>
            <w:pPr>
              <w:pStyle w:val="TableContents"/>
              <w:spacing w:before="0" w:after="283"/>
              <w:rPr>
                <w:rFonts w:ascii="arial" w:hAnsi="arial"/>
                <w:sz w:val="20"/>
              </w:rPr>
            </w:pPr>
            <w:r>
              <w:rPr>
                <w:rFonts w:ascii="arial" w:hAnsi="arial"/>
                <w:sz w:val="20"/>
              </w:rPr>
              <w:t>Long Term Incentive Plan</w:t>
            </w:r>
          </w:p>
        </w:tc>
        <w:tc>
          <w:tcPr>
            <w:tcW w:w="23" w:type="dxa"/>
            <w:tcBorders/>
            <w:shd w:fill="auto" w:val="clear"/>
          </w:tcPr>
          <w:p>
            <w:pPr>
              <w:pStyle w:val="TableContents"/>
              <w:spacing w:before="0" w:after="283"/>
              <w:rPr/>
            </w:pPr>
            <w:r>
              <w:rPr/>
              <w:t>​</w:t>
            </w:r>
          </w:p>
        </w:tc>
        <w:tc>
          <w:tcPr>
            <w:tcW w:w="3386" w:type="dxa"/>
            <w:tcBorders/>
            <w:shd w:fill="auto" w:val="clear"/>
          </w:tcPr>
          <w:p>
            <w:pPr>
              <w:pStyle w:val="TableContents"/>
              <w:spacing w:before="0" w:after="283"/>
              <w:rPr>
                <w:rFonts w:ascii="arial" w:hAnsi="arial"/>
                <w:sz w:val="20"/>
              </w:rPr>
            </w:pPr>
            <w:r>
              <w:rPr>
                <w:rFonts w:ascii="arial" w:hAnsi="arial"/>
                <w:sz w:val="20"/>
              </w:rPr>
              <w:t>Multi-year performance and time-based compensation paid in RSUs. The performance based RSUs are tied to the Company's-performance against established performance goals as modified by the Company's share price performance compared to the Russell 3000 stock market index, over a three-year period.</w:t>
            </w:r>
          </w:p>
        </w:tc>
        <w:tc>
          <w:tcPr>
            <w:tcW w:w="23" w:type="dxa"/>
            <w:tcBorders/>
            <w:shd w:fill="auto" w:val="clear"/>
          </w:tcPr>
          <w:p>
            <w:pPr>
              <w:pStyle w:val="TableContents"/>
              <w:spacing w:before="0" w:after="283"/>
              <w:rPr/>
            </w:pPr>
            <w:r>
              <w:rPr/>
              <w:t>​</w:t>
            </w:r>
          </w:p>
        </w:tc>
        <w:tc>
          <w:tcPr>
            <w:tcW w:w="3387" w:type="dxa"/>
            <w:tcBorders/>
            <w:shd w:fill="auto" w:val="clear"/>
          </w:tcPr>
          <w:p>
            <w:pPr>
              <w:pStyle w:val="TableContents"/>
              <w:spacing w:before="0" w:after="0"/>
              <w:ind w:left="0" w:right="0" w:hanging="0"/>
              <w:jc w:val="left"/>
              <w:rPr>
                <w:rFonts w:ascii="arial" w:hAnsi="arial"/>
                <w:sz w:val="20"/>
              </w:rPr>
            </w:pPr>
            <w:r>
              <w:rPr>
                <w:rFonts w:ascii="arial" w:hAnsi="arial"/>
                <w:sz w:val="20"/>
              </w:rPr>
              <w:t></w:t>
            </w:r>
          </w:p>
          <w:p>
            <w:pPr>
              <w:pStyle w:val="TableContents"/>
              <w:spacing w:before="0" w:after="283"/>
              <w:ind w:left="240" w:right="0" w:hanging="0"/>
              <w:jc w:val="left"/>
              <w:rPr>
                <w:rFonts w:ascii="arial" w:hAnsi="arial"/>
                <w:sz w:val="20"/>
              </w:rPr>
            </w:pPr>
            <w:r>
              <w:rPr>
                <w:rFonts w:ascii="arial" w:hAnsi="arial"/>
                <w:sz w:val="20"/>
              </w:rPr>
              <w:t xml:space="preserve">Incentivize the achievement of strategic business objectives designed to increase long-term shareholder and stakeholder value </w:t>
            </w:r>
          </w:p>
          <w:p>
            <w:pPr>
              <w:pStyle w:val="TableContents"/>
              <w:spacing w:before="0" w:after="0"/>
              <w:ind w:left="0" w:right="0" w:hanging="0"/>
              <w:jc w:val="left"/>
              <w:rPr>
                <w:rFonts w:ascii="arial" w:hAnsi="arial"/>
                <w:sz w:val="20"/>
              </w:rPr>
            </w:pPr>
            <w:r>
              <w:rPr>
                <w:rFonts w:ascii="arial" w:hAnsi="arial"/>
                <w:sz w:val="20"/>
              </w:rPr>
              <w:t></w:t>
            </w:r>
          </w:p>
          <w:p>
            <w:pPr>
              <w:pStyle w:val="TableContents"/>
              <w:spacing w:before="0" w:after="283"/>
              <w:ind w:left="240" w:right="0" w:hanging="0"/>
              <w:jc w:val="left"/>
              <w:rPr>
                <w:rFonts w:ascii="arial" w:hAnsi="arial"/>
                <w:sz w:val="20"/>
              </w:rPr>
            </w:pPr>
            <w:r>
              <w:rPr>
                <w:rFonts w:ascii="arial" w:hAnsi="arial"/>
                <w:sz w:val="20"/>
              </w:rPr>
              <w:t xml:space="preserve">Provide a direct correlation between executive wealth creation opportunity and stock price performance </w:t>
            </w:r>
          </w:p>
          <w:p>
            <w:pPr>
              <w:pStyle w:val="TableContents"/>
              <w:spacing w:before="0" w:after="0"/>
              <w:ind w:left="0" w:right="0" w:hanging="0"/>
              <w:jc w:val="left"/>
              <w:rPr>
                <w:rFonts w:ascii="arial" w:hAnsi="arial"/>
                <w:sz w:val="20"/>
              </w:rPr>
            </w:pPr>
            <w:r>
              <w:rPr>
                <w:rFonts w:ascii="arial" w:hAnsi="arial"/>
                <w:sz w:val="20"/>
              </w:rPr>
              <w:t></w:t>
            </w:r>
          </w:p>
          <w:p>
            <w:pPr>
              <w:pStyle w:val="TableContents"/>
              <w:spacing w:before="0" w:after="283"/>
              <w:ind w:left="240" w:right="0" w:hanging="0"/>
              <w:jc w:val="left"/>
              <w:rPr>
                <w:rFonts w:ascii="arial" w:hAnsi="arial"/>
                <w:sz w:val="20"/>
              </w:rPr>
            </w:pPr>
            <w:r>
              <w:rPr>
                <w:rFonts w:ascii="arial" w:hAnsi="arial"/>
                <w:sz w:val="20"/>
              </w:rPr>
              <w:t>Support the retention of high-performing executives</w:t>
            </w:r>
          </w:p>
        </w:tc>
      </w:tr>
    </w:tbl>
    <w:p>
      <w:pPr>
        <w:pStyle w:val="TextBody"/>
        <w:rPr>
          <w:rFonts w:ascii="arial" w:hAnsi="arial"/>
          <w:sz w:val="20"/>
        </w:rPr>
      </w:pPr>
      <w:r>
        <w:rPr>
          <w:rFonts w:ascii="arial" w:hAnsi="arial"/>
          <w:sz w:val="20"/>
        </w:rPr>
        <w:t xml:space="preserve">We believe that this compensation mix supports our objective of putting a large portion of compensation "at risk" based on Company performance. These elements of compensation are also designed to be consistent with competitive market practices and to attract and retain highly talented executives. </w:t>
      </w:r>
    </w:p>
    <w:p>
      <w:pPr>
        <w:pStyle w:val="TextBody"/>
        <w:rPr>
          <w:rFonts w:ascii="arial" w:hAnsi="arial"/>
          <w:sz w:val="20"/>
        </w:rPr>
      </w:pPr>
      <w:r>
        <w:rPr>
          <w:rFonts w:ascii="arial" w:hAnsi="arial"/>
          <w:sz w:val="20"/>
        </w:rPr>
        <w:t xml:space="preserve">Beginning with the 2018 service year, we restructured our annual incentive compensation to replace a significant portion of our cash-based incentive compensation with compensation paid in time-based RSUs and have continued this practice since then. We emphasize performance-based pay and long-term equity compensation because of: (i) the direct link that equity compensation provides between shareholder interests and the interests of our executives, and (ii) the employee retention characteristics that equity compensation provides by ensuring a regular cascade of retention values that vests incrementally over time. </w:t>
      </w:r>
    </w:p>
    <w:p>
      <w:pPr>
        <w:pStyle w:val="TextBody"/>
        <w:ind w:left="220" w:right="0" w:hanging="220"/>
        <w:rPr>
          <w:rFonts w:ascii="arial" w:hAnsi="arial"/>
          <w:b/>
          <w:sz w:val="20"/>
        </w:rPr>
      </w:pPr>
      <w:r>
        <w:rPr>
          <w:rFonts w:ascii="arial" w:hAnsi="arial"/>
          <w:b/>
          <w:sz w:val="20"/>
        </w:rPr>
        <w:t xml:space="preserve">Detailed Review of Compensation Components </w:t>
      </w:r>
    </w:p>
    <w:p>
      <w:pPr>
        <w:pStyle w:val="TextBody"/>
        <w:ind w:left="200" w:right="0" w:hanging="200"/>
        <w:rPr>
          <w:rFonts w:ascii="arial" w:hAnsi="arial"/>
          <w:b/>
          <w:i/>
          <w:sz w:val="20"/>
        </w:rPr>
      </w:pPr>
      <w:r>
        <w:rPr>
          <w:rFonts w:ascii="arial" w:hAnsi="arial"/>
          <w:b/>
          <w:i/>
          <w:sz w:val="20"/>
        </w:rPr>
        <w:t xml:space="preserve">Base Salary </w:t>
      </w:r>
    </w:p>
    <w:p>
      <w:pPr>
        <w:pStyle w:val="TextBody"/>
        <w:rPr>
          <w:rFonts w:ascii="arial" w:hAnsi="arial"/>
          <w:sz w:val="20"/>
        </w:rPr>
      </w:pPr>
      <w:r>
        <w:rPr>
          <w:rFonts w:ascii="arial" w:hAnsi="arial"/>
          <w:sz w:val="20"/>
        </w:rPr>
        <w:t xml:space="preserve">Base salaries for our Named Executive Officers are established based on individual qualifications and job responsibilities while using a market-based approach that considers compensation levels for similar positions at companies in our peer group. The Compensation Committee sets the base salary for our Chief Executive Officer and approves the base salaries for all other Named Executive Officers. </w:t>
      </w:r>
    </w:p>
    <w:p>
      <w:pPr>
        <w:pStyle w:val="TextBody"/>
        <w:rPr>
          <w:rFonts w:ascii="arial" w:hAnsi="arial"/>
          <w:sz w:val="20"/>
        </w:rPr>
      </w:pPr>
      <w:r>
        <w:rPr>
          <w:rFonts w:ascii="arial" w:hAnsi="arial"/>
          <w:sz w:val="20"/>
        </w:rPr>
        <w:t xml:space="preserve">Base salaries are reviewed periodically, and adjustments may be made based on market information, internal review of the Named Executive Officer's compensation in relation to other executives, individual performance and corporate performance. Salary levels are also considered upon a relocation, a promotion or other change in job responsibility. </w:t>
      </w:r>
    </w:p>
    <w:p>
      <w:pPr>
        <w:pStyle w:val="TextBody"/>
        <w:rPr>
          <w:rFonts w:ascii="arial" w:hAnsi="arial"/>
          <w:sz w:val="20"/>
        </w:rPr>
      </w:pPr>
      <w:r>
        <w:rPr>
          <w:rFonts w:ascii="arial" w:hAnsi="arial"/>
          <w:sz w:val="20"/>
        </w:rPr>
        <w:t xml:space="preserve">In addition, under article L.223-1 of the Luxembourg Labor Code, compensation owed pursuant to an employment agreement for Luxembourg-based employees is required to be adapted based upon the cost-of-living index in the Grand Duchy of Luxembourg. Effective January 1, 2020, there was a required two and a half percent (2.5%) increase in compensation pursuant to this law. On this date, the base salaries for our Named Executive Officers (other than Ms. Esterman, who does not reside in Luxembourg and is not subject to a Luxembourg employment agreement) and the incentive compensation target for the Chief Executive Officer was adjusted accordingly. </w:t>
      </w:r>
    </w:p>
    <w:p>
      <w:pPr>
        <w:pStyle w:val="TextBody"/>
        <w:rPr>
          <w:rFonts w:ascii="arial" w:hAnsi="arial"/>
          <w:sz w:val="20"/>
        </w:rPr>
      </w:pPr>
      <w:r>
        <w:rPr>
          <w:rFonts w:ascii="arial" w:hAnsi="arial"/>
          <w:sz w:val="20"/>
        </w:rPr>
        <w:t xml:space="preserve">Effective April 1, 2020 and continuing until October 5, 2020, as part of the Company's efforts to reduce costs in response to the COVID-19 pandemic and other major events outside of the Company's control, Mr. Shepro agreed to temporarily reduce his base salary by 40% while each of Ms. Esterman, Mr. Mastioni and Mr. Ritts agreed to temporarily reduce their compensation in an amount equal to 25% of their respective base salaries. While the reductions for Mr. Shepro, Mr. Mastioni and Ms. Esterman were affected through reductions in base salary, for Mr. Ritts, an amount equivalent to 25% of his base salary for this </w:t>
      </w:r>
    </w:p>
    <w:p>
      <w:pPr>
        <w:pStyle w:val="TextBody"/>
        <w:jc w:val="center"/>
        <w:rPr>
          <w:rFonts w:ascii="arial" w:hAnsi="arial"/>
          <w:sz w:val="20"/>
        </w:rPr>
      </w:pPr>
      <w:r>
        <w:rPr>
          <w:rFonts w:ascii="arial" w:hAnsi="arial"/>
          <w:sz w:val="20"/>
        </w:rPr>
        <w:t>42</w:t>
      </w:r>
    </w:p>
    <w:p>
      <w:pPr>
        <w:pStyle w:val="HorizontalLine"/>
        <w:pBdr>
          <w:bottom w:val="single" w:sz="20" w:space="0" w:color="808080"/>
        </w:pBdr>
        <w:rPr/>
      </w:pPr>
      <w:r>
        <w:rPr/>
      </w:r>
      <w:r>
        <w:br w:type="page"/>
      </w:r>
    </w:p>
    <w:p>
      <w:pPr>
        <w:pStyle w:val="TextBody"/>
        <w:rPr/>
      </w:pPr>
      <w:hyperlink w:anchor="bg45301a_main_toc">
        <w:bookmarkStart w:id="90" w:name="page_do45301_1_43"/>
        <w:bookmarkEnd w:id="90"/>
        <w:r>
          <w:rPr>
            <w:rStyle w:val="InternetLink"/>
            <w:rFonts w:ascii="arial" w:hAnsi="arial"/>
            <w:sz w:val="20"/>
          </w:rPr>
          <w:t>Table of Contents</w:t>
        </w:r>
      </w:hyperlink>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3367"/>
        <w:gridCol w:w="101"/>
        <w:gridCol w:w="6737"/>
      </w:tblGrid>
      <w:tr>
        <w:trPr/>
        <w:tc>
          <w:tcPr>
            <w:tcW w:w="3367" w:type="dxa"/>
            <w:tcBorders/>
            <w:shd w:fill="auto" w:val="clear"/>
            <w:vAlign w:val="center"/>
          </w:tcPr>
          <w:p>
            <w:pPr>
              <w:pStyle w:val="TableContents"/>
              <w:spacing w:before="0" w:after="283"/>
              <w:rPr/>
            </w:pPr>
            <w:r>
              <w:rPr/>
              <w:commentReference w:id="145"/>
            </w:r>
            <w:r>
              <w:rPr/>
              <w:commentReference w:id="146"/>
            </w:r>
            <w:r>
              <w:rPr/>
              <w:commentReference w:id="147"/>
            </w:r>
            <w:r>
              <w:rPr/>
              <w:t>​</w:t>
            </w:r>
          </w:p>
        </w:tc>
        <w:tc>
          <w:tcPr>
            <w:tcW w:w="101" w:type="dxa"/>
            <w:tcBorders/>
            <w:shd w:fill="auto" w:val="clear"/>
            <w:vAlign w:val="center"/>
          </w:tcPr>
          <w:p>
            <w:pPr>
              <w:pStyle w:val="TableContents"/>
              <w:spacing w:before="0" w:after="283"/>
              <w:rPr/>
            </w:pPr>
            <w:r>
              <w:rPr/>
              <w:t>​</w:t>
            </w:r>
          </w:p>
        </w:tc>
        <w:tc>
          <w:tcPr>
            <w:tcW w:w="6737" w:type="dxa"/>
            <w:tcBorders/>
            <w:shd w:fill="auto" w:val="clear"/>
            <w:vAlign w:val="center"/>
          </w:tcPr>
          <w:p>
            <w:pPr>
              <w:pStyle w:val="TableContents"/>
              <w:spacing w:before="0" w:after="283"/>
              <w:rPr/>
            </w:pPr>
            <w:r>
              <w:rPr/>
              <w:t>​</w:t>
            </w:r>
            <w:r>
              <w:rPr>
                <w:rFonts w:eastAsia="arial" w:cs="arial" w:ascii="arial" w:hAnsi="arial"/>
              </w:rPr>
              <w:commentReference w:id="148"/>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drawing>
                <wp:inline distT="0" distB="0" distL="0" distR="0">
                  <wp:extent cx="2943225" cy="1809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embed="rId76"/>
                          <a:stretch>
                            <a:fillRect/>
                          </a:stretch>
                        </pic:blipFill>
                        <pic:spPr bwMode="auto">
                          <a:xfrm>
                            <a:off x="0" y="0"/>
                            <a:ext cx="2943225" cy="180975"/>
                          </a:xfrm>
                          <a:prstGeom prst="rect">
                            <a:avLst/>
                          </a:prstGeom>
                        </pic:spPr>
                      </pic:pic>
                    </a:graphicData>
                  </a:graphic>
                </wp:inline>
              </w:drawing>
            </w:r>
            <w:r>
              <w:rPr/>
              <w:t xml:space="preserve"> </w:t>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t> </w:t>
            </w:r>
          </w:p>
        </w:tc>
      </w:tr>
    </w:tbl>
    <w:p>
      <w:pPr>
        <w:pStyle w:val="TextBody"/>
        <w:rPr/>
      </w:pPr>
      <w:r>
        <w:rPr>
          <w:color w:val="000000"/>
        </w:rPr>
        <w:commentReference w:id="149"/>
      </w:r>
      <w:r>
        <w:rPr>
          <w:color w:val="000000"/>
        </w:rPr>
        <w:t>​</w:t>
      </w:r>
      <w:r>
        <w:rPr/>
        <w:t xml:space="preserve"> </w:t>
      </w:r>
    </w:p>
    <w:p>
      <w:pPr>
        <w:pStyle w:val="TextBody"/>
        <w:rPr>
          <w:rFonts w:ascii="arial" w:hAnsi="arial"/>
          <w:sz w:val="20"/>
        </w:rPr>
      </w:pPr>
      <w:r>
        <w:rPr>
          <w:rFonts w:ascii="arial" w:hAnsi="arial"/>
          <w:sz w:val="20"/>
        </w:rPr>
        <w:t xml:space="preserve">period was adjusted from his annual incentive compensation. There was no change in compensation for our Chief Administration and Risk Officer, however, since his employment with the Company ceased in April 2020. </w:t>
      </w:r>
    </w:p>
    <w:p>
      <w:pPr>
        <w:pStyle w:val="TextBody"/>
        <w:rPr>
          <w:rFonts w:ascii="arial" w:hAnsi="arial"/>
          <w:sz w:val="20"/>
        </w:rPr>
      </w:pPr>
      <w:r>
        <w:rPr>
          <w:rFonts w:ascii="arial" w:hAnsi="arial"/>
          <w:sz w:val="20"/>
        </w:rPr>
        <w:t xml:space="preserve">Base salaries for our Named Executive Officers are set in U.S. dollars and paid in euros (other than for Ms. Esterman, who resides in the U.S. and Mr. Mastioni, whose salary is set and paid in euros). Please see the Summary Compensation Table under "Executive Compensation" for additional information regarding the base salaries of our Named Executive Officers. </w:t>
      </w:r>
    </w:p>
    <w:p>
      <w:pPr>
        <w:pStyle w:val="TextBody"/>
        <w:ind w:left="200" w:right="0" w:hanging="200"/>
        <w:rPr>
          <w:rFonts w:ascii="arial" w:hAnsi="arial"/>
          <w:b/>
          <w:i/>
          <w:sz w:val="20"/>
        </w:rPr>
      </w:pPr>
      <w:r>
        <w:rPr>
          <w:rFonts w:ascii="arial" w:hAnsi="arial"/>
          <w:b/>
          <w:i/>
          <w:sz w:val="20"/>
        </w:rPr>
        <w:t xml:space="preserve">Annual Incentive Compensation </w:t>
      </w:r>
    </w:p>
    <w:p>
      <w:pPr>
        <w:pStyle w:val="TextBody"/>
        <w:rPr>
          <w:rFonts w:ascii="arial" w:hAnsi="arial"/>
          <w:sz w:val="20"/>
        </w:rPr>
      </w:pPr>
      <w:r>
        <w:rPr>
          <w:rFonts w:ascii="arial" w:hAnsi="arial"/>
          <w:sz w:val="20"/>
        </w:rPr>
        <w:t xml:space="preserve">Pursuant to our annual incentive plan, a participant earns annual incentive compensation subject to award guidelines as determined by the Compensation Committee. </w:t>
      </w:r>
    </w:p>
    <w:p>
      <w:pPr>
        <w:pStyle w:val="TextBody"/>
        <w:rPr>
          <w:rFonts w:ascii="arial" w:hAnsi="arial"/>
          <w:sz w:val="20"/>
        </w:rPr>
      </w:pPr>
      <w:r>
        <w:rPr>
          <w:rFonts w:ascii="arial" w:hAnsi="arial"/>
          <w:sz w:val="20"/>
        </w:rPr>
        <w:t xml:space="preserve">We believe that the use of well-defined objective goals linked to the annual incentives ensures the right alignment of individual rewards with shareholder interest and incents the Named Executive Officers (and other eligible employees) to achieve or exceed our strategic plan creating long term shareholder value. As in prior years, in 2020, this was intended to be accomplished by utilizing a scorecard methodology which would ensure a substantial majority of the awards are tied to financial performance metrics developed through the annual strategic planning and budgeting process and designed to enhance Company performance and long-term shareholder value. </w:t>
      </w:r>
    </w:p>
    <w:p>
      <w:pPr>
        <w:pStyle w:val="TextBody"/>
        <w:rPr>
          <w:rFonts w:ascii="arial" w:hAnsi="arial"/>
          <w:sz w:val="20"/>
        </w:rPr>
      </w:pPr>
      <w:r>
        <w:rPr>
          <w:rFonts w:ascii="arial" w:hAnsi="arial"/>
          <w:sz w:val="20"/>
        </w:rPr>
        <w:t xml:space="preserve">The 2020 annual incentive compensation scorecard metrics for the Named Executive Officers (other than the Chief Administration and Risk Officer) were initially established by the Compensation Committee in January 2020. The initial scorecard metrics established certain revenue and Adjusted Earnings Before Interest, Taxes, Depreciation, and Amortization ("EBITDA") targets for each of the Named Executive Officers and other direct reports of the Chief Executive Officer, with additional metrics related to strategic initiatives applied to the Chief Executive Officer, Chief Financial Officer and Chief Legal and Compliance Officer. The Chief Administration and Risk Officer was not eligible for 2020 incentives. </w:t>
      </w:r>
    </w:p>
    <w:p>
      <w:pPr>
        <w:pStyle w:val="TextBody"/>
        <w:rPr>
          <w:rFonts w:ascii="arial" w:hAnsi="arial"/>
          <w:sz w:val="20"/>
        </w:rPr>
      </w:pPr>
      <w:r>
        <w:rPr>
          <w:rFonts w:ascii="arial" w:hAnsi="arial"/>
          <w:sz w:val="20"/>
        </w:rPr>
        <w:t xml:space="preserve">In October 2020, the Compensation Committee revisited the previously adopted 2020 annual incentive compensation scorecard metrics due to the impact of temporary servicer and government COVID-19 related measures to provide financial support to borrowers (i.e., foreclosure and eviction moratoriums and borrower forbearance plans), and one of Ocwen's MSR investors directing it to transition default field services, title and valuation referrals to that investor's captive vendors. The Board of Directors and the Compensation Committee determined that the previously adopted 2020 annual incentive compensation scorecard metrics no longer aligned with the strategic priorities of the Company and adopted a revised 2020 annual incentive scorecard metric to reflect the Company's cost reduction priorities. The revised 2020 scorecard replaced scorecard metrics tied to annual financial goals with the development of, and progress against, a plan to reduce Company costs by $50 million. The new metrics emphasized reducing costs to address the rapidly evolving business and market environment. These scorecard changes provided a formulaic approach to the application of discretion in response to the crises, were broad-based, and designed to incentivize the right behaviors during the crises. </w:t>
      </w:r>
    </w:p>
    <w:p>
      <w:pPr>
        <w:pStyle w:val="TextBody"/>
        <w:rPr>
          <w:rFonts w:ascii="arial" w:hAnsi="arial"/>
          <w:sz w:val="20"/>
        </w:rPr>
      </w:pPr>
      <w:r>
        <w:rPr>
          <w:rFonts w:ascii="arial" w:hAnsi="arial"/>
          <w:sz w:val="20"/>
        </w:rPr>
        <w:t xml:space="preserve">In addition to revising the scorecard metrics, the Compensation Committee reduced the maximum incentive pool under the annual incentive compensation program for 2020 to 80% of target. The Compensation Committee retained discretion to determine the scorecard achievement level and incentive pool funding percentage if the achievement level on the cost reduction objectives was less than 100%. </w:t>
      </w:r>
    </w:p>
    <w:p>
      <w:pPr>
        <w:pStyle w:val="TextBody"/>
        <w:rPr>
          <w:rFonts w:ascii="arial" w:hAnsi="arial"/>
          <w:sz w:val="20"/>
        </w:rPr>
      </w:pPr>
      <w:r>
        <w:rPr>
          <w:rFonts w:ascii="arial" w:hAnsi="arial"/>
          <w:sz w:val="20"/>
        </w:rPr>
        <w:t xml:space="preserve">As of the end of 2020, the Company had developed a plan and was on target to achieve cost reductions equal to 91.7% of the proposed $50 million cost reduction goal. Based upon the achievement being less than 100%, the Compensation Committee exercised its discretion to further revise the maximum incentive pool to 27.3%. The Compensation Committee then applied the 91.7% achievement level to the 27.3% </w:t>
      </w:r>
    </w:p>
    <w:p>
      <w:pPr>
        <w:pStyle w:val="TextBody"/>
        <w:jc w:val="center"/>
        <w:rPr>
          <w:rFonts w:ascii="arial" w:hAnsi="arial"/>
          <w:sz w:val="20"/>
        </w:rPr>
      </w:pPr>
      <w:r>
        <w:rPr>
          <w:rFonts w:ascii="arial" w:hAnsi="arial"/>
          <w:sz w:val="20"/>
        </w:rPr>
        <w:t>43</w:t>
      </w:r>
    </w:p>
    <w:p>
      <w:pPr>
        <w:pStyle w:val="HorizontalLine"/>
        <w:pBdr>
          <w:bottom w:val="single" w:sz="20" w:space="0" w:color="808080"/>
        </w:pBdr>
        <w:rPr/>
      </w:pPr>
      <w:r>
        <w:rPr/>
      </w:r>
      <w:r>
        <w:br w:type="page"/>
      </w:r>
    </w:p>
    <w:p>
      <w:pPr>
        <w:pStyle w:val="TextBody"/>
        <w:rPr/>
      </w:pPr>
      <w:hyperlink w:anchor="bg45301a_main_toc">
        <w:bookmarkStart w:id="91" w:name="page_do45301_1_44"/>
        <w:bookmarkEnd w:id="91"/>
        <w:r>
          <w:rPr>
            <w:rStyle w:val="InternetLink"/>
            <w:rFonts w:ascii="arial" w:hAnsi="arial"/>
            <w:sz w:val="20"/>
          </w:rPr>
          <w:t>Table of Contents</w:t>
        </w:r>
      </w:hyperlink>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3367"/>
        <w:gridCol w:w="101"/>
        <w:gridCol w:w="6737"/>
      </w:tblGrid>
      <w:tr>
        <w:trPr/>
        <w:tc>
          <w:tcPr>
            <w:tcW w:w="3367" w:type="dxa"/>
            <w:tcBorders/>
            <w:shd w:fill="auto" w:val="clear"/>
            <w:vAlign w:val="center"/>
          </w:tcPr>
          <w:p>
            <w:pPr>
              <w:pStyle w:val="TableContents"/>
              <w:spacing w:before="0" w:after="283"/>
              <w:rPr/>
            </w:pPr>
            <w:r>
              <w:rPr/>
              <w:commentReference w:id="150"/>
            </w:r>
            <w:r>
              <w:rPr/>
              <w:commentReference w:id="151"/>
            </w:r>
            <w:r>
              <w:rPr/>
              <w:commentReference w:id="152"/>
            </w:r>
            <w:r>
              <w:rPr/>
              <w:t>​</w:t>
            </w:r>
          </w:p>
        </w:tc>
        <w:tc>
          <w:tcPr>
            <w:tcW w:w="101" w:type="dxa"/>
            <w:tcBorders/>
            <w:shd w:fill="auto" w:val="clear"/>
            <w:vAlign w:val="center"/>
          </w:tcPr>
          <w:p>
            <w:pPr>
              <w:pStyle w:val="TableContents"/>
              <w:spacing w:before="0" w:after="283"/>
              <w:rPr/>
            </w:pPr>
            <w:r>
              <w:rPr/>
              <w:t>​</w:t>
            </w:r>
          </w:p>
        </w:tc>
        <w:tc>
          <w:tcPr>
            <w:tcW w:w="6737" w:type="dxa"/>
            <w:tcBorders/>
            <w:shd w:fill="auto" w:val="clear"/>
            <w:vAlign w:val="center"/>
          </w:tcPr>
          <w:p>
            <w:pPr>
              <w:pStyle w:val="TableContents"/>
              <w:spacing w:before="0" w:after="283"/>
              <w:rPr/>
            </w:pPr>
            <w:r>
              <w:rPr/>
              <w:t>​</w:t>
            </w:r>
            <w:r>
              <w:rPr>
                <w:rFonts w:eastAsia="arial" w:cs="arial" w:ascii="arial" w:hAnsi="arial"/>
              </w:rPr>
              <w:commentReference w:id="153"/>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drawing>
                <wp:inline distT="0" distB="0" distL="0" distR="0">
                  <wp:extent cx="2943225" cy="1809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embed="rId77"/>
                          <a:stretch>
                            <a:fillRect/>
                          </a:stretch>
                        </pic:blipFill>
                        <pic:spPr bwMode="auto">
                          <a:xfrm>
                            <a:off x="0" y="0"/>
                            <a:ext cx="2943225" cy="180975"/>
                          </a:xfrm>
                          <a:prstGeom prst="rect">
                            <a:avLst/>
                          </a:prstGeom>
                        </pic:spPr>
                      </pic:pic>
                    </a:graphicData>
                  </a:graphic>
                </wp:inline>
              </w:drawing>
            </w:r>
            <w:r>
              <w:rPr/>
              <w:t xml:space="preserve"> </w:t>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t> </w:t>
            </w:r>
          </w:p>
        </w:tc>
      </w:tr>
    </w:tbl>
    <w:p>
      <w:pPr>
        <w:pStyle w:val="TextBody"/>
        <w:rPr/>
      </w:pPr>
      <w:r>
        <w:rPr>
          <w:color w:val="000000"/>
        </w:rPr>
        <w:commentReference w:id="154"/>
      </w:r>
      <w:r>
        <w:rPr>
          <w:color w:val="000000"/>
        </w:rPr>
        <w:t>​</w:t>
      </w:r>
      <w:r>
        <w:rPr/>
        <w:t xml:space="preserve"> </w:t>
      </w:r>
    </w:p>
    <w:p>
      <w:pPr>
        <w:pStyle w:val="TextBody"/>
        <w:rPr>
          <w:rFonts w:ascii="arial" w:hAnsi="arial"/>
          <w:sz w:val="20"/>
        </w:rPr>
      </w:pPr>
      <w:r>
        <w:rPr>
          <w:rFonts w:ascii="arial" w:hAnsi="arial"/>
          <w:sz w:val="20"/>
        </w:rPr>
        <w:t xml:space="preserve">revised incentive pool, resulting in a payout of 25.0% of target for Named Executive Officers, except the Chief Executive Officer, whose payout was set at 20.0% of target for 2020 and the Chief Administration and Risk Officer who was not eligible for 2020 incentives. </w:t>
      </w:r>
    </w:p>
    <w:p>
      <w:pPr>
        <w:pStyle w:val="TextBody"/>
        <w:rPr>
          <w:rFonts w:ascii="arial" w:hAnsi="arial"/>
          <w:sz w:val="20"/>
        </w:rPr>
      </w:pPr>
      <w:r>
        <w:rPr>
          <w:rFonts w:ascii="arial" w:hAnsi="arial"/>
          <w:sz w:val="20"/>
        </w:rPr>
        <w:t xml:space="preserve">The Board of Directors and the Compensation Committee also exercised their discretion to modify the initial 60% cash and 40% RSU composition of the annual incentive awards to increase the portion the 2020 annual incentive compensation paid in RSUs to 100%. The portion of the RSUs that replaced the cash portion of the annual incentive award cliff vest on the first anniversary of the grant date; the remainder of the RSUs in the award cliff vest in equal tranches on the first and second anniversaries of the grant date. </w:t>
      </w:r>
    </w:p>
    <w:p>
      <w:pPr>
        <w:pStyle w:val="TextBody"/>
        <w:ind w:left="200" w:right="0" w:hanging="200"/>
        <w:rPr>
          <w:rFonts w:ascii="arial" w:hAnsi="arial"/>
          <w:b/>
          <w:i/>
          <w:sz w:val="20"/>
        </w:rPr>
      </w:pPr>
      <w:r>
        <w:rPr>
          <w:rFonts w:ascii="arial" w:hAnsi="arial"/>
          <w:b/>
          <w:i/>
          <w:sz w:val="20"/>
        </w:rPr>
        <w:t xml:space="preserve">Annual Compensation Allocation </w:t>
      </w:r>
    </w:p>
    <w:p>
      <w:pPr>
        <w:pStyle w:val="TextBody"/>
        <w:rPr>
          <w:rFonts w:ascii="arial" w:hAnsi="arial"/>
          <w:sz w:val="20"/>
        </w:rPr>
      </w:pPr>
      <w:r>
        <w:rPr>
          <w:rFonts w:ascii="arial" w:hAnsi="arial"/>
          <w:sz w:val="20"/>
        </w:rPr>
        <w:t xml:space="preserve">The table below reflects the percentage of each executive's target and actual total annual compensation that was allocated to each of base salary and annual incentive compensation in 2020: </w:t>
      </w:r>
    </w:p>
    <w:tbl>
      <w:tblPr>
        <w:tblW w:w="5000" w:type="pct"/>
        <w:jc w:val="center"/>
        <w:tblInd w:w="0" w:type="dxa"/>
        <w:tblCellMar>
          <w:top w:w="0" w:type="dxa"/>
          <w:left w:w="0" w:type="dxa"/>
          <w:bottom w:w="0" w:type="dxa"/>
          <w:right w:w="0" w:type="dxa"/>
        </w:tblCellMar>
      </w:tblPr>
      <w:tblGrid>
        <w:gridCol w:w="660"/>
        <w:gridCol w:w="4690"/>
        <w:gridCol w:w="298"/>
        <w:gridCol w:w="297"/>
        <w:gridCol w:w="297"/>
        <w:gridCol w:w="299"/>
        <w:gridCol w:w="23"/>
        <w:gridCol w:w="297"/>
        <w:gridCol w:w="297"/>
        <w:gridCol w:w="297"/>
        <w:gridCol w:w="299"/>
        <w:gridCol w:w="23"/>
        <w:gridCol w:w="298"/>
        <w:gridCol w:w="297"/>
        <w:gridCol w:w="297"/>
        <w:gridCol w:w="299"/>
        <w:gridCol w:w="23"/>
        <w:gridCol w:w="297"/>
        <w:gridCol w:w="297"/>
        <w:gridCol w:w="297"/>
        <w:gridCol w:w="299"/>
        <w:gridCol w:w="24"/>
      </w:tblGrid>
      <w:tr>
        <w:trPr/>
        <w:tc>
          <w:tcPr>
            <w:tcW w:w="660" w:type="dxa"/>
            <w:tcBorders/>
            <w:shd w:fill="auto" w:val="clear"/>
            <w:vAlign w:val="center"/>
          </w:tcPr>
          <w:p>
            <w:pPr>
              <w:pStyle w:val="TableContents"/>
              <w:spacing w:before="0" w:after="283"/>
              <w:rPr>
                <w:sz w:val="4"/>
                <w:szCs w:val="4"/>
              </w:rPr>
            </w:pPr>
            <w:r>
              <w:rPr>
                <w:sz w:val="4"/>
                <w:szCs w:val="4"/>
              </w:rPr>
            </w:r>
          </w:p>
        </w:tc>
        <w:tc>
          <w:tcPr>
            <w:tcW w:w="4690"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24" w:type="dxa"/>
            <w:tcBorders/>
            <w:shd w:fill="auto" w:val="clear"/>
            <w:vAlign w:val="center"/>
          </w:tcPr>
          <w:p>
            <w:pPr>
              <w:pStyle w:val="TableContents"/>
              <w:spacing w:before="0" w:after="283"/>
              <w:rPr>
                <w:sz w:val="4"/>
                <w:szCs w:val="4"/>
              </w:rPr>
            </w:pPr>
            <w:r>
              <w:rPr>
                <w:sz w:val="4"/>
                <w:szCs w:val="4"/>
              </w:rPr>
            </w:r>
          </w:p>
        </w:tc>
      </w:tr>
      <w:tr>
        <w:trPr/>
        <w:tc>
          <w:tcPr>
            <w:tcW w:w="660" w:type="dxa"/>
            <w:tcBorders>
              <w:bottom w:val="single" w:sz="8" w:space="0" w:color="000000"/>
            </w:tcBorders>
            <w:shd w:fill="auto" w:val="clear"/>
            <w:tcMar>
              <w:bottom w:w="28" w:type="dxa"/>
            </w:tcMar>
            <w:vAlign w:val="bottom"/>
          </w:tcPr>
          <w:p>
            <w:pPr>
              <w:pStyle w:val="TableHeading"/>
              <w:spacing w:lineRule="atLeast" w:line="180" w:before="0" w:after="283"/>
              <w:jc w:val="left"/>
              <w:rPr>
                <w:rFonts w:ascii="arial" w:hAnsi="arial"/>
                <w:b/>
                <w:sz w:val="16"/>
              </w:rPr>
            </w:pPr>
            <w:r>
              <w:rPr>
                <w:rFonts w:ascii="arial" w:hAnsi="arial"/>
                <w:b/>
                <w:sz w:val="16"/>
              </w:rPr>
              <w:t xml:space="preserve">Name </w:t>
            </w:r>
          </w:p>
        </w:tc>
        <w:tc>
          <w:tcPr>
            <w:tcW w:w="4690" w:type="dxa"/>
            <w:tcBorders/>
            <w:shd w:fill="auto" w:val="clear"/>
            <w:vAlign w:val="bottom"/>
          </w:tcPr>
          <w:p>
            <w:pPr>
              <w:pStyle w:val="TableHeading"/>
              <w:spacing w:lineRule="atLeast" w:line="180" w:before="0" w:after="283"/>
              <w:rPr/>
            </w:pPr>
            <w:r>
              <w:rPr/>
              <w:t>​</w:t>
            </w:r>
          </w:p>
        </w:tc>
        <w:tc>
          <w:tcPr>
            <w:tcW w:w="1191" w:type="dxa"/>
            <w:gridSpan w:val="4"/>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Base Salary %</w:t>
              <w:br/>
              <w:t>of Target Total</w:t>
              <w:br/>
              <w:t>Annual</w:t>
              <w:br/>
              <w:t>Compensation</w:t>
              <w:br/>
              <w:t xml:space="preserve">in 2020 </w:t>
            </w:r>
          </w:p>
        </w:tc>
        <w:tc>
          <w:tcPr>
            <w:tcW w:w="23" w:type="dxa"/>
            <w:tcBorders/>
            <w:shd w:fill="auto" w:val="clear"/>
            <w:vAlign w:val="bottom"/>
          </w:tcPr>
          <w:p>
            <w:pPr>
              <w:pStyle w:val="TableHeading"/>
              <w:spacing w:lineRule="atLeast" w:line="180" w:before="0" w:after="283"/>
              <w:rPr/>
            </w:pPr>
            <w:r>
              <w:rPr/>
              <w:t>​</w:t>
            </w:r>
          </w:p>
        </w:tc>
        <w:tc>
          <w:tcPr>
            <w:tcW w:w="1190" w:type="dxa"/>
            <w:gridSpan w:val="4"/>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Annual</w:t>
              <w:br/>
              <w:t>Incentive</w:t>
              <w:br/>
              <w:t>Compensation %</w:t>
              <w:br/>
              <w:t>of Target Total</w:t>
              <w:br/>
              <w:t>Annual</w:t>
              <w:br/>
              <w:t>Compensation</w:t>
              <w:br/>
              <w:t xml:space="preserve">in 2020 </w:t>
            </w:r>
          </w:p>
        </w:tc>
        <w:tc>
          <w:tcPr>
            <w:tcW w:w="23" w:type="dxa"/>
            <w:tcBorders/>
            <w:shd w:fill="auto" w:val="clear"/>
            <w:vAlign w:val="bottom"/>
          </w:tcPr>
          <w:p>
            <w:pPr>
              <w:pStyle w:val="TableHeading"/>
              <w:spacing w:lineRule="atLeast" w:line="180" w:before="0" w:after="283"/>
              <w:rPr/>
            </w:pPr>
            <w:r>
              <w:rPr/>
              <w:t>​</w:t>
            </w:r>
          </w:p>
        </w:tc>
        <w:tc>
          <w:tcPr>
            <w:tcW w:w="1191" w:type="dxa"/>
            <w:gridSpan w:val="4"/>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Base Salary %</w:t>
              <w:br/>
              <w:t>of Actual Total</w:t>
              <w:br/>
              <w:t>Annual</w:t>
              <w:br/>
              <w:t>Compensation</w:t>
              <w:br/>
              <w:t xml:space="preserve">in 2020 </w:t>
            </w:r>
          </w:p>
        </w:tc>
        <w:tc>
          <w:tcPr>
            <w:tcW w:w="23" w:type="dxa"/>
            <w:tcBorders/>
            <w:shd w:fill="auto" w:val="clear"/>
            <w:vAlign w:val="bottom"/>
          </w:tcPr>
          <w:p>
            <w:pPr>
              <w:pStyle w:val="TableHeading"/>
              <w:spacing w:lineRule="atLeast" w:line="180" w:before="0" w:after="283"/>
              <w:rPr/>
            </w:pPr>
            <w:r>
              <w:rPr/>
              <w:t>​</w:t>
            </w:r>
          </w:p>
        </w:tc>
        <w:tc>
          <w:tcPr>
            <w:tcW w:w="1190" w:type="dxa"/>
            <w:gridSpan w:val="4"/>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Annual</w:t>
              <w:br/>
              <w:t>Incentive</w:t>
              <w:br/>
              <w:t>Compensation %</w:t>
              <w:br/>
              <w:t>of Actual Total</w:t>
              <w:br/>
              <w:t>Annual</w:t>
              <w:br/>
              <w:t>Compensation</w:t>
              <w:br/>
              <w:t xml:space="preserve">in 2020 </w:t>
            </w:r>
          </w:p>
        </w:tc>
        <w:tc>
          <w:tcPr>
            <w:tcW w:w="24" w:type="dxa"/>
            <w:tcBorders/>
            <w:shd w:fill="auto" w:val="clear"/>
            <w:vAlign w:val="bottom"/>
          </w:tcPr>
          <w:p>
            <w:pPr>
              <w:pStyle w:val="TableHeading"/>
              <w:spacing w:lineRule="atLeast" w:line="180" w:before="0" w:after="283"/>
              <w:rPr/>
            </w:pPr>
            <w:r>
              <w:rPr/>
              <w:t>​</w:t>
            </w:r>
          </w:p>
        </w:tc>
      </w:tr>
      <w:tr>
        <w:trPr/>
        <w:tc>
          <w:tcPr>
            <w:tcW w:w="660" w:type="dxa"/>
            <w:tcBorders/>
            <w:shd w:fill="CCEEFF" w:val="clear"/>
            <w:vAlign w:val="bottom"/>
          </w:tcPr>
          <w:p>
            <w:pPr>
              <w:pStyle w:val="TableContents"/>
              <w:spacing w:before="0" w:after="283"/>
              <w:ind w:left="200" w:right="0" w:hanging="200"/>
              <w:rPr>
                <w:rFonts w:ascii="arial" w:hAnsi="arial"/>
                <w:sz w:val="20"/>
              </w:rPr>
            </w:pPr>
            <w:r>
              <w:rPr>
                <w:rFonts w:ascii="arial" w:hAnsi="arial"/>
                <w:sz w:val="20"/>
              </w:rPr>
              <w:t>William B. Shepro</w:t>
            </w:r>
          </w:p>
        </w:tc>
        <w:tc>
          <w:tcPr>
            <w:tcW w:w="4690" w:type="dxa"/>
            <w:tcBorders/>
            <w:shd w:fill="CCEEFF" w:val="clear"/>
            <w:vAlign w:val="bottom"/>
          </w:tcPr>
          <w:p>
            <w:pPr>
              <w:pStyle w:val="TableContents"/>
              <w:spacing w:before="0" w:after="283"/>
              <w:rPr/>
            </w:pPr>
            <w:r>
              <w:rPr/>
              <w:t>​</w:t>
            </w:r>
          </w:p>
        </w:tc>
        <w:tc>
          <w:tcPr>
            <w:tcW w:w="298" w:type="dxa"/>
            <w:tcBorders/>
            <w:shd w:fill="CCEEFF" w:val="clear"/>
            <w:vAlign w:val="bottom"/>
          </w:tcPr>
          <w:p>
            <w:pPr>
              <w:pStyle w:val="TableContents"/>
              <w:spacing w:before="0" w:after="283"/>
              <w:rPr/>
            </w:pPr>
            <w:r>
              <w:rPr/>
              <w:t>​</w:t>
            </w:r>
          </w:p>
        </w:tc>
        <w:tc>
          <w:tcPr>
            <w:tcW w:w="594" w:type="dxa"/>
            <w:gridSpan w:val="2"/>
            <w:tcBorders/>
            <w:shd w:fill="CCEEFF" w:val="clear"/>
            <w:vAlign w:val="bottom"/>
          </w:tcPr>
          <w:p>
            <w:pPr>
              <w:pStyle w:val="TableContents"/>
              <w:spacing w:before="0" w:after="283"/>
              <w:jc w:val="center"/>
              <w:rPr>
                <w:rFonts w:ascii="arial" w:hAnsi="arial"/>
                <w:sz w:val="20"/>
              </w:rPr>
            </w:pPr>
            <w:r>
              <w:rPr>
                <w:rFonts w:ascii="arial" w:hAnsi="arial"/>
                <w:sz w:val="20"/>
              </w:rPr>
              <w:t>40%</w:t>
            </w:r>
          </w:p>
        </w:tc>
        <w:tc>
          <w:tcPr>
            <w:tcW w:w="299" w:type="dxa"/>
            <w:tcBorders/>
            <w:shd w:fill="CCEEFF" w:val="clear"/>
            <w:vAlign w:val="bottom"/>
          </w:tcPr>
          <w:p>
            <w:pPr>
              <w:pStyle w:val="TableContents"/>
              <w:spacing w:before="0" w:after="283"/>
              <w:rPr/>
            </w:pPr>
            <w:r>
              <w:rPr/>
              <w:t>​</w:t>
            </w:r>
          </w:p>
        </w:tc>
        <w:tc>
          <w:tcPr>
            <w:tcW w:w="23" w:type="dxa"/>
            <w:tcBorders/>
            <w:shd w:fill="CCEEFF" w:val="clear"/>
            <w:vAlign w:val="bottom"/>
          </w:tcPr>
          <w:p>
            <w:pPr>
              <w:pStyle w:val="TableContents"/>
              <w:spacing w:before="0" w:after="283"/>
              <w:rPr/>
            </w:pPr>
            <w:r>
              <w:rPr/>
              <w:t>​</w:t>
            </w:r>
          </w:p>
        </w:tc>
        <w:tc>
          <w:tcPr>
            <w:tcW w:w="297" w:type="dxa"/>
            <w:tcBorders/>
            <w:shd w:fill="CCEEFF" w:val="clear"/>
            <w:vAlign w:val="bottom"/>
          </w:tcPr>
          <w:p>
            <w:pPr>
              <w:pStyle w:val="TableContents"/>
              <w:spacing w:before="0" w:after="283"/>
              <w:rPr/>
            </w:pPr>
            <w:r>
              <w:rPr/>
              <w:t>​</w:t>
            </w:r>
          </w:p>
        </w:tc>
        <w:tc>
          <w:tcPr>
            <w:tcW w:w="594" w:type="dxa"/>
            <w:gridSpan w:val="2"/>
            <w:tcBorders/>
            <w:shd w:fill="CCEEFF" w:val="clear"/>
            <w:vAlign w:val="bottom"/>
          </w:tcPr>
          <w:p>
            <w:pPr>
              <w:pStyle w:val="TableContents"/>
              <w:spacing w:before="0" w:after="283"/>
              <w:jc w:val="center"/>
              <w:rPr>
                <w:rFonts w:ascii="arial" w:hAnsi="arial"/>
                <w:sz w:val="20"/>
              </w:rPr>
            </w:pPr>
            <w:r>
              <w:rPr>
                <w:rFonts w:ascii="arial" w:hAnsi="arial"/>
                <w:sz w:val="20"/>
              </w:rPr>
              <w:t>60%</w:t>
            </w:r>
          </w:p>
        </w:tc>
        <w:tc>
          <w:tcPr>
            <w:tcW w:w="299" w:type="dxa"/>
            <w:tcBorders/>
            <w:shd w:fill="CCEEFF" w:val="clear"/>
            <w:vAlign w:val="bottom"/>
          </w:tcPr>
          <w:p>
            <w:pPr>
              <w:pStyle w:val="TableContents"/>
              <w:spacing w:before="0" w:after="283"/>
              <w:rPr/>
            </w:pPr>
            <w:r>
              <w:rPr/>
              <w:t>​</w:t>
            </w:r>
          </w:p>
        </w:tc>
        <w:tc>
          <w:tcPr>
            <w:tcW w:w="23" w:type="dxa"/>
            <w:tcBorders/>
            <w:shd w:fill="CCEEFF" w:val="clear"/>
            <w:vAlign w:val="bottom"/>
          </w:tcPr>
          <w:p>
            <w:pPr>
              <w:pStyle w:val="TableContents"/>
              <w:spacing w:before="0" w:after="283"/>
              <w:rPr/>
            </w:pPr>
            <w:r>
              <w:rPr/>
              <w:t>​</w:t>
            </w:r>
          </w:p>
        </w:tc>
        <w:tc>
          <w:tcPr>
            <w:tcW w:w="298" w:type="dxa"/>
            <w:tcBorders/>
            <w:shd w:fill="CCEEFF" w:val="clear"/>
            <w:vAlign w:val="bottom"/>
          </w:tcPr>
          <w:p>
            <w:pPr>
              <w:pStyle w:val="TableContents"/>
              <w:spacing w:before="0" w:after="283"/>
              <w:rPr/>
            </w:pPr>
            <w:r>
              <w:rPr/>
              <w:t>​</w:t>
            </w:r>
          </w:p>
        </w:tc>
        <w:tc>
          <w:tcPr>
            <w:tcW w:w="594" w:type="dxa"/>
            <w:gridSpan w:val="2"/>
            <w:tcBorders/>
            <w:shd w:fill="CCEEFF" w:val="clear"/>
            <w:vAlign w:val="bottom"/>
          </w:tcPr>
          <w:p>
            <w:pPr>
              <w:pStyle w:val="TableContents"/>
              <w:spacing w:before="0" w:after="283"/>
              <w:jc w:val="center"/>
              <w:rPr>
                <w:rFonts w:ascii="arial" w:hAnsi="arial"/>
                <w:sz w:val="20"/>
              </w:rPr>
            </w:pPr>
            <w:r>
              <w:rPr>
                <w:rFonts w:ascii="arial" w:hAnsi="arial"/>
                <w:sz w:val="20"/>
              </w:rPr>
              <w:t>73%</w:t>
            </w:r>
          </w:p>
        </w:tc>
        <w:tc>
          <w:tcPr>
            <w:tcW w:w="299" w:type="dxa"/>
            <w:tcBorders/>
            <w:shd w:fill="CCEEFF" w:val="clear"/>
            <w:vAlign w:val="bottom"/>
          </w:tcPr>
          <w:p>
            <w:pPr>
              <w:pStyle w:val="TableContents"/>
              <w:spacing w:before="0" w:after="283"/>
              <w:rPr/>
            </w:pPr>
            <w:r>
              <w:rPr/>
              <w:t>​</w:t>
            </w:r>
          </w:p>
        </w:tc>
        <w:tc>
          <w:tcPr>
            <w:tcW w:w="23" w:type="dxa"/>
            <w:tcBorders/>
            <w:shd w:fill="CCEEFF" w:val="clear"/>
            <w:vAlign w:val="bottom"/>
          </w:tcPr>
          <w:p>
            <w:pPr>
              <w:pStyle w:val="TableContents"/>
              <w:spacing w:before="0" w:after="283"/>
              <w:rPr/>
            </w:pPr>
            <w:r>
              <w:rPr/>
              <w:t>​</w:t>
            </w:r>
          </w:p>
        </w:tc>
        <w:tc>
          <w:tcPr>
            <w:tcW w:w="297" w:type="dxa"/>
            <w:tcBorders/>
            <w:shd w:fill="CCEEFF" w:val="clear"/>
            <w:vAlign w:val="bottom"/>
          </w:tcPr>
          <w:p>
            <w:pPr>
              <w:pStyle w:val="TableContents"/>
              <w:spacing w:before="0" w:after="283"/>
              <w:rPr/>
            </w:pPr>
            <w:r>
              <w:rPr/>
              <w:t>​</w:t>
            </w:r>
          </w:p>
        </w:tc>
        <w:tc>
          <w:tcPr>
            <w:tcW w:w="594" w:type="dxa"/>
            <w:gridSpan w:val="2"/>
            <w:tcBorders/>
            <w:shd w:fill="CCEEFF" w:val="clear"/>
            <w:vAlign w:val="bottom"/>
          </w:tcPr>
          <w:p>
            <w:pPr>
              <w:pStyle w:val="TableContents"/>
              <w:spacing w:before="0" w:after="283"/>
              <w:jc w:val="center"/>
              <w:rPr>
                <w:rFonts w:ascii="arial" w:hAnsi="arial"/>
                <w:sz w:val="20"/>
              </w:rPr>
            </w:pPr>
            <w:r>
              <w:rPr>
                <w:rFonts w:ascii="arial" w:hAnsi="arial"/>
                <w:sz w:val="20"/>
              </w:rPr>
              <w:t>27%</w:t>
            </w:r>
          </w:p>
        </w:tc>
        <w:tc>
          <w:tcPr>
            <w:tcW w:w="299" w:type="dxa"/>
            <w:tcBorders/>
            <w:shd w:fill="CCEEFF" w:val="clear"/>
            <w:vAlign w:val="bottom"/>
          </w:tcPr>
          <w:p>
            <w:pPr>
              <w:pStyle w:val="TableContents"/>
              <w:spacing w:before="0" w:after="283"/>
              <w:rPr/>
            </w:pPr>
            <w:r>
              <w:rPr/>
              <w:t>​</w:t>
            </w:r>
          </w:p>
        </w:tc>
        <w:tc>
          <w:tcPr>
            <w:tcW w:w="24" w:type="dxa"/>
            <w:tcBorders/>
            <w:shd w:fill="CCEEFF" w:val="clear"/>
            <w:vAlign w:val="bottom"/>
          </w:tcPr>
          <w:p>
            <w:pPr>
              <w:pStyle w:val="TableContents"/>
              <w:spacing w:before="0" w:after="283"/>
              <w:rPr/>
            </w:pPr>
            <w:r>
              <w:rPr/>
              <w:t>​</w:t>
            </w:r>
          </w:p>
        </w:tc>
      </w:tr>
      <w:tr>
        <w:trPr/>
        <w:tc>
          <w:tcPr>
            <w:tcW w:w="660" w:type="dxa"/>
            <w:tcBorders/>
            <w:shd w:fill="FFFFFF" w:val="clear"/>
            <w:vAlign w:val="bottom"/>
          </w:tcPr>
          <w:p>
            <w:pPr>
              <w:pStyle w:val="TableContents"/>
              <w:spacing w:before="0" w:after="283"/>
              <w:ind w:left="200" w:right="0" w:hanging="200"/>
              <w:rPr>
                <w:rFonts w:ascii="arial" w:hAnsi="arial"/>
                <w:sz w:val="20"/>
              </w:rPr>
            </w:pPr>
            <w:r>
              <w:rPr>
                <w:rFonts w:ascii="arial" w:hAnsi="arial"/>
                <w:sz w:val="20"/>
              </w:rPr>
              <w:t>Michelle D. Esterman</w:t>
            </w:r>
          </w:p>
        </w:tc>
        <w:tc>
          <w:tcPr>
            <w:tcW w:w="4690" w:type="dxa"/>
            <w:tcBorders/>
            <w:shd w:fill="FFFFFF" w:val="clear"/>
            <w:vAlign w:val="bottom"/>
          </w:tcPr>
          <w:p>
            <w:pPr>
              <w:pStyle w:val="TableContents"/>
              <w:spacing w:before="0" w:after="283"/>
              <w:rPr/>
            </w:pPr>
            <w:r>
              <w:rPr/>
              <w:t>​</w:t>
            </w:r>
          </w:p>
        </w:tc>
        <w:tc>
          <w:tcPr>
            <w:tcW w:w="298" w:type="dxa"/>
            <w:tcBorders/>
            <w:shd w:fill="FFFFFF" w:val="clear"/>
            <w:vAlign w:val="bottom"/>
          </w:tcPr>
          <w:p>
            <w:pPr>
              <w:pStyle w:val="TableContents"/>
              <w:spacing w:before="0" w:after="283"/>
              <w:rPr/>
            </w:pPr>
            <w:r>
              <w:rPr/>
              <w:t>​</w:t>
            </w:r>
          </w:p>
        </w:tc>
        <w:tc>
          <w:tcPr>
            <w:tcW w:w="594" w:type="dxa"/>
            <w:gridSpan w:val="2"/>
            <w:tcBorders/>
            <w:shd w:fill="FFFFFF" w:val="clear"/>
            <w:vAlign w:val="bottom"/>
          </w:tcPr>
          <w:p>
            <w:pPr>
              <w:pStyle w:val="TableContents"/>
              <w:spacing w:before="0" w:after="283"/>
              <w:jc w:val="center"/>
              <w:rPr>
                <w:rFonts w:ascii="arial" w:hAnsi="arial"/>
                <w:sz w:val="20"/>
              </w:rPr>
            </w:pPr>
            <w:r>
              <w:rPr>
                <w:rFonts w:ascii="arial" w:hAnsi="arial"/>
                <w:sz w:val="20"/>
              </w:rPr>
              <w:t>61%</w:t>
            </w:r>
          </w:p>
        </w:tc>
        <w:tc>
          <w:tcPr>
            <w:tcW w:w="299" w:type="dxa"/>
            <w:tcBorders/>
            <w:shd w:fill="FFFFFF" w:val="clear"/>
            <w:vAlign w:val="bottom"/>
          </w:tcPr>
          <w:p>
            <w:pPr>
              <w:pStyle w:val="TableContents"/>
              <w:spacing w:before="0" w:after="283"/>
              <w:rPr/>
            </w:pPr>
            <w:r>
              <w:rPr/>
              <w:t>​</w:t>
            </w:r>
          </w:p>
        </w:tc>
        <w:tc>
          <w:tcPr>
            <w:tcW w:w="23" w:type="dxa"/>
            <w:tcBorders/>
            <w:shd w:fill="FFFFFF" w:val="clear"/>
            <w:vAlign w:val="bottom"/>
          </w:tcPr>
          <w:p>
            <w:pPr>
              <w:pStyle w:val="TableContents"/>
              <w:spacing w:before="0" w:after="283"/>
              <w:rPr/>
            </w:pPr>
            <w:r>
              <w:rPr/>
              <w:t>​</w:t>
            </w:r>
          </w:p>
        </w:tc>
        <w:tc>
          <w:tcPr>
            <w:tcW w:w="297" w:type="dxa"/>
            <w:tcBorders/>
            <w:shd w:fill="FFFFFF" w:val="clear"/>
            <w:vAlign w:val="bottom"/>
          </w:tcPr>
          <w:p>
            <w:pPr>
              <w:pStyle w:val="TableContents"/>
              <w:spacing w:before="0" w:after="283"/>
              <w:rPr/>
            </w:pPr>
            <w:r>
              <w:rPr/>
              <w:t>​</w:t>
            </w:r>
          </w:p>
        </w:tc>
        <w:tc>
          <w:tcPr>
            <w:tcW w:w="594" w:type="dxa"/>
            <w:gridSpan w:val="2"/>
            <w:tcBorders/>
            <w:shd w:fill="FFFFFF" w:val="clear"/>
            <w:vAlign w:val="bottom"/>
          </w:tcPr>
          <w:p>
            <w:pPr>
              <w:pStyle w:val="TableContents"/>
              <w:spacing w:before="0" w:after="283"/>
              <w:jc w:val="center"/>
              <w:rPr>
                <w:rFonts w:ascii="arial" w:hAnsi="arial"/>
                <w:sz w:val="20"/>
              </w:rPr>
            </w:pPr>
            <w:r>
              <w:rPr>
                <w:rFonts w:ascii="arial" w:hAnsi="arial"/>
                <w:sz w:val="20"/>
              </w:rPr>
              <w:t>39%</w:t>
            </w:r>
          </w:p>
        </w:tc>
        <w:tc>
          <w:tcPr>
            <w:tcW w:w="299" w:type="dxa"/>
            <w:tcBorders/>
            <w:shd w:fill="FFFFFF" w:val="clear"/>
            <w:vAlign w:val="bottom"/>
          </w:tcPr>
          <w:p>
            <w:pPr>
              <w:pStyle w:val="TableContents"/>
              <w:spacing w:before="0" w:after="283"/>
              <w:rPr/>
            </w:pPr>
            <w:r>
              <w:rPr/>
              <w:t>​</w:t>
            </w:r>
          </w:p>
        </w:tc>
        <w:tc>
          <w:tcPr>
            <w:tcW w:w="23" w:type="dxa"/>
            <w:tcBorders/>
            <w:shd w:fill="FFFFFF" w:val="clear"/>
            <w:vAlign w:val="bottom"/>
          </w:tcPr>
          <w:p>
            <w:pPr>
              <w:pStyle w:val="TableContents"/>
              <w:spacing w:before="0" w:after="283"/>
              <w:rPr/>
            </w:pPr>
            <w:r>
              <w:rPr/>
              <w:t>​</w:t>
            </w:r>
          </w:p>
        </w:tc>
        <w:tc>
          <w:tcPr>
            <w:tcW w:w="298" w:type="dxa"/>
            <w:tcBorders/>
            <w:shd w:fill="FFFFFF" w:val="clear"/>
            <w:vAlign w:val="bottom"/>
          </w:tcPr>
          <w:p>
            <w:pPr>
              <w:pStyle w:val="TableContents"/>
              <w:spacing w:before="0" w:after="283"/>
              <w:rPr/>
            </w:pPr>
            <w:r>
              <w:rPr/>
              <w:t>​</w:t>
            </w:r>
          </w:p>
        </w:tc>
        <w:tc>
          <w:tcPr>
            <w:tcW w:w="594" w:type="dxa"/>
            <w:gridSpan w:val="2"/>
            <w:tcBorders/>
            <w:shd w:fill="FFFFFF" w:val="clear"/>
            <w:vAlign w:val="bottom"/>
          </w:tcPr>
          <w:p>
            <w:pPr>
              <w:pStyle w:val="TableContents"/>
              <w:spacing w:before="0" w:after="283"/>
              <w:jc w:val="center"/>
              <w:rPr>
                <w:rFonts w:ascii="arial" w:hAnsi="arial"/>
                <w:sz w:val="20"/>
              </w:rPr>
            </w:pPr>
            <w:r>
              <w:rPr>
                <w:rFonts w:ascii="arial" w:hAnsi="arial"/>
                <w:sz w:val="20"/>
              </w:rPr>
              <w:t>84%</w:t>
            </w:r>
          </w:p>
        </w:tc>
        <w:tc>
          <w:tcPr>
            <w:tcW w:w="299" w:type="dxa"/>
            <w:tcBorders/>
            <w:shd w:fill="FFFFFF" w:val="clear"/>
            <w:vAlign w:val="bottom"/>
          </w:tcPr>
          <w:p>
            <w:pPr>
              <w:pStyle w:val="TableContents"/>
              <w:spacing w:before="0" w:after="283"/>
              <w:rPr/>
            </w:pPr>
            <w:r>
              <w:rPr/>
              <w:t>​</w:t>
            </w:r>
          </w:p>
        </w:tc>
        <w:tc>
          <w:tcPr>
            <w:tcW w:w="23" w:type="dxa"/>
            <w:tcBorders/>
            <w:shd w:fill="FFFFFF" w:val="clear"/>
            <w:vAlign w:val="bottom"/>
          </w:tcPr>
          <w:p>
            <w:pPr>
              <w:pStyle w:val="TableContents"/>
              <w:spacing w:before="0" w:after="283"/>
              <w:rPr/>
            </w:pPr>
            <w:r>
              <w:rPr/>
              <w:t>​</w:t>
            </w:r>
          </w:p>
        </w:tc>
        <w:tc>
          <w:tcPr>
            <w:tcW w:w="297" w:type="dxa"/>
            <w:tcBorders/>
            <w:shd w:fill="FFFFFF" w:val="clear"/>
            <w:vAlign w:val="bottom"/>
          </w:tcPr>
          <w:p>
            <w:pPr>
              <w:pStyle w:val="TableContents"/>
              <w:spacing w:before="0" w:after="283"/>
              <w:rPr/>
            </w:pPr>
            <w:r>
              <w:rPr/>
              <w:t>​</w:t>
            </w:r>
          </w:p>
        </w:tc>
        <w:tc>
          <w:tcPr>
            <w:tcW w:w="594" w:type="dxa"/>
            <w:gridSpan w:val="2"/>
            <w:tcBorders/>
            <w:shd w:fill="FFFFFF" w:val="clear"/>
            <w:vAlign w:val="bottom"/>
          </w:tcPr>
          <w:p>
            <w:pPr>
              <w:pStyle w:val="TableContents"/>
              <w:spacing w:before="0" w:after="283"/>
              <w:jc w:val="center"/>
              <w:rPr>
                <w:rFonts w:ascii="arial" w:hAnsi="arial"/>
                <w:sz w:val="20"/>
              </w:rPr>
            </w:pPr>
            <w:r>
              <w:rPr>
                <w:rFonts w:ascii="arial" w:hAnsi="arial"/>
                <w:sz w:val="20"/>
              </w:rPr>
              <w:t>16%</w:t>
            </w:r>
          </w:p>
        </w:tc>
        <w:tc>
          <w:tcPr>
            <w:tcW w:w="299" w:type="dxa"/>
            <w:tcBorders/>
            <w:shd w:fill="FFFFFF" w:val="clear"/>
            <w:vAlign w:val="bottom"/>
          </w:tcPr>
          <w:p>
            <w:pPr>
              <w:pStyle w:val="TableContents"/>
              <w:spacing w:before="0" w:after="283"/>
              <w:rPr/>
            </w:pPr>
            <w:r>
              <w:rPr/>
              <w:t>​</w:t>
            </w:r>
          </w:p>
        </w:tc>
        <w:tc>
          <w:tcPr>
            <w:tcW w:w="24" w:type="dxa"/>
            <w:tcBorders/>
            <w:shd w:fill="FFFFFF" w:val="clear"/>
            <w:vAlign w:val="bottom"/>
          </w:tcPr>
          <w:p>
            <w:pPr>
              <w:pStyle w:val="TableContents"/>
              <w:spacing w:before="0" w:after="283"/>
              <w:rPr/>
            </w:pPr>
            <w:r>
              <w:rPr/>
              <w:t>​</w:t>
            </w:r>
          </w:p>
        </w:tc>
      </w:tr>
      <w:tr>
        <w:trPr/>
        <w:tc>
          <w:tcPr>
            <w:tcW w:w="660" w:type="dxa"/>
            <w:tcBorders/>
            <w:shd w:fill="CCEEFF" w:val="clear"/>
            <w:vAlign w:val="bottom"/>
          </w:tcPr>
          <w:p>
            <w:pPr>
              <w:pStyle w:val="TableContents"/>
              <w:spacing w:before="0" w:after="283"/>
              <w:ind w:left="200" w:right="0" w:hanging="200"/>
              <w:rPr>
                <w:rFonts w:ascii="arial" w:hAnsi="arial"/>
                <w:sz w:val="20"/>
              </w:rPr>
            </w:pPr>
            <w:r>
              <w:rPr>
                <w:rFonts w:ascii="arial" w:hAnsi="arial"/>
                <w:sz w:val="20"/>
              </w:rPr>
              <w:t>Marcello Mastioni</w:t>
            </w:r>
          </w:p>
        </w:tc>
        <w:tc>
          <w:tcPr>
            <w:tcW w:w="4690" w:type="dxa"/>
            <w:tcBorders/>
            <w:shd w:fill="CCEEFF" w:val="clear"/>
            <w:vAlign w:val="bottom"/>
          </w:tcPr>
          <w:p>
            <w:pPr>
              <w:pStyle w:val="TableContents"/>
              <w:spacing w:before="0" w:after="283"/>
              <w:rPr/>
            </w:pPr>
            <w:r>
              <w:rPr/>
              <w:t>​</w:t>
            </w:r>
          </w:p>
        </w:tc>
        <w:tc>
          <w:tcPr>
            <w:tcW w:w="298" w:type="dxa"/>
            <w:tcBorders/>
            <w:shd w:fill="CCEEFF" w:val="clear"/>
            <w:vAlign w:val="bottom"/>
          </w:tcPr>
          <w:p>
            <w:pPr>
              <w:pStyle w:val="TableContents"/>
              <w:spacing w:before="0" w:after="283"/>
              <w:rPr/>
            </w:pPr>
            <w:r>
              <w:rPr/>
              <w:t>​</w:t>
            </w:r>
          </w:p>
        </w:tc>
        <w:tc>
          <w:tcPr>
            <w:tcW w:w="594" w:type="dxa"/>
            <w:gridSpan w:val="2"/>
            <w:tcBorders/>
            <w:shd w:fill="CCEEFF" w:val="clear"/>
            <w:vAlign w:val="bottom"/>
          </w:tcPr>
          <w:p>
            <w:pPr>
              <w:pStyle w:val="TableContents"/>
              <w:spacing w:before="0" w:after="283"/>
              <w:jc w:val="center"/>
              <w:rPr>
                <w:rFonts w:ascii="arial" w:hAnsi="arial"/>
                <w:sz w:val="20"/>
              </w:rPr>
            </w:pPr>
            <w:r>
              <w:rPr>
                <w:rFonts w:ascii="arial" w:hAnsi="arial"/>
                <w:sz w:val="20"/>
              </w:rPr>
              <w:t>60%</w:t>
            </w:r>
          </w:p>
        </w:tc>
        <w:tc>
          <w:tcPr>
            <w:tcW w:w="299" w:type="dxa"/>
            <w:tcBorders/>
            <w:shd w:fill="CCEEFF" w:val="clear"/>
            <w:vAlign w:val="bottom"/>
          </w:tcPr>
          <w:p>
            <w:pPr>
              <w:pStyle w:val="TableContents"/>
              <w:spacing w:before="0" w:after="283"/>
              <w:rPr/>
            </w:pPr>
            <w:r>
              <w:rPr/>
              <w:t>​</w:t>
            </w:r>
          </w:p>
        </w:tc>
        <w:tc>
          <w:tcPr>
            <w:tcW w:w="23" w:type="dxa"/>
            <w:tcBorders/>
            <w:shd w:fill="CCEEFF" w:val="clear"/>
            <w:vAlign w:val="bottom"/>
          </w:tcPr>
          <w:p>
            <w:pPr>
              <w:pStyle w:val="TableContents"/>
              <w:spacing w:before="0" w:after="283"/>
              <w:rPr/>
            </w:pPr>
            <w:r>
              <w:rPr/>
              <w:t>​</w:t>
            </w:r>
          </w:p>
        </w:tc>
        <w:tc>
          <w:tcPr>
            <w:tcW w:w="297" w:type="dxa"/>
            <w:tcBorders/>
            <w:shd w:fill="CCEEFF" w:val="clear"/>
            <w:vAlign w:val="bottom"/>
          </w:tcPr>
          <w:p>
            <w:pPr>
              <w:pStyle w:val="TableContents"/>
              <w:spacing w:before="0" w:after="283"/>
              <w:rPr/>
            </w:pPr>
            <w:r>
              <w:rPr/>
              <w:t>​</w:t>
            </w:r>
          </w:p>
        </w:tc>
        <w:tc>
          <w:tcPr>
            <w:tcW w:w="594" w:type="dxa"/>
            <w:gridSpan w:val="2"/>
            <w:tcBorders/>
            <w:shd w:fill="CCEEFF" w:val="clear"/>
            <w:vAlign w:val="bottom"/>
          </w:tcPr>
          <w:p>
            <w:pPr>
              <w:pStyle w:val="TableContents"/>
              <w:spacing w:before="0" w:after="283"/>
              <w:jc w:val="center"/>
              <w:rPr>
                <w:rFonts w:ascii="arial" w:hAnsi="arial"/>
                <w:sz w:val="20"/>
              </w:rPr>
            </w:pPr>
            <w:r>
              <w:rPr>
                <w:rFonts w:ascii="arial" w:hAnsi="arial"/>
                <w:sz w:val="20"/>
              </w:rPr>
              <w:t>40%</w:t>
            </w:r>
          </w:p>
        </w:tc>
        <w:tc>
          <w:tcPr>
            <w:tcW w:w="299" w:type="dxa"/>
            <w:tcBorders/>
            <w:shd w:fill="CCEEFF" w:val="clear"/>
            <w:vAlign w:val="bottom"/>
          </w:tcPr>
          <w:p>
            <w:pPr>
              <w:pStyle w:val="TableContents"/>
              <w:spacing w:before="0" w:after="283"/>
              <w:rPr/>
            </w:pPr>
            <w:r>
              <w:rPr/>
              <w:t>​</w:t>
            </w:r>
          </w:p>
        </w:tc>
        <w:tc>
          <w:tcPr>
            <w:tcW w:w="23" w:type="dxa"/>
            <w:tcBorders/>
            <w:shd w:fill="CCEEFF" w:val="clear"/>
            <w:vAlign w:val="bottom"/>
          </w:tcPr>
          <w:p>
            <w:pPr>
              <w:pStyle w:val="TableContents"/>
              <w:spacing w:before="0" w:after="283"/>
              <w:rPr/>
            </w:pPr>
            <w:r>
              <w:rPr/>
              <w:t>​</w:t>
            </w:r>
          </w:p>
        </w:tc>
        <w:tc>
          <w:tcPr>
            <w:tcW w:w="298" w:type="dxa"/>
            <w:tcBorders/>
            <w:shd w:fill="CCEEFF" w:val="clear"/>
            <w:vAlign w:val="bottom"/>
          </w:tcPr>
          <w:p>
            <w:pPr>
              <w:pStyle w:val="TableContents"/>
              <w:spacing w:before="0" w:after="283"/>
              <w:rPr/>
            </w:pPr>
            <w:r>
              <w:rPr/>
              <w:t>​</w:t>
            </w:r>
          </w:p>
        </w:tc>
        <w:tc>
          <w:tcPr>
            <w:tcW w:w="594" w:type="dxa"/>
            <w:gridSpan w:val="2"/>
            <w:tcBorders/>
            <w:shd w:fill="CCEEFF" w:val="clear"/>
            <w:vAlign w:val="bottom"/>
          </w:tcPr>
          <w:p>
            <w:pPr>
              <w:pStyle w:val="TableContents"/>
              <w:spacing w:before="0" w:after="283"/>
              <w:jc w:val="center"/>
              <w:rPr>
                <w:rFonts w:ascii="arial" w:hAnsi="arial"/>
                <w:sz w:val="20"/>
              </w:rPr>
            </w:pPr>
            <w:r>
              <w:rPr>
                <w:rFonts w:ascii="arial" w:hAnsi="arial"/>
                <w:sz w:val="20"/>
              </w:rPr>
              <w:t>83%</w:t>
            </w:r>
          </w:p>
        </w:tc>
        <w:tc>
          <w:tcPr>
            <w:tcW w:w="299" w:type="dxa"/>
            <w:tcBorders/>
            <w:shd w:fill="CCEEFF" w:val="clear"/>
            <w:vAlign w:val="bottom"/>
          </w:tcPr>
          <w:p>
            <w:pPr>
              <w:pStyle w:val="TableContents"/>
              <w:spacing w:before="0" w:after="283"/>
              <w:rPr/>
            </w:pPr>
            <w:r>
              <w:rPr/>
              <w:t>​</w:t>
            </w:r>
          </w:p>
        </w:tc>
        <w:tc>
          <w:tcPr>
            <w:tcW w:w="23" w:type="dxa"/>
            <w:tcBorders/>
            <w:shd w:fill="CCEEFF" w:val="clear"/>
            <w:vAlign w:val="bottom"/>
          </w:tcPr>
          <w:p>
            <w:pPr>
              <w:pStyle w:val="TableContents"/>
              <w:spacing w:before="0" w:after="283"/>
              <w:rPr/>
            </w:pPr>
            <w:r>
              <w:rPr/>
              <w:t>​</w:t>
            </w:r>
          </w:p>
        </w:tc>
        <w:tc>
          <w:tcPr>
            <w:tcW w:w="297" w:type="dxa"/>
            <w:tcBorders/>
            <w:shd w:fill="CCEEFF" w:val="clear"/>
            <w:vAlign w:val="bottom"/>
          </w:tcPr>
          <w:p>
            <w:pPr>
              <w:pStyle w:val="TableContents"/>
              <w:spacing w:before="0" w:after="283"/>
              <w:rPr/>
            </w:pPr>
            <w:r>
              <w:rPr/>
              <w:t>​</w:t>
            </w:r>
          </w:p>
        </w:tc>
        <w:tc>
          <w:tcPr>
            <w:tcW w:w="594" w:type="dxa"/>
            <w:gridSpan w:val="2"/>
            <w:tcBorders/>
            <w:shd w:fill="CCEEFF" w:val="clear"/>
            <w:vAlign w:val="bottom"/>
          </w:tcPr>
          <w:p>
            <w:pPr>
              <w:pStyle w:val="TableContents"/>
              <w:spacing w:before="0" w:after="283"/>
              <w:jc w:val="center"/>
              <w:rPr>
                <w:rFonts w:ascii="arial" w:hAnsi="arial"/>
                <w:sz w:val="20"/>
              </w:rPr>
            </w:pPr>
            <w:r>
              <w:rPr>
                <w:rFonts w:ascii="arial" w:hAnsi="arial"/>
                <w:sz w:val="20"/>
              </w:rPr>
              <w:t>17%</w:t>
            </w:r>
          </w:p>
        </w:tc>
        <w:tc>
          <w:tcPr>
            <w:tcW w:w="299" w:type="dxa"/>
            <w:tcBorders/>
            <w:shd w:fill="CCEEFF" w:val="clear"/>
            <w:vAlign w:val="bottom"/>
          </w:tcPr>
          <w:p>
            <w:pPr>
              <w:pStyle w:val="TableContents"/>
              <w:spacing w:before="0" w:after="283"/>
              <w:rPr/>
            </w:pPr>
            <w:r>
              <w:rPr/>
              <w:t>​</w:t>
            </w:r>
          </w:p>
        </w:tc>
        <w:tc>
          <w:tcPr>
            <w:tcW w:w="24" w:type="dxa"/>
            <w:tcBorders/>
            <w:shd w:fill="CCEEFF" w:val="clear"/>
            <w:vAlign w:val="bottom"/>
          </w:tcPr>
          <w:p>
            <w:pPr>
              <w:pStyle w:val="TableContents"/>
              <w:spacing w:before="0" w:after="283"/>
              <w:rPr/>
            </w:pPr>
            <w:r>
              <w:rPr/>
              <w:t>​</w:t>
            </w:r>
          </w:p>
        </w:tc>
      </w:tr>
      <w:tr>
        <w:trPr/>
        <w:tc>
          <w:tcPr>
            <w:tcW w:w="660" w:type="dxa"/>
            <w:tcBorders/>
            <w:shd w:fill="FFFFFF" w:val="clear"/>
            <w:vAlign w:val="bottom"/>
          </w:tcPr>
          <w:p>
            <w:pPr>
              <w:pStyle w:val="TableContents"/>
              <w:spacing w:before="0" w:after="283"/>
              <w:ind w:left="200" w:right="0" w:hanging="200"/>
              <w:rPr>
                <w:rFonts w:ascii="arial" w:hAnsi="arial"/>
                <w:sz w:val="20"/>
              </w:rPr>
            </w:pPr>
            <w:r>
              <w:rPr>
                <w:rFonts w:ascii="arial" w:hAnsi="arial"/>
                <w:sz w:val="20"/>
              </w:rPr>
              <w:t>Gregory J. Ritts</w:t>
            </w:r>
          </w:p>
        </w:tc>
        <w:tc>
          <w:tcPr>
            <w:tcW w:w="4690" w:type="dxa"/>
            <w:tcBorders/>
            <w:shd w:fill="FFFFFF" w:val="clear"/>
            <w:vAlign w:val="bottom"/>
          </w:tcPr>
          <w:p>
            <w:pPr>
              <w:pStyle w:val="TableContents"/>
              <w:spacing w:before="0" w:after="283"/>
              <w:rPr/>
            </w:pPr>
            <w:r>
              <w:rPr/>
              <w:t>​</w:t>
            </w:r>
          </w:p>
        </w:tc>
        <w:tc>
          <w:tcPr>
            <w:tcW w:w="298" w:type="dxa"/>
            <w:tcBorders/>
            <w:shd w:fill="FFFFFF" w:val="clear"/>
            <w:vAlign w:val="bottom"/>
          </w:tcPr>
          <w:p>
            <w:pPr>
              <w:pStyle w:val="TableContents"/>
              <w:spacing w:before="0" w:after="283"/>
              <w:rPr/>
            </w:pPr>
            <w:r>
              <w:rPr/>
              <w:t>​</w:t>
            </w:r>
          </w:p>
        </w:tc>
        <w:tc>
          <w:tcPr>
            <w:tcW w:w="594" w:type="dxa"/>
            <w:gridSpan w:val="2"/>
            <w:tcBorders/>
            <w:shd w:fill="FFFFFF" w:val="clear"/>
            <w:vAlign w:val="bottom"/>
          </w:tcPr>
          <w:p>
            <w:pPr>
              <w:pStyle w:val="TableContents"/>
              <w:spacing w:before="0" w:after="283"/>
              <w:jc w:val="center"/>
              <w:rPr>
                <w:rFonts w:ascii="arial" w:hAnsi="arial"/>
                <w:sz w:val="20"/>
              </w:rPr>
            </w:pPr>
            <w:r>
              <w:rPr>
                <w:rFonts w:ascii="arial" w:hAnsi="arial"/>
                <w:sz w:val="20"/>
              </w:rPr>
              <w:t>65%</w:t>
            </w:r>
          </w:p>
        </w:tc>
        <w:tc>
          <w:tcPr>
            <w:tcW w:w="299" w:type="dxa"/>
            <w:tcBorders/>
            <w:shd w:fill="FFFFFF" w:val="clear"/>
            <w:vAlign w:val="bottom"/>
          </w:tcPr>
          <w:p>
            <w:pPr>
              <w:pStyle w:val="TableContents"/>
              <w:spacing w:before="0" w:after="283"/>
              <w:rPr/>
            </w:pPr>
            <w:r>
              <w:rPr/>
              <w:t>​</w:t>
            </w:r>
          </w:p>
        </w:tc>
        <w:tc>
          <w:tcPr>
            <w:tcW w:w="23" w:type="dxa"/>
            <w:tcBorders/>
            <w:shd w:fill="FFFFFF" w:val="clear"/>
            <w:vAlign w:val="bottom"/>
          </w:tcPr>
          <w:p>
            <w:pPr>
              <w:pStyle w:val="TableContents"/>
              <w:spacing w:before="0" w:after="283"/>
              <w:rPr/>
            </w:pPr>
            <w:r>
              <w:rPr/>
              <w:t>​</w:t>
            </w:r>
          </w:p>
        </w:tc>
        <w:tc>
          <w:tcPr>
            <w:tcW w:w="297" w:type="dxa"/>
            <w:tcBorders/>
            <w:shd w:fill="FFFFFF" w:val="clear"/>
            <w:vAlign w:val="bottom"/>
          </w:tcPr>
          <w:p>
            <w:pPr>
              <w:pStyle w:val="TableContents"/>
              <w:spacing w:before="0" w:after="283"/>
              <w:rPr/>
            </w:pPr>
            <w:r>
              <w:rPr/>
              <w:t>​</w:t>
            </w:r>
          </w:p>
        </w:tc>
        <w:tc>
          <w:tcPr>
            <w:tcW w:w="594" w:type="dxa"/>
            <w:gridSpan w:val="2"/>
            <w:tcBorders/>
            <w:shd w:fill="FFFFFF" w:val="clear"/>
            <w:vAlign w:val="bottom"/>
          </w:tcPr>
          <w:p>
            <w:pPr>
              <w:pStyle w:val="TableContents"/>
              <w:spacing w:before="0" w:after="283"/>
              <w:jc w:val="center"/>
              <w:rPr>
                <w:rFonts w:ascii="arial" w:hAnsi="arial"/>
                <w:sz w:val="20"/>
              </w:rPr>
            </w:pPr>
            <w:r>
              <w:rPr>
                <w:rFonts w:ascii="arial" w:hAnsi="arial"/>
                <w:sz w:val="20"/>
              </w:rPr>
              <w:t>35%</w:t>
            </w:r>
          </w:p>
        </w:tc>
        <w:tc>
          <w:tcPr>
            <w:tcW w:w="299" w:type="dxa"/>
            <w:tcBorders/>
            <w:shd w:fill="FFFFFF" w:val="clear"/>
            <w:vAlign w:val="bottom"/>
          </w:tcPr>
          <w:p>
            <w:pPr>
              <w:pStyle w:val="TableContents"/>
              <w:spacing w:before="0" w:after="283"/>
              <w:rPr/>
            </w:pPr>
            <w:r>
              <w:rPr/>
              <w:t>​</w:t>
            </w:r>
          </w:p>
        </w:tc>
        <w:tc>
          <w:tcPr>
            <w:tcW w:w="23" w:type="dxa"/>
            <w:tcBorders/>
            <w:shd w:fill="FFFFFF" w:val="clear"/>
            <w:vAlign w:val="bottom"/>
          </w:tcPr>
          <w:p>
            <w:pPr>
              <w:pStyle w:val="TableContents"/>
              <w:spacing w:before="0" w:after="283"/>
              <w:rPr/>
            </w:pPr>
            <w:r>
              <w:rPr/>
              <w:t>​</w:t>
            </w:r>
          </w:p>
        </w:tc>
        <w:tc>
          <w:tcPr>
            <w:tcW w:w="298" w:type="dxa"/>
            <w:tcBorders/>
            <w:shd w:fill="FFFFFF" w:val="clear"/>
            <w:vAlign w:val="bottom"/>
          </w:tcPr>
          <w:p>
            <w:pPr>
              <w:pStyle w:val="TableContents"/>
              <w:spacing w:before="0" w:after="283"/>
              <w:rPr/>
            </w:pPr>
            <w:r>
              <w:rPr/>
              <w:t>​</w:t>
            </w:r>
          </w:p>
        </w:tc>
        <w:tc>
          <w:tcPr>
            <w:tcW w:w="594" w:type="dxa"/>
            <w:gridSpan w:val="2"/>
            <w:tcBorders/>
            <w:shd w:fill="FFFFFF" w:val="clear"/>
            <w:vAlign w:val="bottom"/>
          </w:tcPr>
          <w:p>
            <w:pPr>
              <w:pStyle w:val="TableContents"/>
              <w:spacing w:before="0" w:after="283"/>
              <w:jc w:val="center"/>
              <w:rPr>
                <w:rFonts w:ascii="arial" w:hAnsi="arial"/>
                <w:sz w:val="20"/>
              </w:rPr>
            </w:pPr>
            <w:r>
              <w:rPr>
                <w:rFonts w:ascii="arial" w:hAnsi="arial"/>
                <w:sz w:val="20"/>
              </w:rPr>
              <w:t>100%</w:t>
            </w:r>
          </w:p>
        </w:tc>
        <w:tc>
          <w:tcPr>
            <w:tcW w:w="299" w:type="dxa"/>
            <w:tcBorders/>
            <w:shd w:fill="FFFFFF" w:val="clear"/>
            <w:vAlign w:val="bottom"/>
          </w:tcPr>
          <w:p>
            <w:pPr>
              <w:pStyle w:val="TableContents"/>
              <w:spacing w:before="0" w:after="283"/>
              <w:rPr/>
            </w:pPr>
            <w:r>
              <w:rPr/>
              <w:t>​</w:t>
            </w:r>
          </w:p>
        </w:tc>
        <w:tc>
          <w:tcPr>
            <w:tcW w:w="23" w:type="dxa"/>
            <w:tcBorders/>
            <w:shd w:fill="FFFFFF" w:val="clear"/>
            <w:vAlign w:val="bottom"/>
          </w:tcPr>
          <w:p>
            <w:pPr>
              <w:pStyle w:val="TableContents"/>
              <w:spacing w:before="0" w:after="283"/>
              <w:rPr/>
            </w:pPr>
            <w:r>
              <w:rPr/>
              <w:t>​</w:t>
            </w:r>
          </w:p>
        </w:tc>
        <w:tc>
          <w:tcPr>
            <w:tcW w:w="297" w:type="dxa"/>
            <w:tcBorders/>
            <w:shd w:fill="FFFFFF" w:val="clear"/>
            <w:vAlign w:val="bottom"/>
          </w:tcPr>
          <w:p>
            <w:pPr>
              <w:pStyle w:val="TableContents"/>
              <w:spacing w:before="0" w:after="283"/>
              <w:rPr/>
            </w:pPr>
            <w:r>
              <w:rPr/>
              <w:t>​</w:t>
            </w:r>
          </w:p>
        </w:tc>
        <w:tc>
          <w:tcPr>
            <w:tcW w:w="594" w:type="dxa"/>
            <w:gridSpan w:val="2"/>
            <w:tcBorders/>
            <w:shd w:fill="FFFFFF" w:val="clear"/>
            <w:vAlign w:val="bottom"/>
          </w:tcPr>
          <w:p>
            <w:pPr>
              <w:pStyle w:val="TableContents"/>
              <w:spacing w:before="0" w:after="283"/>
              <w:jc w:val="center"/>
              <w:rPr>
                <w:rFonts w:ascii="arial" w:hAnsi="arial"/>
                <w:sz w:val="20"/>
              </w:rPr>
            </w:pPr>
            <w:r>
              <w:rPr>
                <w:rFonts w:ascii="arial" w:hAnsi="arial"/>
                <w:sz w:val="20"/>
              </w:rPr>
              <w:t>0%</w:t>
            </w:r>
            <w:r>
              <w:rPr>
                <w:rFonts w:ascii="arial" w:hAnsi="arial"/>
                <w:position w:val="7"/>
                <w:sz w:val="16"/>
                <w:sz w:val="20"/>
              </w:rPr>
              <w:t>(1)</w:t>
            </w:r>
          </w:p>
        </w:tc>
        <w:tc>
          <w:tcPr>
            <w:tcW w:w="299" w:type="dxa"/>
            <w:tcBorders/>
            <w:shd w:fill="FFFFFF" w:val="clear"/>
            <w:vAlign w:val="bottom"/>
          </w:tcPr>
          <w:p>
            <w:pPr>
              <w:pStyle w:val="TableContents"/>
              <w:spacing w:before="0" w:after="283"/>
              <w:rPr/>
            </w:pPr>
            <w:r>
              <w:rPr/>
              <w:t>​</w:t>
            </w:r>
          </w:p>
        </w:tc>
        <w:tc>
          <w:tcPr>
            <w:tcW w:w="24" w:type="dxa"/>
            <w:tcBorders/>
            <w:shd w:fill="FFFFFF" w:val="clear"/>
            <w:vAlign w:val="bottom"/>
          </w:tcPr>
          <w:p>
            <w:pPr>
              <w:pStyle w:val="TableContents"/>
              <w:spacing w:before="0" w:after="283"/>
              <w:rPr/>
            </w:pPr>
            <w:r>
              <w:rPr/>
              <w:t>​</w:t>
            </w:r>
          </w:p>
        </w:tc>
      </w:tr>
      <w:tr>
        <w:trPr/>
        <w:tc>
          <w:tcPr>
            <w:tcW w:w="660" w:type="dxa"/>
            <w:tcBorders/>
            <w:shd w:fill="CCEEFF" w:val="clear"/>
            <w:vAlign w:val="bottom"/>
          </w:tcPr>
          <w:p>
            <w:pPr>
              <w:pStyle w:val="TableContents"/>
              <w:spacing w:before="0" w:after="283"/>
              <w:ind w:left="200" w:right="0" w:hanging="200"/>
              <w:rPr>
                <w:rFonts w:ascii="arial" w:hAnsi="arial"/>
                <w:sz w:val="20"/>
              </w:rPr>
            </w:pPr>
            <w:r>
              <w:rPr>
                <w:rFonts w:ascii="arial" w:hAnsi="arial"/>
                <w:sz w:val="20"/>
              </w:rPr>
              <w:t>Kevin J. Wilcox</w:t>
            </w:r>
            <w:r>
              <w:rPr>
                <w:rFonts w:ascii="arial" w:hAnsi="arial"/>
                <w:position w:val="7"/>
                <w:sz w:val="16"/>
                <w:sz w:val="20"/>
              </w:rPr>
              <w:t>(2)</w:t>
            </w:r>
          </w:p>
        </w:tc>
        <w:tc>
          <w:tcPr>
            <w:tcW w:w="4690" w:type="dxa"/>
            <w:tcBorders/>
            <w:shd w:fill="CCEEFF" w:val="clear"/>
            <w:vAlign w:val="bottom"/>
          </w:tcPr>
          <w:p>
            <w:pPr>
              <w:pStyle w:val="TableContents"/>
              <w:spacing w:before="0" w:after="283"/>
              <w:rPr/>
            </w:pPr>
            <w:r>
              <w:rPr/>
              <w:t>​</w:t>
            </w:r>
          </w:p>
        </w:tc>
        <w:tc>
          <w:tcPr>
            <w:tcW w:w="298" w:type="dxa"/>
            <w:tcBorders/>
            <w:shd w:fill="CCEEFF" w:val="clear"/>
            <w:vAlign w:val="bottom"/>
          </w:tcPr>
          <w:p>
            <w:pPr>
              <w:pStyle w:val="TableContents"/>
              <w:spacing w:before="0" w:after="283"/>
              <w:rPr/>
            </w:pPr>
            <w:r>
              <w:rPr/>
              <w:t>​</w:t>
            </w:r>
          </w:p>
        </w:tc>
        <w:tc>
          <w:tcPr>
            <w:tcW w:w="594" w:type="dxa"/>
            <w:gridSpan w:val="2"/>
            <w:tcBorders/>
            <w:shd w:fill="CCEEFF" w:val="clear"/>
            <w:vAlign w:val="bottom"/>
          </w:tcPr>
          <w:p>
            <w:pPr>
              <w:pStyle w:val="TableContents"/>
              <w:spacing w:before="0" w:after="283"/>
              <w:jc w:val="center"/>
              <w:rPr>
                <w:rFonts w:ascii="arial" w:hAnsi="arial"/>
                <w:sz w:val="20"/>
              </w:rPr>
            </w:pPr>
            <w:r>
              <w:rPr>
                <w:rFonts w:ascii="arial" w:hAnsi="arial"/>
                <w:sz w:val="20"/>
              </w:rPr>
              <w:t>100%</w:t>
            </w:r>
          </w:p>
        </w:tc>
        <w:tc>
          <w:tcPr>
            <w:tcW w:w="299" w:type="dxa"/>
            <w:tcBorders/>
            <w:shd w:fill="CCEEFF" w:val="clear"/>
            <w:vAlign w:val="bottom"/>
          </w:tcPr>
          <w:p>
            <w:pPr>
              <w:pStyle w:val="TableContents"/>
              <w:spacing w:before="0" w:after="283"/>
              <w:rPr/>
            </w:pPr>
            <w:r>
              <w:rPr/>
              <w:t>​</w:t>
            </w:r>
          </w:p>
        </w:tc>
        <w:tc>
          <w:tcPr>
            <w:tcW w:w="23" w:type="dxa"/>
            <w:tcBorders/>
            <w:shd w:fill="CCEEFF" w:val="clear"/>
            <w:vAlign w:val="bottom"/>
          </w:tcPr>
          <w:p>
            <w:pPr>
              <w:pStyle w:val="TableContents"/>
              <w:spacing w:before="0" w:after="283"/>
              <w:rPr/>
            </w:pPr>
            <w:r>
              <w:rPr/>
              <w:t>​</w:t>
            </w:r>
          </w:p>
        </w:tc>
        <w:tc>
          <w:tcPr>
            <w:tcW w:w="297" w:type="dxa"/>
            <w:tcBorders/>
            <w:shd w:fill="CCEEFF" w:val="clear"/>
            <w:vAlign w:val="bottom"/>
          </w:tcPr>
          <w:p>
            <w:pPr>
              <w:pStyle w:val="TableContents"/>
              <w:spacing w:before="0" w:after="283"/>
              <w:rPr/>
            </w:pPr>
            <w:r>
              <w:rPr/>
              <w:t>​</w:t>
            </w:r>
          </w:p>
        </w:tc>
        <w:tc>
          <w:tcPr>
            <w:tcW w:w="594" w:type="dxa"/>
            <w:gridSpan w:val="2"/>
            <w:tcBorders/>
            <w:shd w:fill="CCEEFF" w:val="clear"/>
            <w:vAlign w:val="bottom"/>
          </w:tcPr>
          <w:p>
            <w:pPr>
              <w:pStyle w:val="TableContents"/>
              <w:spacing w:before="0" w:after="283"/>
              <w:jc w:val="center"/>
              <w:rPr>
                <w:rFonts w:ascii="arial" w:hAnsi="arial"/>
                <w:sz w:val="20"/>
              </w:rPr>
            </w:pPr>
            <w:r>
              <w:rPr>
                <w:rFonts w:ascii="arial" w:hAnsi="arial"/>
                <w:sz w:val="20"/>
              </w:rPr>
              <w:t>0%</w:t>
            </w:r>
          </w:p>
        </w:tc>
        <w:tc>
          <w:tcPr>
            <w:tcW w:w="299" w:type="dxa"/>
            <w:tcBorders/>
            <w:shd w:fill="CCEEFF" w:val="clear"/>
            <w:vAlign w:val="bottom"/>
          </w:tcPr>
          <w:p>
            <w:pPr>
              <w:pStyle w:val="TableContents"/>
              <w:spacing w:before="0" w:after="283"/>
              <w:rPr/>
            </w:pPr>
            <w:r>
              <w:rPr/>
              <w:t>​</w:t>
            </w:r>
          </w:p>
        </w:tc>
        <w:tc>
          <w:tcPr>
            <w:tcW w:w="23" w:type="dxa"/>
            <w:tcBorders/>
            <w:shd w:fill="CCEEFF" w:val="clear"/>
            <w:vAlign w:val="bottom"/>
          </w:tcPr>
          <w:p>
            <w:pPr>
              <w:pStyle w:val="TableContents"/>
              <w:spacing w:before="0" w:after="283"/>
              <w:rPr/>
            </w:pPr>
            <w:r>
              <w:rPr/>
              <w:t>​</w:t>
            </w:r>
          </w:p>
        </w:tc>
        <w:tc>
          <w:tcPr>
            <w:tcW w:w="298" w:type="dxa"/>
            <w:tcBorders/>
            <w:shd w:fill="CCEEFF" w:val="clear"/>
            <w:vAlign w:val="bottom"/>
          </w:tcPr>
          <w:p>
            <w:pPr>
              <w:pStyle w:val="TableContents"/>
              <w:spacing w:before="0" w:after="283"/>
              <w:rPr/>
            </w:pPr>
            <w:r>
              <w:rPr/>
              <w:t>​</w:t>
            </w:r>
          </w:p>
        </w:tc>
        <w:tc>
          <w:tcPr>
            <w:tcW w:w="594" w:type="dxa"/>
            <w:gridSpan w:val="2"/>
            <w:tcBorders/>
            <w:shd w:fill="CCEEFF" w:val="clear"/>
            <w:vAlign w:val="bottom"/>
          </w:tcPr>
          <w:p>
            <w:pPr>
              <w:pStyle w:val="TableContents"/>
              <w:spacing w:before="0" w:after="283"/>
              <w:jc w:val="center"/>
              <w:rPr>
                <w:rFonts w:ascii="arial" w:hAnsi="arial"/>
                <w:sz w:val="20"/>
              </w:rPr>
            </w:pPr>
            <w:r>
              <w:rPr>
                <w:rFonts w:ascii="arial" w:hAnsi="arial"/>
                <w:sz w:val="20"/>
              </w:rPr>
              <w:t>100%</w:t>
            </w:r>
          </w:p>
        </w:tc>
        <w:tc>
          <w:tcPr>
            <w:tcW w:w="299" w:type="dxa"/>
            <w:tcBorders/>
            <w:shd w:fill="CCEEFF" w:val="clear"/>
            <w:vAlign w:val="bottom"/>
          </w:tcPr>
          <w:p>
            <w:pPr>
              <w:pStyle w:val="TableContents"/>
              <w:spacing w:before="0" w:after="283"/>
              <w:rPr/>
            </w:pPr>
            <w:r>
              <w:rPr/>
              <w:t>​</w:t>
            </w:r>
          </w:p>
        </w:tc>
        <w:tc>
          <w:tcPr>
            <w:tcW w:w="23" w:type="dxa"/>
            <w:tcBorders/>
            <w:shd w:fill="CCEEFF" w:val="clear"/>
            <w:vAlign w:val="bottom"/>
          </w:tcPr>
          <w:p>
            <w:pPr>
              <w:pStyle w:val="TableContents"/>
              <w:spacing w:before="0" w:after="283"/>
              <w:rPr/>
            </w:pPr>
            <w:r>
              <w:rPr/>
              <w:t>​</w:t>
            </w:r>
          </w:p>
        </w:tc>
        <w:tc>
          <w:tcPr>
            <w:tcW w:w="297" w:type="dxa"/>
            <w:tcBorders/>
            <w:shd w:fill="CCEEFF" w:val="clear"/>
            <w:vAlign w:val="bottom"/>
          </w:tcPr>
          <w:p>
            <w:pPr>
              <w:pStyle w:val="TableContents"/>
              <w:spacing w:before="0" w:after="283"/>
              <w:rPr/>
            </w:pPr>
            <w:r>
              <w:rPr/>
              <w:t>​</w:t>
            </w:r>
          </w:p>
        </w:tc>
        <w:tc>
          <w:tcPr>
            <w:tcW w:w="594" w:type="dxa"/>
            <w:gridSpan w:val="2"/>
            <w:tcBorders/>
            <w:shd w:fill="CCEEFF" w:val="clear"/>
            <w:vAlign w:val="bottom"/>
          </w:tcPr>
          <w:p>
            <w:pPr>
              <w:pStyle w:val="TableContents"/>
              <w:spacing w:before="0" w:after="283"/>
              <w:jc w:val="center"/>
              <w:rPr>
                <w:rFonts w:ascii="arial" w:hAnsi="arial"/>
                <w:sz w:val="20"/>
              </w:rPr>
            </w:pPr>
            <w:r>
              <w:rPr>
                <w:rFonts w:ascii="arial" w:hAnsi="arial"/>
                <w:sz w:val="20"/>
              </w:rPr>
              <w:t></w:t>
            </w:r>
          </w:p>
        </w:tc>
        <w:tc>
          <w:tcPr>
            <w:tcW w:w="299" w:type="dxa"/>
            <w:tcBorders/>
            <w:shd w:fill="CCEEFF" w:val="clear"/>
            <w:vAlign w:val="bottom"/>
          </w:tcPr>
          <w:p>
            <w:pPr>
              <w:pStyle w:val="TableContents"/>
              <w:spacing w:before="0" w:after="283"/>
              <w:rPr/>
            </w:pPr>
            <w:r>
              <w:rPr/>
              <w:t>​</w:t>
            </w:r>
          </w:p>
        </w:tc>
        <w:tc>
          <w:tcPr>
            <w:tcW w:w="24" w:type="dxa"/>
            <w:tcBorders/>
            <w:shd w:fill="CCEEFF" w:val="clear"/>
            <w:vAlign w:val="bottom"/>
          </w:tcPr>
          <w:p>
            <w:pPr>
              <w:pStyle w:val="TableContents"/>
              <w:spacing w:before="0" w:after="283"/>
              <w:rPr/>
            </w:pPr>
            <w:r>
              <w:rPr/>
              <w:t>​</w:t>
            </w:r>
          </w:p>
        </w:tc>
      </w:tr>
    </w:tbl>
    <w:p>
      <w:pPr>
        <w:pStyle w:val="HorizontalLine"/>
        <w:pBdr>
          <w:bottom w:val="single" w:sz="6" w:space="0" w:color="000000"/>
        </w:pBdr>
        <w:ind w:left="0" w:right="7552" w:hanging="0"/>
        <w:rPr/>
      </w:pPr>
      <w:r>
        <w:rPr/>
      </w:r>
    </w:p>
    <w:p>
      <w:pPr>
        <w:pStyle w:val="ListHeading"/>
        <w:spacing w:before="0" w:after="0"/>
        <w:jc w:val="left"/>
        <w:rPr>
          <w:rFonts w:ascii="arial" w:hAnsi="arial"/>
          <w:position w:val="7"/>
          <w:sz w:val="16"/>
          <w:sz w:val="20"/>
        </w:rPr>
      </w:pPr>
      <w:r>
        <w:rPr>
          <w:rFonts w:ascii="arial" w:hAnsi="arial"/>
          <w:position w:val="7"/>
          <w:sz w:val="16"/>
          <w:sz w:val="20"/>
        </w:rPr>
        <w:t>(1)</w:t>
      </w:r>
    </w:p>
    <w:p>
      <w:pPr>
        <w:pStyle w:val="ListContents"/>
        <w:spacing w:before="0" w:after="283"/>
        <w:jc w:val="left"/>
        <w:rPr>
          <w:rFonts w:ascii="arial" w:hAnsi="arial"/>
          <w:sz w:val="20"/>
        </w:rPr>
      </w:pPr>
      <w:r>
        <w:rPr>
          <w:rFonts w:ascii="arial" w:hAnsi="arial"/>
          <w:sz w:val="20"/>
        </w:rPr>
        <w:t xml:space="preserve">Mr. Ritts' Annual Incentive Compensation was reduced by $58,620, which is equal to 25% of his base compensation for the period April 1, 2020 to October 4, 2020. In lieu of the reduction in base salary Mr. Ritts elected for this amount to be adjusted against his earned 2020 incentive </w:t>
      </w:r>
    </w:p>
    <w:p>
      <w:pPr>
        <w:pStyle w:val="ListHeading"/>
        <w:spacing w:before="0" w:after="0"/>
        <w:jc w:val="left"/>
        <w:rPr>
          <w:rFonts w:ascii="arial" w:hAnsi="arial"/>
          <w:position w:val="7"/>
          <w:sz w:val="16"/>
          <w:sz w:val="20"/>
        </w:rPr>
      </w:pPr>
      <w:r>
        <w:rPr>
          <w:rFonts w:ascii="arial" w:hAnsi="arial"/>
          <w:position w:val="7"/>
          <w:sz w:val="16"/>
          <w:sz w:val="20"/>
        </w:rPr>
        <w:t>(2)</w:t>
      </w:r>
    </w:p>
    <w:p>
      <w:pPr>
        <w:pStyle w:val="ListContents"/>
        <w:spacing w:before="0" w:after="283"/>
        <w:jc w:val="left"/>
        <w:rPr>
          <w:rFonts w:ascii="arial" w:hAnsi="arial"/>
          <w:sz w:val="20"/>
        </w:rPr>
      </w:pPr>
      <w:r>
        <w:rPr>
          <w:rFonts w:ascii="arial" w:hAnsi="arial"/>
          <w:sz w:val="20"/>
        </w:rPr>
        <w:t xml:space="preserve">Employment of Mr. Wilcox with the Company ended in April 2020 and he was not eligible for 2020 incentive compensation </w:t>
      </w:r>
    </w:p>
    <w:p>
      <w:pPr>
        <w:pStyle w:val="TextBody"/>
        <w:rPr>
          <w:rFonts w:ascii="arial" w:hAnsi="arial"/>
          <w:sz w:val="20"/>
        </w:rPr>
      </w:pPr>
      <w:r>
        <w:rPr>
          <w:rFonts w:ascii="arial" w:hAnsi="arial"/>
          <w:sz w:val="20"/>
        </w:rPr>
        <w:t xml:space="preserve">Scorecard development for 2020, along with these subsequent changes, is detailed in the next section. </w:t>
      </w:r>
    </w:p>
    <w:p>
      <w:pPr>
        <w:pStyle w:val="TextBody"/>
        <w:ind w:left="200" w:right="0" w:hanging="200"/>
        <w:rPr>
          <w:rFonts w:ascii="arial" w:hAnsi="arial"/>
          <w:sz w:val="20"/>
        </w:rPr>
      </w:pPr>
      <w:r>
        <w:rPr>
          <w:rFonts w:ascii="arial" w:hAnsi="arial"/>
          <w:sz w:val="20"/>
          <w:u w:val="single"/>
        </w:rPr>
        <w:t>Personal Scorecards of our Named Executive Officers</w:t>
      </w:r>
      <w:r>
        <w:rPr>
          <w:rFonts w:ascii="arial" w:hAnsi="arial"/>
          <w:sz w:val="20"/>
        </w:rPr>
        <w:t xml:space="preserve"> </w:t>
      </w:r>
    </w:p>
    <w:p>
      <w:pPr>
        <w:pStyle w:val="TextBody"/>
        <w:rPr>
          <w:rFonts w:ascii="arial" w:hAnsi="arial"/>
          <w:sz w:val="20"/>
        </w:rPr>
      </w:pPr>
      <w:r>
        <w:rPr>
          <w:rFonts w:ascii="arial" w:hAnsi="arial"/>
          <w:sz w:val="20"/>
        </w:rPr>
        <w:t xml:space="preserve">The corporate scorecard is approved annually by the Board of Directors and is used by the Compensation Committee to determine the personal scorecards of our Chief Executive Officer and other Named Executive Officers and, following the end of the performance period, the appropriate amount of annual incentive compensation awarded to these executives. During the development of the corporate scorecard each year, the Board of Directors considers the level of difficulty associated with the attainment of each goal in the corporate scorecard. The intent of the Board of Directors is to establish target levels in the scorecard that are ambitious but achievable. Subsequent amendments/exceptions to the corporate scorecard must also be approved by the Board of Directors. Typically, in evaluating whether to approve these amendments/exceptions to the corporate scorecard, the Board of Directors considers whether they are appropriate in light of changes to the business, the market or other relevant factors during the year, including the effect that such amendment/exception would have on our Named Executive Officers' personal scorecards, and whether the rationale for the amendment/exception relates to factor(s) beyond the Named Executive Officers' control or is due to decisions taken in the overall best interests of the Company and its shareholders. </w:t>
      </w:r>
    </w:p>
    <w:p>
      <w:pPr>
        <w:pStyle w:val="TextBody"/>
        <w:jc w:val="center"/>
        <w:rPr>
          <w:rFonts w:ascii="arial" w:hAnsi="arial"/>
          <w:sz w:val="20"/>
        </w:rPr>
      </w:pPr>
      <w:r>
        <w:rPr>
          <w:rFonts w:ascii="arial" w:hAnsi="arial"/>
          <w:sz w:val="20"/>
        </w:rPr>
        <w:t>44</w:t>
      </w:r>
    </w:p>
    <w:p>
      <w:pPr>
        <w:pStyle w:val="HorizontalLine"/>
        <w:pBdr>
          <w:bottom w:val="single" w:sz="20" w:space="0" w:color="808080"/>
        </w:pBdr>
        <w:rPr/>
      </w:pPr>
      <w:r>
        <w:rPr/>
      </w:r>
      <w:r>
        <w:br w:type="page"/>
      </w:r>
    </w:p>
    <w:p>
      <w:pPr>
        <w:pStyle w:val="TextBody"/>
        <w:rPr/>
      </w:pPr>
      <w:hyperlink w:anchor="bg45301a_main_toc">
        <w:bookmarkStart w:id="92" w:name="page_do45301_1_45"/>
        <w:bookmarkEnd w:id="92"/>
        <w:r>
          <w:rPr>
            <w:rStyle w:val="InternetLink"/>
            <w:rFonts w:ascii="arial" w:hAnsi="arial"/>
            <w:sz w:val="20"/>
          </w:rPr>
          <w:t>Table of Contents</w:t>
        </w:r>
      </w:hyperlink>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3367"/>
        <w:gridCol w:w="101"/>
        <w:gridCol w:w="6737"/>
      </w:tblGrid>
      <w:tr>
        <w:trPr/>
        <w:tc>
          <w:tcPr>
            <w:tcW w:w="3367" w:type="dxa"/>
            <w:tcBorders/>
            <w:shd w:fill="auto" w:val="clear"/>
            <w:vAlign w:val="center"/>
          </w:tcPr>
          <w:p>
            <w:pPr>
              <w:pStyle w:val="TableContents"/>
              <w:spacing w:before="0" w:after="283"/>
              <w:rPr/>
            </w:pPr>
            <w:r>
              <w:rPr/>
              <w:commentReference w:id="155"/>
            </w:r>
            <w:r>
              <w:rPr/>
              <w:commentReference w:id="156"/>
            </w:r>
            <w:r>
              <w:rPr/>
              <w:commentReference w:id="157"/>
            </w:r>
            <w:r>
              <w:rPr/>
              <w:t>​</w:t>
            </w:r>
          </w:p>
        </w:tc>
        <w:tc>
          <w:tcPr>
            <w:tcW w:w="101" w:type="dxa"/>
            <w:tcBorders/>
            <w:shd w:fill="auto" w:val="clear"/>
            <w:vAlign w:val="center"/>
          </w:tcPr>
          <w:p>
            <w:pPr>
              <w:pStyle w:val="TableContents"/>
              <w:spacing w:before="0" w:after="283"/>
              <w:rPr/>
            </w:pPr>
            <w:r>
              <w:rPr/>
              <w:t>​</w:t>
            </w:r>
          </w:p>
        </w:tc>
        <w:tc>
          <w:tcPr>
            <w:tcW w:w="6737" w:type="dxa"/>
            <w:tcBorders/>
            <w:shd w:fill="auto" w:val="clear"/>
            <w:vAlign w:val="center"/>
          </w:tcPr>
          <w:p>
            <w:pPr>
              <w:pStyle w:val="TableContents"/>
              <w:spacing w:before="0" w:after="283"/>
              <w:rPr/>
            </w:pPr>
            <w:r>
              <w:rPr/>
              <w:t>​</w:t>
            </w:r>
            <w:r>
              <w:rPr>
                <w:rFonts w:eastAsia="arial" w:cs="arial" w:ascii="arial" w:hAnsi="arial"/>
              </w:rPr>
              <w:commentReference w:id="158"/>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drawing>
                <wp:inline distT="0" distB="0" distL="0" distR="0">
                  <wp:extent cx="2943225" cy="1809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embed="rId78"/>
                          <a:stretch>
                            <a:fillRect/>
                          </a:stretch>
                        </pic:blipFill>
                        <pic:spPr bwMode="auto">
                          <a:xfrm>
                            <a:off x="0" y="0"/>
                            <a:ext cx="2943225" cy="180975"/>
                          </a:xfrm>
                          <a:prstGeom prst="rect">
                            <a:avLst/>
                          </a:prstGeom>
                        </pic:spPr>
                      </pic:pic>
                    </a:graphicData>
                  </a:graphic>
                </wp:inline>
              </w:drawing>
            </w:r>
            <w:r>
              <w:rPr/>
              <w:t xml:space="preserve"> </w:t>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t> </w:t>
            </w:r>
          </w:p>
        </w:tc>
      </w:tr>
    </w:tbl>
    <w:p>
      <w:pPr>
        <w:pStyle w:val="TextBody"/>
        <w:rPr/>
      </w:pPr>
      <w:r>
        <w:rPr>
          <w:color w:val="000000"/>
        </w:rPr>
        <w:commentReference w:id="159"/>
      </w:r>
      <w:r>
        <w:rPr>
          <w:color w:val="000000"/>
        </w:rPr>
        <w:t>​</w:t>
      </w:r>
      <w:r>
        <w:rPr/>
        <w:t xml:space="preserve"> </w:t>
      </w:r>
    </w:p>
    <w:p>
      <w:pPr>
        <w:pStyle w:val="TextBody"/>
        <w:ind w:left="220" w:right="0" w:hanging="220"/>
        <w:rPr>
          <w:rFonts w:ascii="arial" w:hAnsi="arial"/>
          <w:b/>
          <w:sz w:val="20"/>
        </w:rPr>
      </w:pPr>
      <w:r>
        <w:rPr>
          <w:rFonts w:ascii="arial" w:hAnsi="arial"/>
          <w:b/>
          <w:sz w:val="20"/>
        </w:rPr>
        <w:t xml:space="preserve">2020 Corporate Scorecard </w:t>
      </w:r>
    </w:p>
    <w:p>
      <w:pPr>
        <w:pStyle w:val="TextBody"/>
        <w:rPr>
          <w:rFonts w:ascii="arial" w:hAnsi="arial"/>
          <w:sz w:val="20"/>
        </w:rPr>
      </w:pPr>
      <w:r>
        <w:rPr>
          <w:rFonts w:ascii="arial" w:hAnsi="arial"/>
          <w:sz w:val="20"/>
        </w:rPr>
        <w:t xml:space="preserve">The 2020 annual corporate scorecard was initially established by the Board of Directors on January 24, 2020. The initial scorecard metrics included: (i) service revenue broken into two components: (a) Ocwen/NRZ revenue ($378.63 million) and (b) other customers' revenue ($113.345 million); and (ii) Altisource adjusted EBITDA ($62.617 million), with additional metrics related to strategic initiatives applied to the Chief Executive Officer, Chief Financial Officer and Chief Legal and Compliance Officer. The corporate scorecard was revised on October 1, 2020 due to the impact of temporary servicer and government COVID-19 related measures to provide financial support to borrowers (i.e., foreclosure and eviction moratoriums and borrower forbearance plans), and one of Ocwen's MSR investors directing it to transition field services, title and valuation referrals to that investor's captive vendors. The Board of Directors determined that the previously adopted 2020 corporate scorecard metrics no longer aligned with the strategic priorities of the Company and adopted a revised 2020 scorecard to reflect the Company's cost reduction priority. The revised 2020 corporate scorecard replaced scorecard metrics tied to annual financial goals with the development of, and progress against, a plan to reduce Company costs by $50 million. </w:t>
      </w:r>
    </w:p>
    <w:p>
      <w:pPr>
        <w:pStyle w:val="TextBody"/>
        <w:rPr>
          <w:rFonts w:ascii="arial" w:hAnsi="arial"/>
          <w:sz w:val="20"/>
        </w:rPr>
      </w:pPr>
      <w:r>
        <w:rPr>
          <w:rFonts w:ascii="arial" w:hAnsi="arial"/>
          <w:sz w:val="20"/>
        </w:rPr>
        <w:t xml:space="preserve">The personal annual scorecards for the Chief Executive Officer and the other Named Executive Officers are tied to the corporate scorecard; provided, however, that the personal scorecard for each of the Chief Executive Officer, Chief Financial Officer and Chief Legal and Compliance Officer included a strategic initiatives metric. The Board of Directors and Compensation Committee revisited the previously adopted 2020 personal scorecard metrics in connection with the revision of the 2020 annual corporate scorecard to align the personal scorecards with the revised corporate scorecard. The Board of Directors and Compensation Committee determined that the previously adopted 2020 scorecard metrics no longer aligned with the strategic priorities of the Company and adopted a revised 2020 scorecard to reflect the Company's cost reduction priority. The revised 2020 scorecard replaced scorecard metrics tied to annual financial goals with the development of, and progress against, a plan to reduce Company costs by $50 million. The Compensation Committee also defined the annual incentive pool funding and capped the maximum bonus payable to the Named Executive Officers, as described in the Incentive Compensation section. </w:t>
      </w:r>
    </w:p>
    <w:p>
      <w:pPr>
        <w:pStyle w:val="TextBody"/>
        <w:jc w:val="center"/>
        <w:rPr>
          <w:rFonts w:ascii="arial" w:hAnsi="arial"/>
          <w:sz w:val="20"/>
        </w:rPr>
      </w:pPr>
      <w:r>
        <w:rPr>
          <w:rFonts w:ascii="arial" w:hAnsi="arial"/>
          <w:sz w:val="20"/>
        </w:rPr>
        <w:t>45</w:t>
      </w:r>
    </w:p>
    <w:p>
      <w:pPr>
        <w:pStyle w:val="HorizontalLine"/>
        <w:pBdr>
          <w:bottom w:val="single" w:sz="20" w:space="0" w:color="808080"/>
        </w:pBdr>
        <w:rPr/>
      </w:pPr>
      <w:r>
        <w:rPr/>
      </w:r>
      <w:r>
        <w:br w:type="page"/>
      </w:r>
    </w:p>
    <w:p>
      <w:pPr>
        <w:pStyle w:val="TextBody"/>
        <w:rPr/>
      </w:pPr>
      <w:hyperlink w:anchor="bg45301a_main_toc">
        <w:bookmarkStart w:id="93" w:name="page_dq45301_1_46"/>
        <w:bookmarkEnd w:id="93"/>
        <w:r>
          <w:rPr>
            <w:rStyle w:val="InternetLink"/>
            <w:rFonts w:ascii="arial" w:hAnsi="arial"/>
            <w:sz w:val="20"/>
          </w:rPr>
          <w:t>Table of Contents</w:t>
        </w:r>
      </w:hyperlink>
      <w:r>
        <w:rPr>
          <w:rFonts w:ascii="arial" w:hAnsi="arial"/>
          <w:sz w:val="20"/>
        </w:rPr>
        <w:t xml:space="preserve"> </w:t>
      </w:r>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3367"/>
        <w:gridCol w:w="101"/>
        <w:gridCol w:w="6737"/>
      </w:tblGrid>
      <w:tr>
        <w:trPr/>
        <w:tc>
          <w:tcPr>
            <w:tcW w:w="3367" w:type="dxa"/>
            <w:tcBorders/>
            <w:shd w:fill="auto" w:val="clear"/>
            <w:vAlign w:val="center"/>
          </w:tcPr>
          <w:p>
            <w:pPr>
              <w:pStyle w:val="TableContents"/>
              <w:spacing w:before="0" w:after="283"/>
              <w:rPr/>
            </w:pPr>
            <w:r>
              <w:rPr/>
              <w:commentReference w:id="160"/>
            </w:r>
            <w:r>
              <w:rPr/>
              <w:commentReference w:id="161"/>
            </w:r>
            <w:r>
              <w:rPr/>
              <w:commentReference w:id="162"/>
            </w:r>
            <w:r>
              <w:rPr/>
              <w:t>​</w:t>
            </w:r>
          </w:p>
        </w:tc>
        <w:tc>
          <w:tcPr>
            <w:tcW w:w="101" w:type="dxa"/>
            <w:tcBorders/>
            <w:shd w:fill="auto" w:val="clear"/>
            <w:vAlign w:val="center"/>
          </w:tcPr>
          <w:p>
            <w:pPr>
              <w:pStyle w:val="TableContents"/>
              <w:spacing w:before="0" w:after="283"/>
              <w:rPr/>
            </w:pPr>
            <w:r>
              <w:rPr/>
              <w:t>​</w:t>
            </w:r>
          </w:p>
        </w:tc>
        <w:tc>
          <w:tcPr>
            <w:tcW w:w="6737" w:type="dxa"/>
            <w:tcBorders/>
            <w:shd w:fill="auto" w:val="clear"/>
            <w:vAlign w:val="center"/>
          </w:tcPr>
          <w:p>
            <w:pPr>
              <w:pStyle w:val="TableContents"/>
              <w:spacing w:before="0" w:after="283"/>
              <w:rPr/>
            </w:pPr>
            <w:r>
              <w:rPr/>
              <w:t>​</w:t>
            </w:r>
            <w:r>
              <w:rPr>
                <w:rFonts w:eastAsia="arial" w:cs="arial" w:ascii="arial" w:hAnsi="arial"/>
              </w:rPr>
              <w:commentReference w:id="163"/>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drawing>
                <wp:inline distT="0" distB="0" distL="0" distR="0">
                  <wp:extent cx="2943225" cy="1809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embed="rId79"/>
                          <a:stretch>
                            <a:fillRect/>
                          </a:stretch>
                        </pic:blipFill>
                        <pic:spPr bwMode="auto">
                          <a:xfrm>
                            <a:off x="0" y="0"/>
                            <a:ext cx="2943225" cy="180975"/>
                          </a:xfrm>
                          <a:prstGeom prst="rect">
                            <a:avLst/>
                          </a:prstGeom>
                        </pic:spPr>
                      </pic:pic>
                    </a:graphicData>
                  </a:graphic>
                </wp:inline>
              </w:drawing>
            </w:r>
            <w:r>
              <w:rPr/>
              <w:t xml:space="preserve"> </w:t>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spacing w:before="0" w:after="283"/>
              <w:jc w:val="right"/>
              <w:rPr/>
            </w:pPr>
            <w:r>
              <w:rPr/>
              <w:t>​</w:t>
            </w:r>
          </w:p>
        </w:tc>
      </w:tr>
    </w:tbl>
    <w:p>
      <w:pPr>
        <w:pStyle w:val="TextBody"/>
        <w:rPr/>
      </w:pPr>
      <w:r>
        <w:rPr>
          <w:color w:val="000000"/>
        </w:rPr>
        <w:commentReference w:id="164"/>
      </w:r>
      <w:r>
        <w:rPr>
          <w:color w:val="000000"/>
        </w:rPr>
        <w:t>​</w:t>
      </w:r>
      <w:r>
        <w:rPr/>
        <w:t xml:space="preserve"> </w:t>
      </w:r>
    </w:p>
    <w:p>
      <w:pPr>
        <w:pStyle w:val="TextBody"/>
        <w:rPr>
          <w:rFonts w:ascii="arial" w:hAnsi="arial"/>
          <w:sz w:val="20"/>
        </w:rPr>
      </w:pPr>
      <w:r>
        <w:rPr>
          <w:rFonts w:ascii="arial" w:hAnsi="arial"/>
          <w:sz w:val="20"/>
        </w:rPr>
        <w:t xml:space="preserve">The revised 2020 personal scorecards for our Chief Executive Officer and other Named Executive Officers (other than the Chief Administration and Risk Officer, who was not eligible for 2020 incentives) that were approved by Board of Directors and the Compensation Committee, with corresponding level of achievement are as follows: </w:t>
      </w:r>
    </w:p>
    <w:tbl>
      <w:tblPr>
        <w:tblW w:w="5000" w:type="pct"/>
        <w:jc w:val="center"/>
        <w:tblInd w:w="0" w:type="dxa"/>
        <w:tblCellMar>
          <w:top w:w="0" w:type="dxa"/>
          <w:left w:w="0" w:type="dxa"/>
          <w:bottom w:w="0" w:type="dxa"/>
          <w:right w:w="0" w:type="dxa"/>
        </w:tblCellMar>
      </w:tblPr>
      <w:tblGrid>
        <w:gridCol w:w="1040"/>
        <w:gridCol w:w="23"/>
        <w:gridCol w:w="500"/>
        <w:gridCol w:w="23"/>
        <w:gridCol w:w="7375"/>
        <w:gridCol w:w="23"/>
        <w:gridCol w:w="1221"/>
      </w:tblGrid>
      <w:tr>
        <w:trPr/>
        <w:tc>
          <w:tcPr>
            <w:tcW w:w="104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7375"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221" w:type="dxa"/>
            <w:tcBorders/>
            <w:shd w:fill="auto" w:val="clear"/>
            <w:vAlign w:val="center"/>
          </w:tcPr>
          <w:p>
            <w:pPr>
              <w:pStyle w:val="TableContents"/>
              <w:spacing w:before="0" w:after="283"/>
              <w:rPr>
                <w:sz w:val="4"/>
                <w:szCs w:val="4"/>
              </w:rPr>
            </w:pPr>
            <w:r>
              <w:rPr>
                <w:sz w:val="4"/>
                <w:szCs w:val="4"/>
              </w:rPr>
            </w:r>
          </w:p>
        </w:tc>
      </w:tr>
      <w:tr>
        <w:trPr/>
        <w:tc>
          <w:tcPr>
            <w:tcW w:w="1040" w:type="dxa"/>
            <w:tcBorders>
              <w:bottom w:val="single" w:sz="8" w:space="0" w:color="000000"/>
            </w:tcBorders>
            <w:shd w:fill="auto" w:val="clear"/>
            <w:tcMar>
              <w:bottom w:w="28" w:type="dxa"/>
            </w:tcMar>
            <w:vAlign w:val="bottom"/>
          </w:tcPr>
          <w:p>
            <w:pPr>
              <w:pStyle w:val="TableHeading"/>
              <w:spacing w:before="0" w:after="283"/>
              <w:jc w:val="center"/>
              <w:rPr>
                <w:rFonts w:ascii="arial" w:hAnsi="arial"/>
                <w:b/>
                <w:sz w:val="20"/>
              </w:rPr>
            </w:pPr>
            <w:r>
              <w:rPr>
                <w:rFonts w:ascii="arial" w:hAnsi="arial"/>
                <w:b/>
                <w:sz w:val="20"/>
              </w:rPr>
              <w:t xml:space="preserve">Name </w:t>
            </w:r>
          </w:p>
        </w:tc>
        <w:tc>
          <w:tcPr>
            <w:tcW w:w="23" w:type="dxa"/>
            <w:tcBorders/>
            <w:shd w:fill="auto" w:val="clear"/>
            <w:vAlign w:val="bottom"/>
          </w:tcPr>
          <w:p>
            <w:pPr>
              <w:pStyle w:val="TableHeading"/>
              <w:suppressLineNumbers/>
              <w:spacing w:before="0" w:after="283"/>
              <w:jc w:val="center"/>
              <w:rPr/>
            </w:pPr>
            <w:r>
              <w:rPr/>
              <w:t>​</w:t>
            </w:r>
          </w:p>
        </w:tc>
        <w:tc>
          <w:tcPr>
            <w:tcW w:w="500" w:type="dxa"/>
            <w:tcBorders>
              <w:bottom w:val="single" w:sz="8" w:space="0" w:color="000000"/>
            </w:tcBorders>
            <w:shd w:fill="auto" w:val="clear"/>
            <w:tcMar>
              <w:bottom w:w="28" w:type="dxa"/>
            </w:tcMar>
            <w:vAlign w:val="bottom"/>
          </w:tcPr>
          <w:p>
            <w:pPr>
              <w:pStyle w:val="TableHeading"/>
              <w:spacing w:before="0" w:after="283"/>
              <w:jc w:val="center"/>
              <w:rPr>
                <w:rFonts w:ascii="arial" w:hAnsi="arial"/>
                <w:b/>
                <w:sz w:val="20"/>
              </w:rPr>
            </w:pPr>
            <w:r>
              <w:rPr>
                <w:rFonts w:ascii="arial" w:hAnsi="arial"/>
                <w:b/>
                <w:sz w:val="20"/>
              </w:rPr>
              <w:t xml:space="preserve">% </w:t>
            </w:r>
          </w:p>
        </w:tc>
        <w:tc>
          <w:tcPr>
            <w:tcW w:w="23" w:type="dxa"/>
            <w:tcBorders/>
            <w:shd w:fill="auto" w:val="clear"/>
            <w:vAlign w:val="bottom"/>
          </w:tcPr>
          <w:p>
            <w:pPr>
              <w:pStyle w:val="TableHeading"/>
              <w:suppressLineNumbers/>
              <w:spacing w:before="0" w:after="283"/>
              <w:jc w:val="center"/>
              <w:rPr/>
            </w:pPr>
            <w:r>
              <w:rPr/>
              <w:t>​</w:t>
            </w:r>
          </w:p>
        </w:tc>
        <w:tc>
          <w:tcPr>
            <w:tcW w:w="7375" w:type="dxa"/>
            <w:tcBorders>
              <w:bottom w:val="single" w:sz="8" w:space="0" w:color="000000"/>
            </w:tcBorders>
            <w:shd w:fill="auto" w:val="clear"/>
            <w:tcMar>
              <w:bottom w:w="28" w:type="dxa"/>
            </w:tcMar>
            <w:vAlign w:val="bottom"/>
          </w:tcPr>
          <w:p>
            <w:pPr>
              <w:pStyle w:val="TableHeading"/>
              <w:spacing w:before="0" w:after="283"/>
              <w:jc w:val="center"/>
              <w:rPr>
                <w:rFonts w:ascii="arial" w:hAnsi="arial"/>
                <w:b/>
                <w:sz w:val="20"/>
              </w:rPr>
            </w:pPr>
            <w:r>
              <w:rPr>
                <w:rFonts w:ascii="arial" w:hAnsi="arial"/>
                <w:b/>
                <w:sz w:val="20"/>
              </w:rPr>
              <w:t xml:space="preserve">2020 Scorecard Elements </w:t>
            </w:r>
          </w:p>
        </w:tc>
        <w:tc>
          <w:tcPr>
            <w:tcW w:w="23" w:type="dxa"/>
            <w:tcBorders/>
            <w:shd w:fill="auto" w:val="clear"/>
            <w:vAlign w:val="bottom"/>
          </w:tcPr>
          <w:p>
            <w:pPr>
              <w:pStyle w:val="TableHeading"/>
              <w:suppressLineNumbers/>
              <w:spacing w:before="0" w:after="283"/>
              <w:jc w:val="center"/>
              <w:rPr/>
            </w:pPr>
            <w:r>
              <w:rPr/>
              <w:t>​</w:t>
            </w:r>
          </w:p>
        </w:tc>
        <w:tc>
          <w:tcPr>
            <w:tcW w:w="1221" w:type="dxa"/>
            <w:tcBorders>
              <w:bottom w:val="single" w:sz="8" w:space="0" w:color="000000"/>
            </w:tcBorders>
            <w:shd w:fill="auto" w:val="clear"/>
            <w:tcMar>
              <w:bottom w:w="28" w:type="dxa"/>
            </w:tcMar>
            <w:vAlign w:val="bottom"/>
          </w:tcPr>
          <w:p>
            <w:pPr>
              <w:pStyle w:val="TableHeading"/>
              <w:spacing w:before="0" w:after="283"/>
              <w:jc w:val="center"/>
              <w:rPr>
                <w:rFonts w:ascii="arial" w:hAnsi="arial"/>
                <w:b/>
                <w:sz w:val="20"/>
              </w:rPr>
            </w:pPr>
            <w:r>
              <w:rPr>
                <w:rFonts w:ascii="arial" w:hAnsi="arial"/>
                <w:b/>
                <w:sz w:val="20"/>
              </w:rPr>
              <w:t xml:space="preserve">Weighted Average Achievement </w:t>
            </w:r>
          </w:p>
        </w:tc>
      </w:tr>
      <w:tr>
        <w:trPr/>
        <w:tc>
          <w:tcPr>
            <w:tcW w:w="1040" w:type="dxa"/>
            <w:tcBorders/>
            <w:shd w:fill="CCEEFF" w:val="clear"/>
          </w:tcPr>
          <w:p>
            <w:pPr>
              <w:pStyle w:val="TableContents"/>
              <w:spacing w:before="0" w:after="283"/>
              <w:rPr>
                <w:rFonts w:ascii="arial" w:hAnsi="arial"/>
                <w:sz w:val="20"/>
              </w:rPr>
            </w:pPr>
            <w:r>
              <w:rPr>
                <w:rFonts w:ascii="arial" w:hAnsi="arial"/>
                <w:sz w:val="20"/>
              </w:rPr>
              <w:t>William B. Shepro, Chief Executive Officer</w:t>
            </w:r>
          </w:p>
        </w:tc>
        <w:tc>
          <w:tcPr>
            <w:tcW w:w="23" w:type="dxa"/>
            <w:tcBorders/>
            <w:shd w:fill="CCEEFF" w:val="clear"/>
          </w:tcPr>
          <w:p>
            <w:pPr>
              <w:pStyle w:val="TableContents"/>
              <w:spacing w:before="0" w:after="283"/>
              <w:rPr/>
            </w:pPr>
            <w:r>
              <w:rPr/>
              <w:t>​</w:t>
            </w:r>
          </w:p>
        </w:tc>
        <w:tc>
          <w:tcPr>
            <w:tcW w:w="500" w:type="dxa"/>
            <w:tcBorders/>
            <w:shd w:fill="CCEEFF" w:val="clear"/>
          </w:tcPr>
          <w:p>
            <w:pPr>
              <w:pStyle w:val="TableContents"/>
              <w:spacing w:before="0" w:after="283"/>
              <w:jc w:val="center"/>
              <w:rPr>
                <w:rFonts w:ascii="arial" w:hAnsi="arial"/>
                <w:sz w:val="20"/>
              </w:rPr>
            </w:pPr>
            <w:r>
              <w:rPr>
                <w:rFonts w:ascii="arial" w:hAnsi="arial"/>
                <w:sz w:val="20"/>
              </w:rPr>
              <w:t>85.0%</w:t>
            </w:r>
          </w:p>
        </w:tc>
        <w:tc>
          <w:tcPr>
            <w:tcW w:w="23" w:type="dxa"/>
            <w:tcBorders/>
            <w:shd w:fill="CCEEFF" w:val="clear"/>
          </w:tcPr>
          <w:p>
            <w:pPr>
              <w:pStyle w:val="TableContents"/>
              <w:spacing w:before="0" w:after="283"/>
              <w:rPr/>
            </w:pPr>
            <w:r>
              <w:rPr/>
              <w:t>​</w:t>
            </w:r>
          </w:p>
        </w:tc>
        <w:tc>
          <w:tcPr>
            <w:tcW w:w="7375" w:type="dxa"/>
            <w:tcBorders/>
            <w:shd w:fill="CCEEFF" w:val="clear"/>
          </w:tcPr>
          <w:p>
            <w:pPr>
              <w:pStyle w:val="TableContents"/>
              <w:spacing w:before="0" w:after="283"/>
              <w:rPr>
                <w:rFonts w:ascii="arial" w:hAnsi="arial"/>
                <w:sz w:val="20"/>
              </w:rPr>
            </w:pPr>
            <w:r>
              <w:rPr>
                <w:rFonts w:ascii="arial" w:hAnsi="arial"/>
                <w:sz w:val="20"/>
              </w:rPr>
              <w:t>Development of and progress against the plan to reduce Company costs (~$50 million, in order to achieve 2021 adjusted EBITDA margins of 15%)</w:t>
            </w:r>
          </w:p>
        </w:tc>
        <w:tc>
          <w:tcPr>
            <w:tcW w:w="23" w:type="dxa"/>
            <w:tcBorders/>
            <w:shd w:fill="CCEEFF" w:val="clear"/>
          </w:tcPr>
          <w:p>
            <w:pPr>
              <w:pStyle w:val="TableContents"/>
              <w:spacing w:before="0" w:after="283"/>
              <w:rPr/>
            </w:pPr>
            <w:r>
              <w:rPr/>
              <w:t>​</w:t>
            </w:r>
          </w:p>
        </w:tc>
        <w:tc>
          <w:tcPr>
            <w:tcW w:w="1221" w:type="dxa"/>
            <w:tcBorders/>
            <w:shd w:fill="CCEEFF" w:val="clear"/>
          </w:tcPr>
          <w:p>
            <w:pPr>
              <w:pStyle w:val="TableContents"/>
              <w:spacing w:before="0" w:after="283"/>
              <w:jc w:val="center"/>
              <w:rPr>
                <w:rFonts w:ascii="arial" w:hAnsi="arial"/>
                <w:sz w:val="20"/>
              </w:rPr>
            </w:pPr>
            <w:r>
              <w:rPr>
                <w:rFonts w:ascii="arial" w:hAnsi="arial"/>
                <w:sz w:val="20"/>
              </w:rPr>
              <w:t>77.9%</w:t>
            </w:r>
          </w:p>
        </w:tc>
      </w:tr>
      <w:tr>
        <w:trPr/>
        <w:tc>
          <w:tcPr>
            <w:tcW w:w="1040" w:type="dxa"/>
            <w:tcBorders/>
            <w:shd w:fill="CCEEFF" w:val="clear"/>
          </w:tcPr>
          <w:p>
            <w:pPr>
              <w:pStyle w:val="TableContents"/>
              <w:spacing w:before="0" w:after="283"/>
              <w:rPr>
                <w:rFonts w:ascii="arial" w:hAnsi="arial"/>
                <w:sz w:val="20"/>
              </w:rPr>
            </w:pPr>
            <w:r>
              <w:rPr>
                <w:rFonts w:ascii="arial" w:hAnsi="arial"/>
                <w:sz w:val="20"/>
              </w:rPr>
              <w:br/>
              <w:t> </w:t>
            </w:r>
          </w:p>
        </w:tc>
        <w:tc>
          <w:tcPr>
            <w:tcW w:w="23" w:type="dxa"/>
            <w:tcBorders/>
            <w:shd w:fill="CCEEFF" w:val="clear"/>
          </w:tcPr>
          <w:p>
            <w:pPr>
              <w:pStyle w:val="TableContents"/>
              <w:spacing w:before="0" w:after="283"/>
              <w:rPr>
                <w:rFonts w:ascii="arial" w:hAnsi="arial"/>
                <w:sz w:val="20"/>
              </w:rPr>
            </w:pPr>
            <w:r>
              <w:rPr>
                <w:rFonts w:ascii="arial" w:hAnsi="arial"/>
                <w:sz w:val="20"/>
              </w:rPr>
              <w:br/>
              <w:t>​</w:t>
            </w:r>
          </w:p>
        </w:tc>
        <w:tc>
          <w:tcPr>
            <w:tcW w:w="500" w:type="dxa"/>
            <w:tcBorders/>
            <w:shd w:fill="CCEEFF" w:val="clear"/>
          </w:tcPr>
          <w:p>
            <w:pPr>
              <w:pStyle w:val="TableContents"/>
              <w:spacing w:before="0" w:after="283"/>
              <w:jc w:val="center"/>
              <w:rPr>
                <w:rFonts w:ascii="arial" w:hAnsi="arial"/>
              </w:rPr>
            </w:pPr>
            <w:r>
              <w:rPr>
                <w:rFonts w:ascii="arial" w:hAnsi="arial"/>
              </w:rPr>
              <w:br/>
            </w:r>
            <w:r>
              <w:rPr>
                <w:rFonts w:ascii="arial" w:hAnsi="arial"/>
                <w:sz w:val="20"/>
              </w:rPr>
              <w:t>15.0%</w:t>
            </w:r>
          </w:p>
        </w:tc>
        <w:tc>
          <w:tcPr>
            <w:tcW w:w="23" w:type="dxa"/>
            <w:tcBorders/>
            <w:shd w:fill="CCEEFF" w:val="clear"/>
          </w:tcPr>
          <w:p>
            <w:pPr>
              <w:pStyle w:val="TableContents"/>
              <w:spacing w:before="0" w:after="283"/>
              <w:rPr>
                <w:rFonts w:ascii="arial" w:hAnsi="arial"/>
                <w:sz w:val="20"/>
              </w:rPr>
            </w:pPr>
            <w:r>
              <w:rPr>
                <w:rFonts w:ascii="arial" w:hAnsi="arial"/>
                <w:sz w:val="20"/>
              </w:rPr>
              <w:br/>
              <w:t>​</w:t>
            </w:r>
          </w:p>
        </w:tc>
        <w:tc>
          <w:tcPr>
            <w:tcW w:w="7375" w:type="dxa"/>
            <w:tcBorders/>
            <w:shd w:fill="CCEEFF" w:val="clear"/>
          </w:tcPr>
          <w:p>
            <w:pPr>
              <w:pStyle w:val="TableContents"/>
              <w:spacing w:before="0" w:after="283"/>
              <w:rPr>
                <w:rFonts w:ascii="arial" w:hAnsi="arial"/>
              </w:rPr>
            </w:pPr>
            <w:r>
              <w:rPr>
                <w:rFonts w:ascii="arial" w:hAnsi="arial"/>
              </w:rPr>
              <w:br/>
            </w:r>
            <w:r>
              <w:rPr>
                <w:rFonts w:ascii="arial" w:hAnsi="arial"/>
                <w:sz w:val="20"/>
              </w:rPr>
              <w:t>Strategic Initiatives</w:t>
            </w:r>
          </w:p>
        </w:tc>
        <w:tc>
          <w:tcPr>
            <w:tcW w:w="23" w:type="dxa"/>
            <w:tcBorders/>
            <w:shd w:fill="CCEEFF" w:val="clear"/>
          </w:tcPr>
          <w:p>
            <w:pPr>
              <w:pStyle w:val="TableContents"/>
              <w:spacing w:before="0" w:after="283"/>
              <w:rPr>
                <w:rFonts w:ascii="arial" w:hAnsi="arial"/>
                <w:sz w:val="20"/>
              </w:rPr>
            </w:pPr>
            <w:r>
              <w:rPr>
                <w:rFonts w:ascii="arial" w:hAnsi="arial"/>
                <w:sz w:val="20"/>
              </w:rPr>
              <w:br/>
              <w:t>​</w:t>
            </w:r>
          </w:p>
        </w:tc>
        <w:tc>
          <w:tcPr>
            <w:tcW w:w="1221" w:type="dxa"/>
            <w:tcBorders/>
            <w:shd w:fill="CCEEFF" w:val="clear"/>
          </w:tcPr>
          <w:p>
            <w:pPr>
              <w:pStyle w:val="TableContents"/>
              <w:spacing w:before="0" w:after="283"/>
              <w:jc w:val="center"/>
              <w:rPr>
                <w:rFonts w:ascii="arial" w:hAnsi="arial"/>
              </w:rPr>
            </w:pPr>
            <w:r>
              <w:rPr>
                <w:rFonts w:ascii="arial" w:hAnsi="arial"/>
              </w:rPr>
              <w:br/>
            </w:r>
            <w:r>
              <w:rPr>
                <w:rFonts w:ascii="arial" w:hAnsi="arial"/>
                <w:sz w:val="20"/>
              </w:rPr>
              <w:t>13.8%</w:t>
            </w:r>
          </w:p>
        </w:tc>
      </w:tr>
      <w:tr>
        <w:trPr/>
        <w:tc>
          <w:tcPr>
            <w:tcW w:w="1040" w:type="dxa"/>
            <w:tcBorders/>
            <w:shd w:fill="CCEEFF" w:val="clear"/>
          </w:tcPr>
          <w:p>
            <w:pPr>
              <w:pStyle w:val="TableContents"/>
              <w:spacing w:before="0" w:after="283"/>
              <w:rPr>
                <w:rFonts w:ascii="arial" w:hAnsi="arial"/>
                <w:sz w:val="20"/>
              </w:rPr>
            </w:pPr>
            <w:r>
              <w:rPr>
                <w:rFonts w:ascii="arial" w:hAnsi="arial"/>
                <w:sz w:val="20"/>
              </w:rPr>
              <w:br/>
              <w:t> </w:t>
            </w:r>
          </w:p>
        </w:tc>
        <w:tc>
          <w:tcPr>
            <w:tcW w:w="23" w:type="dxa"/>
            <w:tcBorders/>
            <w:shd w:fill="CCEEFF" w:val="clear"/>
          </w:tcPr>
          <w:p>
            <w:pPr>
              <w:pStyle w:val="TableContents"/>
              <w:spacing w:before="0" w:after="283"/>
              <w:rPr>
                <w:rFonts w:ascii="arial" w:hAnsi="arial"/>
                <w:sz w:val="20"/>
              </w:rPr>
            </w:pPr>
            <w:r>
              <w:rPr>
                <w:rFonts w:ascii="arial" w:hAnsi="arial"/>
                <w:sz w:val="20"/>
              </w:rPr>
              <w:br/>
              <w:t>​</w:t>
            </w:r>
          </w:p>
        </w:tc>
        <w:tc>
          <w:tcPr>
            <w:tcW w:w="500" w:type="dxa"/>
            <w:tcBorders/>
            <w:shd w:fill="CCEEFF" w:val="clear"/>
          </w:tcPr>
          <w:p>
            <w:pPr>
              <w:pStyle w:val="TableContents"/>
              <w:spacing w:before="0" w:after="283"/>
              <w:jc w:val="center"/>
              <w:rPr>
                <w:rFonts w:ascii="arial" w:hAnsi="arial"/>
              </w:rPr>
            </w:pPr>
            <w:r>
              <w:rPr>
                <w:rFonts w:ascii="arial" w:hAnsi="arial"/>
              </w:rPr>
              <w:br/>
            </w:r>
            <w:r>
              <w:rPr>
                <w:rFonts w:ascii="arial" w:hAnsi="arial"/>
                <w:b/>
                <w:sz w:val="20"/>
              </w:rPr>
              <w:t>100.0%</w:t>
            </w:r>
          </w:p>
        </w:tc>
        <w:tc>
          <w:tcPr>
            <w:tcW w:w="23" w:type="dxa"/>
            <w:tcBorders/>
            <w:shd w:fill="CCEEFF" w:val="clear"/>
          </w:tcPr>
          <w:p>
            <w:pPr>
              <w:pStyle w:val="TableContents"/>
              <w:spacing w:before="0" w:after="283"/>
              <w:rPr>
                <w:rFonts w:ascii="arial" w:hAnsi="arial"/>
                <w:sz w:val="20"/>
              </w:rPr>
            </w:pPr>
            <w:r>
              <w:rPr>
                <w:rFonts w:ascii="arial" w:hAnsi="arial"/>
                <w:sz w:val="20"/>
              </w:rPr>
              <w:br/>
              <w:t>​</w:t>
            </w:r>
          </w:p>
        </w:tc>
        <w:tc>
          <w:tcPr>
            <w:tcW w:w="7375" w:type="dxa"/>
            <w:tcBorders/>
            <w:shd w:fill="CCEEFF" w:val="clear"/>
          </w:tcPr>
          <w:p>
            <w:pPr>
              <w:pStyle w:val="TableContents"/>
              <w:spacing w:before="0" w:after="283"/>
              <w:rPr>
                <w:rFonts w:ascii="arial" w:hAnsi="arial"/>
              </w:rPr>
            </w:pPr>
            <w:r>
              <w:rPr>
                <w:rFonts w:ascii="arial" w:hAnsi="arial"/>
              </w:rPr>
              <w:br/>
            </w:r>
            <w:r>
              <w:rPr>
                <w:rFonts w:ascii="arial" w:hAnsi="arial"/>
                <w:b/>
                <w:sz w:val="20"/>
              </w:rPr>
              <w:t>Total</w:t>
            </w:r>
          </w:p>
        </w:tc>
        <w:tc>
          <w:tcPr>
            <w:tcW w:w="23" w:type="dxa"/>
            <w:tcBorders/>
            <w:shd w:fill="CCEEFF" w:val="clear"/>
          </w:tcPr>
          <w:p>
            <w:pPr>
              <w:pStyle w:val="TableContents"/>
              <w:spacing w:before="0" w:after="283"/>
              <w:rPr>
                <w:rFonts w:ascii="arial" w:hAnsi="arial"/>
                <w:sz w:val="20"/>
              </w:rPr>
            </w:pPr>
            <w:r>
              <w:rPr>
                <w:rFonts w:ascii="arial" w:hAnsi="arial"/>
                <w:sz w:val="20"/>
              </w:rPr>
              <w:br/>
              <w:t>​</w:t>
            </w:r>
          </w:p>
        </w:tc>
        <w:tc>
          <w:tcPr>
            <w:tcW w:w="1221" w:type="dxa"/>
            <w:tcBorders/>
            <w:shd w:fill="CCEEFF" w:val="clear"/>
          </w:tcPr>
          <w:p>
            <w:pPr>
              <w:pStyle w:val="TableContents"/>
              <w:spacing w:before="0" w:after="283"/>
              <w:jc w:val="center"/>
              <w:rPr>
                <w:rFonts w:ascii="arial" w:hAnsi="arial"/>
              </w:rPr>
            </w:pPr>
            <w:r>
              <w:rPr>
                <w:rFonts w:ascii="arial" w:hAnsi="arial"/>
              </w:rPr>
              <w:br/>
            </w:r>
            <w:r>
              <w:rPr>
                <w:rFonts w:ascii="arial" w:hAnsi="arial"/>
                <w:b/>
                <w:sz w:val="20"/>
              </w:rPr>
              <w:t>91.7%</w:t>
            </w:r>
          </w:p>
        </w:tc>
      </w:tr>
      <w:tr>
        <w:trPr/>
        <w:tc>
          <w:tcPr>
            <w:tcW w:w="1040" w:type="dxa"/>
            <w:tcBorders/>
            <w:shd w:fill="auto" w:val="clear"/>
          </w:tcPr>
          <w:p>
            <w:pPr>
              <w:pStyle w:val="TableContents"/>
              <w:spacing w:before="0" w:after="283"/>
              <w:rPr>
                <w:rFonts w:ascii="arial" w:hAnsi="arial"/>
              </w:rPr>
            </w:pPr>
            <w:r>
              <w:rPr>
                <w:rFonts w:ascii="arial" w:hAnsi="arial"/>
              </w:rPr>
              <w:br/>
            </w:r>
            <w:r>
              <w:rPr>
                <w:rFonts w:ascii="arial" w:hAnsi="arial"/>
                <w:sz w:val="20"/>
              </w:rPr>
              <w:t>Michelle D. Esterman, Chief Financial Officer</w:t>
            </w:r>
          </w:p>
        </w:tc>
        <w:tc>
          <w:tcPr>
            <w:tcW w:w="23" w:type="dxa"/>
            <w:tcBorders/>
            <w:shd w:fill="auto" w:val="clear"/>
          </w:tcPr>
          <w:p>
            <w:pPr>
              <w:pStyle w:val="TableContents"/>
              <w:spacing w:before="0" w:after="283"/>
              <w:rPr>
                <w:rFonts w:ascii="arial" w:hAnsi="arial"/>
                <w:sz w:val="20"/>
              </w:rPr>
            </w:pPr>
            <w:r>
              <w:rPr>
                <w:rFonts w:ascii="arial" w:hAnsi="arial"/>
                <w:sz w:val="20"/>
              </w:rPr>
              <w:br/>
              <w:t>​</w:t>
            </w:r>
          </w:p>
        </w:tc>
        <w:tc>
          <w:tcPr>
            <w:tcW w:w="500" w:type="dxa"/>
            <w:tcBorders/>
            <w:shd w:fill="auto" w:val="clear"/>
          </w:tcPr>
          <w:p>
            <w:pPr>
              <w:pStyle w:val="TableContents"/>
              <w:spacing w:before="0" w:after="283"/>
              <w:jc w:val="center"/>
              <w:rPr>
                <w:rFonts w:ascii="arial" w:hAnsi="arial"/>
              </w:rPr>
            </w:pPr>
            <w:r>
              <w:rPr>
                <w:rFonts w:ascii="arial" w:hAnsi="arial"/>
              </w:rPr>
              <w:br/>
            </w:r>
            <w:r>
              <w:rPr>
                <w:rFonts w:ascii="arial" w:hAnsi="arial"/>
                <w:sz w:val="20"/>
              </w:rPr>
              <w:t>85.0%</w:t>
            </w:r>
          </w:p>
        </w:tc>
        <w:tc>
          <w:tcPr>
            <w:tcW w:w="23" w:type="dxa"/>
            <w:tcBorders/>
            <w:shd w:fill="auto" w:val="clear"/>
          </w:tcPr>
          <w:p>
            <w:pPr>
              <w:pStyle w:val="TableContents"/>
              <w:spacing w:before="0" w:after="283"/>
              <w:rPr>
                <w:rFonts w:ascii="arial" w:hAnsi="arial"/>
                <w:sz w:val="20"/>
              </w:rPr>
            </w:pPr>
            <w:r>
              <w:rPr>
                <w:rFonts w:ascii="arial" w:hAnsi="arial"/>
                <w:sz w:val="20"/>
              </w:rPr>
              <w:br/>
              <w:t>​</w:t>
            </w:r>
          </w:p>
        </w:tc>
        <w:tc>
          <w:tcPr>
            <w:tcW w:w="7375" w:type="dxa"/>
            <w:tcBorders/>
            <w:shd w:fill="auto" w:val="clear"/>
          </w:tcPr>
          <w:p>
            <w:pPr>
              <w:pStyle w:val="TableContents"/>
              <w:spacing w:before="0" w:after="283"/>
              <w:rPr>
                <w:rFonts w:ascii="arial" w:hAnsi="arial"/>
              </w:rPr>
            </w:pPr>
            <w:r>
              <w:rPr>
                <w:rFonts w:ascii="arial" w:hAnsi="arial"/>
              </w:rPr>
              <w:br/>
            </w:r>
            <w:r>
              <w:rPr>
                <w:rFonts w:ascii="arial" w:hAnsi="arial"/>
                <w:sz w:val="20"/>
              </w:rPr>
              <w:t>Development of and progress against the plan to reduce Company costs (~$50 million, in order to achieve 2021 adjusted EBITDA margins of 15%)</w:t>
            </w:r>
          </w:p>
        </w:tc>
        <w:tc>
          <w:tcPr>
            <w:tcW w:w="23" w:type="dxa"/>
            <w:tcBorders/>
            <w:shd w:fill="auto" w:val="clear"/>
          </w:tcPr>
          <w:p>
            <w:pPr>
              <w:pStyle w:val="TableContents"/>
              <w:spacing w:before="0" w:after="283"/>
              <w:rPr>
                <w:rFonts w:ascii="arial" w:hAnsi="arial"/>
                <w:sz w:val="20"/>
              </w:rPr>
            </w:pPr>
            <w:r>
              <w:rPr>
                <w:rFonts w:ascii="arial" w:hAnsi="arial"/>
                <w:sz w:val="20"/>
              </w:rPr>
              <w:br/>
              <w:t>​</w:t>
            </w:r>
          </w:p>
        </w:tc>
        <w:tc>
          <w:tcPr>
            <w:tcW w:w="1221" w:type="dxa"/>
            <w:tcBorders/>
            <w:shd w:fill="auto" w:val="clear"/>
          </w:tcPr>
          <w:p>
            <w:pPr>
              <w:pStyle w:val="TableContents"/>
              <w:spacing w:before="0" w:after="283"/>
              <w:jc w:val="center"/>
              <w:rPr>
                <w:rFonts w:ascii="arial" w:hAnsi="arial"/>
              </w:rPr>
            </w:pPr>
            <w:r>
              <w:rPr>
                <w:rFonts w:ascii="arial" w:hAnsi="arial"/>
              </w:rPr>
              <w:br/>
            </w:r>
            <w:r>
              <w:rPr>
                <w:rFonts w:ascii="arial" w:hAnsi="arial"/>
                <w:sz w:val="20"/>
              </w:rPr>
              <w:t>77.9%</w:t>
            </w:r>
          </w:p>
        </w:tc>
      </w:tr>
      <w:tr>
        <w:trPr/>
        <w:tc>
          <w:tcPr>
            <w:tcW w:w="1040" w:type="dxa"/>
            <w:tcBorders/>
            <w:shd w:fill="auto" w:val="clear"/>
          </w:tcPr>
          <w:p>
            <w:pPr>
              <w:pStyle w:val="TableContents"/>
              <w:spacing w:before="0" w:after="283"/>
              <w:rPr>
                <w:rFonts w:ascii="arial" w:hAnsi="arial"/>
                <w:sz w:val="20"/>
              </w:rPr>
            </w:pPr>
            <w:r>
              <w:rPr>
                <w:rFonts w:ascii="arial" w:hAnsi="arial"/>
                <w:sz w:val="20"/>
              </w:rPr>
              <w:br/>
              <w:t> </w:t>
            </w:r>
          </w:p>
        </w:tc>
        <w:tc>
          <w:tcPr>
            <w:tcW w:w="23" w:type="dxa"/>
            <w:tcBorders/>
            <w:shd w:fill="auto" w:val="clear"/>
          </w:tcPr>
          <w:p>
            <w:pPr>
              <w:pStyle w:val="TableContents"/>
              <w:spacing w:before="0" w:after="283"/>
              <w:rPr>
                <w:rFonts w:ascii="arial" w:hAnsi="arial"/>
                <w:sz w:val="20"/>
              </w:rPr>
            </w:pPr>
            <w:r>
              <w:rPr>
                <w:rFonts w:ascii="arial" w:hAnsi="arial"/>
                <w:sz w:val="20"/>
              </w:rPr>
              <w:br/>
              <w:t>​</w:t>
            </w:r>
          </w:p>
        </w:tc>
        <w:tc>
          <w:tcPr>
            <w:tcW w:w="500" w:type="dxa"/>
            <w:tcBorders/>
            <w:shd w:fill="auto" w:val="clear"/>
          </w:tcPr>
          <w:p>
            <w:pPr>
              <w:pStyle w:val="TableContents"/>
              <w:spacing w:before="0" w:after="283"/>
              <w:jc w:val="center"/>
              <w:rPr>
                <w:rFonts w:ascii="arial" w:hAnsi="arial"/>
              </w:rPr>
            </w:pPr>
            <w:r>
              <w:rPr>
                <w:rFonts w:ascii="arial" w:hAnsi="arial"/>
              </w:rPr>
              <w:br/>
            </w:r>
            <w:r>
              <w:rPr>
                <w:rFonts w:ascii="arial" w:hAnsi="arial"/>
                <w:sz w:val="20"/>
              </w:rPr>
              <w:t>15.0%</w:t>
            </w:r>
          </w:p>
        </w:tc>
        <w:tc>
          <w:tcPr>
            <w:tcW w:w="23" w:type="dxa"/>
            <w:tcBorders/>
            <w:shd w:fill="auto" w:val="clear"/>
          </w:tcPr>
          <w:p>
            <w:pPr>
              <w:pStyle w:val="TableContents"/>
              <w:spacing w:before="0" w:after="283"/>
              <w:rPr>
                <w:rFonts w:ascii="arial" w:hAnsi="arial"/>
                <w:sz w:val="20"/>
              </w:rPr>
            </w:pPr>
            <w:r>
              <w:rPr>
                <w:rFonts w:ascii="arial" w:hAnsi="arial"/>
                <w:sz w:val="20"/>
              </w:rPr>
              <w:br/>
              <w:t>​</w:t>
            </w:r>
          </w:p>
        </w:tc>
        <w:tc>
          <w:tcPr>
            <w:tcW w:w="7375" w:type="dxa"/>
            <w:tcBorders/>
            <w:shd w:fill="auto" w:val="clear"/>
          </w:tcPr>
          <w:p>
            <w:pPr>
              <w:pStyle w:val="TableContents"/>
              <w:spacing w:before="0" w:after="283"/>
              <w:rPr>
                <w:rFonts w:ascii="arial" w:hAnsi="arial"/>
              </w:rPr>
            </w:pPr>
            <w:r>
              <w:rPr>
                <w:rFonts w:ascii="arial" w:hAnsi="arial"/>
              </w:rPr>
              <w:br/>
            </w:r>
            <w:r>
              <w:rPr>
                <w:rFonts w:ascii="arial" w:hAnsi="arial"/>
                <w:sz w:val="20"/>
              </w:rPr>
              <w:t>Strategic Initiatives</w:t>
            </w:r>
          </w:p>
        </w:tc>
        <w:tc>
          <w:tcPr>
            <w:tcW w:w="23" w:type="dxa"/>
            <w:tcBorders/>
            <w:shd w:fill="auto" w:val="clear"/>
          </w:tcPr>
          <w:p>
            <w:pPr>
              <w:pStyle w:val="TableContents"/>
              <w:spacing w:before="0" w:after="283"/>
              <w:rPr>
                <w:rFonts w:ascii="arial" w:hAnsi="arial"/>
                <w:sz w:val="20"/>
              </w:rPr>
            </w:pPr>
            <w:r>
              <w:rPr>
                <w:rFonts w:ascii="arial" w:hAnsi="arial"/>
                <w:sz w:val="20"/>
              </w:rPr>
              <w:br/>
              <w:t>​</w:t>
            </w:r>
          </w:p>
        </w:tc>
        <w:tc>
          <w:tcPr>
            <w:tcW w:w="1221" w:type="dxa"/>
            <w:tcBorders/>
            <w:shd w:fill="auto" w:val="clear"/>
          </w:tcPr>
          <w:p>
            <w:pPr>
              <w:pStyle w:val="TableContents"/>
              <w:spacing w:before="0" w:after="283"/>
              <w:jc w:val="center"/>
              <w:rPr>
                <w:rFonts w:ascii="arial" w:hAnsi="arial"/>
              </w:rPr>
            </w:pPr>
            <w:r>
              <w:rPr>
                <w:rFonts w:ascii="arial" w:hAnsi="arial"/>
              </w:rPr>
              <w:br/>
            </w:r>
            <w:r>
              <w:rPr>
                <w:rFonts w:ascii="arial" w:hAnsi="arial"/>
                <w:sz w:val="20"/>
              </w:rPr>
              <w:t>13.8%</w:t>
            </w:r>
          </w:p>
        </w:tc>
      </w:tr>
      <w:tr>
        <w:trPr/>
        <w:tc>
          <w:tcPr>
            <w:tcW w:w="1040" w:type="dxa"/>
            <w:tcBorders/>
            <w:shd w:fill="auto" w:val="clear"/>
          </w:tcPr>
          <w:p>
            <w:pPr>
              <w:pStyle w:val="TableContents"/>
              <w:spacing w:before="0" w:after="283"/>
              <w:rPr>
                <w:rFonts w:ascii="arial" w:hAnsi="arial"/>
                <w:sz w:val="20"/>
              </w:rPr>
            </w:pPr>
            <w:r>
              <w:rPr>
                <w:rFonts w:ascii="arial" w:hAnsi="arial"/>
                <w:sz w:val="20"/>
              </w:rPr>
              <w:br/>
              <w:t> </w:t>
            </w:r>
          </w:p>
        </w:tc>
        <w:tc>
          <w:tcPr>
            <w:tcW w:w="23" w:type="dxa"/>
            <w:tcBorders/>
            <w:shd w:fill="auto" w:val="clear"/>
          </w:tcPr>
          <w:p>
            <w:pPr>
              <w:pStyle w:val="TableContents"/>
              <w:spacing w:before="0" w:after="283"/>
              <w:rPr>
                <w:rFonts w:ascii="arial" w:hAnsi="arial"/>
                <w:sz w:val="20"/>
              </w:rPr>
            </w:pPr>
            <w:r>
              <w:rPr>
                <w:rFonts w:ascii="arial" w:hAnsi="arial"/>
                <w:sz w:val="20"/>
              </w:rPr>
              <w:br/>
              <w:t>​</w:t>
            </w:r>
          </w:p>
        </w:tc>
        <w:tc>
          <w:tcPr>
            <w:tcW w:w="500" w:type="dxa"/>
            <w:tcBorders/>
            <w:shd w:fill="auto" w:val="clear"/>
          </w:tcPr>
          <w:p>
            <w:pPr>
              <w:pStyle w:val="TableContents"/>
              <w:spacing w:before="0" w:after="283"/>
              <w:jc w:val="center"/>
              <w:rPr>
                <w:rFonts w:ascii="arial" w:hAnsi="arial"/>
              </w:rPr>
            </w:pPr>
            <w:r>
              <w:rPr>
                <w:rFonts w:ascii="arial" w:hAnsi="arial"/>
              </w:rPr>
              <w:br/>
            </w:r>
            <w:r>
              <w:rPr>
                <w:rFonts w:ascii="arial" w:hAnsi="arial"/>
                <w:b/>
                <w:sz w:val="20"/>
              </w:rPr>
              <w:t>100.0%</w:t>
            </w:r>
          </w:p>
        </w:tc>
        <w:tc>
          <w:tcPr>
            <w:tcW w:w="23" w:type="dxa"/>
            <w:tcBorders/>
            <w:shd w:fill="auto" w:val="clear"/>
          </w:tcPr>
          <w:p>
            <w:pPr>
              <w:pStyle w:val="TableContents"/>
              <w:spacing w:before="0" w:after="283"/>
              <w:rPr>
                <w:rFonts w:ascii="arial" w:hAnsi="arial"/>
                <w:sz w:val="20"/>
              </w:rPr>
            </w:pPr>
            <w:r>
              <w:rPr>
                <w:rFonts w:ascii="arial" w:hAnsi="arial"/>
                <w:sz w:val="20"/>
              </w:rPr>
              <w:br/>
              <w:t>​</w:t>
            </w:r>
          </w:p>
        </w:tc>
        <w:tc>
          <w:tcPr>
            <w:tcW w:w="7375" w:type="dxa"/>
            <w:tcBorders/>
            <w:shd w:fill="auto" w:val="clear"/>
          </w:tcPr>
          <w:p>
            <w:pPr>
              <w:pStyle w:val="TableContents"/>
              <w:spacing w:before="0" w:after="283"/>
              <w:rPr>
                <w:rFonts w:ascii="arial" w:hAnsi="arial"/>
              </w:rPr>
            </w:pPr>
            <w:r>
              <w:rPr>
                <w:rFonts w:ascii="arial" w:hAnsi="arial"/>
              </w:rPr>
              <w:br/>
            </w:r>
            <w:r>
              <w:rPr>
                <w:rFonts w:ascii="arial" w:hAnsi="arial"/>
                <w:b/>
                <w:sz w:val="20"/>
              </w:rPr>
              <w:t>Total</w:t>
            </w:r>
          </w:p>
        </w:tc>
        <w:tc>
          <w:tcPr>
            <w:tcW w:w="23" w:type="dxa"/>
            <w:tcBorders/>
            <w:shd w:fill="auto" w:val="clear"/>
          </w:tcPr>
          <w:p>
            <w:pPr>
              <w:pStyle w:val="TableContents"/>
              <w:spacing w:before="0" w:after="283"/>
              <w:rPr>
                <w:rFonts w:ascii="arial" w:hAnsi="arial"/>
                <w:sz w:val="20"/>
              </w:rPr>
            </w:pPr>
            <w:r>
              <w:rPr>
                <w:rFonts w:ascii="arial" w:hAnsi="arial"/>
                <w:sz w:val="20"/>
              </w:rPr>
              <w:br/>
              <w:t>​</w:t>
            </w:r>
          </w:p>
        </w:tc>
        <w:tc>
          <w:tcPr>
            <w:tcW w:w="1221" w:type="dxa"/>
            <w:tcBorders/>
            <w:shd w:fill="auto" w:val="clear"/>
          </w:tcPr>
          <w:p>
            <w:pPr>
              <w:pStyle w:val="TableContents"/>
              <w:spacing w:before="0" w:after="283"/>
              <w:jc w:val="center"/>
              <w:rPr>
                <w:rFonts w:ascii="arial" w:hAnsi="arial"/>
              </w:rPr>
            </w:pPr>
            <w:r>
              <w:rPr>
                <w:rFonts w:ascii="arial" w:hAnsi="arial"/>
              </w:rPr>
              <w:br/>
            </w:r>
            <w:r>
              <w:rPr>
                <w:rFonts w:ascii="arial" w:hAnsi="arial"/>
                <w:b/>
                <w:sz w:val="20"/>
              </w:rPr>
              <w:t>91.7%</w:t>
            </w:r>
          </w:p>
        </w:tc>
      </w:tr>
      <w:tr>
        <w:trPr/>
        <w:tc>
          <w:tcPr>
            <w:tcW w:w="1040" w:type="dxa"/>
            <w:tcBorders/>
            <w:shd w:fill="CCEEFF" w:val="clear"/>
          </w:tcPr>
          <w:p>
            <w:pPr>
              <w:pStyle w:val="TableContents"/>
              <w:spacing w:before="0" w:after="283"/>
              <w:rPr>
                <w:rFonts w:ascii="arial" w:hAnsi="arial"/>
              </w:rPr>
            </w:pPr>
            <w:r>
              <w:rPr>
                <w:rFonts w:ascii="arial" w:hAnsi="arial"/>
              </w:rPr>
              <w:br/>
            </w:r>
            <w:r>
              <w:rPr>
                <w:rFonts w:ascii="arial" w:hAnsi="arial"/>
                <w:sz w:val="20"/>
              </w:rPr>
              <w:t>Marcello Mastioni, Chief Operating Officer</w:t>
            </w:r>
          </w:p>
        </w:tc>
        <w:tc>
          <w:tcPr>
            <w:tcW w:w="23" w:type="dxa"/>
            <w:tcBorders/>
            <w:shd w:fill="CCEEFF" w:val="clear"/>
          </w:tcPr>
          <w:p>
            <w:pPr>
              <w:pStyle w:val="TableContents"/>
              <w:spacing w:before="0" w:after="283"/>
              <w:rPr>
                <w:rFonts w:ascii="arial" w:hAnsi="arial"/>
                <w:sz w:val="20"/>
              </w:rPr>
            </w:pPr>
            <w:r>
              <w:rPr>
                <w:rFonts w:ascii="arial" w:hAnsi="arial"/>
                <w:sz w:val="20"/>
              </w:rPr>
              <w:br/>
              <w:t>​</w:t>
            </w:r>
          </w:p>
        </w:tc>
        <w:tc>
          <w:tcPr>
            <w:tcW w:w="500" w:type="dxa"/>
            <w:tcBorders/>
            <w:shd w:fill="CCEEFF" w:val="clear"/>
          </w:tcPr>
          <w:p>
            <w:pPr>
              <w:pStyle w:val="TableContents"/>
              <w:spacing w:before="0" w:after="283"/>
              <w:jc w:val="center"/>
              <w:rPr>
                <w:rFonts w:ascii="arial" w:hAnsi="arial"/>
              </w:rPr>
            </w:pPr>
            <w:r>
              <w:rPr>
                <w:rFonts w:ascii="arial" w:hAnsi="arial"/>
              </w:rPr>
              <w:br/>
            </w:r>
            <w:r>
              <w:rPr>
                <w:rFonts w:ascii="arial" w:hAnsi="arial"/>
                <w:b/>
                <w:sz w:val="20"/>
              </w:rPr>
              <w:t>100.0%</w:t>
            </w:r>
          </w:p>
        </w:tc>
        <w:tc>
          <w:tcPr>
            <w:tcW w:w="23" w:type="dxa"/>
            <w:tcBorders/>
            <w:shd w:fill="CCEEFF" w:val="clear"/>
          </w:tcPr>
          <w:p>
            <w:pPr>
              <w:pStyle w:val="TableContents"/>
              <w:spacing w:before="0" w:after="283"/>
              <w:rPr>
                <w:rFonts w:ascii="arial" w:hAnsi="arial"/>
                <w:sz w:val="20"/>
              </w:rPr>
            </w:pPr>
            <w:r>
              <w:rPr>
                <w:rFonts w:ascii="arial" w:hAnsi="arial"/>
                <w:sz w:val="20"/>
              </w:rPr>
              <w:br/>
              <w:t>​</w:t>
            </w:r>
          </w:p>
        </w:tc>
        <w:tc>
          <w:tcPr>
            <w:tcW w:w="7375" w:type="dxa"/>
            <w:tcBorders/>
            <w:shd w:fill="CCEEFF" w:val="clear"/>
          </w:tcPr>
          <w:p>
            <w:pPr>
              <w:pStyle w:val="TableContents"/>
              <w:spacing w:before="0" w:after="283"/>
              <w:rPr>
                <w:rFonts w:ascii="arial" w:hAnsi="arial"/>
              </w:rPr>
            </w:pPr>
            <w:r>
              <w:rPr>
                <w:rFonts w:ascii="arial" w:hAnsi="arial"/>
              </w:rPr>
              <w:br/>
            </w:r>
            <w:r>
              <w:rPr>
                <w:rFonts w:ascii="arial" w:hAnsi="arial"/>
                <w:sz w:val="20"/>
              </w:rPr>
              <w:t>Development of and progress against the plan to reduce Company costs (~$50 million, in order to achieve 2021 adjusted EBITDA margins of 15%)</w:t>
            </w:r>
          </w:p>
        </w:tc>
        <w:tc>
          <w:tcPr>
            <w:tcW w:w="23" w:type="dxa"/>
            <w:tcBorders/>
            <w:shd w:fill="CCEEFF" w:val="clear"/>
          </w:tcPr>
          <w:p>
            <w:pPr>
              <w:pStyle w:val="TableContents"/>
              <w:spacing w:before="0" w:after="283"/>
              <w:rPr>
                <w:rFonts w:ascii="arial" w:hAnsi="arial"/>
                <w:sz w:val="20"/>
              </w:rPr>
            </w:pPr>
            <w:r>
              <w:rPr>
                <w:rFonts w:ascii="arial" w:hAnsi="arial"/>
                <w:sz w:val="20"/>
              </w:rPr>
              <w:br/>
              <w:t>​</w:t>
            </w:r>
          </w:p>
        </w:tc>
        <w:tc>
          <w:tcPr>
            <w:tcW w:w="1221" w:type="dxa"/>
            <w:tcBorders/>
            <w:shd w:fill="CCEEFF" w:val="clear"/>
          </w:tcPr>
          <w:p>
            <w:pPr>
              <w:pStyle w:val="TableContents"/>
              <w:spacing w:before="0" w:after="283"/>
              <w:jc w:val="center"/>
              <w:rPr>
                <w:rFonts w:ascii="arial" w:hAnsi="arial"/>
              </w:rPr>
            </w:pPr>
            <w:r>
              <w:rPr>
                <w:rFonts w:ascii="arial" w:hAnsi="arial"/>
              </w:rPr>
              <w:br/>
            </w:r>
            <w:r>
              <w:rPr>
                <w:rFonts w:ascii="arial" w:hAnsi="arial"/>
                <w:b/>
                <w:sz w:val="20"/>
              </w:rPr>
              <w:t>91.7%</w:t>
            </w:r>
          </w:p>
        </w:tc>
      </w:tr>
      <w:tr>
        <w:trPr/>
        <w:tc>
          <w:tcPr>
            <w:tcW w:w="1040" w:type="dxa"/>
            <w:tcBorders/>
            <w:shd w:fill="CCEEFF" w:val="clear"/>
          </w:tcPr>
          <w:p>
            <w:pPr>
              <w:pStyle w:val="TableContents"/>
              <w:spacing w:before="0" w:after="283"/>
              <w:rPr>
                <w:rFonts w:ascii="arial" w:hAnsi="arial"/>
              </w:rPr>
            </w:pPr>
            <w:r>
              <w:rPr>
                <w:rFonts w:ascii="arial" w:hAnsi="arial"/>
              </w:rPr>
              <w:br/>
            </w:r>
            <w:r>
              <w:rPr>
                <w:rFonts w:ascii="arial" w:hAnsi="arial"/>
                <w:sz w:val="20"/>
              </w:rPr>
              <w:t>Gregory J. Ritts, Chief Legal and Compliance Officer</w:t>
            </w:r>
          </w:p>
        </w:tc>
        <w:tc>
          <w:tcPr>
            <w:tcW w:w="23" w:type="dxa"/>
            <w:tcBorders/>
            <w:shd w:fill="CCEEFF" w:val="clear"/>
          </w:tcPr>
          <w:p>
            <w:pPr>
              <w:pStyle w:val="TableContents"/>
              <w:spacing w:before="0" w:after="283"/>
              <w:rPr>
                <w:rFonts w:ascii="arial" w:hAnsi="arial"/>
                <w:sz w:val="20"/>
              </w:rPr>
            </w:pPr>
            <w:r>
              <w:rPr>
                <w:rFonts w:ascii="arial" w:hAnsi="arial"/>
                <w:sz w:val="20"/>
              </w:rPr>
              <w:br/>
              <w:t>​</w:t>
            </w:r>
          </w:p>
        </w:tc>
        <w:tc>
          <w:tcPr>
            <w:tcW w:w="500" w:type="dxa"/>
            <w:tcBorders/>
            <w:shd w:fill="CCEEFF" w:val="clear"/>
          </w:tcPr>
          <w:p>
            <w:pPr>
              <w:pStyle w:val="TableContents"/>
              <w:spacing w:before="0" w:after="283"/>
              <w:jc w:val="center"/>
              <w:rPr>
                <w:rFonts w:ascii="arial" w:hAnsi="arial"/>
              </w:rPr>
            </w:pPr>
            <w:r>
              <w:rPr>
                <w:rFonts w:ascii="arial" w:hAnsi="arial"/>
              </w:rPr>
              <w:br/>
            </w:r>
            <w:r>
              <w:rPr>
                <w:rFonts w:ascii="arial" w:hAnsi="arial"/>
                <w:sz w:val="20"/>
              </w:rPr>
              <w:t>85.0%</w:t>
            </w:r>
          </w:p>
        </w:tc>
        <w:tc>
          <w:tcPr>
            <w:tcW w:w="23" w:type="dxa"/>
            <w:tcBorders/>
            <w:shd w:fill="CCEEFF" w:val="clear"/>
          </w:tcPr>
          <w:p>
            <w:pPr>
              <w:pStyle w:val="TableContents"/>
              <w:spacing w:before="0" w:after="283"/>
              <w:rPr>
                <w:rFonts w:ascii="arial" w:hAnsi="arial"/>
                <w:sz w:val="20"/>
              </w:rPr>
            </w:pPr>
            <w:r>
              <w:rPr>
                <w:rFonts w:ascii="arial" w:hAnsi="arial"/>
                <w:sz w:val="20"/>
              </w:rPr>
              <w:br/>
              <w:t>​</w:t>
            </w:r>
          </w:p>
        </w:tc>
        <w:tc>
          <w:tcPr>
            <w:tcW w:w="7375" w:type="dxa"/>
            <w:tcBorders/>
            <w:shd w:fill="CCEEFF" w:val="clear"/>
          </w:tcPr>
          <w:p>
            <w:pPr>
              <w:pStyle w:val="TableContents"/>
              <w:spacing w:before="0" w:after="283"/>
              <w:rPr>
                <w:rFonts w:ascii="arial" w:hAnsi="arial"/>
              </w:rPr>
            </w:pPr>
            <w:r>
              <w:rPr>
                <w:rFonts w:ascii="arial" w:hAnsi="arial"/>
              </w:rPr>
              <w:br/>
            </w:r>
            <w:r>
              <w:rPr>
                <w:rFonts w:ascii="arial" w:hAnsi="arial"/>
                <w:sz w:val="20"/>
              </w:rPr>
              <w:t>Development of and progress against the plan to reduce Company costs (~$50 million, in order to achieve 2021 adjusted EBITDA margins of 15%)</w:t>
            </w:r>
          </w:p>
        </w:tc>
        <w:tc>
          <w:tcPr>
            <w:tcW w:w="23" w:type="dxa"/>
            <w:tcBorders/>
            <w:shd w:fill="CCEEFF" w:val="clear"/>
          </w:tcPr>
          <w:p>
            <w:pPr>
              <w:pStyle w:val="TableContents"/>
              <w:spacing w:before="0" w:after="283"/>
              <w:rPr>
                <w:rFonts w:ascii="arial" w:hAnsi="arial"/>
                <w:sz w:val="20"/>
              </w:rPr>
            </w:pPr>
            <w:r>
              <w:rPr>
                <w:rFonts w:ascii="arial" w:hAnsi="arial"/>
                <w:sz w:val="20"/>
              </w:rPr>
              <w:br/>
              <w:t>​</w:t>
            </w:r>
          </w:p>
        </w:tc>
        <w:tc>
          <w:tcPr>
            <w:tcW w:w="1221" w:type="dxa"/>
            <w:tcBorders/>
            <w:shd w:fill="CCEEFF" w:val="clear"/>
          </w:tcPr>
          <w:p>
            <w:pPr>
              <w:pStyle w:val="TableContents"/>
              <w:spacing w:before="0" w:after="283"/>
              <w:jc w:val="center"/>
              <w:rPr>
                <w:rFonts w:ascii="arial" w:hAnsi="arial"/>
              </w:rPr>
            </w:pPr>
            <w:r>
              <w:rPr>
                <w:rFonts w:ascii="arial" w:hAnsi="arial"/>
              </w:rPr>
              <w:br/>
            </w:r>
            <w:r>
              <w:rPr>
                <w:rFonts w:ascii="arial" w:hAnsi="arial"/>
                <w:sz w:val="20"/>
              </w:rPr>
              <w:t>77.9%</w:t>
            </w:r>
          </w:p>
        </w:tc>
      </w:tr>
      <w:tr>
        <w:trPr/>
        <w:tc>
          <w:tcPr>
            <w:tcW w:w="1040" w:type="dxa"/>
            <w:tcBorders/>
            <w:shd w:fill="CCEEFF" w:val="clear"/>
          </w:tcPr>
          <w:p>
            <w:pPr>
              <w:pStyle w:val="TableContents"/>
              <w:spacing w:before="0" w:after="283"/>
              <w:rPr>
                <w:rFonts w:ascii="arial" w:hAnsi="arial"/>
                <w:sz w:val="20"/>
              </w:rPr>
            </w:pPr>
            <w:r>
              <w:rPr>
                <w:rFonts w:ascii="arial" w:hAnsi="arial"/>
                <w:sz w:val="20"/>
              </w:rPr>
              <w:br/>
              <w:t> </w:t>
            </w:r>
          </w:p>
        </w:tc>
        <w:tc>
          <w:tcPr>
            <w:tcW w:w="23" w:type="dxa"/>
            <w:tcBorders/>
            <w:shd w:fill="CCEEFF" w:val="clear"/>
          </w:tcPr>
          <w:p>
            <w:pPr>
              <w:pStyle w:val="TableContents"/>
              <w:spacing w:before="0" w:after="283"/>
              <w:rPr>
                <w:rFonts w:ascii="arial" w:hAnsi="arial"/>
                <w:sz w:val="20"/>
              </w:rPr>
            </w:pPr>
            <w:r>
              <w:rPr>
                <w:rFonts w:ascii="arial" w:hAnsi="arial"/>
                <w:sz w:val="20"/>
              </w:rPr>
              <w:br/>
              <w:t>​</w:t>
            </w:r>
          </w:p>
        </w:tc>
        <w:tc>
          <w:tcPr>
            <w:tcW w:w="500" w:type="dxa"/>
            <w:tcBorders/>
            <w:shd w:fill="CCEEFF" w:val="clear"/>
          </w:tcPr>
          <w:p>
            <w:pPr>
              <w:pStyle w:val="TableContents"/>
              <w:spacing w:before="0" w:after="283"/>
              <w:jc w:val="center"/>
              <w:rPr>
                <w:rFonts w:ascii="arial" w:hAnsi="arial"/>
              </w:rPr>
            </w:pPr>
            <w:r>
              <w:rPr>
                <w:rFonts w:ascii="arial" w:hAnsi="arial"/>
              </w:rPr>
              <w:br/>
            </w:r>
            <w:r>
              <w:rPr>
                <w:rFonts w:ascii="arial" w:hAnsi="arial"/>
                <w:sz w:val="20"/>
              </w:rPr>
              <w:t>15.0%</w:t>
            </w:r>
          </w:p>
        </w:tc>
        <w:tc>
          <w:tcPr>
            <w:tcW w:w="23" w:type="dxa"/>
            <w:tcBorders/>
            <w:shd w:fill="CCEEFF" w:val="clear"/>
          </w:tcPr>
          <w:p>
            <w:pPr>
              <w:pStyle w:val="TableContents"/>
              <w:spacing w:before="0" w:after="283"/>
              <w:rPr>
                <w:rFonts w:ascii="arial" w:hAnsi="arial"/>
                <w:sz w:val="20"/>
              </w:rPr>
            </w:pPr>
            <w:r>
              <w:rPr>
                <w:rFonts w:ascii="arial" w:hAnsi="arial"/>
                <w:sz w:val="20"/>
              </w:rPr>
              <w:br/>
              <w:t>​</w:t>
            </w:r>
          </w:p>
        </w:tc>
        <w:tc>
          <w:tcPr>
            <w:tcW w:w="7375" w:type="dxa"/>
            <w:tcBorders/>
            <w:shd w:fill="CCEEFF" w:val="clear"/>
          </w:tcPr>
          <w:p>
            <w:pPr>
              <w:pStyle w:val="TableContents"/>
              <w:spacing w:before="0" w:after="283"/>
              <w:rPr>
                <w:rFonts w:ascii="arial" w:hAnsi="arial"/>
              </w:rPr>
            </w:pPr>
            <w:r>
              <w:rPr>
                <w:rFonts w:ascii="arial" w:hAnsi="arial"/>
              </w:rPr>
              <w:br/>
            </w:r>
            <w:r>
              <w:rPr>
                <w:rFonts w:ascii="arial" w:hAnsi="arial"/>
                <w:sz w:val="20"/>
              </w:rPr>
              <w:t>Strategic Initiatives</w:t>
            </w:r>
          </w:p>
        </w:tc>
        <w:tc>
          <w:tcPr>
            <w:tcW w:w="23" w:type="dxa"/>
            <w:tcBorders/>
            <w:shd w:fill="CCEEFF" w:val="clear"/>
          </w:tcPr>
          <w:p>
            <w:pPr>
              <w:pStyle w:val="TableContents"/>
              <w:spacing w:before="0" w:after="283"/>
              <w:rPr>
                <w:rFonts w:ascii="arial" w:hAnsi="arial"/>
                <w:sz w:val="20"/>
              </w:rPr>
            </w:pPr>
            <w:r>
              <w:rPr>
                <w:rFonts w:ascii="arial" w:hAnsi="arial"/>
                <w:sz w:val="20"/>
              </w:rPr>
              <w:br/>
              <w:t>​</w:t>
            </w:r>
          </w:p>
        </w:tc>
        <w:tc>
          <w:tcPr>
            <w:tcW w:w="1221" w:type="dxa"/>
            <w:tcBorders/>
            <w:shd w:fill="CCEEFF" w:val="clear"/>
          </w:tcPr>
          <w:p>
            <w:pPr>
              <w:pStyle w:val="TableContents"/>
              <w:spacing w:before="0" w:after="283"/>
              <w:jc w:val="center"/>
              <w:rPr>
                <w:rFonts w:ascii="arial" w:hAnsi="arial"/>
              </w:rPr>
            </w:pPr>
            <w:r>
              <w:rPr>
                <w:rFonts w:ascii="arial" w:hAnsi="arial"/>
              </w:rPr>
              <w:br/>
            </w:r>
            <w:r>
              <w:rPr>
                <w:rFonts w:ascii="arial" w:hAnsi="arial"/>
                <w:sz w:val="20"/>
              </w:rPr>
              <w:t>13.8%</w:t>
            </w:r>
          </w:p>
        </w:tc>
      </w:tr>
      <w:tr>
        <w:trPr/>
        <w:tc>
          <w:tcPr>
            <w:tcW w:w="1040" w:type="dxa"/>
            <w:tcBorders/>
            <w:shd w:fill="CCEEFF" w:val="clear"/>
          </w:tcPr>
          <w:p>
            <w:pPr>
              <w:pStyle w:val="TableContents"/>
              <w:spacing w:before="0" w:after="283"/>
              <w:rPr>
                <w:rFonts w:ascii="arial" w:hAnsi="arial"/>
                <w:sz w:val="20"/>
              </w:rPr>
            </w:pPr>
            <w:r>
              <w:rPr>
                <w:rFonts w:ascii="arial" w:hAnsi="arial"/>
                <w:sz w:val="20"/>
              </w:rPr>
              <w:br/>
              <w:t> </w:t>
            </w:r>
          </w:p>
        </w:tc>
        <w:tc>
          <w:tcPr>
            <w:tcW w:w="23" w:type="dxa"/>
            <w:tcBorders/>
            <w:shd w:fill="CCEEFF" w:val="clear"/>
          </w:tcPr>
          <w:p>
            <w:pPr>
              <w:pStyle w:val="TableContents"/>
              <w:spacing w:before="0" w:after="283"/>
              <w:rPr>
                <w:rFonts w:ascii="arial" w:hAnsi="arial"/>
                <w:sz w:val="20"/>
              </w:rPr>
            </w:pPr>
            <w:r>
              <w:rPr>
                <w:rFonts w:ascii="arial" w:hAnsi="arial"/>
                <w:sz w:val="20"/>
              </w:rPr>
              <w:br/>
              <w:t>​</w:t>
            </w:r>
          </w:p>
        </w:tc>
        <w:tc>
          <w:tcPr>
            <w:tcW w:w="500" w:type="dxa"/>
            <w:tcBorders/>
            <w:shd w:fill="CCEEFF" w:val="clear"/>
          </w:tcPr>
          <w:p>
            <w:pPr>
              <w:pStyle w:val="TableContents"/>
              <w:spacing w:before="0" w:after="283"/>
              <w:jc w:val="center"/>
              <w:rPr>
                <w:rFonts w:ascii="arial" w:hAnsi="arial"/>
              </w:rPr>
            </w:pPr>
            <w:r>
              <w:rPr>
                <w:rFonts w:ascii="arial" w:hAnsi="arial"/>
              </w:rPr>
              <w:br/>
            </w:r>
            <w:r>
              <w:rPr>
                <w:rFonts w:ascii="arial" w:hAnsi="arial"/>
                <w:b/>
                <w:sz w:val="20"/>
              </w:rPr>
              <w:t>100.0%</w:t>
            </w:r>
          </w:p>
        </w:tc>
        <w:tc>
          <w:tcPr>
            <w:tcW w:w="23" w:type="dxa"/>
            <w:tcBorders/>
            <w:shd w:fill="CCEEFF" w:val="clear"/>
          </w:tcPr>
          <w:p>
            <w:pPr>
              <w:pStyle w:val="TableContents"/>
              <w:spacing w:before="0" w:after="283"/>
              <w:rPr>
                <w:rFonts w:ascii="arial" w:hAnsi="arial"/>
                <w:sz w:val="20"/>
              </w:rPr>
            </w:pPr>
            <w:r>
              <w:rPr>
                <w:rFonts w:ascii="arial" w:hAnsi="arial"/>
                <w:sz w:val="20"/>
              </w:rPr>
              <w:br/>
              <w:t>​</w:t>
            </w:r>
          </w:p>
        </w:tc>
        <w:tc>
          <w:tcPr>
            <w:tcW w:w="7375" w:type="dxa"/>
            <w:tcBorders/>
            <w:shd w:fill="CCEEFF" w:val="clear"/>
          </w:tcPr>
          <w:p>
            <w:pPr>
              <w:pStyle w:val="TableContents"/>
              <w:spacing w:before="0" w:after="283"/>
              <w:rPr>
                <w:rFonts w:ascii="arial" w:hAnsi="arial"/>
              </w:rPr>
            </w:pPr>
            <w:r>
              <w:rPr>
                <w:rFonts w:ascii="arial" w:hAnsi="arial"/>
              </w:rPr>
              <w:br/>
            </w:r>
            <w:r>
              <w:rPr>
                <w:rFonts w:ascii="arial" w:hAnsi="arial"/>
                <w:b/>
                <w:sz w:val="20"/>
              </w:rPr>
              <w:t>Total</w:t>
            </w:r>
          </w:p>
        </w:tc>
        <w:tc>
          <w:tcPr>
            <w:tcW w:w="23" w:type="dxa"/>
            <w:tcBorders/>
            <w:shd w:fill="CCEEFF" w:val="clear"/>
          </w:tcPr>
          <w:p>
            <w:pPr>
              <w:pStyle w:val="TableContents"/>
              <w:spacing w:before="0" w:after="283"/>
              <w:rPr>
                <w:rFonts w:ascii="arial" w:hAnsi="arial"/>
                <w:sz w:val="20"/>
              </w:rPr>
            </w:pPr>
            <w:r>
              <w:rPr>
                <w:rFonts w:ascii="arial" w:hAnsi="arial"/>
                <w:sz w:val="20"/>
              </w:rPr>
              <w:br/>
              <w:t>​</w:t>
            </w:r>
          </w:p>
        </w:tc>
        <w:tc>
          <w:tcPr>
            <w:tcW w:w="1221" w:type="dxa"/>
            <w:tcBorders/>
            <w:shd w:fill="CCEEFF" w:val="clear"/>
          </w:tcPr>
          <w:p>
            <w:pPr>
              <w:pStyle w:val="TableContents"/>
              <w:spacing w:before="0" w:after="283"/>
              <w:jc w:val="center"/>
              <w:rPr>
                <w:rFonts w:ascii="arial" w:hAnsi="arial"/>
              </w:rPr>
            </w:pPr>
            <w:r>
              <w:rPr>
                <w:rFonts w:ascii="arial" w:hAnsi="arial"/>
              </w:rPr>
              <w:br/>
            </w:r>
            <w:r>
              <w:rPr>
                <w:rFonts w:ascii="arial" w:hAnsi="arial"/>
                <w:b/>
                <w:sz w:val="20"/>
              </w:rPr>
              <w:t>91.7%</w:t>
            </w:r>
          </w:p>
        </w:tc>
      </w:tr>
    </w:tbl>
    <w:p>
      <w:pPr>
        <w:pStyle w:val="TextBody"/>
        <w:ind w:left="200" w:right="0" w:hanging="200"/>
        <w:rPr>
          <w:rFonts w:ascii="arial" w:hAnsi="arial"/>
          <w:sz w:val="20"/>
        </w:rPr>
      </w:pPr>
      <w:r>
        <w:rPr>
          <w:rFonts w:ascii="arial" w:hAnsi="arial"/>
          <w:sz w:val="20"/>
          <w:u w:val="single"/>
        </w:rPr>
        <w:t>Executive Evaluation</w:t>
      </w:r>
      <w:r>
        <w:rPr>
          <w:rFonts w:ascii="arial" w:hAnsi="arial"/>
          <w:sz w:val="20"/>
        </w:rPr>
        <w:t xml:space="preserve"> </w:t>
      </w:r>
    </w:p>
    <w:p>
      <w:pPr>
        <w:pStyle w:val="TextBody"/>
        <w:rPr>
          <w:rFonts w:ascii="arial" w:hAnsi="arial"/>
          <w:sz w:val="20"/>
        </w:rPr>
      </w:pPr>
      <w:r>
        <w:rPr>
          <w:rFonts w:ascii="arial" w:hAnsi="arial"/>
          <w:sz w:val="20"/>
        </w:rPr>
        <w:t xml:space="preserve">In 2020, our Named Executive Officers (except the Chief Executive Officer, who was evaluated by the Compensation Committee and Chief Administration and Risk Officer, whose employment with the Company terminated in April 2020) were evaluated by the Chief Executive Officer on whether the executives made positive contributions to the creation of long-term value for our shareholders and other stakeholders. </w:t>
      </w:r>
    </w:p>
    <w:p>
      <w:pPr>
        <w:pStyle w:val="TextBody"/>
        <w:rPr>
          <w:rFonts w:ascii="arial" w:hAnsi="arial"/>
          <w:sz w:val="20"/>
        </w:rPr>
      </w:pPr>
      <w:r>
        <w:rPr>
          <w:rFonts w:ascii="arial" w:hAnsi="arial"/>
          <w:sz w:val="20"/>
        </w:rPr>
        <w:t xml:space="preserve">In order to achieve 100% of their earned annual incentive (determined by their individual scorecards), our Named Executive Officers needed to obtain an affirmative answer to questions that intended to corroborate their contribution towards three key parameters, namely: </w:t>
      </w:r>
    </w:p>
    <w:p>
      <w:pPr>
        <w:pStyle w:val="ListHeading"/>
        <w:numPr>
          <w:ilvl w:val="0"/>
          <w:numId w:val="0"/>
        </w:numPr>
        <w:spacing w:before="0" w:after="0"/>
        <w:ind w:left="707" w:right="0" w:hanging="0"/>
        <w:rPr>
          <w:rFonts w:ascii="arial" w:hAnsi="arial"/>
          <w:sz w:val="20"/>
        </w:rPr>
      </w:pPr>
      <w:r>
        <w:rPr>
          <w:rFonts w:ascii="arial" w:hAnsi="arial"/>
          <w:sz w:val="20"/>
        </w:rPr>
        <w:t>I.</w:t>
      </w:r>
    </w:p>
    <w:p>
      <w:pPr>
        <w:pStyle w:val="ListContents"/>
        <w:numPr>
          <w:ilvl w:val="0"/>
          <w:numId w:val="0"/>
        </w:numPr>
        <w:spacing w:before="0" w:after="283"/>
        <w:ind w:left="1274" w:right="0" w:hanging="0"/>
        <w:rPr>
          <w:rFonts w:ascii="arial" w:hAnsi="arial"/>
          <w:sz w:val="20"/>
        </w:rPr>
      </w:pPr>
      <w:r>
        <w:rPr>
          <w:rFonts w:ascii="arial" w:hAnsi="arial"/>
          <w:sz w:val="20"/>
        </w:rPr>
        <w:t xml:space="preserve">Compliance </w:t>
      </w:r>
    </w:p>
    <w:p>
      <w:pPr>
        <w:pStyle w:val="ListHeading"/>
        <w:numPr>
          <w:ilvl w:val="0"/>
          <w:numId w:val="0"/>
        </w:numPr>
        <w:spacing w:before="0" w:after="0"/>
        <w:ind w:left="707" w:right="0" w:hanging="0"/>
        <w:rPr>
          <w:rFonts w:ascii="arial" w:hAnsi="arial"/>
          <w:sz w:val="20"/>
        </w:rPr>
      </w:pPr>
      <w:r>
        <w:rPr>
          <w:rFonts w:ascii="arial" w:hAnsi="arial"/>
          <w:sz w:val="20"/>
        </w:rPr>
        <w:t>II.</w:t>
      </w:r>
    </w:p>
    <w:p>
      <w:pPr>
        <w:pStyle w:val="ListContents"/>
        <w:numPr>
          <w:ilvl w:val="0"/>
          <w:numId w:val="0"/>
        </w:numPr>
        <w:spacing w:before="0" w:after="283"/>
        <w:ind w:left="1274" w:right="0" w:hanging="0"/>
        <w:rPr>
          <w:rFonts w:ascii="arial" w:hAnsi="arial"/>
          <w:sz w:val="20"/>
        </w:rPr>
      </w:pPr>
      <w:r>
        <w:rPr>
          <w:rFonts w:ascii="arial" w:hAnsi="arial"/>
          <w:sz w:val="20"/>
        </w:rPr>
        <w:t xml:space="preserve">Financial and Reporting Responsibility </w:t>
      </w:r>
    </w:p>
    <w:p>
      <w:pPr>
        <w:pStyle w:val="ListHeading"/>
        <w:numPr>
          <w:ilvl w:val="0"/>
          <w:numId w:val="0"/>
        </w:numPr>
        <w:spacing w:before="0" w:after="0"/>
        <w:ind w:left="707" w:right="0" w:hanging="0"/>
        <w:rPr>
          <w:rFonts w:ascii="arial" w:hAnsi="arial"/>
          <w:sz w:val="20"/>
        </w:rPr>
      </w:pPr>
      <w:r>
        <w:rPr>
          <w:rFonts w:ascii="arial" w:hAnsi="arial"/>
          <w:sz w:val="20"/>
        </w:rPr>
        <w:t>III.</w:t>
      </w:r>
    </w:p>
    <w:p>
      <w:pPr>
        <w:pStyle w:val="ListContents"/>
        <w:numPr>
          <w:ilvl w:val="0"/>
          <w:numId w:val="0"/>
        </w:numPr>
        <w:spacing w:before="0" w:after="283"/>
        <w:ind w:left="1274" w:right="0" w:hanging="0"/>
        <w:rPr>
          <w:rFonts w:ascii="arial" w:hAnsi="arial"/>
          <w:sz w:val="20"/>
        </w:rPr>
      </w:pPr>
      <w:r>
        <w:rPr>
          <w:rFonts w:ascii="arial" w:hAnsi="arial"/>
          <w:sz w:val="20"/>
        </w:rPr>
        <w:t xml:space="preserve">Leadership Effectiveness </w:t>
      </w:r>
    </w:p>
    <w:p>
      <w:pPr>
        <w:pStyle w:val="TextBody"/>
        <w:jc w:val="center"/>
        <w:rPr>
          <w:rFonts w:ascii="arial" w:hAnsi="arial"/>
          <w:sz w:val="20"/>
        </w:rPr>
      </w:pPr>
      <w:r>
        <w:rPr>
          <w:rFonts w:ascii="arial" w:hAnsi="arial"/>
          <w:sz w:val="20"/>
        </w:rPr>
        <w:t>46</w:t>
      </w:r>
    </w:p>
    <w:p>
      <w:pPr>
        <w:pStyle w:val="HorizontalLine"/>
        <w:pBdr>
          <w:bottom w:val="single" w:sz="20" w:space="0" w:color="808080"/>
        </w:pBdr>
        <w:rPr/>
      </w:pPr>
      <w:r>
        <w:rPr/>
      </w:r>
      <w:r>
        <w:br w:type="page"/>
      </w:r>
    </w:p>
    <w:p>
      <w:pPr>
        <w:pStyle w:val="TextBody"/>
        <w:rPr/>
      </w:pPr>
      <w:hyperlink w:anchor="bg45301a_main_toc">
        <w:bookmarkStart w:id="94" w:name="page_dq45301_1_47"/>
        <w:bookmarkEnd w:id="94"/>
        <w:r>
          <w:rPr>
            <w:rStyle w:val="InternetLink"/>
            <w:rFonts w:ascii="arial" w:hAnsi="arial"/>
            <w:sz w:val="20"/>
          </w:rPr>
          <w:t>Table of Contents</w:t>
        </w:r>
      </w:hyperlink>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3367"/>
        <w:gridCol w:w="101"/>
        <w:gridCol w:w="6737"/>
      </w:tblGrid>
      <w:tr>
        <w:trPr/>
        <w:tc>
          <w:tcPr>
            <w:tcW w:w="3367" w:type="dxa"/>
            <w:tcBorders/>
            <w:shd w:fill="auto" w:val="clear"/>
            <w:vAlign w:val="center"/>
          </w:tcPr>
          <w:p>
            <w:pPr>
              <w:pStyle w:val="TableContents"/>
              <w:spacing w:before="0" w:after="283"/>
              <w:rPr/>
            </w:pPr>
            <w:r>
              <w:rPr/>
              <w:commentReference w:id="165"/>
            </w:r>
            <w:r>
              <w:rPr/>
              <w:commentReference w:id="166"/>
            </w:r>
            <w:r>
              <w:rPr/>
              <w:commentReference w:id="167"/>
            </w:r>
            <w:r>
              <w:rPr/>
              <w:t>​</w:t>
            </w:r>
          </w:p>
        </w:tc>
        <w:tc>
          <w:tcPr>
            <w:tcW w:w="101" w:type="dxa"/>
            <w:tcBorders/>
            <w:shd w:fill="auto" w:val="clear"/>
            <w:vAlign w:val="center"/>
          </w:tcPr>
          <w:p>
            <w:pPr>
              <w:pStyle w:val="TableContents"/>
              <w:spacing w:before="0" w:after="283"/>
              <w:rPr/>
            </w:pPr>
            <w:r>
              <w:rPr/>
              <w:t>​</w:t>
            </w:r>
          </w:p>
        </w:tc>
        <w:tc>
          <w:tcPr>
            <w:tcW w:w="6737" w:type="dxa"/>
            <w:tcBorders/>
            <w:shd w:fill="auto" w:val="clear"/>
            <w:vAlign w:val="center"/>
          </w:tcPr>
          <w:p>
            <w:pPr>
              <w:pStyle w:val="TableContents"/>
              <w:spacing w:before="0" w:after="283"/>
              <w:rPr/>
            </w:pPr>
            <w:r>
              <w:rPr/>
              <w:t>​</w:t>
            </w:r>
            <w:r>
              <w:rPr>
                <w:rFonts w:eastAsia="arial" w:cs="arial" w:ascii="arial" w:hAnsi="arial"/>
              </w:rPr>
              <w:commentReference w:id="168"/>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drawing>
                <wp:inline distT="0" distB="0" distL="0" distR="0">
                  <wp:extent cx="2943225" cy="1809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embed="rId80"/>
                          <a:stretch>
                            <a:fillRect/>
                          </a:stretch>
                        </pic:blipFill>
                        <pic:spPr bwMode="auto">
                          <a:xfrm>
                            <a:off x="0" y="0"/>
                            <a:ext cx="2943225" cy="180975"/>
                          </a:xfrm>
                          <a:prstGeom prst="rect">
                            <a:avLst/>
                          </a:prstGeom>
                        </pic:spPr>
                      </pic:pic>
                    </a:graphicData>
                  </a:graphic>
                </wp:inline>
              </w:drawing>
            </w:r>
            <w:r>
              <w:rPr/>
              <w:t xml:space="preserve"> </w:t>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t> </w:t>
            </w:r>
          </w:p>
        </w:tc>
      </w:tr>
    </w:tbl>
    <w:p>
      <w:pPr>
        <w:pStyle w:val="TextBody"/>
        <w:rPr/>
      </w:pPr>
      <w:r>
        <w:rPr>
          <w:color w:val="000000"/>
        </w:rPr>
        <w:commentReference w:id="169"/>
      </w:r>
      <w:r>
        <w:rPr>
          <w:color w:val="000000"/>
        </w:rPr>
        <w:t>​</w:t>
      </w:r>
      <w:r>
        <w:rPr/>
        <w:t xml:space="preserve"> </w:t>
      </w:r>
    </w:p>
    <w:p>
      <w:pPr>
        <w:pStyle w:val="TextBody"/>
        <w:rPr>
          <w:rFonts w:ascii="arial" w:hAnsi="arial"/>
          <w:sz w:val="20"/>
        </w:rPr>
      </w:pPr>
      <w:r>
        <w:rPr>
          <w:rFonts w:ascii="arial" w:hAnsi="arial"/>
          <w:sz w:val="20"/>
        </w:rPr>
        <w:t xml:space="preserve">Named Executive Officers not making positive contributions on any of these parameters would lose a portion of their earned incentive as detailed below: </w:t>
      </w:r>
    </w:p>
    <w:tbl>
      <w:tblPr>
        <w:tblW w:w="5000" w:type="pct"/>
        <w:jc w:val="center"/>
        <w:tblInd w:w="0" w:type="dxa"/>
        <w:tblCellMar>
          <w:top w:w="0" w:type="dxa"/>
          <w:left w:w="0" w:type="dxa"/>
          <w:bottom w:w="0" w:type="dxa"/>
          <w:right w:w="0" w:type="dxa"/>
        </w:tblCellMar>
      </w:tblPr>
      <w:tblGrid>
        <w:gridCol w:w="8858"/>
        <w:gridCol w:w="23"/>
        <w:gridCol w:w="615"/>
        <w:gridCol w:w="116"/>
        <w:gridCol w:w="219"/>
        <w:gridCol w:w="350"/>
        <w:gridCol w:w="24"/>
      </w:tblGrid>
      <w:tr>
        <w:trPr/>
        <w:tc>
          <w:tcPr>
            <w:tcW w:w="8858"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24" w:type="dxa"/>
            <w:tcBorders/>
            <w:shd w:fill="auto" w:val="clear"/>
            <w:vAlign w:val="center"/>
          </w:tcPr>
          <w:p>
            <w:pPr>
              <w:pStyle w:val="TableContents"/>
              <w:spacing w:before="0" w:after="283"/>
              <w:rPr>
                <w:sz w:val="4"/>
                <w:szCs w:val="4"/>
              </w:rPr>
            </w:pPr>
            <w:r>
              <w:rPr>
                <w:sz w:val="4"/>
                <w:szCs w:val="4"/>
              </w:rPr>
            </w:r>
          </w:p>
        </w:tc>
      </w:tr>
      <w:tr>
        <w:trPr/>
        <w:tc>
          <w:tcPr>
            <w:tcW w:w="8858" w:type="dxa"/>
            <w:tcBorders>
              <w:bottom w:val="single" w:sz="8" w:space="0" w:color="000000"/>
            </w:tcBorders>
            <w:shd w:fill="auto" w:val="clear"/>
            <w:tcMar>
              <w:bottom w:w="28" w:type="dxa"/>
            </w:tcMar>
            <w:vAlign w:val="bottom"/>
          </w:tcPr>
          <w:p>
            <w:pPr>
              <w:pStyle w:val="TableHeading"/>
              <w:spacing w:before="0" w:after="283"/>
              <w:jc w:val="center"/>
              <w:rPr>
                <w:rFonts w:ascii="arial" w:hAnsi="arial"/>
                <w:b/>
                <w:sz w:val="20"/>
              </w:rPr>
            </w:pPr>
            <w:r>
              <w:rPr>
                <w:rFonts w:ascii="arial" w:hAnsi="arial"/>
                <w:b/>
                <w:sz w:val="20"/>
              </w:rPr>
              <w:t xml:space="preserve">Responses </w:t>
            </w:r>
          </w:p>
        </w:tc>
        <w:tc>
          <w:tcPr>
            <w:tcW w:w="23" w:type="dxa"/>
            <w:tcBorders/>
            <w:shd w:fill="auto" w:val="clear"/>
            <w:vAlign w:val="bottom"/>
          </w:tcPr>
          <w:p>
            <w:pPr>
              <w:pStyle w:val="TableHeading"/>
              <w:suppressLineNumbers/>
              <w:spacing w:before="0" w:after="283"/>
              <w:jc w:val="center"/>
              <w:rPr/>
            </w:pPr>
            <w:r>
              <w:rPr/>
              <w:t>​</w:t>
            </w:r>
          </w:p>
        </w:tc>
        <w:tc>
          <w:tcPr>
            <w:tcW w:w="1300" w:type="dxa"/>
            <w:gridSpan w:val="4"/>
            <w:tcBorders>
              <w:bottom w:val="single" w:sz="8" w:space="0" w:color="000000"/>
            </w:tcBorders>
            <w:shd w:fill="auto" w:val="clear"/>
            <w:tcMar>
              <w:bottom w:w="28" w:type="dxa"/>
            </w:tcMar>
            <w:vAlign w:val="bottom"/>
          </w:tcPr>
          <w:p>
            <w:pPr>
              <w:pStyle w:val="TableHeading"/>
              <w:spacing w:before="0" w:after="283"/>
              <w:jc w:val="center"/>
              <w:rPr>
                <w:rFonts w:ascii="arial" w:hAnsi="arial"/>
                <w:b/>
                <w:sz w:val="20"/>
              </w:rPr>
            </w:pPr>
            <w:r>
              <w:rPr>
                <w:rFonts w:ascii="arial" w:hAnsi="arial"/>
                <w:b/>
                <w:sz w:val="20"/>
              </w:rPr>
              <w:t>Modifier used on total</w:t>
              <w:br/>
              <w:t xml:space="preserve">Scorecard achievement </w:t>
            </w:r>
          </w:p>
        </w:tc>
        <w:tc>
          <w:tcPr>
            <w:tcW w:w="24" w:type="dxa"/>
            <w:tcBorders/>
            <w:shd w:fill="auto" w:val="clear"/>
            <w:vAlign w:val="bottom"/>
          </w:tcPr>
          <w:p>
            <w:pPr>
              <w:pStyle w:val="TableHeading"/>
              <w:suppressLineNumbers/>
              <w:spacing w:before="0" w:after="283"/>
              <w:jc w:val="center"/>
              <w:rPr/>
            </w:pPr>
            <w:r>
              <w:rPr/>
              <w:t>​</w:t>
            </w:r>
          </w:p>
        </w:tc>
      </w:tr>
      <w:tr>
        <w:trPr/>
        <w:tc>
          <w:tcPr>
            <w:tcW w:w="8858" w:type="dxa"/>
            <w:tcBorders/>
            <w:shd w:fill="auto" w:val="clear"/>
          </w:tcPr>
          <w:p>
            <w:pPr>
              <w:pStyle w:val="TableContents"/>
              <w:spacing w:before="0" w:after="283"/>
              <w:rPr>
                <w:rFonts w:ascii="arial" w:hAnsi="arial"/>
                <w:sz w:val="20"/>
              </w:rPr>
            </w:pPr>
            <w:r>
              <w:rPr>
                <w:rFonts w:ascii="arial" w:hAnsi="arial"/>
                <w:sz w:val="20"/>
              </w:rPr>
              <w:t>"No" to all three parameters</w:t>
            </w:r>
          </w:p>
        </w:tc>
        <w:tc>
          <w:tcPr>
            <w:tcW w:w="23" w:type="dxa"/>
            <w:tcBorders/>
            <w:shd w:fill="auto" w:val="clear"/>
          </w:tcPr>
          <w:p>
            <w:pPr>
              <w:pStyle w:val="TableContents"/>
              <w:spacing w:before="0" w:after="283"/>
              <w:rPr/>
            </w:pPr>
            <w:r>
              <w:rPr/>
              <w:t>​</w:t>
            </w:r>
          </w:p>
        </w:tc>
        <w:tc>
          <w:tcPr>
            <w:tcW w:w="615" w:type="dxa"/>
            <w:tcBorders/>
            <w:shd w:fill="auto" w:val="clear"/>
          </w:tcPr>
          <w:p>
            <w:pPr>
              <w:pStyle w:val="TableContents"/>
              <w:spacing w:before="0" w:after="283"/>
              <w:rPr/>
            </w:pPr>
            <w:r>
              <w:rPr/>
              <w:t>​</w:t>
            </w:r>
          </w:p>
        </w:tc>
        <w:tc>
          <w:tcPr>
            <w:tcW w:w="335" w:type="dxa"/>
            <w:gridSpan w:val="2"/>
            <w:tcBorders/>
            <w:shd w:fill="auto" w:val="clear"/>
          </w:tcPr>
          <w:p>
            <w:pPr>
              <w:pStyle w:val="TableContents"/>
              <w:spacing w:before="0" w:after="283"/>
              <w:jc w:val="right"/>
              <w:rPr>
                <w:rFonts w:ascii="arial" w:hAnsi="arial"/>
                <w:sz w:val="20"/>
              </w:rPr>
            </w:pPr>
            <w:r>
              <w:rPr>
                <w:rFonts w:ascii="arial" w:hAnsi="arial"/>
                <w:sz w:val="20"/>
              </w:rPr>
              <w:t>0</w:t>
            </w:r>
          </w:p>
        </w:tc>
        <w:tc>
          <w:tcPr>
            <w:tcW w:w="350" w:type="dxa"/>
            <w:tcBorders/>
            <w:shd w:fill="auto" w:val="clear"/>
          </w:tcPr>
          <w:p>
            <w:pPr>
              <w:pStyle w:val="TableContents"/>
              <w:spacing w:before="0" w:after="283"/>
              <w:rPr>
                <w:rFonts w:ascii="arial" w:hAnsi="arial"/>
                <w:sz w:val="20"/>
              </w:rPr>
            </w:pPr>
            <w:r>
              <w:rPr>
                <w:rFonts w:ascii="arial" w:hAnsi="arial"/>
                <w:sz w:val="20"/>
              </w:rPr>
              <w:t>%</w:t>
            </w:r>
          </w:p>
        </w:tc>
        <w:tc>
          <w:tcPr>
            <w:tcW w:w="24" w:type="dxa"/>
            <w:tcBorders/>
            <w:shd w:fill="auto" w:val="clear"/>
          </w:tcPr>
          <w:p>
            <w:pPr>
              <w:pStyle w:val="TableContents"/>
              <w:spacing w:before="0" w:after="283"/>
              <w:rPr/>
            </w:pPr>
            <w:r>
              <w:rPr/>
              <w:t>​</w:t>
            </w:r>
          </w:p>
        </w:tc>
      </w:tr>
      <w:tr>
        <w:trPr/>
        <w:tc>
          <w:tcPr>
            <w:tcW w:w="8858" w:type="dxa"/>
            <w:tcBorders/>
            <w:shd w:fill="auto" w:val="clear"/>
          </w:tcPr>
          <w:p>
            <w:pPr>
              <w:pStyle w:val="TableContents"/>
              <w:spacing w:before="0" w:after="283"/>
              <w:rPr>
                <w:rFonts w:ascii="arial" w:hAnsi="arial"/>
                <w:sz w:val="20"/>
              </w:rPr>
            </w:pPr>
            <w:r>
              <w:rPr>
                <w:rFonts w:ascii="arial" w:hAnsi="arial"/>
                <w:sz w:val="20"/>
              </w:rPr>
              <w:t>"Yes" to one parameter</w:t>
            </w:r>
          </w:p>
        </w:tc>
        <w:tc>
          <w:tcPr>
            <w:tcW w:w="23" w:type="dxa"/>
            <w:tcBorders/>
            <w:shd w:fill="auto" w:val="clear"/>
          </w:tcPr>
          <w:p>
            <w:pPr>
              <w:pStyle w:val="TableContents"/>
              <w:spacing w:before="0" w:after="283"/>
              <w:rPr/>
            </w:pPr>
            <w:r>
              <w:rPr/>
              <w:t>​</w:t>
            </w:r>
          </w:p>
        </w:tc>
        <w:tc>
          <w:tcPr>
            <w:tcW w:w="615" w:type="dxa"/>
            <w:tcBorders/>
            <w:shd w:fill="auto" w:val="clear"/>
          </w:tcPr>
          <w:p>
            <w:pPr>
              <w:pStyle w:val="TableContents"/>
              <w:spacing w:before="0" w:after="283"/>
              <w:rPr/>
            </w:pPr>
            <w:r>
              <w:rPr/>
              <w:t>​</w:t>
            </w:r>
          </w:p>
        </w:tc>
        <w:tc>
          <w:tcPr>
            <w:tcW w:w="335" w:type="dxa"/>
            <w:gridSpan w:val="2"/>
            <w:tcBorders/>
            <w:shd w:fill="auto" w:val="clear"/>
          </w:tcPr>
          <w:p>
            <w:pPr>
              <w:pStyle w:val="TableContents"/>
              <w:spacing w:before="0" w:after="283"/>
              <w:jc w:val="right"/>
              <w:rPr>
                <w:rFonts w:ascii="arial" w:hAnsi="arial"/>
                <w:sz w:val="20"/>
              </w:rPr>
            </w:pPr>
            <w:r>
              <w:rPr>
                <w:rFonts w:ascii="arial" w:hAnsi="arial"/>
                <w:sz w:val="20"/>
              </w:rPr>
              <w:t>60</w:t>
            </w:r>
          </w:p>
        </w:tc>
        <w:tc>
          <w:tcPr>
            <w:tcW w:w="350" w:type="dxa"/>
            <w:tcBorders/>
            <w:shd w:fill="auto" w:val="clear"/>
          </w:tcPr>
          <w:p>
            <w:pPr>
              <w:pStyle w:val="TableContents"/>
              <w:spacing w:before="0" w:after="283"/>
              <w:rPr>
                <w:rFonts w:ascii="arial" w:hAnsi="arial"/>
                <w:sz w:val="20"/>
              </w:rPr>
            </w:pPr>
            <w:r>
              <w:rPr>
                <w:rFonts w:ascii="arial" w:hAnsi="arial"/>
                <w:sz w:val="20"/>
              </w:rPr>
              <w:t>%</w:t>
            </w:r>
          </w:p>
        </w:tc>
        <w:tc>
          <w:tcPr>
            <w:tcW w:w="24" w:type="dxa"/>
            <w:tcBorders/>
            <w:shd w:fill="auto" w:val="clear"/>
          </w:tcPr>
          <w:p>
            <w:pPr>
              <w:pStyle w:val="TableContents"/>
              <w:spacing w:before="0" w:after="283"/>
              <w:rPr/>
            </w:pPr>
            <w:r>
              <w:rPr/>
              <w:t>​</w:t>
            </w:r>
          </w:p>
        </w:tc>
      </w:tr>
      <w:tr>
        <w:trPr/>
        <w:tc>
          <w:tcPr>
            <w:tcW w:w="8858" w:type="dxa"/>
            <w:tcBorders/>
            <w:shd w:fill="auto" w:val="clear"/>
          </w:tcPr>
          <w:p>
            <w:pPr>
              <w:pStyle w:val="TableContents"/>
              <w:spacing w:before="0" w:after="283"/>
              <w:rPr>
                <w:rFonts w:ascii="arial" w:hAnsi="arial"/>
                <w:sz w:val="20"/>
              </w:rPr>
            </w:pPr>
            <w:r>
              <w:rPr>
                <w:rFonts w:ascii="arial" w:hAnsi="arial"/>
                <w:sz w:val="20"/>
              </w:rPr>
              <w:t>"Yes" to two parameters</w:t>
            </w:r>
          </w:p>
        </w:tc>
        <w:tc>
          <w:tcPr>
            <w:tcW w:w="23" w:type="dxa"/>
            <w:tcBorders/>
            <w:shd w:fill="auto" w:val="clear"/>
          </w:tcPr>
          <w:p>
            <w:pPr>
              <w:pStyle w:val="TableContents"/>
              <w:spacing w:before="0" w:after="283"/>
              <w:rPr/>
            </w:pPr>
            <w:r>
              <w:rPr/>
              <w:t>​</w:t>
            </w:r>
          </w:p>
        </w:tc>
        <w:tc>
          <w:tcPr>
            <w:tcW w:w="615" w:type="dxa"/>
            <w:tcBorders/>
            <w:shd w:fill="auto" w:val="clear"/>
          </w:tcPr>
          <w:p>
            <w:pPr>
              <w:pStyle w:val="TableContents"/>
              <w:spacing w:before="0" w:after="283"/>
              <w:rPr/>
            </w:pPr>
            <w:r>
              <w:rPr/>
              <w:t>​</w:t>
            </w:r>
          </w:p>
        </w:tc>
        <w:tc>
          <w:tcPr>
            <w:tcW w:w="335" w:type="dxa"/>
            <w:gridSpan w:val="2"/>
            <w:tcBorders/>
            <w:shd w:fill="auto" w:val="clear"/>
          </w:tcPr>
          <w:p>
            <w:pPr>
              <w:pStyle w:val="TableContents"/>
              <w:spacing w:before="0" w:after="283"/>
              <w:jc w:val="right"/>
              <w:rPr>
                <w:rFonts w:ascii="arial" w:hAnsi="arial"/>
                <w:sz w:val="20"/>
              </w:rPr>
            </w:pPr>
            <w:r>
              <w:rPr>
                <w:rFonts w:ascii="arial" w:hAnsi="arial"/>
                <w:sz w:val="20"/>
              </w:rPr>
              <w:t>80</w:t>
            </w:r>
          </w:p>
        </w:tc>
        <w:tc>
          <w:tcPr>
            <w:tcW w:w="350" w:type="dxa"/>
            <w:tcBorders/>
            <w:shd w:fill="auto" w:val="clear"/>
          </w:tcPr>
          <w:p>
            <w:pPr>
              <w:pStyle w:val="TableContents"/>
              <w:spacing w:before="0" w:after="283"/>
              <w:rPr>
                <w:rFonts w:ascii="arial" w:hAnsi="arial"/>
                <w:sz w:val="20"/>
              </w:rPr>
            </w:pPr>
            <w:r>
              <w:rPr>
                <w:rFonts w:ascii="arial" w:hAnsi="arial"/>
                <w:sz w:val="20"/>
              </w:rPr>
              <w:t>%</w:t>
            </w:r>
          </w:p>
        </w:tc>
        <w:tc>
          <w:tcPr>
            <w:tcW w:w="24" w:type="dxa"/>
            <w:tcBorders/>
            <w:shd w:fill="auto" w:val="clear"/>
          </w:tcPr>
          <w:p>
            <w:pPr>
              <w:pStyle w:val="TableContents"/>
              <w:spacing w:before="0" w:after="283"/>
              <w:rPr/>
            </w:pPr>
            <w:r>
              <w:rPr/>
              <w:t>​</w:t>
            </w:r>
          </w:p>
        </w:tc>
      </w:tr>
      <w:tr>
        <w:trPr/>
        <w:tc>
          <w:tcPr>
            <w:tcW w:w="8858" w:type="dxa"/>
            <w:tcBorders/>
            <w:shd w:fill="auto" w:val="clear"/>
          </w:tcPr>
          <w:p>
            <w:pPr>
              <w:pStyle w:val="TableContents"/>
              <w:spacing w:before="0" w:after="283"/>
              <w:rPr>
                <w:rFonts w:ascii="arial" w:hAnsi="arial"/>
                <w:sz w:val="20"/>
              </w:rPr>
            </w:pPr>
            <w:r>
              <w:rPr>
                <w:rFonts w:ascii="arial" w:hAnsi="arial"/>
                <w:sz w:val="20"/>
              </w:rPr>
              <w:t>"Yes" to all three parameters</w:t>
            </w:r>
          </w:p>
        </w:tc>
        <w:tc>
          <w:tcPr>
            <w:tcW w:w="23" w:type="dxa"/>
            <w:tcBorders/>
            <w:shd w:fill="auto" w:val="clear"/>
          </w:tcPr>
          <w:p>
            <w:pPr>
              <w:pStyle w:val="TableContents"/>
              <w:spacing w:before="0" w:after="283"/>
              <w:rPr/>
            </w:pPr>
            <w:r>
              <w:rPr/>
              <w:t>​</w:t>
            </w:r>
          </w:p>
        </w:tc>
        <w:tc>
          <w:tcPr>
            <w:tcW w:w="615" w:type="dxa"/>
            <w:tcBorders/>
            <w:shd w:fill="auto" w:val="clear"/>
          </w:tcPr>
          <w:p>
            <w:pPr>
              <w:pStyle w:val="TableContents"/>
              <w:spacing w:before="0" w:after="283"/>
              <w:rPr/>
            </w:pPr>
            <w:r>
              <w:rPr/>
              <w:t>​</w:t>
            </w:r>
          </w:p>
        </w:tc>
        <w:tc>
          <w:tcPr>
            <w:tcW w:w="335" w:type="dxa"/>
            <w:gridSpan w:val="2"/>
            <w:tcBorders/>
            <w:shd w:fill="auto" w:val="clear"/>
          </w:tcPr>
          <w:p>
            <w:pPr>
              <w:pStyle w:val="TableContents"/>
              <w:spacing w:before="0" w:after="283"/>
              <w:jc w:val="right"/>
              <w:rPr>
                <w:rFonts w:ascii="arial" w:hAnsi="arial"/>
                <w:sz w:val="20"/>
              </w:rPr>
            </w:pPr>
            <w:r>
              <w:rPr>
                <w:rFonts w:ascii="arial" w:hAnsi="arial"/>
                <w:sz w:val="20"/>
              </w:rPr>
              <w:t>100</w:t>
            </w:r>
          </w:p>
        </w:tc>
        <w:tc>
          <w:tcPr>
            <w:tcW w:w="350" w:type="dxa"/>
            <w:tcBorders/>
            <w:shd w:fill="auto" w:val="clear"/>
          </w:tcPr>
          <w:p>
            <w:pPr>
              <w:pStyle w:val="TableContents"/>
              <w:spacing w:before="0" w:after="283"/>
              <w:rPr>
                <w:rFonts w:ascii="arial" w:hAnsi="arial"/>
                <w:sz w:val="20"/>
              </w:rPr>
            </w:pPr>
            <w:r>
              <w:rPr>
                <w:rFonts w:ascii="arial" w:hAnsi="arial"/>
                <w:sz w:val="20"/>
              </w:rPr>
              <w:t>%</w:t>
            </w:r>
          </w:p>
        </w:tc>
        <w:tc>
          <w:tcPr>
            <w:tcW w:w="24" w:type="dxa"/>
            <w:tcBorders/>
            <w:shd w:fill="auto" w:val="clear"/>
          </w:tcPr>
          <w:p>
            <w:pPr>
              <w:pStyle w:val="TableContents"/>
              <w:spacing w:before="0" w:after="283"/>
              <w:rPr/>
            </w:pPr>
            <w:r>
              <w:rPr/>
              <w:t>​</w:t>
            </w:r>
          </w:p>
        </w:tc>
      </w:tr>
    </w:tbl>
    <w:p>
      <w:pPr>
        <w:pStyle w:val="TextBody"/>
        <w:rPr>
          <w:rFonts w:ascii="arial" w:hAnsi="arial"/>
          <w:sz w:val="20"/>
        </w:rPr>
      </w:pPr>
      <w:r>
        <w:rPr>
          <w:rFonts w:ascii="arial" w:hAnsi="arial"/>
          <w:sz w:val="20"/>
        </w:rPr>
        <w:t xml:space="preserve">The Chief Executive Officer, and for the Chief Executive Officer, the Compensation Committee, made an affirmative determination that the Named Executive Officers met all three parameters. </w:t>
      </w:r>
    </w:p>
    <w:p>
      <w:pPr>
        <w:pStyle w:val="TextBody"/>
        <w:ind w:left="200" w:right="0" w:hanging="200"/>
        <w:rPr>
          <w:rFonts w:ascii="arial" w:hAnsi="arial"/>
          <w:sz w:val="20"/>
        </w:rPr>
      </w:pPr>
      <w:r>
        <w:rPr>
          <w:rFonts w:ascii="arial" w:hAnsi="arial"/>
          <w:sz w:val="20"/>
          <w:u w:val="single"/>
        </w:rPr>
        <w:t>2020 Annual Incentive Payout Determinations</w:t>
      </w:r>
      <w:r>
        <w:rPr>
          <w:rFonts w:ascii="arial" w:hAnsi="arial"/>
          <w:sz w:val="20"/>
        </w:rPr>
        <w:t xml:space="preserve"> </w:t>
      </w:r>
    </w:p>
    <w:p>
      <w:pPr>
        <w:pStyle w:val="TextBody"/>
        <w:rPr>
          <w:rFonts w:ascii="arial" w:hAnsi="arial"/>
          <w:sz w:val="20"/>
        </w:rPr>
      </w:pPr>
      <w:r>
        <w:rPr>
          <w:rFonts w:ascii="arial" w:hAnsi="arial"/>
          <w:sz w:val="20"/>
        </w:rPr>
        <w:t xml:space="preserve">The Chief Executive Officer's annual scorecard performance was determined by the Compensation Committee, taking into consideration whether the Company's performance and corresponding incentive results present a fair representation of the Chief Executive Officer's performance. </w:t>
      </w:r>
    </w:p>
    <w:p>
      <w:pPr>
        <w:pStyle w:val="TextBody"/>
        <w:rPr>
          <w:rFonts w:ascii="arial" w:hAnsi="arial"/>
          <w:sz w:val="20"/>
        </w:rPr>
      </w:pPr>
      <w:r>
        <w:rPr>
          <w:rFonts w:ascii="arial" w:hAnsi="arial"/>
          <w:sz w:val="20"/>
        </w:rPr>
        <w:t xml:space="preserve">For our Named Executive Officers other than the Chief Executive Officer (and the Chief Administration and Risk Officer who was not eligible for 2020 incentives), the Chief Executive Officer made recommendations for annual scorecard performance based on the level of achievement on the cost reduction goal that was set for the Company for 2020. </w:t>
      </w:r>
    </w:p>
    <w:p>
      <w:pPr>
        <w:pStyle w:val="TextBody"/>
        <w:rPr>
          <w:rFonts w:ascii="arial" w:hAnsi="arial"/>
          <w:sz w:val="20"/>
        </w:rPr>
      </w:pPr>
      <w:r>
        <w:rPr>
          <w:rFonts w:ascii="arial" w:hAnsi="arial"/>
          <w:sz w:val="20"/>
        </w:rPr>
        <w:t xml:space="preserve">As described above, the 91.7% achievement level was applied to this revised bonus pool, resulting in a payout of 25.0% of target for the Named Executive Officers, other than the Chief Executive Officer whose payout was set at 20.0% of target for 2020 and the Chief Administration and Risk Officer who was not eligible for 2020 incentives. The payout was made in RSUs and no cash incentive was paid to the Named Executive Officers for the 2020 performance year. </w:t>
      </w:r>
    </w:p>
    <w:p>
      <w:pPr>
        <w:pStyle w:val="TextBody"/>
        <w:rPr>
          <w:rFonts w:ascii="arial" w:hAnsi="arial"/>
          <w:sz w:val="20"/>
        </w:rPr>
      </w:pPr>
      <w:r>
        <w:rPr>
          <w:rFonts w:ascii="arial" w:hAnsi="arial"/>
          <w:sz w:val="20"/>
        </w:rPr>
        <w:t xml:space="preserve">The following table summarizes the basis for the calculation of the 2020 incentive awards for each of the Named Executive Officers (except Mr. Wilcox, who resigned from the Company effective April 15, 2020 and was not eligible for any incentive compensation for 2020): </w:t>
      </w:r>
    </w:p>
    <w:tbl>
      <w:tblPr>
        <w:tblW w:w="5000" w:type="pct"/>
        <w:jc w:val="center"/>
        <w:tblInd w:w="0" w:type="dxa"/>
        <w:tblCellMar>
          <w:top w:w="0" w:type="dxa"/>
          <w:left w:w="0" w:type="dxa"/>
          <w:bottom w:w="0" w:type="dxa"/>
          <w:right w:w="0" w:type="dxa"/>
        </w:tblCellMar>
      </w:tblPr>
      <w:tblGrid>
        <w:gridCol w:w="6821"/>
        <w:gridCol w:w="23"/>
        <w:gridCol w:w="92"/>
        <w:gridCol w:w="141"/>
        <w:gridCol w:w="875"/>
        <w:gridCol w:w="23"/>
        <w:gridCol w:w="23"/>
        <w:gridCol w:w="23"/>
        <w:gridCol w:w="140"/>
        <w:gridCol w:w="710"/>
        <w:gridCol w:w="23"/>
        <w:gridCol w:w="23"/>
        <w:gridCol w:w="78"/>
        <w:gridCol w:w="302"/>
        <w:gridCol w:w="303"/>
        <w:gridCol w:w="581"/>
        <w:gridCol w:w="24"/>
      </w:tblGrid>
      <w:tr>
        <w:trPr/>
        <w:tc>
          <w:tcPr>
            <w:tcW w:w="6821"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24" w:type="dxa"/>
            <w:tcBorders/>
            <w:shd w:fill="auto" w:val="clear"/>
            <w:vAlign w:val="center"/>
          </w:tcPr>
          <w:p>
            <w:pPr>
              <w:pStyle w:val="TableContents"/>
              <w:spacing w:before="0" w:after="283"/>
              <w:rPr>
                <w:sz w:val="4"/>
                <w:szCs w:val="4"/>
              </w:rPr>
            </w:pPr>
            <w:r>
              <w:rPr>
                <w:sz w:val="4"/>
                <w:szCs w:val="4"/>
              </w:rPr>
            </w:r>
          </w:p>
        </w:tc>
      </w:tr>
      <w:tr>
        <w:trPr/>
        <w:tc>
          <w:tcPr>
            <w:tcW w:w="6821" w:type="dxa"/>
            <w:tcBorders>
              <w:bottom w:val="single" w:sz="8" w:space="0" w:color="000000"/>
            </w:tcBorders>
            <w:shd w:fill="auto" w:val="clear"/>
            <w:tcMar>
              <w:bottom w:w="28" w:type="dxa"/>
            </w:tcMar>
            <w:vAlign w:val="bottom"/>
          </w:tcPr>
          <w:p>
            <w:pPr>
              <w:pStyle w:val="TableHeading"/>
              <w:spacing w:before="0" w:after="283"/>
              <w:jc w:val="center"/>
              <w:rPr>
                <w:rFonts w:ascii="arial" w:hAnsi="arial"/>
                <w:b/>
                <w:sz w:val="20"/>
              </w:rPr>
            </w:pPr>
            <w:r>
              <w:rPr>
                <w:rFonts w:ascii="arial" w:hAnsi="arial"/>
                <w:b/>
                <w:sz w:val="20"/>
              </w:rPr>
              <w:t xml:space="preserve">Name </w:t>
            </w:r>
          </w:p>
        </w:tc>
        <w:tc>
          <w:tcPr>
            <w:tcW w:w="23" w:type="dxa"/>
            <w:tcBorders/>
            <w:shd w:fill="auto" w:val="clear"/>
            <w:vAlign w:val="bottom"/>
          </w:tcPr>
          <w:p>
            <w:pPr>
              <w:pStyle w:val="TableHeading"/>
              <w:suppressLineNumbers/>
              <w:spacing w:before="0" w:after="283"/>
              <w:jc w:val="center"/>
              <w:rPr/>
            </w:pPr>
            <w:r>
              <w:rPr/>
              <w:t>​</w:t>
            </w:r>
          </w:p>
        </w:tc>
        <w:tc>
          <w:tcPr>
            <w:tcW w:w="1131" w:type="dxa"/>
            <w:gridSpan w:val="4"/>
            <w:tcBorders>
              <w:bottom w:val="single" w:sz="8" w:space="0" w:color="000000"/>
            </w:tcBorders>
            <w:shd w:fill="auto" w:val="clear"/>
            <w:tcMar>
              <w:bottom w:w="28" w:type="dxa"/>
            </w:tcMar>
            <w:vAlign w:val="bottom"/>
          </w:tcPr>
          <w:p>
            <w:pPr>
              <w:pStyle w:val="TableHeading"/>
              <w:spacing w:before="0" w:after="283"/>
              <w:jc w:val="center"/>
              <w:rPr>
                <w:rFonts w:ascii="arial" w:hAnsi="arial"/>
                <w:b/>
                <w:sz w:val="20"/>
              </w:rPr>
            </w:pPr>
            <w:r>
              <w:rPr>
                <w:rFonts w:ascii="arial" w:hAnsi="arial"/>
                <w:b/>
                <w:sz w:val="20"/>
              </w:rPr>
              <w:t>2020 Target</w:t>
              <w:br/>
              <w:t xml:space="preserve">Incentive Opportunity </w:t>
            </w:r>
          </w:p>
        </w:tc>
        <w:tc>
          <w:tcPr>
            <w:tcW w:w="23" w:type="dxa"/>
            <w:tcBorders/>
            <w:shd w:fill="auto" w:val="clear"/>
            <w:vAlign w:val="bottom"/>
          </w:tcPr>
          <w:p>
            <w:pPr>
              <w:pStyle w:val="TableHeading"/>
              <w:suppressLineNumbers/>
              <w:spacing w:before="0" w:after="283"/>
              <w:jc w:val="center"/>
              <w:rPr/>
            </w:pPr>
            <w:r>
              <w:rPr/>
              <w:t>​</w:t>
            </w:r>
          </w:p>
        </w:tc>
        <w:tc>
          <w:tcPr>
            <w:tcW w:w="896" w:type="dxa"/>
            <w:gridSpan w:val="4"/>
            <w:tcBorders>
              <w:bottom w:val="single" w:sz="8" w:space="0" w:color="000000"/>
            </w:tcBorders>
            <w:shd w:fill="auto" w:val="clear"/>
            <w:tcMar>
              <w:bottom w:w="28" w:type="dxa"/>
            </w:tcMar>
            <w:vAlign w:val="bottom"/>
          </w:tcPr>
          <w:p>
            <w:pPr>
              <w:pStyle w:val="TableHeading"/>
              <w:spacing w:before="0" w:after="283"/>
              <w:jc w:val="center"/>
              <w:rPr>
                <w:rFonts w:ascii="arial" w:hAnsi="arial"/>
                <w:b/>
                <w:sz w:val="20"/>
              </w:rPr>
            </w:pPr>
            <w:r>
              <w:rPr>
                <w:rFonts w:ascii="arial" w:hAnsi="arial"/>
                <w:b/>
                <w:sz w:val="20"/>
              </w:rPr>
              <w:t>2020 Incentive</w:t>
              <w:br/>
              <w:t xml:space="preserve">Actuals </w:t>
            </w:r>
          </w:p>
        </w:tc>
        <w:tc>
          <w:tcPr>
            <w:tcW w:w="23" w:type="dxa"/>
            <w:tcBorders/>
            <w:shd w:fill="auto" w:val="clear"/>
            <w:vAlign w:val="bottom"/>
          </w:tcPr>
          <w:p>
            <w:pPr>
              <w:pStyle w:val="TableHeading"/>
              <w:suppressLineNumbers/>
              <w:spacing w:before="0" w:after="283"/>
              <w:jc w:val="center"/>
              <w:rPr/>
            </w:pPr>
            <w:r>
              <w:rPr/>
              <w:t>​</w:t>
            </w:r>
          </w:p>
        </w:tc>
        <w:tc>
          <w:tcPr>
            <w:tcW w:w="1264" w:type="dxa"/>
            <w:gridSpan w:val="4"/>
            <w:tcBorders>
              <w:bottom w:val="single" w:sz="8" w:space="0" w:color="000000"/>
            </w:tcBorders>
            <w:shd w:fill="auto" w:val="clear"/>
            <w:tcMar>
              <w:bottom w:w="28" w:type="dxa"/>
            </w:tcMar>
            <w:vAlign w:val="bottom"/>
          </w:tcPr>
          <w:p>
            <w:pPr>
              <w:pStyle w:val="TableHeading"/>
              <w:spacing w:before="0" w:after="283"/>
              <w:jc w:val="center"/>
              <w:rPr>
                <w:rFonts w:ascii="arial" w:hAnsi="arial"/>
                <w:b/>
                <w:sz w:val="20"/>
              </w:rPr>
            </w:pPr>
            <w:r>
              <w:rPr>
                <w:rFonts w:ascii="arial" w:hAnsi="arial"/>
                <w:b/>
                <w:sz w:val="20"/>
              </w:rPr>
              <w:t># RSUs</w:t>
              <w:br/>
              <w:t>Granted</w:t>
            </w:r>
            <w:r>
              <w:rPr>
                <w:rFonts w:ascii="arial" w:hAnsi="arial"/>
                <w:b/>
                <w:position w:val="7"/>
                <w:sz w:val="16"/>
                <w:sz w:val="20"/>
              </w:rPr>
              <w:t>(1)</w:t>
            </w:r>
            <w:r>
              <w:rPr>
                <w:rFonts w:ascii="arial" w:hAnsi="arial"/>
                <w:b/>
                <w:sz w:val="20"/>
              </w:rPr>
              <w:t xml:space="preserve"> </w:t>
            </w:r>
          </w:p>
        </w:tc>
        <w:tc>
          <w:tcPr>
            <w:tcW w:w="24" w:type="dxa"/>
            <w:tcBorders/>
            <w:shd w:fill="auto" w:val="clear"/>
            <w:vAlign w:val="bottom"/>
          </w:tcPr>
          <w:p>
            <w:pPr>
              <w:pStyle w:val="TableHeading"/>
              <w:suppressLineNumbers/>
              <w:spacing w:before="0" w:after="283"/>
              <w:jc w:val="center"/>
              <w:rPr/>
            </w:pPr>
            <w:r>
              <w:rPr/>
              <w:t>​</w:t>
            </w:r>
          </w:p>
        </w:tc>
      </w:tr>
      <w:tr>
        <w:trPr/>
        <w:tc>
          <w:tcPr>
            <w:tcW w:w="6821" w:type="dxa"/>
            <w:tcBorders/>
            <w:shd w:fill="auto" w:val="clear"/>
            <w:vAlign w:val="bottom"/>
          </w:tcPr>
          <w:p>
            <w:pPr>
              <w:pStyle w:val="TableContents"/>
              <w:spacing w:before="0" w:after="283"/>
              <w:ind w:left="200" w:right="0" w:hanging="200"/>
              <w:rPr>
                <w:rFonts w:ascii="arial" w:hAnsi="arial"/>
                <w:sz w:val="20"/>
              </w:rPr>
            </w:pPr>
            <w:r>
              <w:rPr>
                <w:rFonts w:ascii="arial" w:hAnsi="arial"/>
                <w:sz w:val="20"/>
              </w:rPr>
              <w:t>William B. Shepro</w:t>
            </w:r>
          </w:p>
        </w:tc>
        <w:tc>
          <w:tcPr>
            <w:tcW w:w="23" w:type="dxa"/>
            <w:tcBorders/>
            <w:shd w:fill="auto" w:val="clear"/>
            <w:vAlign w:val="bottom"/>
          </w:tcPr>
          <w:p>
            <w:pPr>
              <w:pStyle w:val="TableContents"/>
              <w:spacing w:before="0" w:after="283"/>
              <w:rPr/>
            </w:pPr>
            <w:r>
              <w:rPr/>
              <w:t>​</w:t>
            </w:r>
          </w:p>
        </w:tc>
        <w:tc>
          <w:tcPr>
            <w:tcW w:w="92" w:type="dxa"/>
            <w:tcBorders/>
            <w:shd w:fill="auto" w:val="clear"/>
            <w:vAlign w:val="bottom"/>
          </w:tcPr>
          <w:p>
            <w:pPr>
              <w:pStyle w:val="TableContents"/>
              <w:spacing w:before="0" w:after="283"/>
              <w:rPr/>
            </w:pPr>
            <w:r>
              <w:rPr/>
              <w:t>​</w:t>
            </w:r>
          </w:p>
        </w:tc>
        <w:tc>
          <w:tcPr>
            <w:tcW w:w="141" w:type="dxa"/>
            <w:tcBorders/>
            <w:shd w:fill="auto" w:val="clear"/>
            <w:vAlign w:val="bottom"/>
          </w:tcPr>
          <w:p>
            <w:pPr>
              <w:pStyle w:val="TableContents"/>
              <w:spacing w:before="0" w:after="283"/>
              <w:rPr>
                <w:rFonts w:ascii="arial" w:hAnsi="arial"/>
                <w:sz w:val="20"/>
              </w:rPr>
            </w:pPr>
            <w:r>
              <w:rPr>
                <w:rFonts w:ascii="arial" w:hAnsi="arial"/>
                <w:sz w:val="20"/>
              </w:rPr>
              <w:t>$</w:t>
            </w:r>
          </w:p>
        </w:tc>
        <w:tc>
          <w:tcPr>
            <w:tcW w:w="875" w:type="dxa"/>
            <w:tcBorders/>
            <w:shd w:fill="auto" w:val="clear"/>
            <w:vAlign w:val="bottom"/>
          </w:tcPr>
          <w:p>
            <w:pPr>
              <w:pStyle w:val="TableContents"/>
              <w:spacing w:before="0" w:after="283"/>
              <w:jc w:val="right"/>
              <w:rPr>
                <w:rFonts w:ascii="arial" w:hAnsi="arial"/>
                <w:sz w:val="20"/>
              </w:rPr>
            </w:pPr>
            <w:r>
              <w:rPr>
                <w:rFonts w:ascii="arial" w:hAnsi="arial"/>
                <w:sz w:val="20"/>
              </w:rPr>
              <w:t>1,259,961</w:t>
            </w:r>
          </w:p>
        </w:tc>
        <w:tc>
          <w:tcPr>
            <w:tcW w:w="2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w:t>
            </w:r>
          </w:p>
        </w:tc>
        <w:tc>
          <w:tcPr>
            <w:tcW w:w="710" w:type="dxa"/>
            <w:tcBorders/>
            <w:shd w:fill="auto" w:val="clear"/>
            <w:vAlign w:val="bottom"/>
          </w:tcPr>
          <w:p>
            <w:pPr>
              <w:pStyle w:val="TableContents"/>
              <w:spacing w:before="0" w:after="283"/>
              <w:jc w:val="right"/>
              <w:rPr>
                <w:rFonts w:ascii="arial" w:hAnsi="arial"/>
                <w:sz w:val="20"/>
              </w:rPr>
            </w:pPr>
            <w:r>
              <w:rPr>
                <w:rFonts w:ascii="arial" w:hAnsi="arial"/>
                <w:sz w:val="20"/>
              </w:rPr>
              <w:t>251,992</w:t>
            </w:r>
          </w:p>
        </w:tc>
        <w:tc>
          <w:tcPr>
            <w:tcW w:w="2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78" w:type="dxa"/>
            <w:tcBorders/>
            <w:shd w:fill="auto" w:val="clear"/>
            <w:vAlign w:val="bottom"/>
          </w:tcPr>
          <w:p>
            <w:pPr>
              <w:pStyle w:val="TableContents"/>
              <w:spacing w:before="0" w:after="283"/>
              <w:rPr/>
            </w:pPr>
            <w:r>
              <w:rPr/>
              <w:t>​</w:t>
            </w:r>
          </w:p>
        </w:tc>
        <w:tc>
          <w:tcPr>
            <w:tcW w:w="605" w:type="dxa"/>
            <w:gridSpan w:val="2"/>
            <w:tcBorders/>
            <w:shd w:fill="auto" w:val="clear"/>
            <w:vAlign w:val="bottom"/>
          </w:tcPr>
          <w:p>
            <w:pPr>
              <w:pStyle w:val="TableContents"/>
              <w:spacing w:before="0" w:after="283"/>
              <w:jc w:val="right"/>
              <w:rPr>
                <w:rFonts w:ascii="arial" w:hAnsi="arial"/>
                <w:sz w:val="20"/>
              </w:rPr>
            </w:pPr>
            <w:r>
              <w:rPr>
                <w:rFonts w:ascii="arial" w:hAnsi="arial"/>
                <w:sz w:val="20"/>
              </w:rPr>
              <w:t>23,853</w:t>
            </w:r>
          </w:p>
        </w:tc>
        <w:tc>
          <w:tcPr>
            <w:tcW w:w="581"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6821" w:type="dxa"/>
            <w:tcBorders/>
            <w:shd w:fill="auto" w:val="clear"/>
            <w:vAlign w:val="bottom"/>
          </w:tcPr>
          <w:p>
            <w:pPr>
              <w:pStyle w:val="TableContents"/>
              <w:spacing w:before="0" w:after="283"/>
              <w:ind w:left="200" w:right="0" w:hanging="200"/>
              <w:rPr>
                <w:rFonts w:ascii="arial" w:hAnsi="arial"/>
                <w:sz w:val="20"/>
              </w:rPr>
            </w:pPr>
            <w:r>
              <w:rPr>
                <w:rFonts w:ascii="arial" w:hAnsi="arial"/>
                <w:sz w:val="20"/>
              </w:rPr>
              <w:t>Michelle D. Esterman</w:t>
            </w:r>
          </w:p>
        </w:tc>
        <w:tc>
          <w:tcPr>
            <w:tcW w:w="23" w:type="dxa"/>
            <w:tcBorders/>
            <w:shd w:fill="auto" w:val="clear"/>
            <w:vAlign w:val="bottom"/>
          </w:tcPr>
          <w:p>
            <w:pPr>
              <w:pStyle w:val="TableContents"/>
              <w:spacing w:before="0" w:after="283"/>
              <w:rPr/>
            </w:pPr>
            <w:r>
              <w:rPr/>
              <w:t>​</w:t>
            </w:r>
          </w:p>
        </w:tc>
        <w:tc>
          <w:tcPr>
            <w:tcW w:w="92" w:type="dxa"/>
            <w:tcBorders/>
            <w:shd w:fill="auto" w:val="clear"/>
            <w:vAlign w:val="bottom"/>
          </w:tcPr>
          <w:p>
            <w:pPr>
              <w:pStyle w:val="TableContents"/>
              <w:spacing w:before="0" w:after="283"/>
              <w:rPr/>
            </w:pPr>
            <w:r>
              <w:rPr/>
              <w:t>​</w:t>
            </w:r>
          </w:p>
        </w:tc>
        <w:tc>
          <w:tcPr>
            <w:tcW w:w="141" w:type="dxa"/>
            <w:tcBorders/>
            <w:shd w:fill="auto" w:val="clear"/>
            <w:vAlign w:val="bottom"/>
          </w:tcPr>
          <w:p>
            <w:pPr>
              <w:pStyle w:val="TableContents"/>
              <w:spacing w:before="0" w:after="283"/>
              <w:rPr>
                <w:rFonts w:ascii="arial" w:hAnsi="arial"/>
                <w:sz w:val="20"/>
              </w:rPr>
            </w:pPr>
            <w:r>
              <w:rPr>
                <w:rFonts w:ascii="arial" w:hAnsi="arial"/>
                <w:sz w:val="20"/>
              </w:rPr>
              <w:t>$</w:t>
            </w:r>
          </w:p>
        </w:tc>
        <w:tc>
          <w:tcPr>
            <w:tcW w:w="875" w:type="dxa"/>
            <w:tcBorders/>
            <w:shd w:fill="auto" w:val="clear"/>
            <w:vAlign w:val="bottom"/>
          </w:tcPr>
          <w:p>
            <w:pPr>
              <w:pStyle w:val="TableContents"/>
              <w:spacing w:before="0" w:after="283"/>
              <w:jc w:val="right"/>
              <w:rPr>
                <w:rFonts w:ascii="arial" w:hAnsi="arial"/>
                <w:sz w:val="20"/>
              </w:rPr>
            </w:pPr>
            <w:r>
              <w:rPr>
                <w:rFonts w:ascii="arial" w:hAnsi="arial"/>
                <w:sz w:val="20"/>
              </w:rPr>
              <w:t>280,000</w:t>
            </w:r>
          </w:p>
        </w:tc>
        <w:tc>
          <w:tcPr>
            <w:tcW w:w="2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w:t>
            </w:r>
          </w:p>
        </w:tc>
        <w:tc>
          <w:tcPr>
            <w:tcW w:w="710" w:type="dxa"/>
            <w:tcBorders/>
            <w:shd w:fill="auto" w:val="clear"/>
            <w:vAlign w:val="bottom"/>
          </w:tcPr>
          <w:p>
            <w:pPr>
              <w:pStyle w:val="TableContents"/>
              <w:spacing w:before="0" w:after="283"/>
              <w:jc w:val="right"/>
              <w:rPr>
                <w:rFonts w:ascii="arial" w:hAnsi="arial"/>
                <w:sz w:val="20"/>
              </w:rPr>
            </w:pPr>
            <w:r>
              <w:rPr>
                <w:rFonts w:ascii="arial" w:hAnsi="arial"/>
                <w:sz w:val="20"/>
              </w:rPr>
              <w:t>70,000</w:t>
            </w:r>
          </w:p>
        </w:tc>
        <w:tc>
          <w:tcPr>
            <w:tcW w:w="2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78" w:type="dxa"/>
            <w:tcBorders/>
            <w:shd w:fill="auto" w:val="clear"/>
            <w:vAlign w:val="bottom"/>
          </w:tcPr>
          <w:p>
            <w:pPr>
              <w:pStyle w:val="TableContents"/>
              <w:spacing w:before="0" w:after="283"/>
              <w:rPr/>
            </w:pPr>
            <w:r>
              <w:rPr/>
              <w:t>​</w:t>
            </w:r>
          </w:p>
        </w:tc>
        <w:tc>
          <w:tcPr>
            <w:tcW w:w="605" w:type="dxa"/>
            <w:gridSpan w:val="2"/>
            <w:tcBorders/>
            <w:shd w:fill="auto" w:val="clear"/>
            <w:vAlign w:val="bottom"/>
          </w:tcPr>
          <w:p>
            <w:pPr>
              <w:pStyle w:val="TableContents"/>
              <w:spacing w:before="0" w:after="283"/>
              <w:jc w:val="right"/>
              <w:rPr>
                <w:rFonts w:ascii="arial" w:hAnsi="arial"/>
                <w:sz w:val="20"/>
              </w:rPr>
            </w:pPr>
            <w:r>
              <w:rPr>
                <w:rFonts w:ascii="arial" w:hAnsi="arial"/>
                <w:sz w:val="20"/>
              </w:rPr>
              <w:t>6,626</w:t>
            </w:r>
          </w:p>
        </w:tc>
        <w:tc>
          <w:tcPr>
            <w:tcW w:w="581"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6821" w:type="dxa"/>
            <w:tcBorders/>
            <w:shd w:fill="auto" w:val="clear"/>
            <w:vAlign w:val="bottom"/>
          </w:tcPr>
          <w:p>
            <w:pPr>
              <w:pStyle w:val="TableContents"/>
              <w:spacing w:before="0" w:after="283"/>
              <w:ind w:left="200" w:right="0" w:hanging="200"/>
              <w:rPr>
                <w:rFonts w:ascii="arial" w:hAnsi="arial"/>
                <w:sz w:val="20"/>
              </w:rPr>
            </w:pPr>
            <w:r>
              <w:rPr>
                <w:rFonts w:ascii="arial" w:hAnsi="arial"/>
                <w:sz w:val="20"/>
              </w:rPr>
              <w:t>Marcello Mastioni</w:t>
            </w:r>
          </w:p>
        </w:tc>
        <w:tc>
          <w:tcPr>
            <w:tcW w:w="23" w:type="dxa"/>
            <w:tcBorders/>
            <w:shd w:fill="auto" w:val="clear"/>
            <w:vAlign w:val="bottom"/>
          </w:tcPr>
          <w:p>
            <w:pPr>
              <w:pStyle w:val="TableContents"/>
              <w:spacing w:before="0" w:after="283"/>
              <w:rPr/>
            </w:pPr>
            <w:r>
              <w:rPr/>
              <w:t>​</w:t>
            </w:r>
          </w:p>
        </w:tc>
        <w:tc>
          <w:tcPr>
            <w:tcW w:w="92" w:type="dxa"/>
            <w:tcBorders/>
            <w:shd w:fill="auto" w:val="clear"/>
            <w:vAlign w:val="bottom"/>
          </w:tcPr>
          <w:p>
            <w:pPr>
              <w:pStyle w:val="TableContents"/>
              <w:spacing w:before="0" w:after="283"/>
              <w:rPr/>
            </w:pPr>
            <w:r>
              <w:rPr/>
              <w:t>​</w:t>
            </w:r>
          </w:p>
        </w:tc>
        <w:tc>
          <w:tcPr>
            <w:tcW w:w="141" w:type="dxa"/>
            <w:tcBorders/>
            <w:shd w:fill="auto" w:val="clear"/>
            <w:vAlign w:val="bottom"/>
          </w:tcPr>
          <w:p>
            <w:pPr>
              <w:pStyle w:val="TableContents"/>
              <w:spacing w:before="0" w:after="283"/>
              <w:rPr/>
            </w:pPr>
            <w:r>
              <w:rPr/>
              <w:t>€</w:t>
            </w:r>
          </w:p>
        </w:tc>
        <w:tc>
          <w:tcPr>
            <w:tcW w:w="875" w:type="dxa"/>
            <w:tcBorders/>
            <w:shd w:fill="auto" w:val="clear"/>
            <w:vAlign w:val="bottom"/>
          </w:tcPr>
          <w:p>
            <w:pPr>
              <w:pStyle w:val="TableContents"/>
              <w:spacing w:before="0" w:after="283"/>
              <w:jc w:val="right"/>
              <w:rPr>
                <w:rFonts w:ascii="arial" w:hAnsi="arial"/>
                <w:sz w:val="20"/>
              </w:rPr>
            </w:pPr>
            <w:r>
              <w:rPr>
                <w:rFonts w:ascii="arial" w:hAnsi="arial"/>
                <w:sz w:val="20"/>
              </w:rPr>
              <w:t>344,400</w:t>
            </w:r>
          </w:p>
        </w:tc>
        <w:tc>
          <w:tcPr>
            <w:tcW w:w="2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140" w:type="dxa"/>
            <w:tcBorders/>
            <w:shd w:fill="auto" w:val="clear"/>
            <w:vAlign w:val="bottom"/>
          </w:tcPr>
          <w:p>
            <w:pPr>
              <w:pStyle w:val="TableContents"/>
              <w:spacing w:before="0" w:after="283"/>
              <w:rPr/>
            </w:pPr>
            <w:r>
              <w:rPr/>
              <w:t>€</w:t>
            </w:r>
          </w:p>
        </w:tc>
        <w:tc>
          <w:tcPr>
            <w:tcW w:w="710" w:type="dxa"/>
            <w:tcBorders/>
            <w:shd w:fill="auto" w:val="clear"/>
            <w:vAlign w:val="bottom"/>
          </w:tcPr>
          <w:p>
            <w:pPr>
              <w:pStyle w:val="TableContents"/>
              <w:spacing w:before="0" w:after="283"/>
              <w:jc w:val="right"/>
              <w:rPr>
                <w:rFonts w:ascii="arial" w:hAnsi="arial"/>
                <w:sz w:val="20"/>
              </w:rPr>
            </w:pPr>
            <w:r>
              <w:rPr>
                <w:rFonts w:ascii="arial" w:hAnsi="arial"/>
                <w:sz w:val="20"/>
              </w:rPr>
              <w:t>86,100</w:t>
            </w:r>
          </w:p>
        </w:tc>
        <w:tc>
          <w:tcPr>
            <w:tcW w:w="2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78" w:type="dxa"/>
            <w:tcBorders/>
            <w:shd w:fill="auto" w:val="clear"/>
            <w:vAlign w:val="bottom"/>
          </w:tcPr>
          <w:p>
            <w:pPr>
              <w:pStyle w:val="TableContents"/>
              <w:spacing w:before="0" w:after="283"/>
              <w:rPr/>
            </w:pPr>
            <w:r>
              <w:rPr/>
              <w:t>​</w:t>
            </w:r>
          </w:p>
        </w:tc>
        <w:tc>
          <w:tcPr>
            <w:tcW w:w="605" w:type="dxa"/>
            <w:gridSpan w:val="2"/>
            <w:tcBorders/>
            <w:shd w:fill="auto" w:val="clear"/>
            <w:vAlign w:val="bottom"/>
          </w:tcPr>
          <w:p>
            <w:pPr>
              <w:pStyle w:val="TableContents"/>
              <w:spacing w:before="0" w:after="283"/>
              <w:jc w:val="right"/>
              <w:rPr>
                <w:rFonts w:ascii="arial" w:hAnsi="arial"/>
                <w:sz w:val="20"/>
              </w:rPr>
            </w:pPr>
            <w:r>
              <w:rPr>
                <w:rFonts w:ascii="arial" w:hAnsi="arial"/>
                <w:sz w:val="20"/>
              </w:rPr>
              <w:t>9,918</w:t>
            </w:r>
          </w:p>
        </w:tc>
        <w:tc>
          <w:tcPr>
            <w:tcW w:w="581"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6821" w:type="dxa"/>
            <w:tcBorders/>
            <w:shd w:fill="auto" w:val="clear"/>
            <w:vAlign w:val="bottom"/>
          </w:tcPr>
          <w:p>
            <w:pPr>
              <w:pStyle w:val="TableContents"/>
              <w:spacing w:before="0" w:after="283"/>
              <w:ind w:left="200" w:right="0" w:hanging="200"/>
              <w:rPr>
                <w:rFonts w:ascii="arial" w:hAnsi="arial"/>
                <w:sz w:val="20"/>
              </w:rPr>
            </w:pPr>
            <w:r>
              <w:rPr>
                <w:rFonts w:ascii="arial" w:hAnsi="arial"/>
                <w:sz w:val="20"/>
              </w:rPr>
              <w:t>Gregory J. Ritts</w:t>
            </w:r>
          </w:p>
        </w:tc>
        <w:tc>
          <w:tcPr>
            <w:tcW w:w="23" w:type="dxa"/>
            <w:tcBorders/>
            <w:shd w:fill="auto" w:val="clear"/>
            <w:vAlign w:val="bottom"/>
          </w:tcPr>
          <w:p>
            <w:pPr>
              <w:pStyle w:val="TableContents"/>
              <w:spacing w:before="0" w:after="283"/>
              <w:rPr/>
            </w:pPr>
            <w:r>
              <w:rPr/>
              <w:t>​</w:t>
            </w:r>
          </w:p>
        </w:tc>
        <w:tc>
          <w:tcPr>
            <w:tcW w:w="92" w:type="dxa"/>
            <w:tcBorders/>
            <w:shd w:fill="auto" w:val="clear"/>
            <w:vAlign w:val="bottom"/>
          </w:tcPr>
          <w:p>
            <w:pPr>
              <w:pStyle w:val="TableContents"/>
              <w:spacing w:before="0" w:after="283"/>
              <w:rPr/>
            </w:pPr>
            <w:r>
              <w:rPr/>
              <w:t>​</w:t>
            </w:r>
          </w:p>
        </w:tc>
        <w:tc>
          <w:tcPr>
            <w:tcW w:w="141" w:type="dxa"/>
            <w:tcBorders/>
            <w:shd w:fill="auto" w:val="clear"/>
            <w:vAlign w:val="bottom"/>
          </w:tcPr>
          <w:p>
            <w:pPr>
              <w:pStyle w:val="TableContents"/>
              <w:spacing w:before="0" w:after="283"/>
              <w:rPr>
                <w:rFonts w:ascii="arial" w:hAnsi="arial"/>
                <w:sz w:val="20"/>
              </w:rPr>
            </w:pPr>
            <w:r>
              <w:rPr>
                <w:rFonts w:ascii="arial" w:hAnsi="arial"/>
                <w:sz w:val="20"/>
              </w:rPr>
              <w:t>$</w:t>
            </w:r>
          </w:p>
        </w:tc>
        <w:tc>
          <w:tcPr>
            <w:tcW w:w="875" w:type="dxa"/>
            <w:tcBorders/>
            <w:shd w:fill="auto" w:val="clear"/>
            <w:vAlign w:val="bottom"/>
          </w:tcPr>
          <w:p>
            <w:pPr>
              <w:pStyle w:val="TableContents"/>
              <w:spacing w:before="0" w:after="283"/>
              <w:jc w:val="right"/>
              <w:rPr>
                <w:rFonts w:ascii="arial" w:hAnsi="arial"/>
                <w:sz w:val="20"/>
              </w:rPr>
            </w:pPr>
            <w:r>
              <w:rPr>
                <w:rFonts w:ascii="arial" w:hAnsi="arial"/>
                <w:sz w:val="20"/>
              </w:rPr>
              <w:t>240,000</w:t>
            </w:r>
          </w:p>
        </w:tc>
        <w:tc>
          <w:tcPr>
            <w:tcW w:w="2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140" w:type="dxa"/>
            <w:tcBorders/>
            <w:shd w:fill="auto" w:val="clear"/>
            <w:vAlign w:val="bottom"/>
          </w:tcPr>
          <w:p>
            <w:pPr>
              <w:pStyle w:val="TableContents"/>
              <w:spacing w:before="0" w:after="283"/>
              <w:rPr>
                <w:rFonts w:ascii="arial" w:hAnsi="arial"/>
                <w:sz w:val="20"/>
              </w:rPr>
            </w:pPr>
            <w:r>
              <w:rPr>
                <w:rFonts w:ascii="arial" w:hAnsi="arial"/>
                <w:sz w:val="20"/>
              </w:rPr>
              <w:t>$</w:t>
            </w:r>
          </w:p>
        </w:tc>
        <w:tc>
          <w:tcPr>
            <w:tcW w:w="710" w:type="dxa"/>
            <w:tcBorders/>
            <w:shd w:fill="auto" w:val="clear"/>
            <w:vAlign w:val="bottom"/>
          </w:tcPr>
          <w:p>
            <w:pPr>
              <w:pStyle w:val="TableContents"/>
              <w:spacing w:before="0" w:after="283"/>
              <w:jc w:val="right"/>
              <w:rPr>
                <w:rFonts w:ascii="arial" w:hAnsi="arial"/>
                <w:sz w:val="20"/>
              </w:rPr>
            </w:pPr>
            <w:r>
              <w:rPr>
                <w:rFonts w:ascii="arial" w:hAnsi="arial"/>
                <w:sz w:val="20"/>
              </w:rPr>
              <w:t>60,000</w:t>
            </w:r>
          </w:p>
        </w:tc>
        <w:tc>
          <w:tcPr>
            <w:tcW w:w="2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78" w:type="dxa"/>
            <w:tcBorders/>
            <w:shd w:fill="auto" w:val="clear"/>
            <w:vAlign w:val="bottom"/>
          </w:tcPr>
          <w:p>
            <w:pPr>
              <w:pStyle w:val="TableContents"/>
              <w:spacing w:before="0" w:after="283"/>
              <w:rPr/>
            </w:pPr>
            <w:r>
              <w:rPr/>
              <w:t>​</w:t>
            </w:r>
          </w:p>
        </w:tc>
        <w:tc>
          <w:tcPr>
            <w:tcW w:w="605" w:type="dxa"/>
            <w:gridSpan w:val="2"/>
            <w:tcBorders/>
            <w:shd w:fill="auto" w:val="clear"/>
            <w:vAlign w:val="bottom"/>
          </w:tcPr>
          <w:p>
            <w:pPr>
              <w:pStyle w:val="TableContents"/>
              <w:spacing w:before="0" w:after="283"/>
              <w:jc w:val="right"/>
              <w:rPr>
                <w:rFonts w:ascii="arial" w:hAnsi="arial"/>
                <w:sz w:val="20"/>
              </w:rPr>
            </w:pPr>
            <w:r>
              <w:rPr>
                <w:rFonts w:ascii="arial" w:hAnsi="arial"/>
                <w:sz w:val="20"/>
              </w:rPr>
              <w:t>131</w:t>
            </w:r>
          </w:p>
        </w:tc>
        <w:tc>
          <w:tcPr>
            <w:tcW w:w="581" w:type="dxa"/>
            <w:tcBorders/>
            <w:shd w:fill="auto" w:val="clear"/>
            <w:vAlign w:val="bottom"/>
          </w:tcPr>
          <w:p>
            <w:pPr>
              <w:pStyle w:val="TableContents"/>
              <w:spacing w:before="0" w:after="283"/>
              <w:rPr>
                <w:rFonts w:ascii="arial" w:hAnsi="arial"/>
                <w:position w:val="7"/>
                <w:sz w:val="16"/>
                <w:sz w:val="20"/>
              </w:rPr>
            </w:pPr>
            <w:r>
              <w:rPr>
                <w:rFonts w:ascii="arial" w:hAnsi="arial"/>
                <w:position w:val="7"/>
                <w:sz w:val="16"/>
                <w:sz w:val="20"/>
              </w:rPr>
              <w:t>(2)</w:t>
            </w:r>
          </w:p>
        </w:tc>
        <w:tc>
          <w:tcPr>
            <w:tcW w:w="24" w:type="dxa"/>
            <w:tcBorders/>
            <w:shd w:fill="auto" w:val="clear"/>
            <w:vAlign w:val="bottom"/>
          </w:tcPr>
          <w:p>
            <w:pPr>
              <w:pStyle w:val="TableContents"/>
              <w:spacing w:before="0" w:after="283"/>
              <w:rPr>
                <w:position w:val="8"/>
                <w:sz w:val="19"/>
              </w:rPr>
            </w:pPr>
            <w:r>
              <w:rPr>
                <w:position w:val="8"/>
                <w:sz w:val="19"/>
              </w:rPr>
              <w:t>​</w:t>
            </w:r>
          </w:p>
        </w:tc>
      </w:tr>
    </w:tbl>
    <w:p>
      <w:pPr>
        <w:pStyle w:val="HorizontalLine"/>
        <w:pBdr>
          <w:bottom w:val="single" w:sz="6" w:space="0" w:color="000000"/>
        </w:pBdr>
        <w:ind w:left="0" w:right="7552" w:hanging="0"/>
        <w:rPr/>
      </w:pPr>
      <w:r>
        <w:rPr/>
      </w:r>
    </w:p>
    <w:p>
      <w:pPr>
        <w:pStyle w:val="ListHeading"/>
        <w:spacing w:before="0" w:after="0"/>
        <w:jc w:val="left"/>
        <w:rPr>
          <w:rFonts w:ascii="arial" w:hAnsi="arial"/>
          <w:position w:val="7"/>
          <w:sz w:val="16"/>
          <w:sz w:val="20"/>
        </w:rPr>
      </w:pPr>
      <w:r>
        <w:rPr>
          <w:rFonts w:ascii="arial" w:hAnsi="arial"/>
          <w:position w:val="7"/>
          <w:sz w:val="16"/>
          <w:sz w:val="20"/>
        </w:rPr>
        <w:t>(1)</w:t>
      </w:r>
    </w:p>
    <w:p>
      <w:pPr>
        <w:pStyle w:val="ListContents"/>
        <w:spacing w:before="0" w:after="283"/>
        <w:jc w:val="left"/>
        <w:rPr>
          <w:rFonts w:ascii="arial" w:hAnsi="arial"/>
          <w:sz w:val="20"/>
        </w:rPr>
      </w:pPr>
      <w:r>
        <w:rPr>
          <w:rFonts w:ascii="arial" w:hAnsi="arial"/>
          <w:sz w:val="20"/>
        </w:rPr>
        <w:t xml:space="preserve">The number of RSUs was determined based on the Company's average share closing price for the 30 trading days preceding the grant date ($10.56). </w:t>
      </w:r>
    </w:p>
    <w:p>
      <w:pPr>
        <w:pStyle w:val="ListHeading"/>
        <w:spacing w:before="0" w:after="0"/>
        <w:jc w:val="left"/>
        <w:rPr>
          <w:rFonts w:ascii="arial" w:hAnsi="arial"/>
          <w:position w:val="7"/>
          <w:sz w:val="16"/>
          <w:sz w:val="20"/>
        </w:rPr>
      </w:pPr>
      <w:r>
        <w:rPr>
          <w:rFonts w:ascii="arial" w:hAnsi="arial"/>
          <w:position w:val="7"/>
          <w:sz w:val="16"/>
          <w:sz w:val="20"/>
        </w:rPr>
        <w:t>(2)</w:t>
      </w:r>
    </w:p>
    <w:p>
      <w:pPr>
        <w:pStyle w:val="ListContents"/>
        <w:spacing w:before="0" w:after="283"/>
        <w:jc w:val="left"/>
        <w:rPr>
          <w:rFonts w:ascii="arial" w:hAnsi="arial"/>
          <w:sz w:val="20"/>
        </w:rPr>
      </w:pPr>
      <w:r>
        <w:rPr>
          <w:rFonts w:ascii="arial" w:hAnsi="arial"/>
          <w:sz w:val="20"/>
        </w:rPr>
        <w:t xml:space="preserve">Mr. Ritts' payout has been reduced by $58,620, which is equal to 25% of his base compensation for the period April 1, 2020 to October 4, 2020. In lieu of the reduction in base salary, Mr. Ritts elected for this amount to be adjusted against his earned 2020 incentive. </w:t>
      </w:r>
    </w:p>
    <w:p>
      <w:pPr>
        <w:pStyle w:val="TextBody"/>
        <w:rPr>
          <w:rFonts w:ascii="arial" w:hAnsi="arial"/>
          <w:sz w:val="20"/>
        </w:rPr>
      </w:pPr>
      <w:r>
        <w:rPr>
          <w:rFonts w:ascii="arial" w:hAnsi="arial"/>
          <w:sz w:val="20"/>
        </w:rPr>
        <w:t xml:space="preserve">Target incentive opportunities are set in U.S. dollars, other than for Mr. Mastioni, for whom the incentive is set in euros. To arrive at the grant size for Mr. Mastioni, the spot rate as on the date of the grant was used. </w:t>
      </w:r>
    </w:p>
    <w:p>
      <w:pPr>
        <w:pStyle w:val="TextBody"/>
        <w:jc w:val="center"/>
        <w:rPr>
          <w:rFonts w:ascii="arial" w:hAnsi="arial"/>
          <w:sz w:val="20"/>
        </w:rPr>
      </w:pPr>
      <w:r>
        <w:rPr>
          <w:rFonts w:ascii="arial" w:hAnsi="arial"/>
          <w:sz w:val="20"/>
        </w:rPr>
        <w:t>47</w:t>
      </w:r>
    </w:p>
    <w:p>
      <w:pPr>
        <w:pStyle w:val="HorizontalLine"/>
        <w:pBdr>
          <w:bottom w:val="single" w:sz="20" w:space="0" w:color="808080"/>
        </w:pBdr>
        <w:rPr/>
      </w:pPr>
      <w:r>
        <w:rPr/>
      </w:r>
      <w:r>
        <w:br w:type="page"/>
      </w:r>
    </w:p>
    <w:p>
      <w:pPr>
        <w:pStyle w:val="TextBody"/>
        <w:rPr/>
      </w:pPr>
      <w:hyperlink w:anchor="bg45301a_main_toc">
        <w:bookmarkStart w:id="95" w:name="page_dq45301_1_48"/>
        <w:bookmarkEnd w:id="95"/>
        <w:r>
          <w:rPr>
            <w:rStyle w:val="InternetLink"/>
            <w:rFonts w:ascii="arial" w:hAnsi="arial"/>
            <w:sz w:val="20"/>
          </w:rPr>
          <w:t>Table of Contents</w:t>
        </w:r>
      </w:hyperlink>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3367"/>
        <w:gridCol w:w="101"/>
        <w:gridCol w:w="6737"/>
      </w:tblGrid>
      <w:tr>
        <w:trPr/>
        <w:tc>
          <w:tcPr>
            <w:tcW w:w="3367" w:type="dxa"/>
            <w:tcBorders/>
            <w:shd w:fill="auto" w:val="clear"/>
            <w:vAlign w:val="center"/>
          </w:tcPr>
          <w:p>
            <w:pPr>
              <w:pStyle w:val="TableContents"/>
              <w:spacing w:before="0" w:after="283"/>
              <w:rPr/>
            </w:pPr>
            <w:r>
              <w:rPr/>
              <w:commentReference w:id="170"/>
            </w:r>
            <w:r>
              <w:rPr/>
              <w:commentReference w:id="171"/>
            </w:r>
            <w:r>
              <w:rPr/>
              <w:commentReference w:id="172"/>
            </w:r>
            <w:r>
              <w:rPr/>
              <w:t>​</w:t>
            </w:r>
          </w:p>
        </w:tc>
        <w:tc>
          <w:tcPr>
            <w:tcW w:w="101" w:type="dxa"/>
            <w:tcBorders/>
            <w:shd w:fill="auto" w:val="clear"/>
            <w:vAlign w:val="center"/>
          </w:tcPr>
          <w:p>
            <w:pPr>
              <w:pStyle w:val="TableContents"/>
              <w:spacing w:before="0" w:after="283"/>
              <w:rPr/>
            </w:pPr>
            <w:r>
              <w:rPr/>
              <w:t>​</w:t>
            </w:r>
          </w:p>
        </w:tc>
        <w:tc>
          <w:tcPr>
            <w:tcW w:w="6737" w:type="dxa"/>
            <w:tcBorders/>
            <w:shd w:fill="auto" w:val="clear"/>
            <w:vAlign w:val="center"/>
          </w:tcPr>
          <w:p>
            <w:pPr>
              <w:pStyle w:val="TableContents"/>
              <w:spacing w:before="0" w:after="283"/>
              <w:rPr/>
            </w:pPr>
            <w:r>
              <w:rPr/>
              <w:t>​</w:t>
            </w:r>
            <w:r>
              <w:rPr>
                <w:rFonts w:eastAsia="arial" w:cs="arial" w:ascii="arial" w:hAnsi="arial"/>
              </w:rPr>
              <w:commentReference w:id="173"/>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drawing>
                <wp:inline distT="0" distB="0" distL="0" distR="0">
                  <wp:extent cx="2943225" cy="1809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embed="rId81"/>
                          <a:stretch>
                            <a:fillRect/>
                          </a:stretch>
                        </pic:blipFill>
                        <pic:spPr bwMode="auto">
                          <a:xfrm>
                            <a:off x="0" y="0"/>
                            <a:ext cx="2943225" cy="180975"/>
                          </a:xfrm>
                          <a:prstGeom prst="rect">
                            <a:avLst/>
                          </a:prstGeom>
                        </pic:spPr>
                      </pic:pic>
                    </a:graphicData>
                  </a:graphic>
                </wp:inline>
              </w:drawing>
            </w:r>
            <w:r>
              <w:rPr/>
              <w:t xml:space="preserve"> </w:t>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t> </w:t>
            </w:r>
          </w:p>
        </w:tc>
      </w:tr>
    </w:tbl>
    <w:p>
      <w:pPr>
        <w:pStyle w:val="TextBody"/>
        <w:rPr/>
      </w:pPr>
      <w:r>
        <w:rPr>
          <w:color w:val="000000"/>
        </w:rPr>
        <w:commentReference w:id="174"/>
      </w:r>
      <w:r>
        <w:rPr>
          <w:color w:val="000000"/>
        </w:rPr>
        <w:t>​</w:t>
      </w:r>
      <w:r>
        <w:rPr/>
        <w:t xml:space="preserve"> </w:t>
      </w:r>
    </w:p>
    <w:p>
      <w:pPr>
        <w:pStyle w:val="TextBody"/>
        <w:ind w:left="200" w:right="0" w:hanging="200"/>
        <w:rPr>
          <w:rFonts w:ascii="arial" w:hAnsi="arial"/>
          <w:sz w:val="20"/>
        </w:rPr>
      </w:pPr>
      <w:r>
        <w:rPr>
          <w:rFonts w:ascii="arial" w:hAnsi="arial"/>
          <w:sz w:val="20"/>
          <w:u w:val="single"/>
        </w:rPr>
        <w:t>2021 Annual Incentive Compensation</w:t>
      </w:r>
      <w:r>
        <w:rPr>
          <w:rFonts w:ascii="arial" w:hAnsi="arial"/>
          <w:sz w:val="20"/>
        </w:rPr>
        <w:t xml:space="preserve"> </w:t>
      </w:r>
    </w:p>
    <w:p>
      <w:pPr>
        <w:pStyle w:val="TextBody"/>
        <w:rPr>
          <w:rFonts w:ascii="arial" w:hAnsi="arial"/>
          <w:sz w:val="20"/>
        </w:rPr>
      </w:pPr>
      <w:r>
        <w:rPr>
          <w:rFonts w:ascii="arial" w:hAnsi="arial"/>
          <w:sz w:val="20"/>
        </w:rPr>
        <w:t xml:space="preserve">The Company's 2021 corporate scorecard was approved by the Board of Directors on December 17, 2020. Based on subsequent extensions by the government of borrower relief measures due to the on-going nature of the COVID-19 pandemic, the Board of Directors approved a revised 2021 corporate scorecard on March 23, 2021. </w:t>
      </w:r>
    </w:p>
    <w:p>
      <w:pPr>
        <w:pStyle w:val="TextBody"/>
        <w:rPr>
          <w:rFonts w:ascii="arial" w:hAnsi="arial"/>
          <w:sz w:val="20"/>
        </w:rPr>
      </w:pPr>
      <w:r>
        <w:rPr>
          <w:rFonts w:ascii="arial" w:hAnsi="arial"/>
          <w:sz w:val="20"/>
        </w:rPr>
        <w:t xml:space="preserve">The personal annual scorecards for the Chief Executive Officer and the other Named Executive Officers were tied to the 2021 corporate scorecard initially approved by the Board and included: (i) service revenue; (ii) adjusted EBITDA; and (iii) the successful completion of strategic initiatives (for the Chief Executive Officer, the Chief Financial Officer and the Chief Legal and Compliance Officer). </w:t>
      </w:r>
    </w:p>
    <w:p>
      <w:pPr>
        <w:pStyle w:val="TextBody"/>
        <w:rPr>
          <w:rFonts w:ascii="arial" w:hAnsi="arial"/>
          <w:sz w:val="20"/>
        </w:rPr>
      </w:pPr>
      <w:r>
        <w:rPr>
          <w:rFonts w:ascii="arial" w:hAnsi="arial"/>
          <w:sz w:val="20"/>
        </w:rPr>
        <w:t xml:space="preserve">On March 23, 2021, the Board of Directors exercised its discretion to revise the 2021 corporate scorecard. On the same day, the Compensation Committee revised the annual scorecards for the Chief Executive Officer, the Chief Financial Officer and the Chief Legal and Compliance Officer to include the service revenue and adjusted EBITDA metrics from the revised corporate scorecard and to delete the successful completion of strategic initiatives metric. The 2021 annual scorecards applicable to the Chief Financial Officer and the Chief Legal and Compliance Officer were also revised to include metrics related to relevant support function costs. The 2021 annual scorecard for the Chief Operating Officer was not revised. </w:t>
      </w:r>
    </w:p>
    <w:p>
      <w:pPr>
        <w:pStyle w:val="TextBody"/>
        <w:rPr>
          <w:rFonts w:ascii="arial" w:hAnsi="arial"/>
          <w:sz w:val="20"/>
        </w:rPr>
      </w:pPr>
      <w:r>
        <w:rPr>
          <w:rFonts w:ascii="arial" w:hAnsi="arial"/>
          <w:sz w:val="20"/>
        </w:rPr>
        <w:t xml:space="preserve">In the first quarter of 2021, the Compensation Committee also approved continuing the payout methodology for our Named Executive Officers' 2021 service year annual incentive awards with 40% of the award to be paid in RSUs and 60% to be paid in cash, with the actual percentage of RSUs and cash to be determined at the discretion of the Board of Directors. This methodology reflects our philosophy of having an employee compensation structure that emphasizes pay for performance with a meaningful component of the annual incentive compensation grant paid in time-based equity grants (as opposed to all cash) to drive further alignment with shareholders and long-term retention. The Board of Directors further revised the annual incentive process to adopt a new methodology for determining the annual incentive pool for the Named Executive Officers and other employees eligible for an annual incentive. The Board adopted a variable annual incentive pool, with the size of the pool being subject to change by an amount equal to 25% of any increase or decrease of Adjusted EBITDA calculated based on (1) service revenue differences from budget multiplied by the budgeted Adjusted EBITDA margin excluding common and corporate costs multiplied by 12.5% and (2) Adjusted EBITDA differences from budget times 12.5%. If certain minimums are not achieved for the applicable metrics, the Board will set the annual incentive pool in its discretion. </w:t>
      </w:r>
    </w:p>
    <w:p>
      <w:pPr>
        <w:pStyle w:val="TextBody"/>
        <w:ind w:left="200" w:right="0" w:hanging="200"/>
        <w:rPr>
          <w:rFonts w:ascii="arial" w:hAnsi="arial"/>
          <w:b/>
          <w:i/>
          <w:sz w:val="20"/>
        </w:rPr>
      </w:pPr>
      <w:r>
        <w:rPr>
          <w:rFonts w:ascii="arial" w:hAnsi="arial"/>
          <w:b/>
          <w:i/>
          <w:sz w:val="20"/>
        </w:rPr>
        <w:t xml:space="preserve">Equity Compensation </w:t>
      </w:r>
    </w:p>
    <w:p>
      <w:pPr>
        <w:pStyle w:val="TextBody"/>
        <w:ind w:left="200" w:right="0" w:hanging="200"/>
        <w:rPr>
          <w:rFonts w:ascii="arial" w:hAnsi="arial"/>
          <w:sz w:val="20"/>
        </w:rPr>
      </w:pPr>
      <w:r>
        <w:rPr>
          <w:rFonts w:ascii="arial" w:hAnsi="arial"/>
          <w:sz w:val="20"/>
          <w:u w:val="single"/>
        </w:rPr>
        <w:t>2009 Equity Incentive Plan</w:t>
      </w:r>
      <w:r>
        <w:rPr>
          <w:rFonts w:ascii="arial" w:hAnsi="arial"/>
          <w:sz w:val="20"/>
        </w:rPr>
        <w:t xml:space="preserve"> </w:t>
      </w:r>
    </w:p>
    <w:p>
      <w:pPr>
        <w:pStyle w:val="TextBody"/>
        <w:rPr>
          <w:rFonts w:ascii="arial" w:hAnsi="arial"/>
          <w:sz w:val="20"/>
        </w:rPr>
      </w:pPr>
      <w:r>
        <w:rPr>
          <w:rFonts w:ascii="arial" w:hAnsi="arial"/>
          <w:sz w:val="20"/>
        </w:rPr>
        <w:t xml:space="preserve">Altisource provides long-term equity incentive opportunities for eligible employees, including our Named Executive Officers, under our 2009 Equity Incentive Plan. The Compensation Committee administers the 2009 Equity Incentive Plan, which was approved by our shareholders in 2009. </w:t>
      </w:r>
    </w:p>
    <w:p>
      <w:pPr>
        <w:pStyle w:val="TextBody"/>
        <w:rPr>
          <w:rFonts w:ascii="arial" w:hAnsi="arial"/>
          <w:sz w:val="20"/>
        </w:rPr>
      </w:pPr>
      <w:r>
        <w:rPr>
          <w:rFonts w:ascii="arial" w:hAnsi="arial"/>
          <w:sz w:val="20"/>
        </w:rPr>
        <w:t xml:space="preserve">Equity awards to our Named Executive Officers are generally provided in the form of restricted shares, RSUs or stock options. As part of the Company's LTIP, a portion of the award is tied to performance against established financial targets and against the Russell 3000 stock market index, each over a three-year period. The Compensation Committee also grants awards subject to time-based vesting to encourage retention and align the recipients' interests with those of the shareholders of the Company. </w:t>
      </w:r>
    </w:p>
    <w:p>
      <w:pPr>
        <w:pStyle w:val="TextBody"/>
        <w:rPr>
          <w:rFonts w:ascii="arial" w:hAnsi="arial"/>
          <w:sz w:val="20"/>
        </w:rPr>
      </w:pPr>
      <w:r>
        <w:rPr>
          <w:rFonts w:ascii="arial" w:hAnsi="arial"/>
          <w:sz w:val="20"/>
        </w:rPr>
        <w:t xml:space="preserve">Award agreements typically include a covenant not to disclose our confidential information, and non-competition and non-solicitation covenants, typically for a minimum period of two (2) years following the end of the recipient's employment with the Company. </w:t>
      </w:r>
    </w:p>
    <w:p>
      <w:pPr>
        <w:pStyle w:val="TextBody"/>
        <w:jc w:val="center"/>
        <w:rPr>
          <w:rFonts w:ascii="arial" w:hAnsi="arial"/>
          <w:sz w:val="20"/>
        </w:rPr>
      </w:pPr>
      <w:r>
        <w:rPr>
          <w:rFonts w:ascii="arial" w:hAnsi="arial"/>
          <w:sz w:val="20"/>
        </w:rPr>
        <w:t>48</w:t>
      </w:r>
    </w:p>
    <w:p>
      <w:pPr>
        <w:pStyle w:val="HorizontalLine"/>
        <w:pBdr>
          <w:bottom w:val="single" w:sz="20" w:space="0" w:color="808080"/>
        </w:pBdr>
        <w:rPr/>
      </w:pPr>
      <w:r>
        <w:rPr/>
      </w:r>
      <w:r>
        <w:br w:type="page"/>
      </w:r>
    </w:p>
    <w:p>
      <w:pPr>
        <w:pStyle w:val="TextBody"/>
        <w:rPr/>
      </w:pPr>
      <w:hyperlink w:anchor="bg45301a_main_toc">
        <w:bookmarkStart w:id="96" w:name="page_ds45301_1_49"/>
        <w:bookmarkEnd w:id="96"/>
        <w:r>
          <w:rPr>
            <w:rStyle w:val="InternetLink"/>
            <w:rFonts w:ascii="arial" w:hAnsi="arial"/>
            <w:sz w:val="20"/>
          </w:rPr>
          <w:t>Table of Contents</w:t>
        </w:r>
      </w:hyperlink>
      <w:r>
        <w:rPr>
          <w:rFonts w:ascii="arial" w:hAnsi="arial"/>
          <w:sz w:val="20"/>
        </w:rPr>
        <w:t xml:space="preserve"> </w:t>
      </w:r>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3367"/>
        <w:gridCol w:w="101"/>
        <w:gridCol w:w="6737"/>
      </w:tblGrid>
      <w:tr>
        <w:trPr/>
        <w:tc>
          <w:tcPr>
            <w:tcW w:w="3367" w:type="dxa"/>
            <w:tcBorders/>
            <w:shd w:fill="auto" w:val="clear"/>
            <w:vAlign w:val="center"/>
          </w:tcPr>
          <w:p>
            <w:pPr>
              <w:pStyle w:val="TableContents"/>
              <w:spacing w:before="0" w:after="283"/>
              <w:rPr/>
            </w:pPr>
            <w:r>
              <w:rPr/>
              <w:commentReference w:id="175"/>
            </w:r>
            <w:r>
              <w:rPr/>
              <w:commentReference w:id="176"/>
            </w:r>
            <w:r>
              <w:rPr/>
              <w:commentReference w:id="177"/>
            </w:r>
            <w:r>
              <w:rPr/>
              <w:t>​</w:t>
            </w:r>
          </w:p>
        </w:tc>
        <w:tc>
          <w:tcPr>
            <w:tcW w:w="101" w:type="dxa"/>
            <w:tcBorders/>
            <w:shd w:fill="auto" w:val="clear"/>
            <w:vAlign w:val="center"/>
          </w:tcPr>
          <w:p>
            <w:pPr>
              <w:pStyle w:val="TableContents"/>
              <w:spacing w:before="0" w:after="283"/>
              <w:rPr/>
            </w:pPr>
            <w:r>
              <w:rPr/>
              <w:t>​</w:t>
            </w:r>
          </w:p>
        </w:tc>
        <w:tc>
          <w:tcPr>
            <w:tcW w:w="6737" w:type="dxa"/>
            <w:tcBorders/>
            <w:shd w:fill="auto" w:val="clear"/>
            <w:vAlign w:val="center"/>
          </w:tcPr>
          <w:p>
            <w:pPr>
              <w:pStyle w:val="TableContents"/>
              <w:spacing w:before="0" w:after="283"/>
              <w:rPr/>
            </w:pPr>
            <w:r>
              <w:rPr/>
              <w:t>​</w:t>
            </w:r>
            <w:r>
              <w:rPr>
                <w:rFonts w:eastAsia="arial" w:cs="arial" w:ascii="arial" w:hAnsi="arial"/>
              </w:rPr>
              <w:commentReference w:id="178"/>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drawing>
                <wp:inline distT="0" distB="0" distL="0" distR="0">
                  <wp:extent cx="2943225" cy="1809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embed="rId82"/>
                          <a:stretch>
                            <a:fillRect/>
                          </a:stretch>
                        </pic:blipFill>
                        <pic:spPr bwMode="auto">
                          <a:xfrm>
                            <a:off x="0" y="0"/>
                            <a:ext cx="2943225" cy="180975"/>
                          </a:xfrm>
                          <a:prstGeom prst="rect">
                            <a:avLst/>
                          </a:prstGeom>
                        </pic:spPr>
                      </pic:pic>
                    </a:graphicData>
                  </a:graphic>
                </wp:inline>
              </w:drawing>
            </w:r>
            <w:r>
              <w:rPr/>
              <w:t xml:space="preserve"> </w:t>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spacing w:before="0" w:after="283"/>
              <w:jc w:val="right"/>
              <w:rPr/>
            </w:pPr>
            <w:r>
              <w:rPr/>
              <w:t>​</w:t>
            </w:r>
          </w:p>
        </w:tc>
      </w:tr>
    </w:tbl>
    <w:p>
      <w:pPr>
        <w:pStyle w:val="TextBody"/>
        <w:rPr/>
      </w:pPr>
      <w:r>
        <w:rPr>
          <w:color w:val="000000"/>
        </w:rPr>
        <w:commentReference w:id="179"/>
      </w:r>
      <w:r>
        <w:rPr>
          <w:color w:val="000000"/>
        </w:rPr>
        <w:t>​</w:t>
      </w:r>
      <w:r>
        <w:rPr/>
        <w:t xml:space="preserve"> </w:t>
      </w:r>
    </w:p>
    <w:p>
      <w:pPr>
        <w:pStyle w:val="TextBody"/>
        <w:rPr>
          <w:rFonts w:ascii="arial" w:hAnsi="arial"/>
          <w:sz w:val="20"/>
        </w:rPr>
      </w:pPr>
      <w:r>
        <w:rPr>
          <w:rFonts w:ascii="arial" w:hAnsi="arial"/>
          <w:sz w:val="20"/>
        </w:rPr>
        <w:t xml:space="preserve">To determine the level and type of equity awards for an executive, the Compensation Committee considers various factors, such as the individual's position, feedback from its independent compensation consultant, peer company benchmarking, scope of responsibility, ability to affect profits and shareholder value, individual performance, a review of the executive's existing long-term incentives, retention considerations and the value of the equity in relation to other elements of the individual executive's total compensation. </w:t>
      </w:r>
    </w:p>
    <w:p>
      <w:pPr>
        <w:pStyle w:val="TextBody"/>
        <w:ind w:left="200" w:right="0" w:hanging="200"/>
        <w:rPr>
          <w:rFonts w:ascii="arial" w:hAnsi="arial"/>
          <w:sz w:val="20"/>
        </w:rPr>
      </w:pPr>
      <w:r>
        <w:rPr>
          <w:rFonts w:ascii="arial" w:hAnsi="arial"/>
          <w:sz w:val="20"/>
          <w:u w:val="single"/>
        </w:rPr>
        <w:t>Equity Awards to our Named Executive Officers</w:t>
      </w:r>
      <w:r>
        <w:rPr>
          <w:rFonts w:ascii="arial" w:hAnsi="arial"/>
          <w:sz w:val="20"/>
        </w:rPr>
        <w:t xml:space="preserve"> </w:t>
      </w:r>
    </w:p>
    <w:p>
      <w:pPr>
        <w:pStyle w:val="TextBody"/>
        <w:rPr>
          <w:rFonts w:ascii="arial" w:hAnsi="arial"/>
          <w:sz w:val="20"/>
        </w:rPr>
      </w:pPr>
      <w:r>
        <w:rPr>
          <w:rFonts w:ascii="arial" w:hAnsi="arial"/>
          <w:sz w:val="20"/>
        </w:rPr>
        <w:t xml:space="preserve">In the first quarter of 2020, equity awards were made to each of our Named Executive Officers under the Company's applicable LTIP for the service year, reflecting the Company's transition toward a more regular annual equity grant practice. </w:t>
      </w:r>
    </w:p>
    <w:p>
      <w:pPr>
        <w:pStyle w:val="TextBody"/>
        <w:rPr>
          <w:rFonts w:ascii="arial" w:hAnsi="arial"/>
          <w:sz w:val="20"/>
        </w:rPr>
      </w:pPr>
      <w:r>
        <w:rPr>
          <w:rFonts w:ascii="arial" w:hAnsi="arial"/>
          <w:sz w:val="20"/>
        </w:rPr>
        <w:t xml:space="preserve">As detailed below, during this period, equity grants were also made to our Named Executive Officers based on various considerations, including attracting new talent, meeting special retention objectives or other reasons our Compensation Committee deemed appropriate. </w:t>
      </w:r>
    </w:p>
    <w:p>
      <w:pPr>
        <w:pStyle w:val="TextBody"/>
        <w:ind w:left="200" w:right="0" w:hanging="200"/>
        <w:rPr>
          <w:rFonts w:ascii="arial" w:hAnsi="arial"/>
          <w:sz w:val="20"/>
        </w:rPr>
      </w:pPr>
      <w:r>
        <w:rPr>
          <w:rFonts w:ascii="arial" w:hAnsi="arial"/>
          <w:sz w:val="20"/>
          <w:u w:val="single"/>
        </w:rPr>
        <w:t>2020 Long-Term Incentive Plan Awards</w:t>
      </w:r>
      <w:r>
        <w:rPr>
          <w:rFonts w:ascii="arial" w:hAnsi="arial"/>
          <w:sz w:val="20"/>
        </w:rPr>
        <w:t xml:space="preserve"> </w:t>
      </w:r>
    </w:p>
    <w:p>
      <w:pPr>
        <w:pStyle w:val="TextBody"/>
        <w:rPr>
          <w:rFonts w:ascii="arial" w:hAnsi="arial"/>
          <w:sz w:val="20"/>
        </w:rPr>
      </w:pPr>
      <w:r>
        <w:rPr>
          <w:rFonts w:ascii="arial" w:hAnsi="arial"/>
          <w:sz w:val="20"/>
        </w:rPr>
        <w:t xml:space="preserve">In January 2020, the Board of Directors, upon recommendation of the Compensation Committee, approved the 2020 LTIP for our Named Executive Officers, except for the Chief Executive Officer and the Chief Administration and Risk Officer. In February 2020, the Compensation Committee approved the 2020 LTIP for the Chief Executive Officer. The Chief Administration and Risk Officer was not eligible for 2020 incentives. The Board of Directors provided for the 2020 LTIP equity awards to be comprised equally of two types of RSUsType I and Type II. </w:t>
      </w:r>
    </w:p>
    <w:p>
      <w:pPr>
        <w:pStyle w:val="TextBody"/>
        <w:rPr>
          <w:rFonts w:ascii="arial" w:hAnsi="arial"/>
          <w:sz w:val="20"/>
        </w:rPr>
      </w:pPr>
      <w:r>
        <w:rPr>
          <w:rFonts w:ascii="arial" w:hAnsi="arial"/>
          <w:sz w:val="20"/>
        </w:rPr>
        <w:t xml:space="preserve">Type I RSUs are primarily time-based and vest in three equal annual increments on the first three anniversaries of the grant date, with each year's vesting subject to the Named Executive Officer meeting a minimum performance level of 50% on his or her annual scorecard for the previous service year. These awards are settled in shares or, at the Company's option, cash, subject to continued employment unless otherwise provided in the applicable award agreement. </w:t>
      </w:r>
    </w:p>
    <w:p>
      <w:pPr>
        <w:pStyle w:val="TextBody"/>
        <w:rPr>
          <w:rFonts w:ascii="arial" w:hAnsi="arial"/>
          <w:sz w:val="20"/>
        </w:rPr>
      </w:pPr>
      <w:r>
        <w:rPr>
          <w:rFonts w:ascii="arial" w:hAnsi="arial"/>
          <w:sz w:val="20"/>
        </w:rPr>
        <w:t xml:space="preserve">The award of Type II performance-based RSUs is determined in a two-step process. First, the Type II performance-based RSUs will have the opportunity to vest based on the degree of achievement of pre-established goals tied to 2020-2022 adjusted EPS goal (a non-U.S. GAAP measure). Depending on performance versus the adjusted EPS goals, Type II performance-based RSUs will have the opportunity to vest between zero percent (0%) and up to one hundred fifty percent (150%) of the initial target levels (the "Initial Award Size"). In the second step, this award will be modified based on TSR compared to the Russell 3000 stock market index during the performance period (2020-2022), resulting in a final earned award that can range between zero percent (0%) up to two hundred twenty-five percent (225%) of the Initial Award Size. Any earned Type II performance-based RSUs will cliff vest entirely on the third anniversary of the grant date and will be settled in shares or, at the Company's option, cash, subject to continued employment unless otherwise provided in the applicable award agreement. </w:t>
      </w:r>
    </w:p>
    <w:p>
      <w:pPr>
        <w:pStyle w:val="TextBody"/>
        <w:rPr>
          <w:rFonts w:ascii="arial" w:hAnsi="arial"/>
          <w:sz w:val="20"/>
        </w:rPr>
      </w:pPr>
      <w:r>
        <w:rPr>
          <w:rFonts w:ascii="arial" w:hAnsi="arial"/>
          <w:sz w:val="20"/>
        </w:rPr>
        <w:t xml:space="preserve">As illustrated in the graphic below, adjusted EPS and relative TSR results determine the portion of earned RSUs. </w:t>
      </w:r>
    </w:p>
    <w:p>
      <w:pPr>
        <w:pStyle w:val="TextBody"/>
        <w:jc w:val="center"/>
        <w:rPr/>
      </w:pPr>
      <w:r>
        <w:rPr/>
        <w:drawing>
          <wp:inline distT="0" distB="0" distL="0" distR="0">
            <wp:extent cx="6124575" cy="65722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embed="rId83"/>
                    <a:stretch>
                      <a:fillRect/>
                    </a:stretch>
                  </pic:blipFill>
                  <pic:spPr bwMode="auto">
                    <a:xfrm>
                      <a:off x="0" y="0"/>
                      <a:ext cx="6124575" cy="657225"/>
                    </a:xfrm>
                    <a:prstGeom prst="rect">
                      <a:avLst/>
                    </a:prstGeom>
                  </pic:spPr>
                </pic:pic>
              </a:graphicData>
            </a:graphic>
          </wp:inline>
        </w:drawing>
      </w:r>
      <w:r>
        <w:rPr/>
        <w:t xml:space="preserve"> </w:t>
      </w:r>
    </w:p>
    <w:p>
      <w:pPr>
        <w:pStyle w:val="TextBody"/>
        <w:jc w:val="center"/>
        <w:rPr>
          <w:rFonts w:ascii="arial" w:hAnsi="arial"/>
          <w:sz w:val="20"/>
        </w:rPr>
      </w:pPr>
      <w:r>
        <w:rPr>
          <w:rFonts w:ascii="arial" w:hAnsi="arial"/>
          <w:sz w:val="20"/>
        </w:rPr>
        <w:t>49</w:t>
      </w:r>
    </w:p>
    <w:p>
      <w:pPr>
        <w:pStyle w:val="HorizontalLine"/>
        <w:pBdr>
          <w:bottom w:val="single" w:sz="20" w:space="0" w:color="808080"/>
        </w:pBdr>
        <w:rPr/>
      </w:pPr>
      <w:r>
        <w:rPr/>
      </w:r>
      <w:r>
        <w:br w:type="page"/>
      </w:r>
    </w:p>
    <w:p>
      <w:pPr>
        <w:pStyle w:val="TextBody"/>
        <w:rPr/>
      </w:pPr>
      <w:hyperlink w:anchor="bg45301a_main_toc">
        <w:bookmarkStart w:id="97" w:name="page_ds45301_1_50"/>
        <w:bookmarkEnd w:id="97"/>
        <w:r>
          <w:rPr>
            <w:rStyle w:val="InternetLink"/>
            <w:rFonts w:ascii="arial" w:hAnsi="arial"/>
            <w:sz w:val="20"/>
          </w:rPr>
          <w:t>Table of Contents</w:t>
        </w:r>
      </w:hyperlink>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3367"/>
        <w:gridCol w:w="101"/>
        <w:gridCol w:w="6737"/>
      </w:tblGrid>
      <w:tr>
        <w:trPr/>
        <w:tc>
          <w:tcPr>
            <w:tcW w:w="3367" w:type="dxa"/>
            <w:tcBorders/>
            <w:shd w:fill="auto" w:val="clear"/>
            <w:vAlign w:val="center"/>
          </w:tcPr>
          <w:p>
            <w:pPr>
              <w:pStyle w:val="TableContents"/>
              <w:spacing w:before="0" w:after="283"/>
              <w:rPr/>
            </w:pPr>
            <w:r>
              <w:rPr/>
              <w:commentReference w:id="180"/>
            </w:r>
            <w:r>
              <w:rPr/>
              <w:commentReference w:id="181"/>
            </w:r>
            <w:r>
              <w:rPr/>
              <w:commentReference w:id="182"/>
            </w:r>
            <w:r>
              <w:rPr/>
              <w:t>​</w:t>
            </w:r>
          </w:p>
        </w:tc>
        <w:tc>
          <w:tcPr>
            <w:tcW w:w="101" w:type="dxa"/>
            <w:tcBorders/>
            <w:shd w:fill="auto" w:val="clear"/>
            <w:vAlign w:val="center"/>
          </w:tcPr>
          <w:p>
            <w:pPr>
              <w:pStyle w:val="TableContents"/>
              <w:spacing w:before="0" w:after="283"/>
              <w:rPr/>
            </w:pPr>
            <w:r>
              <w:rPr/>
              <w:t>​</w:t>
            </w:r>
          </w:p>
        </w:tc>
        <w:tc>
          <w:tcPr>
            <w:tcW w:w="6737" w:type="dxa"/>
            <w:tcBorders/>
            <w:shd w:fill="auto" w:val="clear"/>
            <w:vAlign w:val="center"/>
          </w:tcPr>
          <w:p>
            <w:pPr>
              <w:pStyle w:val="TableContents"/>
              <w:spacing w:before="0" w:after="283"/>
              <w:rPr/>
            </w:pPr>
            <w:r>
              <w:rPr/>
              <w:t>​</w:t>
            </w:r>
            <w:r>
              <w:rPr>
                <w:rFonts w:eastAsia="arial" w:cs="arial" w:ascii="arial" w:hAnsi="arial"/>
              </w:rPr>
              <w:commentReference w:id="183"/>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drawing>
                <wp:inline distT="0" distB="0" distL="0" distR="0">
                  <wp:extent cx="2943225" cy="1809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embed="rId84"/>
                          <a:stretch>
                            <a:fillRect/>
                          </a:stretch>
                        </pic:blipFill>
                        <pic:spPr bwMode="auto">
                          <a:xfrm>
                            <a:off x="0" y="0"/>
                            <a:ext cx="2943225" cy="180975"/>
                          </a:xfrm>
                          <a:prstGeom prst="rect">
                            <a:avLst/>
                          </a:prstGeom>
                        </pic:spPr>
                      </pic:pic>
                    </a:graphicData>
                  </a:graphic>
                </wp:inline>
              </w:drawing>
            </w:r>
            <w:r>
              <w:rPr/>
              <w:t xml:space="preserve"> </w:t>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t> </w:t>
            </w:r>
          </w:p>
        </w:tc>
      </w:tr>
    </w:tbl>
    <w:p>
      <w:pPr>
        <w:pStyle w:val="TextBody"/>
        <w:rPr/>
      </w:pPr>
      <w:r>
        <w:rPr>
          <w:color w:val="000000"/>
        </w:rPr>
        <w:commentReference w:id="184"/>
      </w:r>
      <w:r>
        <w:rPr>
          <w:color w:val="000000"/>
        </w:rPr>
        <w:t>​</w:t>
      </w:r>
      <w:r>
        <w:rPr/>
        <w:t xml:space="preserve"> </w:t>
      </w:r>
    </w:p>
    <w:p>
      <w:pPr>
        <w:pStyle w:val="TextBody"/>
        <w:rPr>
          <w:rFonts w:ascii="arial" w:hAnsi="arial"/>
          <w:sz w:val="20"/>
        </w:rPr>
      </w:pPr>
      <w:r>
        <w:rPr>
          <w:rFonts w:ascii="arial" w:hAnsi="arial"/>
          <w:sz w:val="20"/>
        </w:rPr>
        <w:t xml:space="preserve">The 2020 LTIP equity awards were designed to incent the achievement of financial goals and stock-price appreciation over a multi-year period, thereby supporting a long-term focus, as well as to better align with market practice and support the retention of our executives. </w:t>
      </w:r>
    </w:p>
    <w:p>
      <w:pPr>
        <w:pStyle w:val="TextBody"/>
        <w:rPr>
          <w:rFonts w:ascii="arial" w:hAnsi="arial"/>
          <w:sz w:val="20"/>
        </w:rPr>
      </w:pPr>
      <w:r>
        <w:rPr>
          <w:rFonts w:ascii="arial" w:hAnsi="arial"/>
          <w:sz w:val="20"/>
        </w:rPr>
        <w:t xml:space="preserve">Based on the foregoing approvals, the 2020 LTIP equity awards were approved for our Named Executive Officers, as follows: </w:t>
      </w:r>
    </w:p>
    <w:tbl>
      <w:tblPr>
        <w:tblW w:w="5000" w:type="pct"/>
        <w:jc w:val="center"/>
        <w:tblInd w:w="0" w:type="dxa"/>
        <w:tblCellMar>
          <w:top w:w="0" w:type="dxa"/>
          <w:left w:w="0" w:type="dxa"/>
          <w:bottom w:w="0" w:type="dxa"/>
          <w:right w:w="0" w:type="dxa"/>
        </w:tblCellMar>
      </w:tblPr>
      <w:tblGrid>
        <w:gridCol w:w="5378"/>
        <w:gridCol w:w="23"/>
        <w:gridCol w:w="60"/>
        <w:gridCol w:w="96"/>
        <w:gridCol w:w="884"/>
        <w:gridCol w:w="23"/>
        <w:gridCol w:w="24"/>
        <w:gridCol w:w="458"/>
        <w:gridCol w:w="458"/>
        <w:gridCol w:w="458"/>
        <w:gridCol w:w="461"/>
        <w:gridCol w:w="23"/>
        <w:gridCol w:w="458"/>
        <w:gridCol w:w="458"/>
        <w:gridCol w:w="458"/>
        <w:gridCol w:w="461"/>
        <w:gridCol w:w="24"/>
      </w:tblGrid>
      <w:tr>
        <w:trPr/>
        <w:tc>
          <w:tcPr>
            <w:tcW w:w="5378"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4"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24" w:type="dxa"/>
            <w:tcBorders/>
            <w:shd w:fill="auto" w:val="clear"/>
            <w:vAlign w:val="center"/>
          </w:tcPr>
          <w:p>
            <w:pPr>
              <w:pStyle w:val="TableContents"/>
              <w:spacing w:before="0" w:after="283"/>
              <w:rPr>
                <w:sz w:val="4"/>
                <w:szCs w:val="4"/>
              </w:rPr>
            </w:pPr>
            <w:r>
              <w:rPr>
                <w:sz w:val="4"/>
                <w:szCs w:val="4"/>
              </w:rPr>
            </w:r>
          </w:p>
        </w:tc>
      </w:tr>
      <w:tr>
        <w:trPr/>
        <w:tc>
          <w:tcPr>
            <w:tcW w:w="5378" w:type="dxa"/>
            <w:tcBorders>
              <w:bottom w:val="single" w:sz="8" w:space="0" w:color="000000"/>
            </w:tcBorders>
            <w:shd w:fill="auto" w:val="clear"/>
            <w:tcMar>
              <w:bottom w:w="28" w:type="dxa"/>
            </w:tcMar>
            <w:vAlign w:val="bottom"/>
          </w:tcPr>
          <w:p>
            <w:pPr>
              <w:pStyle w:val="TableHeading"/>
              <w:spacing w:before="0" w:after="283"/>
              <w:jc w:val="center"/>
              <w:rPr>
                <w:rFonts w:ascii="arial" w:hAnsi="arial"/>
                <w:b/>
                <w:sz w:val="20"/>
              </w:rPr>
            </w:pPr>
            <w:r>
              <w:rPr>
                <w:rFonts w:ascii="arial" w:hAnsi="arial"/>
                <w:b/>
                <w:sz w:val="20"/>
              </w:rPr>
              <w:t xml:space="preserve">Name </w:t>
            </w:r>
          </w:p>
        </w:tc>
        <w:tc>
          <w:tcPr>
            <w:tcW w:w="23" w:type="dxa"/>
            <w:tcBorders/>
            <w:shd w:fill="auto" w:val="clear"/>
            <w:vAlign w:val="bottom"/>
          </w:tcPr>
          <w:p>
            <w:pPr>
              <w:pStyle w:val="TableHeading"/>
              <w:suppressLineNumbers/>
              <w:spacing w:before="0" w:after="283"/>
              <w:jc w:val="center"/>
              <w:rPr/>
            </w:pPr>
            <w:r>
              <w:rPr/>
              <w:t>​</w:t>
            </w:r>
          </w:p>
        </w:tc>
        <w:tc>
          <w:tcPr>
            <w:tcW w:w="1063" w:type="dxa"/>
            <w:gridSpan w:val="4"/>
            <w:tcBorders>
              <w:bottom w:val="single" w:sz="8" w:space="0" w:color="000000"/>
            </w:tcBorders>
            <w:shd w:fill="auto" w:val="clear"/>
            <w:tcMar>
              <w:bottom w:w="28" w:type="dxa"/>
            </w:tcMar>
            <w:vAlign w:val="bottom"/>
          </w:tcPr>
          <w:p>
            <w:pPr>
              <w:pStyle w:val="TableHeading"/>
              <w:spacing w:before="0" w:after="283"/>
              <w:jc w:val="center"/>
              <w:rPr>
                <w:rFonts w:ascii="arial" w:hAnsi="arial"/>
                <w:b/>
                <w:sz w:val="20"/>
              </w:rPr>
            </w:pPr>
            <w:r>
              <w:rPr>
                <w:rFonts w:ascii="arial" w:hAnsi="arial"/>
                <w:b/>
                <w:sz w:val="20"/>
              </w:rPr>
              <w:t>Target 2020</w:t>
              <w:br/>
              <w:t xml:space="preserve">Award Value </w:t>
            </w:r>
          </w:p>
        </w:tc>
        <w:tc>
          <w:tcPr>
            <w:tcW w:w="24" w:type="dxa"/>
            <w:tcBorders/>
            <w:shd w:fill="auto" w:val="clear"/>
            <w:vAlign w:val="bottom"/>
          </w:tcPr>
          <w:p>
            <w:pPr>
              <w:pStyle w:val="TableHeading"/>
              <w:suppressLineNumbers/>
              <w:spacing w:before="0" w:after="283"/>
              <w:jc w:val="center"/>
              <w:rPr/>
            </w:pPr>
            <w:r>
              <w:rPr/>
              <w:t>​</w:t>
            </w:r>
          </w:p>
        </w:tc>
        <w:tc>
          <w:tcPr>
            <w:tcW w:w="1835" w:type="dxa"/>
            <w:gridSpan w:val="4"/>
            <w:tcBorders>
              <w:bottom w:val="single" w:sz="8" w:space="0" w:color="000000"/>
            </w:tcBorders>
            <w:shd w:fill="auto" w:val="clear"/>
            <w:tcMar>
              <w:bottom w:w="28" w:type="dxa"/>
            </w:tcMar>
            <w:vAlign w:val="bottom"/>
          </w:tcPr>
          <w:p>
            <w:pPr>
              <w:pStyle w:val="TableHeading"/>
              <w:spacing w:before="0" w:after="283"/>
              <w:jc w:val="center"/>
              <w:rPr>
                <w:rFonts w:ascii="arial" w:hAnsi="arial"/>
                <w:b/>
                <w:sz w:val="20"/>
              </w:rPr>
            </w:pPr>
            <w:r>
              <w:rPr>
                <w:rFonts w:ascii="arial" w:hAnsi="arial"/>
                <w:b/>
                <w:sz w:val="20"/>
              </w:rPr>
              <w:t>Performance-Based</w:t>
              <w:br/>
              <w:t>RSUs at</w:t>
              <w:br/>
              <w:t>TargetType I</w:t>
            </w:r>
            <w:r>
              <w:rPr>
                <w:rFonts w:ascii="arial" w:hAnsi="arial"/>
                <w:b/>
                <w:position w:val="7"/>
                <w:sz w:val="16"/>
                <w:sz w:val="20"/>
              </w:rPr>
              <w:t>(1)</w:t>
            </w:r>
            <w:r>
              <w:rPr>
                <w:rFonts w:ascii="arial" w:hAnsi="arial"/>
                <w:b/>
                <w:sz w:val="20"/>
              </w:rPr>
              <w:t xml:space="preserve"> </w:t>
            </w:r>
          </w:p>
        </w:tc>
        <w:tc>
          <w:tcPr>
            <w:tcW w:w="23" w:type="dxa"/>
            <w:tcBorders/>
            <w:shd w:fill="auto" w:val="clear"/>
            <w:vAlign w:val="bottom"/>
          </w:tcPr>
          <w:p>
            <w:pPr>
              <w:pStyle w:val="TableHeading"/>
              <w:suppressLineNumbers/>
              <w:spacing w:before="0" w:after="283"/>
              <w:jc w:val="center"/>
              <w:rPr/>
            </w:pPr>
            <w:r>
              <w:rPr/>
              <w:t>​</w:t>
            </w:r>
          </w:p>
        </w:tc>
        <w:tc>
          <w:tcPr>
            <w:tcW w:w="1835" w:type="dxa"/>
            <w:gridSpan w:val="4"/>
            <w:tcBorders>
              <w:bottom w:val="single" w:sz="8" w:space="0" w:color="000000"/>
            </w:tcBorders>
            <w:shd w:fill="auto" w:val="clear"/>
            <w:tcMar>
              <w:bottom w:w="28" w:type="dxa"/>
            </w:tcMar>
            <w:vAlign w:val="bottom"/>
          </w:tcPr>
          <w:p>
            <w:pPr>
              <w:pStyle w:val="TableHeading"/>
              <w:spacing w:before="0" w:after="283"/>
              <w:jc w:val="center"/>
              <w:rPr>
                <w:rFonts w:ascii="arial" w:hAnsi="arial"/>
                <w:b/>
                <w:sz w:val="20"/>
              </w:rPr>
            </w:pPr>
            <w:r>
              <w:rPr>
                <w:rFonts w:ascii="arial" w:hAnsi="arial"/>
                <w:b/>
                <w:sz w:val="20"/>
              </w:rPr>
              <w:t>Performance-Based</w:t>
              <w:br/>
              <w:t>RSUs at</w:t>
              <w:br/>
              <w:t>TargetType II</w:t>
            </w:r>
            <w:r>
              <w:rPr>
                <w:rFonts w:ascii="arial" w:hAnsi="arial"/>
                <w:b/>
                <w:position w:val="7"/>
                <w:sz w:val="16"/>
                <w:sz w:val="20"/>
              </w:rPr>
              <w:t>(1)</w:t>
            </w:r>
            <w:r>
              <w:rPr>
                <w:rFonts w:ascii="arial" w:hAnsi="arial"/>
                <w:b/>
                <w:sz w:val="20"/>
              </w:rPr>
              <w:t xml:space="preserve"> </w:t>
            </w:r>
          </w:p>
        </w:tc>
        <w:tc>
          <w:tcPr>
            <w:tcW w:w="24" w:type="dxa"/>
            <w:tcBorders/>
            <w:shd w:fill="auto" w:val="clear"/>
            <w:vAlign w:val="bottom"/>
          </w:tcPr>
          <w:p>
            <w:pPr>
              <w:pStyle w:val="TableHeading"/>
              <w:suppressLineNumbers/>
              <w:spacing w:before="0" w:after="283"/>
              <w:jc w:val="center"/>
              <w:rPr/>
            </w:pPr>
            <w:r>
              <w:rPr/>
              <w:t>​</w:t>
            </w:r>
          </w:p>
        </w:tc>
      </w:tr>
      <w:tr>
        <w:trPr/>
        <w:tc>
          <w:tcPr>
            <w:tcW w:w="5378" w:type="dxa"/>
            <w:tcBorders/>
            <w:shd w:fill="CCEEFF" w:val="clear"/>
            <w:vAlign w:val="bottom"/>
          </w:tcPr>
          <w:p>
            <w:pPr>
              <w:pStyle w:val="TableContents"/>
              <w:spacing w:before="0" w:after="283"/>
              <w:ind w:left="200" w:right="0" w:hanging="200"/>
              <w:rPr>
                <w:rFonts w:ascii="arial" w:hAnsi="arial"/>
                <w:sz w:val="20"/>
              </w:rPr>
            </w:pPr>
            <w:r>
              <w:rPr>
                <w:rFonts w:ascii="arial" w:hAnsi="arial"/>
                <w:sz w:val="20"/>
              </w:rPr>
              <w:t>William B. Shepro</w:t>
            </w:r>
          </w:p>
        </w:tc>
        <w:tc>
          <w:tcPr>
            <w:tcW w:w="23"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w:t>
            </w:r>
          </w:p>
        </w:tc>
        <w:tc>
          <w:tcPr>
            <w:tcW w:w="980"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$1,259,961</w:t>
            </w:r>
          </w:p>
        </w:tc>
        <w:tc>
          <w:tcPr>
            <w:tcW w:w="23" w:type="dxa"/>
            <w:tcBorders/>
            <w:shd w:fill="CCEEFF" w:val="clear"/>
            <w:vAlign w:val="bottom"/>
          </w:tcPr>
          <w:p>
            <w:pPr>
              <w:pStyle w:val="TableContents"/>
              <w:spacing w:before="0" w:after="283"/>
              <w:rPr/>
            </w:pPr>
            <w:r>
              <w:rPr/>
              <w:t>​</w:t>
            </w:r>
          </w:p>
        </w:tc>
        <w:tc>
          <w:tcPr>
            <w:tcW w:w="24" w:type="dxa"/>
            <w:tcBorders/>
            <w:shd w:fill="CCEEFF" w:val="clear"/>
            <w:vAlign w:val="bottom"/>
          </w:tcPr>
          <w:p>
            <w:pPr>
              <w:pStyle w:val="TableContents"/>
              <w:spacing w:before="0" w:after="283"/>
              <w:rPr/>
            </w:pPr>
            <w:r>
              <w:rPr/>
              <w:t>​</w:t>
            </w:r>
          </w:p>
        </w:tc>
        <w:tc>
          <w:tcPr>
            <w:tcW w:w="458" w:type="dxa"/>
            <w:tcBorders/>
            <w:shd w:fill="CCEEFF" w:val="clear"/>
            <w:vAlign w:val="bottom"/>
          </w:tcPr>
          <w:p>
            <w:pPr>
              <w:pStyle w:val="TableContents"/>
              <w:spacing w:before="0" w:after="283"/>
              <w:rPr/>
            </w:pPr>
            <w:r>
              <w:rPr/>
              <w:t>​</w:t>
            </w:r>
          </w:p>
        </w:tc>
        <w:tc>
          <w:tcPr>
            <w:tcW w:w="916"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32,880</w:t>
            </w:r>
          </w:p>
        </w:tc>
        <w:tc>
          <w:tcPr>
            <w:tcW w:w="461" w:type="dxa"/>
            <w:tcBorders/>
            <w:shd w:fill="CCEEFF" w:val="clear"/>
            <w:vAlign w:val="bottom"/>
          </w:tcPr>
          <w:p>
            <w:pPr>
              <w:pStyle w:val="TableContents"/>
              <w:spacing w:before="0" w:after="283"/>
              <w:rPr/>
            </w:pPr>
            <w:r>
              <w:rPr/>
              <w:t>​</w:t>
            </w:r>
          </w:p>
        </w:tc>
        <w:tc>
          <w:tcPr>
            <w:tcW w:w="23" w:type="dxa"/>
            <w:tcBorders/>
            <w:shd w:fill="CCEEFF" w:val="clear"/>
            <w:vAlign w:val="bottom"/>
          </w:tcPr>
          <w:p>
            <w:pPr>
              <w:pStyle w:val="TableContents"/>
              <w:spacing w:before="0" w:after="283"/>
              <w:rPr/>
            </w:pPr>
            <w:r>
              <w:rPr/>
              <w:t>​</w:t>
            </w:r>
          </w:p>
        </w:tc>
        <w:tc>
          <w:tcPr>
            <w:tcW w:w="458" w:type="dxa"/>
            <w:tcBorders/>
            <w:shd w:fill="CCEEFF" w:val="clear"/>
            <w:vAlign w:val="bottom"/>
          </w:tcPr>
          <w:p>
            <w:pPr>
              <w:pStyle w:val="TableContents"/>
              <w:spacing w:before="0" w:after="283"/>
              <w:rPr/>
            </w:pPr>
            <w:r>
              <w:rPr/>
              <w:t>​</w:t>
            </w:r>
          </w:p>
        </w:tc>
        <w:tc>
          <w:tcPr>
            <w:tcW w:w="916"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32,880</w:t>
            </w:r>
          </w:p>
        </w:tc>
        <w:tc>
          <w:tcPr>
            <w:tcW w:w="461" w:type="dxa"/>
            <w:tcBorders/>
            <w:shd w:fill="CCEEFF" w:val="clear"/>
            <w:vAlign w:val="bottom"/>
          </w:tcPr>
          <w:p>
            <w:pPr>
              <w:pStyle w:val="TableContents"/>
              <w:spacing w:before="0" w:after="283"/>
              <w:rPr/>
            </w:pPr>
            <w:r>
              <w:rPr/>
              <w:t>​</w:t>
            </w:r>
          </w:p>
        </w:tc>
        <w:tc>
          <w:tcPr>
            <w:tcW w:w="24" w:type="dxa"/>
            <w:tcBorders/>
            <w:shd w:fill="CCEEFF" w:val="clear"/>
            <w:vAlign w:val="bottom"/>
          </w:tcPr>
          <w:p>
            <w:pPr>
              <w:pStyle w:val="TableContents"/>
              <w:spacing w:before="0" w:after="283"/>
              <w:rPr/>
            </w:pPr>
            <w:r>
              <w:rPr/>
              <w:t>​</w:t>
            </w:r>
          </w:p>
        </w:tc>
      </w:tr>
      <w:tr>
        <w:trPr/>
        <w:tc>
          <w:tcPr>
            <w:tcW w:w="5378" w:type="dxa"/>
            <w:tcBorders/>
            <w:shd w:fill="auto" w:val="clear"/>
            <w:vAlign w:val="bottom"/>
          </w:tcPr>
          <w:p>
            <w:pPr>
              <w:pStyle w:val="TableContents"/>
              <w:spacing w:before="0" w:after="283"/>
              <w:ind w:left="200" w:right="0" w:hanging="200"/>
              <w:rPr>
                <w:rFonts w:ascii="arial" w:hAnsi="arial"/>
                <w:sz w:val="20"/>
              </w:rPr>
            </w:pPr>
            <w:r>
              <w:rPr>
                <w:rFonts w:ascii="arial" w:hAnsi="arial"/>
                <w:sz w:val="20"/>
              </w:rPr>
              <w:t>Michelle D. Esterman</w:t>
            </w:r>
          </w:p>
        </w:tc>
        <w:tc>
          <w:tcPr>
            <w:tcW w:w="23"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w:t>
            </w:r>
          </w:p>
        </w:tc>
        <w:tc>
          <w:tcPr>
            <w:tcW w:w="980" w:type="dxa"/>
            <w:gridSpan w:val="2"/>
            <w:tcBorders/>
            <w:shd w:fill="auto" w:val="clear"/>
            <w:vAlign w:val="bottom"/>
          </w:tcPr>
          <w:p>
            <w:pPr>
              <w:pStyle w:val="TableContents"/>
              <w:spacing w:before="0" w:after="283"/>
              <w:jc w:val="right"/>
              <w:rPr>
                <w:rFonts w:ascii="arial" w:hAnsi="arial"/>
                <w:sz w:val="20"/>
              </w:rPr>
            </w:pPr>
            <w:r>
              <w:rPr>
                <w:rFonts w:ascii="arial" w:hAnsi="arial"/>
                <w:sz w:val="20"/>
              </w:rPr>
              <w:t>$280,000</w:t>
            </w:r>
          </w:p>
        </w:tc>
        <w:tc>
          <w:tcPr>
            <w:tcW w:w="23"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c>
          <w:tcPr>
            <w:tcW w:w="458" w:type="dxa"/>
            <w:tcBorders/>
            <w:shd w:fill="auto" w:val="clear"/>
            <w:vAlign w:val="bottom"/>
          </w:tcPr>
          <w:p>
            <w:pPr>
              <w:pStyle w:val="TableContents"/>
              <w:spacing w:before="0" w:after="283"/>
              <w:rPr/>
            </w:pPr>
            <w:r>
              <w:rPr/>
              <w:t>​</w:t>
            </w:r>
          </w:p>
        </w:tc>
        <w:tc>
          <w:tcPr>
            <w:tcW w:w="916" w:type="dxa"/>
            <w:gridSpan w:val="2"/>
            <w:tcBorders/>
            <w:shd w:fill="auto" w:val="clear"/>
            <w:vAlign w:val="bottom"/>
          </w:tcPr>
          <w:p>
            <w:pPr>
              <w:pStyle w:val="TableContents"/>
              <w:spacing w:before="0" w:after="283"/>
              <w:jc w:val="right"/>
              <w:rPr>
                <w:rFonts w:ascii="arial" w:hAnsi="arial"/>
                <w:sz w:val="20"/>
              </w:rPr>
            </w:pPr>
            <w:r>
              <w:rPr>
                <w:rFonts w:ascii="arial" w:hAnsi="arial"/>
                <w:sz w:val="20"/>
              </w:rPr>
              <w:t>7,369</w:t>
            </w:r>
          </w:p>
        </w:tc>
        <w:tc>
          <w:tcPr>
            <w:tcW w:w="461"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458" w:type="dxa"/>
            <w:tcBorders/>
            <w:shd w:fill="auto" w:val="clear"/>
            <w:vAlign w:val="bottom"/>
          </w:tcPr>
          <w:p>
            <w:pPr>
              <w:pStyle w:val="TableContents"/>
              <w:spacing w:before="0" w:after="283"/>
              <w:rPr/>
            </w:pPr>
            <w:r>
              <w:rPr/>
              <w:t>​</w:t>
            </w:r>
          </w:p>
        </w:tc>
        <w:tc>
          <w:tcPr>
            <w:tcW w:w="916" w:type="dxa"/>
            <w:gridSpan w:val="2"/>
            <w:tcBorders/>
            <w:shd w:fill="auto" w:val="clear"/>
            <w:vAlign w:val="bottom"/>
          </w:tcPr>
          <w:p>
            <w:pPr>
              <w:pStyle w:val="TableContents"/>
              <w:spacing w:before="0" w:after="283"/>
              <w:jc w:val="right"/>
              <w:rPr>
                <w:rFonts w:ascii="arial" w:hAnsi="arial"/>
                <w:sz w:val="20"/>
              </w:rPr>
            </w:pPr>
            <w:r>
              <w:rPr>
                <w:rFonts w:ascii="arial" w:hAnsi="arial"/>
                <w:sz w:val="20"/>
              </w:rPr>
              <w:t>7,369</w:t>
            </w:r>
          </w:p>
        </w:tc>
        <w:tc>
          <w:tcPr>
            <w:tcW w:w="461"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5378" w:type="dxa"/>
            <w:tcBorders/>
            <w:shd w:fill="CCEEFF" w:val="clear"/>
            <w:vAlign w:val="bottom"/>
          </w:tcPr>
          <w:p>
            <w:pPr>
              <w:pStyle w:val="TableContents"/>
              <w:spacing w:before="0" w:after="283"/>
              <w:ind w:left="200" w:right="0" w:hanging="200"/>
              <w:rPr>
                <w:rFonts w:ascii="arial" w:hAnsi="arial"/>
                <w:sz w:val="20"/>
              </w:rPr>
            </w:pPr>
            <w:r>
              <w:rPr>
                <w:rFonts w:ascii="arial" w:hAnsi="arial"/>
                <w:sz w:val="20"/>
              </w:rPr>
              <w:t>Marcello Mastioni</w:t>
            </w:r>
          </w:p>
        </w:tc>
        <w:tc>
          <w:tcPr>
            <w:tcW w:w="23"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w:t>
            </w:r>
          </w:p>
        </w:tc>
        <w:tc>
          <w:tcPr>
            <w:tcW w:w="980"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$366,240</w:t>
            </w:r>
          </w:p>
        </w:tc>
        <w:tc>
          <w:tcPr>
            <w:tcW w:w="23" w:type="dxa"/>
            <w:tcBorders/>
            <w:shd w:fill="CCEEFF" w:val="clear"/>
            <w:vAlign w:val="bottom"/>
          </w:tcPr>
          <w:p>
            <w:pPr>
              <w:pStyle w:val="TableContents"/>
              <w:spacing w:before="0" w:after="283"/>
              <w:rPr/>
            </w:pPr>
            <w:r>
              <w:rPr/>
              <w:t>​</w:t>
            </w:r>
          </w:p>
        </w:tc>
        <w:tc>
          <w:tcPr>
            <w:tcW w:w="24" w:type="dxa"/>
            <w:tcBorders/>
            <w:shd w:fill="CCEEFF" w:val="clear"/>
            <w:vAlign w:val="bottom"/>
          </w:tcPr>
          <w:p>
            <w:pPr>
              <w:pStyle w:val="TableContents"/>
              <w:spacing w:before="0" w:after="283"/>
              <w:rPr/>
            </w:pPr>
            <w:r>
              <w:rPr/>
              <w:t>​</w:t>
            </w:r>
          </w:p>
        </w:tc>
        <w:tc>
          <w:tcPr>
            <w:tcW w:w="458" w:type="dxa"/>
            <w:tcBorders/>
            <w:shd w:fill="CCEEFF" w:val="clear"/>
            <w:vAlign w:val="bottom"/>
          </w:tcPr>
          <w:p>
            <w:pPr>
              <w:pStyle w:val="TableContents"/>
              <w:spacing w:before="0" w:after="283"/>
              <w:rPr/>
            </w:pPr>
            <w:r>
              <w:rPr/>
              <w:t>​</w:t>
            </w:r>
          </w:p>
        </w:tc>
        <w:tc>
          <w:tcPr>
            <w:tcW w:w="916"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9,638</w:t>
            </w:r>
          </w:p>
        </w:tc>
        <w:tc>
          <w:tcPr>
            <w:tcW w:w="461" w:type="dxa"/>
            <w:tcBorders/>
            <w:shd w:fill="CCEEFF" w:val="clear"/>
            <w:vAlign w:val="bottom"/>
          </w:tcPr>
          <w:p>
            <w:pPr>
              <w:pStyle w:val="TableContents"/>
              <w:spacing w:before="0" w:after="283"/>
              <w:rPr/>
            </w:pPr>
            <w:r>
              <w:rPr/>
              <w:t>​</w:t>
            </w:r>
          </w:p>
        </w:tc>
        <w:tc>
          <w:tcPr>
            <w:tcW w:w="23" w:type="dxa"/>
            <w:tcBorders/>
            <w:shd w:fill="CCEEFF" w:val="clear"/>
            <w:vAlign w:val="bottom"/>
          </w:tcPr>
          <w:p>
            <w:pPr>
              <w:pStyle w:val="TableContents"/>
              <w:spacing w:before="0" w:after="283"/>
              <w:rPr/>
            </w:pPr>
            <w:r>
              <w:rPr/>
              <w:t>​</w:t>
            </w:r>
          </w:p>
        </w:tc>
        <w:tc>
          <w:tcPr>
            <w:tcW w:w="458" w:type="dxa"/>
            <w:tcBorders/>
            <w:shd w:fill="CCEEFF" w:val="clear"/>
            <w:vAlign w:val="bottom"/>
          </w:tcPr>
          <w:p>
            <w:pPr>
              <w:pStyle w:val="TableContents"/>
              <w:spacing w:before="0" w:after="283"/>
              <w:rPr/>
            </w:pPr>
            <w:r>
              <w:rPr/>
              <w:t>​</w:t>
            </w:r>
          </w:p>
        </w:tc>
        <w:tc>
          <w:tcPr>
            <w:tcW w:w="916"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9,638</w:t>
            </w:r>
          </w:p>
        </w:tc>
        <w:tc>
          <w:tcPr>
            <w:tcW w:w="461" w:type="dxa"/>
            <w:tcBorders/>
            <w:shd w:fill="CCEEFF" w:val="clear"/>
            <w:vAlign w:val="bottom"/>
          </w:tcPr>
          <w:p>
            <w:pPr>
              <w:pStyle w:val="TableContents"/>
              <w:spacing w:before="0" w:after="283"/>
              <w:rPr/>
            </w:pPr>
            <w:r>
              <w:rPr/>
              <w:t>​</w:t>
            </w:r>
          </w:p>
        </w:tc>
        <w:tc>
          <w:tcPr>
            <w:tcW w:w="24" w:type="dxa"/>
            <w:tcBorders/>
            <w:shd w:fill="CCEEFF" w:val="clear"/>
            <w:vAlign w:val="bottom"/>
          </w:tcPr>
          <w:p>
            <w:pPr>
              <w:pStyle w:val="TableContents"/>
              <w:spacing w:before="0" w:after="283"/>
              <w:rPr/>
            </w:pPr>
            <w:r>
              <w:rPr/>
              <w:t>​</w:t>
            </w:r>
          </w:p>
        </w:tc>
      </w:tr>
      <w:tr>
        <w:trPr/>
        <w:tc>
          <w:tcPr>
            <w:tcW w:w="5378" w:type="dxa"/>
            <w:tcBorders/>
            <w:shd w:fill="auto" w:val="clear"/>
            <w:vAlign w:val="bottom"/>
          </w:tcPr>
          <w:p>
            <w:pPr>
              <w:pStyle w:val="TableContents"/>
              <w:spacing w:before="0" w:after="283"/>
              <w:ind w:left="200" w:right="0" w:hanging="200"/>
              <w:rPr>
                <w:rFonts w:ascii="arial" w:hAnsi="arial"/>
                <w:sz w:val="20"/>
              </w:rPr>
            </w:pPr>
            <w:r>
              <w:rPr>
                <w:rFonts w:ascii="arial" w:hAnsi="arial"/>
                <w:sz w:val="20"/>
              </w:rPr>
              <w:t>Gregory J. Ritts</w:t>
            </w:r>
          </w:p>
        </w:tc>
        <w:tc>
          <w:tcPr>
            <w:tcW w:w="23"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w:t>
            </w:r>
          </w:p>
        </w:tc>
        <w:tc>
          <w:tcPr>
            <w:tcW w:w="980" w:type="dxa"/>
            <w:gridSpan w:val="2"/>
            <w:tcBorders/>
            <w:shd w:fill="auto" w:val="clear"/>
            <w:vAlign w:val="bottom"/>
          </w:tcPr>
          <w:p>
            <w:pPr>
              <w:pStyle w:val="TableContents"/>
              <w:spacing w:before="0" w:after="283"/>
              <w:jc w:val="right"/>
              <w:rPr>
                <w:rFonts w:ascii="arial" w:hAnsi="arial"/>
                <w:sz w:val="20"/>
              </w:rPr>
            </w:pPr>
            <w:r>
              <w:rPr>
                <w:rFonts w:ascii="arial" w:hAnsi="arial"/>
                <w:sz w:val="20"/>
              </w:rPr>
              <w:t>$240,000</w:t>
            </w:r>
          </w:p>
        </w:tc>
        <w:tc>
          <w:tcPr>
            <w:tcW w:w="23"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c>
          <w:tcPr>
            <w:tcW w:w="458" w:type="dxa"/>
            <w:tcBorders/>
            <w:shd w:fill="auto" w:val="clear"/>
            <w:vAlign w:val="bottom"/>
          </w:tcPr>
          <w:p>
            <w:pPr>
              <w:pStyle w:val="TableContents"/>
              <w:spacing w:before="0" w:after="283"/>
              <w:rPr/>
            </w:pPr>
            <w:r>
              <w:rPr/>
              <w:t>​</w:t>
            </w:r>
          </w:p>
        </w:tc>
        <w:tc>
          <w:tcPr>
            <w:tcW w:w="916" w:type="dxa"/>
            <w:gridSpan w:val="2"/>
            <w:tcBorders/>
            <w:shd w:fill="auto" w:val="clear"/>
            <w:vAlign w:val="bottom"/>
          </w:tcPr>
          <w:p>
            <w:pPr>
              <w:pStyle w:val="TableContents"/>
              <w:spacing w:before="0" w:after="283"/>
              <w:jc w:val="right"/>
              <w:rPr>
                <w:rFonts w:ascii="arial" w:hAnsi="arial"/>
                <w:sz w:val="20"/>
              </w:rPr>
            </w:pPr>
            <w:r>
              <w:rPr>
                <w:rFonts w:ascii="arial" w:hAnsi="arial"/>
                <w:sz w:val="20"/>
              </w:rPr>
              <w:t>6,316</w:t>
            </w:r>
          </w:p>
        </w:tc>
        <w:tc>
          <w:tcPr>
            <w:tcW w:w="461"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458" w:type="dxa"/>
            <w:tcBorders/>
            <w:shd w:fill="auto" w:val="clear"/>
            <w:vAlign w:val="bottom"/>
          </w:tcPr>
          <w:p>
            <w:pPr>
              <w:pStyle w:val="TableContents"/>
              <w:spacing w:before="0" w:after="283"/>
              <w:rPr/>
            </w:pPr>
            <w:r>
              <w:rPr/>
              <w:t>​</w:t>
            </w:r>
          </w:p>
        </w:tc>
        <w:tc>
          <w:tcPr>
            <w:tcW w:w="916" w:type="dxa"/>
            <w:gridSpan w:val="2"/>
            <w:tcBorders/>
            <w:shd w:fill="auto" w:val="clear"/>
            <w:vAlign w:val="bottom"/>
          </w:tcPr>
          <w:p>
            <w:pPr>
              <w:pStyle w:val="TableContents"/>
              <w:spacing w:before="0" w:after="283"/>
              <w:jc w:val="right"/>
              <w:rPr>
                <w:rFonts w:ascii="arial" w:hAnsi="arial"/>
                <w:sz w:val="20"/>
              </w:rPr>
            </w:pPr>
            <w:r>
              <w:rPr>
                <w:rFonts w:ascii="arial" w:hAnsi="arial"/>
                <w:sz w:val="20"/>
              </w:rPr>
              <w:t>6,316</w:t>
            </w:r>
          </w:p>
        </w:tc>
        <w:tc>
          <w:tcPr>
            <w:tcW w:w="461"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bl>
    <w:p>
      <w:pPr>
        <w:pStyle w:val="ListHeading"/>
        <w:spacing w:before="0" w:after="0"/>
        <w:jc w:val="left"/>
        <w:rPr>
          <w:rFonts w:ascii="arial" w:hAnsi="arial"/>
          <w:position w:val="7"/>
          <w:sz w:val="16"/>
          <w:sz w:val="20"/>
        </w:rPr>
      </w:pPr>
      <w:r>
        <w:rPr>
          <w:rFonts w:ascii="arial" w:hAnsi="arial"/>
          <w:position w:val="7"/>
          <w:sz w:val="16"/>
          <w:sz w:val="20"/>
        </w:rPr>
        <w:t>(1)</w:t>
      </w:r>
    </w:p>
    <w:p>
      <w:pPr>
        <w:pStyle w:val="ListContents"/>
        <w:spacing w:before="0" w:after="283"/>
        <w:jc w:val="left"/>
        <w:rPr>
          <w:rFonts w:ascii="arial" w:hAnsi="arial"/>
          <w:sz w:val="20"/>
        </w:rPr>
      </w:pPr>
      <w:r>
        <w:rPr>
          <w:rFonts w:ascii="arial" w:hAnsi="arial"/>
          <w:sz w:val="20"/>
        </w:rPr>
        <w:t xml:space="preserve">Based on a price per share of $19.16, the average closing price of our common stock over the 30 trading days preceding the February 27, 2020 grant date for Mr. Shepro and a price per share of $19.00, the average closing price of our common stock over the 30 trading days preceding the January 24, 2020 grant date for the other Named Executive Officers. </w:t>
      </w:r>
    </w:p>
    <w:p>
      <w:pPr>
        <w:pStyle w:val="TextBody"/>
        <w:rPr>
          <w:rFonts w:ascii="arial" w:hAnsi="arial"/>
          <w:sz w:val="20"/>
        </w:rPr>
      </w:pPr>
      <w:r>
        <w:rPr>
          <w:rFonts w:ascii="arial" w:hAnsi="arial"/>
          <w:sz w:val="20"/>
        </w:rPr>
        <w:t xml:space="preserve">Mr. Wilcox did not receive a grant in 2020 due to his previously announced separation on April 15, 2020. </w:t>
      </w:r>
    </w:p>
    <w:p>
      <w:pPr>
        <w:pStyle w:val="TextBody"/>
        <w:rPr>
          <w:rFonts w:ascii="arial" w:hAnsi="arial"/>
          <w:sz w:val="20"/>
        </w:rPr>
      </w:pPr>
      <w:r>
        <w:rPr>
          <w:rFonts w:ascii="arial" w:hAnsi="arial"/>
          <w:sz w:val="20"/>
        </w:rPr>
        <w:t xml:space="preserve">The Compensation Committee elected to exercise its discretion to revise the maximum level of achievement for 2020 performance in the 2019 and 2020 LTIPs Type II awards at 80% of target, as opposed to the 150% previously approved in the plan, with the actual level of achievement to be determined by the Compensation Committee based on the level of achievement on the 2020 cost reduction objectives. Such change was necessitated by the two major events outside of the Company's control that significantly impacted Altisource's revenue and earnings in 2020 and beyond, as described in earlier sections. In response to these events, the Company reset its priorities and was focused on addressing the inherent risks arising out of these events and building a strong foundation to capitalize on the potential opportunities that lies ahead of the Company. The alignment of the LTIP Type II performance metrics to these priorities ensured that the Named Executive Officers were focused on driving long term success for the Company. </w:t>
      </w:r>
    </w:p>
    <w:p>
      <w:pPr>
        <w:pStyle w:val="TextBody"/>
        <w:rPr>
          <w:rFonts w:ascii="arial" w:hAnsi="arial"/>
          <w:sz w:val="20"/>
        </w:rPr>
      </w:pPr>
      <w:r>
        <w:rPr>
          <w:rFonts w:ascii="arial" w:hAnsi="arial"/>
          <w:sz w:val="20"/>
        </w:rPr>
        <w:t xml:space="preserve">Based upon actual performance against the cost reduction objectives, the Company's 2020 achievement level under the LTIP Type II award was 91.7% of the 80% maximum potential achievement, or 73.4% for the Named Executive Officers (other than the Chief Administration and Risk Officer, who was not eligible for 2020 incentives). Performance may be further modified by TSR against the Russell 3000 stock market index for the applicable three-year performance period. </w:t>
      </w:r>
    </w:p>
    <w:p>
      <w:pPr>
        <w:pStyle w:val="TextBody"/>
        <w:ind w:left="200" w:right="0" w:hanging="200"/>
        <w:rPr>
          <w:rFonts w:ascii="arial" w:hAnsi="arial"/>
          <w:sz w:val="20"/>
        </w:rPr>
      </w:pPr>
      <w:r>
        <w:rPr>
          <w:rFonts w:ascii="arial" w:hAnsi="arial"/>
          <w:sz w:val="20"/>
          <w:u w:val="single"/>
        </w:rPr>
        <w:t>2021 Long-Term Incentive Plan Awards</w:t>
      </w:r>
      <w:r>
        <w:rPr>
          <w:rFonts w:ascii="arial" w:hAnsi="arial"/>
          <w:sz w:val="20"/>
        </w:rPr>
        <w:t xml:space="preserve"> </w:t>
      </w:r>
    </w:p>
    <w:p>
      <w:pPr>
        <w:pStyle w:val="TextBody"/>
        <w:rPr>
          <w:rFonts w:ascii="arial" w:hAnsi="arial"/>
          <w:sz w:val="20"/>
        </w:rPr>
      </w:pPr>
      <w:r>
        <w:rPr>
          <w:rFonts w:ascii="arial" w:hAnsi="arial"/>
          <w:sz w:val="20"/>
        </w:rPr>
        <w:t xml:space="preserve">In March 2021, the Board of Directors and the Compensation Committee approved the 2021 LTIP. The structure of the LTIP was similar to the awards made in 2019 and 2020, comprising equally of two types of performance-based RSUsType I and Type II. </w:t>
      </w:r>
    </w:p>
    <w:p>
      <w:pPr>
        <w:pStyle w:val="TextBody"/>
        <w:rPr>
          <w:rFonts w:ascii="arial" w:hAnsi="arial"/>
          <w:sz w:val="20"/>
        </w:rPr>
      </w:pPr>
      <w:r>
        <w:rPr>
          <w:rFonts w:ascii="arial" w:hAnsi="arial"/>
          <w:sz w:val="20"/>
        </w:rPr>
        <w:t xml:space="preserve">Type I RSUs will vest in three equal annual increments on the first three anniversaries of the grant date, subject to the executive officer meeting a minimum performance level of 50% on his or her annual scorecard for the previous service year. These awards will be settled in shares or, at the Company's option, cash, subject to continued employment unless otherwise provided in the applicable award agreement. </w:t>
      </w:r>
    </w:p>
    <w:p>
      <w:pPr>
        <w:pStyle w:val="TextBody"/>
        <w:rPr>
          <w:rFonts w:ascii="arial" w:hAnsi="arial"/>
          <w:sz w:val="20"/>
        </w:rPr>
      </w:pPr>
      <w:r>
        <w:rPr>
          <w:rFonts w:ascii="arial" w:hAnsi="arial"/>
          <w:sz w:val="20"/>
        </w:rPr>
        <w:t xml:space="preserve">The award of Type II performance-based RSUs will be determined in a two-step process. First, the Type II performance-based RSUs will have the opportunity to vest based on the degree of achievement of pre-established goals tied to 2021-2023 adjusted EPS goal (a non-U.S. GAAP measure). Depending on </w:t>
      </w:r>
    </w:p>
    <w:p>
      <w:pPr>
        <w:pStyle w:val="TextBody"/>
        <w:jc w:val="center"/>
        <w:rPr>
          <w:rFonts w:ascii="arial" w:hAnsi="arial"/>
          <w:sz w:val="20"/>
        </w:rPr>
      </w:pPr>
      <w:r>
        <w:rPr>
          <w:rFonts w:ascii="arial" w:hAnsi="arial"/>
          <w:sz w:val="20"/>
        </w:rPr>
        <w:t>50</w:t>
      </w:r>
    </w:p>
    <w:p>
      <w:pPr>
        <w:pStyle w:val="HorizontalLine"/>
        <w:pBdr>
          <w:bottom w:val="single" w:sz="20" w:space="0" w:color="808080"/>
        </w:pBdr>
        <w:rPr/>
      </w:pPr>
      <w:r>
        <w:rPr/>
      </w:r>
      <w:r>
        <w:br w:type="page"/>
      </w:r>
    </w:p>
    <w:p>
      <w:pPr>
        <w:pStyle w:val="TextBody"/>
        <w:rPr/>
      </w:pPr>
      <w:hyperlink w:anchor="bg45301a_main_toc">
        <w:bookmarkStart w:id="98" w:name="page_ds45301_1_51"/>
        <w:bookmarkEnd w:id="98"/>
        <w:r>
          <w:rPr>
            <w:rStyle w:val="InternetLink"/>
            <w:rFonts w:ascii="arial" w:hAnsi="arial"/>
            <w:sz w:val="20"/>
          </w:rPr>
          <w:t>Table of Contents</w:t>
        </w:r>
      </w:hyperlink>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3367"/>
        <w:gridCol w:w="101"/>
        <w:gridCol w:w="6737"/>
      </w:tblGrid>
      <w:tr>
        <w:trPr/>
        <w:tc>
          <w:tcPr>
            <w:tcW w:w="3367" w:type="dxa"/>
            <w:tcBorders/>
            <w:shd w:fill="auto" w:val="clear"/>
            <w:vAlign w:val="center"/>
          </w:tcPr>
          <w:p>
            <w:pPr>
              <w:pStyle w:val="TableContents"/>
              <w:spacing w:before="0" w:after="283"/>
              <w:rPr/>
            </w:pPr>
            <w:r>
              <w:rPr/>
              <w:commentReference w:id="185"/>
            </w:r>
            <w:r>
              <w:rPr/>
              <w:commentReference w:id="186"/>
            </w:r>
            <w:r>
              <w:rPr/>
              <w:commentReference w:id="187"/>
            </w:r>
            <w:r>
              <w:rPr/>
              <w:t>​</w:t>
            </w:r>
          </w:p>
        </w:tc>
        <w:tc>
          <w:tcPr>
            <w:tcW w:w="101" w:type="dxa"/>
            <w:tcBorders/>
            <w:shd w:fill="auto" w:val="clear"/>
            <w:vAlign w:val="center"/>
          </w:tcPr>
          <w:p>
            <w:pPr>
              <w:pStyle w:val="TableContents"/>
              <w:spacing w:before="0" w:after="283"/>
              <w:rPr/>
            </w:pPr>
            <w:r>
              <w:rPr/>
              <w:t>​</w:t>
            </w:r>
          </w:p>
        </w:tc>
        <w:tc>
          <w:tcPr>
            <w:tcW w:w="6737" w:type="dxa"/>
            <w:tcBorders/>
            <w:shd w:fill="auto" w:val="clear"/>
            <w:vAlign w:val="center"/>
          </w:tcPr>
          <w:p>
            <w:pPr>
              <w:pStyle w:val="TableContents"/>
              <w:spacing w:before="0" w:after="283"/>
              <w:rPr/>
            </w:pPr>
            <w:r>
              <w:rPr/>
              <w:t>​</w:t>
            </w:r>
            <w:r>
              <w:rPr>
                <w:rFonts w:eastAsia="arial" w:cs="arial" w:ascii="arial" w:hAnsi="arial"/>
              </w:rPr>
              <w:commentReference w:id="188"/>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drawing>
                <wp:inline distT="0" distB="0" distL="0" distR="0">
                  <wp:extent cx="2943225" cy="1809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embed="rId85"/>
                          <a:stretch>
                            <a:fillRect/>
                          </a:stretch>
                        </pic:blipFill>
                        <pic:spPr bwMode="auto">
                          <a:xfrm>
                            <a:off x="0" y="0"/>
                            <a:ext cx="2943225" cy="180975"/>
                          </a:xfrm>
                          <a:prstGeom prst="rect">
                            <a:avLst/>
                          </a:prstGeom>
                        </pic:spPr>
                      </pic:pic>
                    </a:graphicData>
                  </a:graphic>
                </wp:inline>
              </w:drawing>
            </w:r>
            <w:r>
              <w:rPr/>
              <w:t xml:space="preserve"> </w:t>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t> </w:t>
            </w:r>
          </w:p>
        </w:tc>
      </w:tr>
    </w:tbl>
    <w:p>
      <w:pPr>
        <w:pStyle w:val="TextBody"/>
        <w:rPr/>
      </w:pPr>
      <w:r>
        <w:rPr>
          <w:color w:val="000000"/>
        </w:rPr>
        <w:commentReference w:id="189"/>
      </w:r>
      <w:r>
        <w:rPr>
          <w:color w:val="000000"/>
        </w:rPr>
        <w:t>​</w:t>
      </w:r>
      <w:r>
        <w:rPr/>
        <w:t xml:space="preserve"> </w:t>
      </w:r>
    </w:p>
    <w:p>
      <w:pPr>
        <w:pStyle w:val="TextBody"/>
        <w:rPr>
          <w:rFonts w:ascii="arial" w:hAnsi="arial"/>
          <w:sz w:val="20"/>
        </w:rPr>
      </w:pPr>
      <w:r>
        <w:rPr>
          <w:rFonts w:ascii="arial" w:hAnsi="arial"/>
          <w:sz w:val="20"/>
        </w:rPr>
        <w:t xml:space="preserve">performance versus the adjusted EPS goals, Type II performance-based RSUs will have the opportunity to vest between zero percent (0%) and up to one hundred fifty percent (150%) of the initial target levels (the "Initial Award Size"). In the second step, this award will be modified based on TSR compared to the Russell 3000 stock market index during the performance period (2021-2023), resulting in a final earned award that can range between zero percent (0%) up to two hundred twenty-five percent (225%) of the Initial Award Size. Any earned Type II performance-based RSUs will cliff vest entirely on the third anniversary of the grant date and will be settled in shares or, at the Company's option, cash, subject to continued employment unless otherwise provided in the applicable award agreement. </w:t>
      </w:r>
    </w:p>
    <w:p>
      <w:pPr>
        <w:pStyle w:val="TextBody"/>
        <w:rPr>
          <w:rFonts w:ascii="arial" w:hAnsi="arial"/>
          <w:sz w:val="20"/>
        </w:rPr>
      </w:pPr>
      <w:r>
        <w:rPr>
          <w:rFonts w:ascii="arial" w:hAnsi="arial"/>
          <w:sz w:val="20"/>
        </w:rPr>
        <w:t xml:space="preserve">The award size for the Named Executive Officers was derived as a percentage of their target annual incentive divided by a stock price of $15 per share. The Compensation Committee used $15 per share, rather than the closing price of our common stock over the 30 trading days preceding the grant date as used in prior years ($10.56), to determine the number of shares granted to reduce shareholder dilution from the award due to the decline of the Altisource stock price prior to the grant date. </w:t>
      </w:r>
    </w:p>
    <w:p>
      <w:pPr>
        <w:pStyle w:val="TextBody"/>
        <w:rPr>
          <w:rFonts w:ascii="arial" w:hAnsi="arial"/>
          <w:sz w:val="20"/>
        </w:rPr>
      </w:pPr>
      <w:r>
        <w:rPr>
          <w:rFonts w:ascii="arial" w:hAnsi="arial"/>
          <w:sz w:val="20"/>
        </w:rPr>
        <w:t xml:space="preserve">Based on the foregoing approvals, the 2021 LTIP equity awards were approved for our Named Executive Officers, as follows: </w:t>
      </w:r>
    </w:p>
    <w:tbl>
      <w:tblPr>
        <w:tblW w:w="5000" w:type="pct"/>
        <w:jc w:val="center"/>
        <w:tblInd w:w="0" w:type="dxa"/>
        <w:tblCellMar>
          <w:top w:w="0" w:type="dxa"/>
          <w:left w:w="0" w:type="dxa"/>
          <w:bottom w:w="0" w:type="dxa"/>
          <w:right w:w="0" w:type="dxa"/>
        </w:tblCellMar>
      </w:tblPr>
      <w:tblGrid>
        <w:gridCol w:w="7228"/>
        <w:gridCol w:w="23"/>
        <w:gridCol w:w="105"/>
        <w:gridCol w:w="90"/>
        <w:gridCol w:w="725"/>
        <w:gridCol w:w="170"/>
        <w:gridCol w:w="24"/>
        <w:gridCol w:w="240"/>
        <w:gridCol w:w="100"/>
        <w:gridCol w:w="505"/>
        <w:gridCol w:w="23"/>
        <w:gridCol w:w="23"/>
        <w:gridCol w:w="240"/>
        <w:gridCol w:w="100"/>
        <w:gridCol w:w="505"/>
        <w:gridCol w:w="80"/>
        <w:gridCol w:w="24"/>
      </w:tblGrid>
      <w:tr>
        <w:trPr/>
        <w:tc>
          <w:tcPr>
            <w:tcW w:w="7228"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24"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24" w:type="dxa"/>
            <w:tcBorders/>
            <w:shd w:fill="auto" w:val="clear"/>
            <w:vAlign w:val="center"/>
          </w:tcPr>
          <w:p>
            <w:pPr>
              <w:pStyle w:val="TableContents"/>
              <w:spacing w:before="0" w:after="283"/>
              <w:rPr>
                <w:sz w:val="4"/>
                <w:szCs w:val="4"/>
              </w:rPr>
            </w:pPr>
            <w:r>
              <w:rPr>
                <w:sz w:val="4"/>
                <w:szCs w:val="4"/>
              </w:rPr>
            </w:r>
          </w:p>
        </w:tc>
      </w:tr>
      <w:tr>
        <w:trPr/>
        <w:tc>
          <w:tcPr>
            <w:tcW w:w="7228" w:type="dxa"/>
            <w:tcBorders>
              <w:bottom w:val="single" w:sz="8" w:space="0" w:color="000000"/>
            </w:tcBorders>
            <w:shd w:fill="auto" w:val="clear"/>
            <w:tcMar>
              <w:bottom w:w="28" w:type="dxa"/>
            </w:tcMar>
            <w:vAlign w:val="bottom"/>
          </w:tcPr>
          <w:p>
            <w:pPr>
              <w:pStyle w:val="TableHeading"/>
              <w:spacing w:before="0" w:after="283"/>
              <w:jc w:val="center"/>
              <w:rPr>
                <w:rFonts w:ascii="arial" w:hAnsi="arial"/>
                <w:b/>
                <w:sz w:val="20"/>
              </w:rPr>
            </w:pPr>
            <w:r>
              <w:rPr>
                <w:rFonts w:ascii="arial" w:hAnsi="arial"/>
                <w:b/>
                <w:sz w:val="20"/>
              </w:rPr>
              <w:t xml:space="preserve">Name </w:t>
            </w:r>
          </w:p>
        </w:tc>
        <w:tc>
          <w:tcPr>
            <w:tcW w:w="23" w:type="dxa"/>
            <w:tcBorders/>
            <w:shd w:fill="auto" w:val="clear"/>
            <w:vAlign w:val="bottom"/>
          </w:tcPr>
          <w:p>
            <w:pPr>
              <w:pStyle w:val="TableHeading"/>
              <w:suppressLineNumbers/>
              <w:spacing w:before="0" w:after="283"/>
              <w:jc w:val="center"/>
              <w:rPr/>
            </w:pPr>
            <w:r>
              <w:rPr/>
              <w:t>​</w:t>
            </w:r>
          </w:p>
        </w:tc>
        <w:tc>
          <w:tcPr>
            <w:tcW w:w="1090" w:type="dxa"/>
            <w:gridSpan w:val="4"/>
            <w:tcBorders>
              <w:bottom w:val="single" w:sz="8" w:space="0" w:color="000000"/>
            </w:tcBorders>
            <w:shd w:fill="auto" w:val="clear"/>
            <w:tcMar>
              <w:bottom w:w="28" w:type="dxa"/>
            </w:tcMar>
            <w:vAlign w:val="bottom"/>
          </w:tcPr>
          <w:p>
            <w:pPr>
              <w:pStyle w:val="TableHeading"/>
              <w:spacing w:before="0" w:after="283"/>
              <w:jc w:val="center"/>
              <w:rPr>
                <w:rFonts w:ascii="arial" w:hAnsi="arial"/>
                <w:b/>
                <w:sz w:val="20"/>
              </w:rPr>
            </w:pPr>
            <w:r>
              <w:rPr>
                <w:rFonts w:ascii="arial" w:hAnsi="arial"/>
                <w:b/>
                <w:sz w:val="20"/>
              </w:rPr>
              <w:t>Target 2021</w:t>
              <w:br/>
              <w:t xml:space="preserve">Award Value </w:t>
            </w:r>
          </w:p>
        </w:tc>
        <w:tc>
          <w:tcPr>
            <w:tcW w:w="24" w:type="dxa"/>
            <w:tcBorders/>
            <w:shd w:fill="auto" w:val="clear"/>
            <w:vAlign w:val="bottom"/>
          </w:tcPr>
          <w:p>
            <w:pPr>
              <w:pStyle w:val="TableHeading"/>
              <w:suppressLineNumbers/>
              <w:spacing w:before="0" w:after="283"/>
              <w:jc w:val="center"/>
              <w:rPr/>
            </w:pPr>
            <w:r>
              <w:rPr/>
              <w:t>​</w:t>
            </w:r>
          </w:p>
        </w:tc>
        <w:tc>
          <w:tcPr>
            <w:tcW w:w="868" w:type="dxa"/>
            <w:gridSpan w:val="4"/>
            <w:tcBorders>
              <w:bottom w:val="single" w:sz="8" w:space="0" w:color="000000"/>
            </w:tcBorders>
            <w:shd w:fill="auto" w:val="clear"/>
            <w:tcMar>
              <w:bottom w:w="28" w:type="dxa"/>
            </w:tcMar>
            <w:vAlign w:val="bottom"/>
          </w:tcPr>
          <w:p>
            <w:pPr>
              <w:pStyle w:val="TableHeading"/>
              <w:spacing w:before="0" w:after="283"/>
              <w:jc w:val="center"/>
              <w:rPr>
                <w:rFonts w:ascii="arial" w:hAnsi="arial"/>
                <w:b/>
                <w:sz w:val="20"/>
              </w:rPr>
            </w:pPr>
            <w:r>
              <w:rPr>
                <w:rFonts w:ascii="arial" w:hAnsi="arial"/>
                <w:b/>
                <w:sz w:val="20"/>
              </w:rPr>
              <w:t>Type I</w:t>
            </w:r>
            <w:r>
              <w:rPr>
                <w:rFonts w:ascii="arial" w:hAnsi="arial"/>
                <w:b/>
                <w:position w:val="7"/>
                <w:sz w:val="16"/>
                <w:sz w:val="20"/>
              </w:rPr>
              <w:t>(1)</w:t>
            </w:r>
            <w:r>
              <w:rPr>
                <w:rFonts w:ascii="arial" w:hAnsi="arial"/>
                <w:b/>
                <w:sz w:val="20"/>
              </w:rPr>
              <w:br/>
              <w:t xml:space="preserve">RSUs at Target </w:t>
            </w:r>
          </w:p>
        </w:tc>
        <w:tc>
          <w:tcPr>
            <w:tcW w:w="23" w:type="dxa"/>
            <w:tcBorders/>
            <w:shd w:fill="auto" w:val="clear"/>
            <w:vAlign w:val="bottom"/>
          </w:tcPr>
          <w:p>
            <w:pPr>
              <w:pStyle w:val="TableHeading"/>
              <w:suppressLineNumbers/>
              <w:spacing w:before="0" w:after="283"/>
              <w:jc w:val="center"/>
              <w:rPr/>
            </w:pPr>
            <w:r>
              <w:rPr/>
              <w:t>​</w:t>
            </w:r>
          </w:p>
        </w:tc>
        <w:tc>
          <w:tcPr>
            <w:tcW w:w="925" w:type="dxa"/>
            <w:gridSpan w:val="4"/>
            <w:tcBorders>
              <w:bottom w:val="single" w:sz="8" w:space="0" w:color="000000"/>
            </w:tcBorders>
            <w:shd w:fill="auto" w:val="clear"/>
            <w:tcMar>
              <w:bottom w:w="28" w:type="dxa"/>
            </w:tcMar>
            <w:vAlign w:val="bottom"/>
          </w:tcPr>
          <w:p>
            <w:pPr>
              <w:pStyle w:val="TableHeading"/>
              <w:spacing w:before="0" w:after="283"/>
              <w:jc w:val="center"/>
              <w:rPr>
                <w:rFonts w:ascii="arial" w:hAnsi="arial"/>
                <w:b/>
                <w:sz w:val="20"/>
              </w:rPr>
            </w:pPr>
            <w:r>
              <w:rPr>
                <w:rFonts w:ascii="arial" w:hAnsi="arial"/>
                <w:b/>
                <w:sz w:val="20"/>
              </w:rPr>
              <w:t>Type II</w:t>
            </w:r>
            <w:r>
              <w:rPr>
                <w:rFonts w:ascii="arial" w:hAnsi="arial"/>
                <w:b/>
                <w:position w:val="7"/>
                <w:sz w:val="16"/>
                <w:sz w:val="20"/>
              </w:rPr>
              <w:t>(1)</w:t>
            </w:r>
            <w:r>
              <w:rPr>
                <w:rFonts w:ascii="arial" w:hAnsi="arial"/>
                <w:b/>
                <w:sz w:val="20"/>
              </w:rPr>
              <w:br/>
              <w:t xml:space="preserve">RSUs at Target </w:t>
            </w:r>
          </w:p>
        </w:tc>
        <w:tc>
          <w:tcPr>
            <w:tcW w:w="24" w:type="dxa"/>
            <w:tcBorders/>
            <w:shd w:fill="auto" w:val="clear"/>
            <w:vAlign w:val="bottom"/>
          </w:tcPr>
          <w:p>
            <w:pPr>
              <w:pStyle w:val="TableHeading"/>
              <w:suppressLineNumbers/>
              <w:spacing w:before="0" w:after="283"/>
              <w:jc w:val="center"/>
              <w:rPr/>
            </w:pPr>
            <w:r>
              <w:rPr/>
              <w:t>​</w:t>
            </w:r>
          </w:p>
        </w:tc>
      </w:tr>
      <w:tr>
        <w:trPr/>
        <w:tc>
          <w:tcPr>
            <w:tcW w:w="7228" w:type="dxa"/>
            <w:tcBorders/>
            <w:shd w:fill="CCEEFF" w:val="clear"/>
            <w:vAlign w:val="bottom"/>
          </w:tcPr>
          <w:p>
            <w:pPr>
              <w:pStyle w:val="TableContents"/>
              <w:spacing w:before="0" w:after="283"/>
              <w:ind w:left="200" w:right="0" w:hanging="200"/>
              <w:rPr>
                <w:rFonts w:ascii="arial" w:hAnsi="arial"/>
                <w:sz w:val="20"/>
              </w:rPr>
            </w:pPr>
            <w:r>
              <w:rPr>
                <w:rFonts w:ascii="arial" w:hAnsi="arial"/>
                <w:sz w:val="20"/>
              </w:rPr>
              <w:t>William B. Shepro</w:t>
            </w:r>
          </w:p>
        </w:tc>
        <w:tc>
          <w:tcPr>
            <w:tcW w:w="23" w:type="dxa"/>
            <w:tcBorders/>
            <w:shd w:fill="CCEEFF" w:val="clear"/>
            <w:vAlign w:val="bottom"/>
          </w:tcPr>
          <w:p>
            <w:pPr>
              <w:pStyle w:val="TableContents"/>
              <w:spacing w:before="0" w:after="283"/>
              <w:rPr/>
            </w:pPr>
            <w:r>
              <w:rPr/>
              <w:t>​</w:t>
            </w:r>
          </w:p>
        </w:tc>
        <w:tc>
          <w:tcPr>
            <w:tcW w:w="105" w:type="dxa"/>
            <w:tcBorders/>
            <w:shd w:fill="CCEEFF" w:val="clear"/>
            <w:vAlign w:val="bottom"/>
          </w:tcPr>
          <w:p>
            <w:pPr>
              <w:pStyle w:val="TableContents"/>
              <w:spacing w:before="0" w:after="283"/>
              <w:rPr/>
            </w:pPr>
            <w:r>
              <w:rPr/>
              <w:t>​</w:t>
            </w:r>
          </w:p>
        </w:tc>
        <w:tc>
          <w:tcPr>
            <w:tcW w:w="815"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$377,988</w:t>
            </w:r>
          </w:p>
        </w:tc>
        <w:tc>
          <w:tcPr>
            <w:tcW w:w="170" w:type="dxa"/>
            <w:tcBorders/>
            <w:shd w:fill="CCEEFF" w:val="clear"/>
            <w:vAlign w:val="bottom"/>
          </w:tcPr>
          <w:p>
            <w:pPr>
              <w:pStyle w:val="TableContents"/>
              <w:spacing w:before="0" w:after="283"/>
              <w:rPr>
                <w:rFonts w:ascii="arial" w:hAnsi="arial"/>
                <w:position w:val="7"/>
                <w:sz w:val="16"/>
                <w:sz w:val="20"/>
              </w:rPr>
            </w:pPr>
            <w:r>
              <w:rPr>
                <w:rFonts w:ascii="arial" w:hAnsi="arial"/>
                <w:position w:val="7"/>
                <w:sz w:val="16"/>
                <w:sz w:val="20"/>
              </w:rPr>
              <w:t>(1)</w:t>
            </w:r>
          </w:p>
        </w:tc>
        <w:tc>
          <w:tcPr>
            <w:tcW w:w="24" w:type="dxa"/>
            <w:tcBorders/>
            <w:shd w:fill="CCEEFF" w:val="clear"/>
            <w:vAlign w:val="bottom"/>
          </w:tcPr>
          <w:p>
            <w:pPr>
              <w:pStyle w:val="TableContents"/>
              <w:spacing w:before="0" w:after="283"/>
              <w:rPr>
                <w:position w:val="8"/>
                <w:sz w:val="19"/>
              </w:rPr>
            </w:pPr>
            <w:r>
              <w:rPr>
                <w:position w:val="8"/>
                <w:sz w:val="19"/>
              </w:rPr>
              <w:t>​</w:t>
            </w:r>
          </w:p>
        </w:tc>
        <w:tc>
          <w:tcPr>
            <w:tcW w:w="240" w:type="dxa"/>
            <w:tcBorders/>
            <w:shd w:fill="CCEEFF" w:val="clear"/>
            <w:vAlign w:val="bottom"/>
          </w:tcPr>
          <w:p>
            <w:pPr>
              <w:pStyle w:val="TableContents"/>
              <w:spacing w:before="0" w:after="283"/>
              <w:rPr/>
            </w:pPr>
            <w:r>
              <w:rPr/>
              <w:t>​</w:t>
            </w:r>
          </w:p>
        </w:tc>
        <w:tc>
          <w:tcPr>
            <w:tcW w:w="605"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12,600</w:t>
            </w:r>
          </w:p>
        </w:tc>
        <w:tc>
          <w:tcPr>
            <w:tcW w:w="23" w:type="dxa"/>
            <w:tcBorders/>
            <w:shd w:fill="CCEEFF" w:val="clear"/>
            <w:vAlign w:val="bottom"/>
          </w:tcPr>
          <w:p>
            <w:pPr>
              <w:pStyle w:val="TableContents"/>
              <w:spacing w:before="0" w:after="283"/>
              <w:rPr/>
            </w:pPr>
            <w:r>
              <w:rPr/>
              <w:t>​</w:t>
            </w:r>
          </w:p>
        </w:tc>
        <w:tc>
          <w:tcPr>
            <w:tcW w:w="23" w:type="dxa"/>
            <w:tcBorders/>
            <w:shd w:fill="CCEEFF" w:val="clear"/>
            <w:vAlign w:val="bottom"/>
          </w:tcPr>
          <w:p>
            <w:pPr>
              <w:pStyle w:val="TableContents"/>
              <w:spacing w:before="0" w:after="283"/>
              <w:rPr/>
            </w:pPr>
            <w:r>
              <w:rPr/>
              <w:t>​</w:t>
            </w:r>
          </w:p>
        </w:tc>
        <w:tc>
          <w:tcPr>
            <w:tcW w:w="240" w:type="dxa"/>
            <w:tcBorders/>
            <w:shd w:fill="CCEEFF" w:val="clear"/>
            <w:vAlign w:val="bottom"/>
          </w:tcPr>
          <w:p>
            <w:pPr>
              <w:pStyle w:val="TableContents"/>
              <w:spacing w:before="0" w:after="283"/>
              <w:rPr/>
            </w:pPr>
            <w:r>
              <w:rPr/>
              <w:t>​</w:t>
            </w:r>
          </w:p>
        </w:tc>
        <w:tc>
          <w:tcPr>
            <w:tcW w:w="605"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12,599</w:t>
            </w:r>
          </w:p>
        </w:tc>
        <w:tc>
          <w:tcPr>
            <w:tcW w:w="80" w:type="dxa"/>
            <w:tcBorders/>
            <w:shd w:fill="CCEEFF" w:val="clear"/>
            <w:vAlign w:val="bottom"/>
          </w:tcPr>
          <w:p>
            <w:pPr>
              <w:pStyle w:val="TableContents"/>
              <w:spacing w:before="0" w:after="283"/>
              <w:rPr/>
            </w:pPr>
            <w:r>
              <w:rPr/>
              <w:t>​</w:t>
            </w:r>
          </w:p>
        </w:tc>
        <w:tc>
          <w:tcPr>
            <w:tcW w:w="24" w:type="dxa"/>
            <w:tcBorders/>
            <w:shd w:fill="CCEEFF" w:val="clear"/>
            <w:vAlign w:val="bottom"/>
          </w:tcPr>
          <w:p>
            <w:pPr>
              <w:pStyle w:val="TableContents"/>
              <w:spacing w:before="0" w:after="283"/>
              <w:rPr/>
            </w:pPr>
            <w:r>
              <w:rPr/>
              <w:t>​</w:t>
            </w:r>
          </w:p>
        </w:tc>
      </w:tr>
      <w:tr>
        <w:trPr/>
        <w:tc>
          <w:tcPr>
            <w:tcW w:w="7228" w:type="dxa"/>
            <w:tcBorders/>
            <w:shd w:fill="auto" w:val="clear"/>
            <w:vAlign w:val="bottom"/>
          </w:tcPr>
          <w:p>
            <w:pPr>
              <w:pStyle w:val="TableContents"/>
              <w:spacing w:before="0" w:after="283"/>
              <w:ind w:left="200" w:right="0" w:hanging="200"/>
              <w:rPr>
                <w:rFonts w:ascii="arial" w:hAnsi="arial"/>
                <w:sz w:val="20"/>
              </w:rPr>
            </w:pPr>
            <w:r>
              <w:rPr>
                <w:rFonts w:ascii="arial" w:hAnsi="arial"/>
                <w:sz w:val="20"/>
              </w:rPr>
              <w:t>Michelle D. Esterman</w:t>
            </w:r>
          </w:p>
        </w:tc>
        <w:tc>
          <w:tcPr>
            <w:tcW w:w="23" w:type="dxa"/>
            <w:tcBorders/>
            <w:shd w:fill="auto" w:val="clear"/>
            <w:vAlign w:val="bottom"/>
          </w:tcPr>
          <w:p>
            <w:pPr>
              <w:pStyle w:val="TableContents"/>
              <w:spacing w:before="0" w:after="283"/>
              <w:rPr/>
            </w:pPr>
            <w:r>
              <w:rPr/>
              <w:t>​</w:t>
            </w:r>
          </w:p>
        </w:tc>
        <w:tc>
          <w:tcPr>
            <w:tcW w:w="105" w:type="dxa"/>
            <w:tcBorders/>
            <w:shd w:fill="auto" w:val="clear"/>
            <w:vAlign w:val="bottom"/>
          </w:tcPr>
          <w:p>
            <w:pPr>
              <w:pStyle w:val="TableContents"/>
              <w:spacing w:before="0" w:after="283"/>
              <w:rPr/>
            </w:pPr>
            <w:r>
              <w:rPr/>
              <w:t>​</w:t>
            </w:r>
          </w:p>
        </w:tc>
        <w:tc>
          <w:tcPr>
            <w:tcW w:w="815" w:type="dxa"/>
            <w:gridSpan w:val="2"/>
            <w:tcBorders/>
            <w:shd w:fill="auto" w:val="clear"/>
            <w:vAlign w:val="bottom"/>
          </w:tcPr>
          <w:p>
            <w:pPr>
              <w:pStyle w:val="TableContents"/>
              <w:spacing w:before="0" w:after="283"/>
              <w:jc w:val="right"/>
              <w:rPr>
                <w:rFonts w:ascii="arial" w:hAnsi="arial"/>
                <w:sz w:val="20"/>
              </w:rPr>
            </w:pPr>
            <w:r>
              <w:rPr>
                <w:rFonts w:ascii="arial" w:hAnsi="arial"/>
                <w:sz w:val="20"/>
              </w:rPr>
              <w:t>$280,000</w:t>
            </w:r>
          </w:p>
        </w:tc>
        <w:tc>
          <w:tcPr>
            <w:tcW w:w="170"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c>
          <w:tcPr>
            <w:tcW w:w="240" w:type="dxa"/>
            <w:tcBorders/>
            <w:shd w:fill="auto" w:val="clear"/>
            <w:vAlign w:val="bottom"/>
          </w:tcPr>
          <w:p>
            <w:pPr>
              <w:pStyle w:val="TableContents"/>
              <w:spacing w:before="0" w:after="283"/>
              <w:rPr/>
            </w:pPr>
            <w:r>
              <w:rPr/>
              <w:t>​</w:t>
            </w:r>
          </w:p>
        </w:tc>
        <w:tc>
          <w:tcPr>
            <w:tcW w:w="605" w:type="dxa"/>
            <w:gridSpan w:val="2"/>
            <w:tcBorders/>
            <w:shd w:fill="auto" w:val="clear"/>
            <w:vAlign w:val="bottom"/>
          </w:tcPr>
          <w:p>
            <w:pPr>
              <w:pStyle w:val="TableContents"/>
              <w:spacing w:before="0" w:after="283"/>
              <w:jc w:val="right"/>
              <w:rPr>
                <w:rFonts w:ascii="arial" w:hAnsi="arial"/>
                <w:sz w:val="20"/>
              </w:rPr>
            </w:pPr>
            <w:r>
              <w:rPr>
                <w:rFonts w:ascii="arial" w:hAnsi="arial"/>
                <w:sz w:val="20"/>
              </w:rPr>
              <w:t>9,334</w:t>
            </w:r>
          </w:p>
        </w:tc>
        <w:tc>
          <w:tcPr>
            <w:tcW w:w="2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240" w:type="dxa"/>
            <w:tcBorders/>
            <w:shd w:fill="auto" w:val="clear"/>
            <w:vAlign w:val="bottom"/>
          </w:tcPr>
          <w:p>
            <w:pPr>
              <w:pStyle w:val="TableContents"/>
              <w:spacing w:before="0" w:after="283"/>
              <w:rPr/>
            </w:pPr>
            <w:r>
              <w:rPr/>
              <w:t>​</w:t>
            </w:r>
          </w:p>
        </w:tc>
        <w:tc>
          <w:tcPr>
            <w:tcW w:w="605" w:type="dxa"/>
            <w:gridSpan w:val="2"/>
            <w:tcBorders/>
            <w:shd w:fill="auto" w:val="clear"/>
            <w:vAlign w:val="bottom"/>
          </w:tcPr>
          <w:p>
            <w:pPr>
              <w:pStyle w:val="TableContents"/>
              <w:spacing w:before="0" w:after="283"/>
              <w:jc w:val="right"/>
              <w:rPr>
                <w:rFonts w:ascii="arial" w:hAnsi="arial"/>
                <w:sz w:val="20"/>
              </w:rPr>
            </w:pPr>
            <w:r>
              <w:rPr>
                <w:rFonts w:ascii="arial" w:hAnsi="arial"/>
                <w:sz w:val="20"/>
              </w:rPr>
              <w:t>9,333</w:t>
            </w:r>
          </w:p>
        </w:tc>
        <w:tc>
          <w:tcPr>
            <w:tcW w:w="80"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7228" w:type="dxa"/>
            <w:tcBorders/>
            <w:shd w:fill="CCEEFF" w:val="clear"/>
            <w:vAlign w:val="bottom"/>
          </w:tcPr>
          <w:p>
            <w:pPr>
              <w:pStyle w:val="TableContents"/>
              <w:spacing w:before="0" w:after="283"/>
              <w:ind w:left="200" w:right="0" w:hanging="200"/>
              <w:rPr>
                <w:rFonts w:ascii="arial" w:hAnsi="arial"/>
                <w:sz w:val="20"/>
              </w:rPr>
            </w:pPr>
            <w:r>
              <w:rPr>
                <w:rFonts w:ascii="arial" w:hAnsi="arial"/>
                <w:sz w:val="20"/>
              </w:rPr>
              <w:t>Gregory J. Ritts</w:t>
            </w:r>
          </w:p>
        </w:tc>
        <w:tc>
          <w:tcPr>
            <w:tcW w:w="23" w:type="dxa"/>
            <w:tcBorders/>
            <w:shd w:fill="CCEEFF" w:val="clear"/>
            <w:vAlign w:val="bottom"/>
          </w:tcPr>
          <w:p>
            <w:pPr>
              <w:pStyle w:val="TableContents"/>
              <w:spacing w:before="0" w:after="283"/>
              <w:rPr/>
            </w:pPr>
            <w:r>
              <w:rPr/>
              <w:t>​</w:t>
            </w:r>
          </w:p>
        </w:tc>
        <w:tc>
          <w:tcPr>
            <w:tcW w:w="105" w:type="dxa"/>
            <w:tcBorders/>
            <w:shd w:fill="CCEEFF" w:val="clear"/>
            <w:vAlign w:val="bottom"/>
          </w:tcPr>
          <w:p>
            <w:pPr>
              <w:pStyle w:val="TableContents"/>
              <w:spacing w:before="0" w:after="283"/>
              <w:rPr/>
            </w:pPr>
            <w:r>
              <w:rPr/>
              <w:t>​</w:t>
            </w:r>
          </w:p>
        </w:tc>
        <w:tc>
          <w:tcPr>
            <w:tcW w:w="815"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$246,000</w:t>
            </w:r>
          </w:p>
        </w:tc>
        <w:tc>
          <w:tcPr>
            <w:tcW w:w="170" w:type="dxa"/>
            <w:tcBorders/>
            <w:shd w:fill="CCEEFF" w:val="clear"/>
            <w:vAlign w:val="bottom"/>
          </w:tcPr>
          <w:p>
            <w:pPr>
              <w:pStyle w:val="TableContents"/>
              <w:spacing w:before="0" w:after="283"/>
              <w:rPr/>
            </w:pPr>
            <w:r>
              <w:rPr/>
              <w:t>​</w:t>
            </w:r>
          </w:p>
        </w:tc>
        <w:tc>
          <w:tcPr>
            <w:tcW w:w="24" w:type="dxa"/>
            <w:tcBorders/>
            <w:shd w:fill="CCEEFF" w:val="clear"/>
            <w:vAlign w:val="bottom"/>
          </w:tcPr>
          <w:p>
            <w:pPr>
              <w:pStyle w:val="TableContents"/>
              <w:spacing w:before="0" w:after="283"/>
              <w:rPr/>
            </w:pPr>
            <w:r>
              <w:rPr/>
              <w:t>​</w:t>
            </w:r>
          </w:p>
        </w:tc>
        <w:tc>
          <w:tcPr>
            <w:tcW w:w="240" w:type="dxa"/>
            <w:tcBorders/>
            <w:shd w:fill="CCEEFF" w:val="clear"/>
            <w:vAlign w:val="bottom"/>
          </w:tcPr>
          <w:p>
            <w:pPr>
              <w:pStyle w:val="TableContents"/>
              <w:spacing w:before="0" w:after="283"/>
              <w:rPr/>
            </w:pPr>
            <w:r>
              <w:rPr/>
              <w:t>​</w:t>
            </w:r>
          </w:p>
        </w:tc>
        <w:tc>
          <w:tcPr>
            <w:tcW w:w="605"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8,200</w:t>
            </w:r>
          </w:p>
        </w:tc>
        <w:tc>
          <w:tcPr>
            <w:tcW w:w="23" w:type="dxa"/>
            <w:tcBorders/>
            <w:shd w:fill="CCEEFF" w:val="clear"/>
            <w:vAlign w:val="bottom"/>
          </w:tcPr>
          <w:p>
            <w:pPr>
              <w:pStyle w:val="TableContents"/>
              <w:spacing w:before="0" w:after="283"/>
              <w:rPr/>
            </w:pPr>
            <w:r>
              <w:rPr/>
              <w:t>​</w:t>
            </w:r>
          </w:p>
        </w:tc>
        <w:tc>
          <w:tcPr>
            <w:tcW w:w="23" w:type="dxa"/>
            <w:tcBorders/>
            <w:shd w:fill="CCEEFF" w:val="clear"/>
            <w:vAlign w:val="bottom"/>
          </w:tcPr>
          <w:p>
            <w:pPr>
              <w:pStyle w:val="TableContents"/>
              <w:spacing w:before="0" w:after="283"/>
              <w:rPr/>
            </w:pPr>
            <w:r>
              <w:rPr/>
              <w:t>​</w:t>
            </w:r>
          </w:p>
        </w:tc>
        <w:tc>
          <w:tcPr>
            <w:tcW w:w="240" w:type="dxa"/>
            <w:tcBorders/>
            <w:shd w:fill="CCEEFF" w:val="clear"/>
            <w:vAlign w:val="bottom"/>
          </w:tcPr>
          <w:p>
            <w:pPr>
              <w:pStyle w:val="TableContents"/>
              <w:spacing w:before="0" w:after="283"/>
              <w:rPr/>
            </w:pPr>
            <w:r>
              <w:rPr/>
              <w:t>​</w:t>
            </w:r>
          </w:p>
        </w:tc>
        <w:tc>
          <w:tcPr>
            <w:tcW w:w="605"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8,200</w:t>
            </w:r>
          </w:p>
        </w:tc>
        <w:tc>
          <w:tcPr>
            <w:tcW w:w="80" w:type="dxa"/>
            <w:tcBorders/>
            <w:shd w:fill="CCEEFF" w:val="clear"/>
            <w:vAlign w:val="bottom"/>
          </w:tcPr>
          <w:p>
            <w:pPr>
              <w:pStyle w:val="TableContents"/>
              <w:spacing w:before="0" w:after="283"/>
              <w:rPr/>
            </w:pPr>
            <w:r>
              <w:rPr/>
              <w:t>​</w:t>
            </w:r>
          </w:p>
        </w:tc>
        <w:tc>
          <w:tcPr>
            <w:tcW w:w="24" w:type="dxa"/>
            <w:tcBorders/>
            <w:shd w:fill="CCEEFF" w:val="clear"/>
            <w:vAlign w:val="bottom"/>
          </w:tcPr>
          <w:p>
            <w:pPr>
              <w:pStyle w:val="TableContents"/>
              <w:spacing w:before="0" w:after="283"/>
              <w:rPr/>
            </w:pPr>
            <w:r>
              <w:rPr/>
              <w:t>​</w:t>
            </w:r>
          </w:p>
        </w:tc>
      </w:tr>
    </w:tbl>
    <w:p>
      <w:pPr>
        <w:pStyle w:val="ListHeading"/>
        <w:spacing w:before="0" w:after="0"/>
        <w:jc w:val="left"/>
        <w:rPr>
          <w:rFonts w:ascii="arial" w:hAnsi="arial"/>
          <w:position w:val="7"/>
          <w:sz w:val="16"/>
          <w:sz w:val="20"/>
        </w:rPr>
      </w:pPr>
      <w:r>
        <w:rPr>
          <w:rFonts w:ascii="arial" w:hAnsi="arial"/>
          <w:position w:val="7"/>
          <w:sz w:val="16"/>
          <w:sz w:val="20"/>
        </w:rPr>
        <w:t>(1)</w:t>
      </w:r>
    </w:p>
    <w:p>
      <w:pPr>
        <w:pStyle w:val="ListContents"/>
        <w:spacing w:before="0" w:after="283"/>
        <w:jc w:val="left"/>
        <w:rPr>
          <w:rFonts w:ascii="arial" w:hAnsi="arial"/>
          <w:sz w:val="20"/>
        </w:rPr>
      </w:pPr>
      <w:r>
        <w:rPr>
          <w:rFonts w:ascii="arial" w:hAnsi="arial"/>
          <w:sz w:val="20"/>
        </w:rPr>
        <w:t xml:space="preserve">Mr. Shepro volunteered, and the Compensation Committee accepted, to reduce his 2021 LTIP from 100% to 30% of his target annual incentive pay </w:t>
      </w:r>
    </w:p>
    <w:p>
      <w:pPr>
        <w:pStyle w:val="TextBody"/>
        <w:ind w:left="200" w:right="0" w:hanging="200"/>
        <w:rPr>
          <w:rFonts w:ascii="arial" w:hAnsi="arial"/>
          <w:sz w:val="20"/>
        </w:rPr>
      </w:pPr>
      <w:r>
        <w:rPr>
          <w:rFonts w:ascii="arial" w:hAnsi="arial"/>
          <w:sz w:val="20"/>
          <w:u w:val="single"/>
        </w:rPr>
        <w:t>Other 2020 Equity Awards</w:t>
      </w:r>
      <w:r>
        <w:rPr>
          <w:rFonts w:ascii="arial" w:hAnsi="arial"/>
          <w:sz w:val="20"/>
        </w:rPr>
        <w:t xml:space="preserve"> </w:t>
      </w:r>
    </w:p>
    <w:p>
      <w:pPr>
        <w:pStyle w:val="TextBody"/>
        <w:rPr>
          <w:rFonts w:ascii="arial" w:hAnsi="arial"/>
          <w:sz w:val="20"/>
        </w:rPr>
      </w:pPr>
      <w:r>
        <w:rPr>
          <w:rFonts w:ascii="arial" w:hAnsi="arial"/>
          <w:sz w:val="20"/>
        </w:rPr>
        <w:t xml:space="preserve">The Compensation Committee approved an equity award for each Named Executive Officer (other than the Chief Administration and Risk Officer, whose employment ended in April 2020) in the last quarter of 2020. The awards were intended to support retention by providing the Named Executive Officers with the potential to earn RSUs primarily based upon the significant appreciation in Altisource's share price with a smaller component time based. This grant was intended to help further align the interests of the Named Executive Officers with the interests of the shareholders and other stakeholders. </w:t>
      </w:r>
    </w:p>
    <w:p>
      <w:pPr>
        <w:pStyle w:val="TextBody"/>
        <w:rPr>
          <w:rFonts w:ascii="arial" w:hAnsi="arial"/>
          <w:sz w:val="20"/>
        </w:rPr>
      </w:pPr>
      <w:r>
        <w:rPr>
          <w:rFonts w:ascii="arial" w:hAnsi="arial"/>
          <w:sz w:val="20"/>
        </w:rPr>
        <w:t>20% of each award consists of time-based RSUs, with the remainder of each award linked to appreciation in the average closing price of Altisource's common stock as detailed below:</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spacing w:before="0" w:after="283"/>
        <w:ind w:left="1274" w:right="0" w:hanging="0"/>
        <w:rPr>
          <w:rFonts w:ascii="arial" w:hAnsi="arial"/>
          <w:sz w:val="20"/>
        </w:rPr>
      </w:pPr>
      <w:r>
        <w:rPr>
          <w:rFonts w:ascii="arial" w:hAnsi="arial"/>
          <w:sz w:val="20"/>
        </w:rPr>
        <w:t xml:space="preserve">10% of the award will begin to vest once the average closing price of Altisource's common stock is at or above $20 per share over a period of 30 calendar days (55% above the closing price of Altisource's common stock as on the grant date)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spacing w:before="0" w:after="283"/>
        <w:ind w:left="1274" w:right="0" w:hanging="0"/>
        <w:rPr>
          <w:rFonts w:ascii="arial" w:hAnsi="arial"/>
          <w:sz w:val="20"/>
        </w:rPr>
      </w:pPr>
      <w:r>
        <w:rPr>
          <w:rFonts w:ascii="arial" w:hAnsi="arial"/>
          <w:sz w:val="20"/>
        </w:rPr>
        <w:t xml:space="preserve">30% of the award will begin to vest once the average closing price of Altisource's common stock is at or above $25 per share over a period of 30 calendar days (93% above the closing price of Altisource's common stock as on the grant date) </w:t>
      </w:r>
    </w:p>
    <w:p>
      <w:pPr>
        <w:pStyle w:val="ListHeading"/>
        <w:numPr>
          <w:ilvl w:val="0"/>
          <w:numId w:val="0"/>
        </w:numPr>
        <w:spacing w:before="0" w:after="0"/>
        <w:ind w:left="707" w:right="0" w:hanging="0"/>
        <w:rPr>
          <w:rFonts w:ascii="arial" w:hAnsi="arial"/>
          <w:sz w:val="20"/>
        </w:rPr>
      </w:pPr>
      <w:r>
        <w:rPr>
          <w:rFonts w:ascii="arial" w:hAnsi="arial"/>
          <w:sz w:val="20"/>
        </w:rPr>
        <w:t></w:t>
      </w:r>
    </w:p>
    <w:p>
      <w:pPr>
        <w:pStyle w:val="ListContents"/>
        <w:numPr>
          <w:ilvl w:val="0"/>
          <w:numId w:val="0"/>
        </w:numPr>
        <w:spacing w:before="0" w:after="283"/>
        <w:ind w:left="1274" w:right="0" w:hanging="0"/>
        <w:rPr>
          <w:rFonts w:ascii="arial" w:hAnsi="arial"/>
          <w:sz w:val="20"/>
        </w:rPr>
      </w:pPr>
      <w:r>
        <w:rPr>
          <w:rFonts w:ascii="arial" w:hAnsi="arial"/>
          <w:sz w:val="20"/>
        </w:rPr>
        <w:t xml:space="preserve">40% of the award will begin to vest once the average closing price of Altisource's common stock is at or above $35 per share over a period of 30 calendar days (171% above the closing price of Altisource's common stock as on the grant date) </w:t>
      </w:r>
    </w:p>
    <w:p>
      <w:pPr>
        <w:pStyle w:val="TextBody"/>
        <w:jc w:val="center"/>
        <w:rPr>
          <w:rFonts w:ascii="arial" w:hAnsi="arial"/>
          <w:sz w:val="20"/>
        </w:rPr>
      </w:pPr>
      <w:r>
        <w:rPr>
          <w:rFonts w:ascii="arial" w:hAnsi="arial"/>
          <w:sz w:val="20"/>
        </w:rPr>
        <w:t>51</w:t>
      </w:r>
    </w:p>
    <w:p>
      <w:pPr>
        <w:pStyle w:val="HorizontalLine"/>
        <w:pBdr>
          <w:bottom w:val="single" w:sz="20" w:space="0" w:color="808080"/>
        </w:pBdr>
        <w:rPr/>
      </w:pPr>
      <w:r>
        <w:rPr/>
      </w:r>
      <w:r>
        <w:br w:type="page"/>
      </w:r>
    </w:p>
    <w:p>
      <w:pPr>
        <w:pStyle w:val="TextBody"/>
        <w:rPr/>
      </w:pPr>
      <w:hyperlink w:anchor="bg45301a_main_toc">
        <w:bookmarkStart w:id="99" w:name="page_ds45301_1_52"/>
        <w:bookmarkEnd w:id="99"/>
        <w:r>
          <w:rPr>
            <w:rStyle w:val="InternetLink"/>
            <w:rFonts w:ascii="arial" w:hAnsi="arial"/>
            <w:sz w:val="20"/>
          </w:rPr>
          <w:t>Table of Contents</w:t>
        </w:r>
      </w:hyperlink>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3367"/>
        <w:gridCol w:w="101"/>
        <w:gridCol w:w="6737"/>
      </w:tblGrid>
      <w:tr>
        <w:trPr/>
        <w:tc>
          <w:tcPr>
            <w:tcW w:w="3367" w:type="dxa"/>
            <w:tcBorders/>
            <w:shd w:fill="auto" w:val="clear"/>
            <w:vAlign w:val="center"/>
          </w:tcPr>
          <w:p>
            <w:pPr>
              <w:pStyle w:val="TableContents"/>
              <w:spacing w:before="0" w:after="283"/>
              <w:rPr/>
            </w:pPr>
            <w:r>
              <w:rPr/>
              <w:commentReference w:id="190"/>
            </w:r>
            <w:r>
              <w:rPr/>
              <w:commentReference w:id="191"/>
            </w:r>
            <w:r>
              <w:rPr/>
              <w:commentReference w:id="192"/>
            </w:r>
            <w:r>
              <w:rPr/>
              <w:t>​</w:t>
            </w:r>
          </w:p>
        </w:tc>
        <w:tc>
          <w:tcPr>
            <w:tcW w:w="101" w:type="dxa"/>
            <w:tcBorders/>
            <w:shd w:fill="auto" w:val="clear"/>
            <w:vAlign w:val="center"/>
          </w:tcPr>
          <w:p>
            <w:pPr>
              <w:pStyle w:val="TableContents"/>
              <w:spacing w:before="0" w:after="283"/>
              <w:rPr/>
            </w:pPr>
            <w:r>
              <w:rPr/>
              <w:t>​</w:t>
            </w:r>
          </w:p>
        </w:tc>
        <w:tc>
          <w:tcPr>
            <w:tcW w:w="6737" w:type="dxa"/>
            <w:tcBorders/>
            <w:shd w:fill="auto" w:val="clear"/>
            <w:vAlign w:val="center"/>
          </w:tcPr>
          <w:p>
            <w:pPr>
              <w:pStyle w:val="TableContents"/>
              <w:spacing w:before="0" w:after="283"/>
              <w:rPr/>
            </w:pPr>
            <w:r>
              <w:rPr/>
              <w:t>​</w:t>
            </w:r>
            <w:r>
              <w:rPr>
                <w:rFonts w:eastAsia="arial" w:cs="arial" w:ascii="arial" w:hAnsi="arial"/>
              </w:rPr>
              <w:commentReference w:id="193"/>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drawing>
                <wp:inline distT="0" distB="0" distL="0" distR="0">
                  <wp:extent cx="2943225" cy="1809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embed="rId86"/>
                          <a:stretch>
                            <a:fillRect/>
                          </a:stretch>
                        </pic:blipFill>
                        <pic:spPr bwMode="auto">
                          <a:xfrm>
                            <a:off x="0" y="0"/>
                            <a:ext cx="2943225" cy="180975"/>
                          </a:xfrm>
                          <a:prstGeom prst="rect">
                            <a:avLst/>
                          </a:prstGeom>
                        </pic:spPr>
                      </pic:pic>
                    </a:graphicData>
                  </a:graphic>
                </wp:inline>
              </w:drawing>
            </w:r>
            <w:r>
              <w:rPr/>
              <w:t xml:space="preserve"> </w:t>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t> </w:t>
            </w:r>
          </w:p>
        </w:tc>
      </w:tr>
    </w:tbl>
    <w:p>
      <w:pPr>
        <w:pStyle w:val="TextBody"/>
        <w:rPr/>
      </w:pPr>
      <w:r>
        <w:rPr>
          <w:color w:val="000000"/>
        </w:rPr>
        <w:commentReference w:id="194"/>
      </w:r>
      <w:r>
        <w:rPr>
          <w:color w:val="000000"/>
        </w:rPr>
        <w:t>​</w:t>
      </w:r>
      <w:r>
        <w:rPr/>
        <w:t xml:space="preserve"> </w:t>
      </w:r>
    </w:p>
    <w:p>
      <w:pPr>
        <w:pStyle w:val="TextBody"/>
        <w:ind w:left="200" w:right="0" w:hanging="200"/>
        <w:rPr>
          <w:rFonts w:ascii="arial" w:hAnsi="arial"/>
          <w:sz w:val="20"/>
        </w:rPr>
      </w:pPr>
      <w:r>
        <w:rPr>
          <w:rFonts w:ascii="arial" w:hAnsi="arial"/>
          <w:sz w:val="20"/>
          <w:u w:val="single"/>
        </w:rPr>
        <w:t>Award Details:</w:t>
      </w:r>
      <w:r>
        <w:rPr>
          <w:rFonts w:ascii="arial" w:hAnsi="arial"/>
          <w:sz w:val="20"/>
        </w:rPr>
        <w:t xml:space="preserve"> </w:t>
      </w:r>
    </w:p>
    <w:tbl>
      <w:tblPr>
        <w:tblW w:w="5000" w:type="pct"/>
        <w:jc w:val="center"/>
        <w:tblInd w:w="0" w:type="dxa"/>
        <w:tblCellMar>
          <w:top w:w="0" w:type="dxa"/>
          <w:left w:w="0" w:type="dxa"/>
          <w:bottom w:w="0" w:type="dxa"/>
          <w:right w:w="0" w:type="dxa"/>
        </w:tblCellMar>
      </w:tblPr>
      <w:tblGrid>
        <w:gridCol w:w="9203"/>
        <w:gridCol w:w="23"/>
        <w:gridCol w:w="225"/>
        <w:gridCol w:w="121"/>
        <w:gridCol w:w="484"/>
        <w:gridCol w:w="125"/>
        <w:gridCol w:w="24"/>
      </w:tblGrid>
      <w:tr>
        <w:trPr/>
        <w:tc>
          <w:tcPr>
            <w:tcW w:w="920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4" w:type="dxa"/>
            <w:tcBorders/>
            <w:shd w:fill="auto" w:val="clear"/>
            <w:vAlign w:val="center"/>
          </w:tcPr>
          <w:p>
            <w:pPr>
              <w:pStyle w:val="TableContents"/>
              <w:spacing w:before="0" w:after="283"/>
              <w:rPr>
                <w:sz w:val="4"/>
                <w:szCs w:val="4"/>
              </w:rPr>
            </w:pPr>
            <w:r>
              <w:rPr>
                <w:sz w:val="4"/>
                <w:szCs w:val="4"/>
              </w:rPr>
            </w:r>
          </w:p>
        </w:tc>
      </w:tr>
      <w:tr>
        <w:trPr/>
        <w:tc>
          <w:tcPr>
            <w:tcW w:w="9203" w:type="dxa"/>
            <w:tcBorders>
              <w:bottom w:val="single" w:sz="8" w:space="0" w:color="000000"/>
            </w:tcBorders>
            <w:shd w:fill="auto" w:val="clear"/>
            <w:tcMar>
              <w:bottom w:w="28" w:type="dxa"/>
            </w:tcMar>
            <w:vAlign w:val="bottom"/>
          </w:tcPr>
          <w:p>
            <w:pPr>
              <w:pStyle w:val="TableHeading"/>
              <w:spacing w:before="0" w:after="283"/>
              <w:jc w:val="center"/>
              <w:rPr>
                <w:rFonts w:ascii="arial" w:hAnsi="arial"/>
                <w:b/>
                <w:sz w:val="20"/>
              </w:rPr>
            </w:pPr>
            <w:r>
              <w:rPr>
                <w:rFonts w:ascii="arial" w:hAnsi="arial"/>
                <w:b/>
                <w:sz w:val="20"/>
              </w:rPr>
              <w:t xml:space="preserve">Name </w:t>
            </w:r>
          </w:p>
        </w:tc>
        <w:tc>
          <w:tcPr>
            <w:tcW w:w="23" w:type="dxa"/>
            <w:tcBorders/>
            <w:shd w:fill="auto" w:val="clear"/>
            <w:vAlign w:val="bottom"/>
          </w:tcPr>
          <w:p>
            <w:pPr>
              <w:pStyle w:val="TableHeading"/>
              <w:suppressLineNumbers/>
              <w:spacing w:before="0" w:after="283"/>
              <w:jc w:val="center"/>
              <w:rPr/>
            </w:pPr>
            <w:r>
              <w:rPr/>
              <w:t>​</w:t>
            </w:r>
          </w:p>
        </w:tc>
        <w:tc>
          <w:tcPr>
            <w:tcW w:w="955" w:type="dxa"/>
            <w:gridSpan w:val="4"/>
            <w:tcBorders>
              <w:bottom w:val="single" w:sz="8" w:space="0" w:color="000000"/>
            </w:tcBorders>
            <w:shd w:fill="auto" w:val="clear"/>
            <w:tcMar>
              <w:bottom w:w="28" w:type="dxa"/>
            </w:tcMar>
            <w:vAlign w:val="bottom"/>
          </w:tcPr>
          <w:p>
            <w:pPr>
              <w:pStyle w:val="TableHeading"/>
              <w:spacing w:before="0" w:after="283"/>
              <w:jc w:val="center"/>
              <w:rPr>
                <w:rFonts w:ascii="arial" w:hAnsi="arial"/>
                <w:b/>
                <w:sz w:val="20"/>
              </w:rPr>
            </w:pPr>
            <w:r>
              <w:rPr>
                <w:rFonts w:ascii="arial" w:hAnsi="arial"/>
                <w:b/>
                <w:sz w:val="20"/>
              </w:rPr>
              <w:t xml:space="preserve">RSUs Granted </w:t>
            </w:r>
          </w:p>
        </w:tc>
        <w:tc>
          <w:tcPr>
            <w:tcW w:w="24" w:type="dxa"/>
            <w:tcBorders/>
            <w:shd w:fill="auto" w:val="clear"/>
            <w:vAlign w:val="bottom"/>
          </w:tcPr>
          <w:p>
            <w:pPr>
              <w:pStyle w:val="TableHeading"/>
              <w:suppressLineNumbers/>
              <w:spacing w:before="0" w:after="283"/>
              <w:jc w:val="center"/>
              <w:rPr/>
            </w:pPr>
            <w:r>
              <w:rPr/>
              <w:t>​</w:t>
            </w:r>
          </w:p>
        </w:tc>
      </w:tr>
      <w:tr>
        <w:trPr/>
        <w:tc>
          <w:tcPr>
            <w:tcW w:w="9203" w:type="dxa"/>
            <w:tcBorders/>
            <w:shd w:fill="CCEEFF" w:val="clear"/>
            <w:vAlign w:val="bottom"/>
          </w:tcPr>
          <w:p>
            <w:pPr>
              <w:pStyle w:val="TableContents"/>
              <w:spacing w:before="0" w:after="283"/>
              <w:ind w:left="200" w:right="0" w:hanging="200"/>
              <w:rPr>
                <w:rFonts w:ascii="arial" w:hAnsi="arial"/>
                <w:sz w:val="20"/>
              </w:rPr>
            </w:pPr>
            <w:r>
              <w:rPr>
                <w:rFonts w:ascii="arial" w:hAnsi="arial"/>
                <w:sz w:val="20"/>
              </w:rPr>
              <w:t>William B. Shepro</w:t>
            </w:r>
          </w:p>
        </w:tc>
        <w:tc>
          <w:tcPr>
            <w:tcW w:w="23" w:type="dxa"/>
            <w:tcBorders/>
            <w:shd w:fill="CCEEFF" w:val="clear"/>
            <w:vAlign w:val="bottom"/>
          </w:tcPr>
          <w:p>
            <w:pPr>
              <w:pStyle w:val="TableContents"/>
              <w:spacing w:before="0" w:after="283"/>
              <w:rPr/>
            </w:pPr>
            <w:r>
              <w:rPr/>
              <w:t>​</w:t>
            </w:r>
          </w:p>
        </w:tc>
        <w:tc>
          <w:tcPr>
            <w:tcW w:w="225" w:type="dxa"/>
            <w:tcBorders/>
            <w:shd w:fill="CCEEFF" w:val="clear"/>
            <w:vAlign w:val="bottom"/>
          </w:tcPr>
          <w:p>
            <w:pPr>
              <w:pStyle w:val="TableContents"/>
              <w:spacing w:before="0" w:after="283"/>
              <w:rPr/>
            </w:pPr>
            <w:r>
              <w:rPr/>
              <w:t>​</w:t>
            </w:r>
          </w:p>
        </w:tc>
        <w:tc>
          <w:tcPr>
            <w:tcW w:w="605"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50,000</w:t>
            </w:r>
          </w:p>
        </w:tc>
        <w:tc>
          <w:tcPr>
            <w:tcW w:w="125" w:type="dxa"/>
            <w:tcBorders/>
            <w:shd w:fill="CCEEFF" w:val="clear"/>
            <w:vAlign w:val="bottom"/>
          </w:tcPr>
          <w:p>
            <w:pPr>
              <w:pStyle w:val="TableContents"/>
              <w:spacing w:before="0" w:after="283"/>
              <w:rPr/>
            </w:pPr>
            <w:r>
              <w:rPr/>
              <w:t>​</w:t>
            </w:r>
          </w:p>
        </w:tc>
        <w:tc>
          <w:tcPr>
            <w:tcW w:w="24" w:type="dxa"/>
            <w:tcBorders/>
            <w:shd w:fill="CCEEFF" w:val="clear"/>
            <w:vAlign w:val="bottom"/>
          </w:tcPr>
          <w:p>
            <w:pPr>
              <w:pStyle w:val="TableContents"/>
              <w:spacing w:before="0" w:after="283"/>
              <w:rPr/>
            </w:pPr>
            <w:r>
              <w:rPr/>
              <w:t>​</w:t>
            </w:r>
          </w:p>
        </w:tc>
      </w:tr>
      <w:tr>
        <w:trPr/>
        <w:tc>
          <w:tcPr>
            <w:tcW w:w="9203" w:type="dxa"/>
            <w:tcBorders/>
            <w:shd w:fill="auto" w:val="clear"/>
            <w:vAlign w:val="bottom"/>
          </w:tcPr>
          <w:p>
            <w:pPr>
              <w:pStyle w:val="TableContents"/>
              <w:spacing w:before="0" w:after="283"/>
              <w:ind w:left="200" w:right="0" w:hanging="200"/>
              <w:rPr>
                <w:rFonts w:ascii="arial" w:hAnsi="arial"/>
                <w:sz w:val="20"/>
              </w:rPr>
            </w:pPr>
            <w:r>
              <w:rPr>
                <w:rFonts w:ascii="arial" w:hAnsi="arial"/>
                <w:sz w:val="20"/>
              </w:rPr>
              <w:t>Michelle D. Esterman</w:t>
            </w:r>
          </w:p>
        </w:tc>
        <w:tc>
          <w:tcPr>
            <w:tcW w:w="23" w:type="dxa"/>
            <w:tcBorders/>
            <w:shd w:fill="auto" w:val="clear"/>
            <w:vAlign w:val="bottom"/>
          </w:tcPr>
          <w:p>
            <w:pPr>
              <w:pStyle w:val="TableContents"/>
              <w:spacing w:before="0" w:after="283"/>
              <w:rPr/>
            </w:pPr>
            <w:r>
              <w:rPr/>
              <w:t>​</w:t>
            </w:r>
          </w:p>
        </w:tc>
        <w:tc>
          <w:tcPr>
            <w:tcW w:w="225" w:type="dxa"/>
            <w:tcBorders/>
            <w:shd w:fill="auto" w:val="clear"/>
            <w:vAlign w:val="bottom"/>
          </w:tcPr>
          <w:p>
            <w:pPr>
              <w:pStyle w:val="TableContents"/>
              <w:spacing w:before="0" w:after="283"/>
              <w:rPr/>
            </w:pPr>
            <w:r>
              <w:rPr/>
              <w:t>​</w:t>
            </w:r>
          </w:p>
        </w:tc>
        <w:tc>
          <w:tcPr>
            <w:tcW w:w="605" w:type="dxa"/>
            <w:gridSpan w:val="2"/>
            <w:tcBorders/>
            <w:shd w:fill="auto" w:val="clear"/>
            <w:vAlign w:val="bottom"/>
          </w:tcPr>
          <w:p>
            <w:pPr>
              <w:pStyle w:val="TableContents"/>
              <w:spacing w:before="0" w:after="283"/>
              <w:jc w:val="right"/>
              <w:rPr>
                <w:rFonts w:ascii="arial" w:hAnsi="arial"/>
                <w:sz w:val="20"/>
              </w:rPr>
            </w:pPr>
            <w:r>
              <w:rPr>
                <w:rFonts w:ascii="arial" w:hAnsi="arial"/>
                <w:sz w:val="20"/>
              </w:rPr>
              <w:t>23,750</w:t>
            </w:r>
          </w:p>
        </w:tc>
        <w:tc>
          <w:tcPr>
            <w:tcW w:w="125"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9203" w:type="dxa"/>
            <w:tcBorders/>
            <w:shd w:fill="CCEEFF" w:val="clear"/>
            <w:vAlign w:val="bottom"/>
          </w:tcPr>
          <w:p>
            <w:pPr>
              <w:pStyle w:val="TableContents"/>
              <w:spacing w:before="0" w:after="283"/>
              <w:ind w:left="200" w:right="0" w:hanging="200"/>
              <w:rPr>
                <w:rFonts w:ascii="arial" w:hAnsi="arial"/>
                <w:sz w:val="20"/>
              </w:rPr>
            </w:pPr>
            <w:r>
              <w:rPr>
                <w:rFonts w:ascii="arial" w:hAnsi="arial"/>
                <w:sz w:val="20"/>
              </w:rPr>
              <w:t>Marcello Mastioni</w:t>
            </w:r>
          </w:p>
        </w:tc>
        <w:tc>
          <w:tcPr>
            <w:tcW w:w="23" w:type="dxa"/>
            <w:tcBorders/>
            <w:shd w:fill="CCEEFF" w:val="clear"/>
            <w:vAlign w:val="bottom"/>
          </w:tcPr>
          <w:p>
            <w:pPr>
              <w:pStyle w:val="TableContents"/>
              <w:spacing w:before="0" w:after="283"/>
              <w:rPr/>
            </w:pPr>
            <w:r>
              <w:rPr/>
              <w:t>​</w:t>
            </w:r>
          </w:p>
        </w:tc>
        <w:tc>
          <w:tcPr>
            <w:tcW w:w="225" w:type="dxa"/>
            <w:tcBorders/>
            <w:shd w:fill="CCEEFF" w:val="clear"/>
            <w:vAlign w:val="bottom"/>
          </w:tcPr>
          <w:p>
            <w:pPr>
              <w:pStyle w:val="TableContents"/>
              <w:spacing w:before="0" w:after="283"/>
              <w:rPr/>
            </w:pPr>
            <w:r>
              <w:rPr/>
              <w:t>​</w:t>
            </w:r>
          </w:p>
        </w:tc>
        <w:tc>
          <w:tcPr>
            <w:tcW w:w="605"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31,250</w:t>
            </w:r>
          </w:p>
        </w:tc>
        <w:tc>
          <w:tcPr>
            <w:tcW w:w="125" w:type="dxa"/>
            <w:tcBorders/>
            <w:shd w:fill="CCEEFF" w:val="clear"/>
            <w:vAlign w:val="bottom"/>
          </w:tcPr>
          <w:p>
            <w:pPr>
              <w:pStyle w:val="TableContents"/>
              <w:spacing w:before="0" w:after="283"/>
              <w:rPr/>
            </w:pPr>
            <w:r>
              <w:rPr/>
              <w:t>​</w:t>
            </w:r>
          </w:p>
        </w:tc>
        <w:tc>
          <w:tcPr>
            <w:tcW w:w="24" w:type="dxa"/>
            <w:tcBorders/>
            <w:shd w:fill="CCEEFF" w:val="clear"/>
            <w:vAlign w:val="bottom"/>
          </w:tcPr>
          <w:p>
            <w:pPr>
              <w:pStyle w:val="TableContents"/>
              <w:spacing w:before="0" w:after="283"/>
              <w:rPr/>
            </w:pPr>
            <w:r>
              <w:rPr/>
              <w:t>​</w:t>
            </w:r>
          </w:p>
        </w:tc>
      </w:tr>
      <w:tr>
        <w:trPr/>
        <w:tc>
          <w:tcPr>
            <w:tcW w:w="9203" w:type="dxa"/>
            <w:tcBorders/>
            <w:shd w:fill="auto" w:val="clear"/>
            <w:vAlign w:val="bottom"/>
          </w:tcPr>
          <w:p>
            <w:pPr>
              <w:pStyle w:val="TableContents"/>
              <w:spacing w:before="0" w:after="283"/>
              <w:ind w:left="200" w:right="0" w:hanging="200"/>
              <w:rPr>
                <w:rFonts w:ascii="arial" w:hAnsi="arial"/>
                <w:sz w:val="20"/>
              </w:rPr>
            </w:pPr>
            <w:r>
              <w:rPr>
                <w:rFonts w:ascii="arial" w:hAnsi="arial"/>
                <w:sz w:val="20"/>
              </w:rPr>
              <w:t>Gregory J. Ritts</w:t>
            </w:r>
          </w:p>
        </w:tc>
        <w:tc>
          <w:tcPr>
            <w:tcW w:w="23" w:type="dxa"/>
            <w:tcBorders/>
            <w:shd w:fill="auto" w:val="clear"/>
            <w:vAlign w:val="bottom"/>
          </w:tcPr>
          <w:p>
            <w:pPr>
              <w:pStyle w:val="TableContents"/>
              <w:spacing w:before="0" w:after="283"/>
              <w:rPr/>
            </w:pPr>
            <w:r>
              <w:rPr/>
              <w:t>​</w:t>
            </w:r>
          </w:p>
        </w:tc>
        <w:tc>
          <w:tcPr>
            <w:tcW w:w="225" w:type="dxa"/>
            <w:tcBorders/>
            <w:shd w:fill="auto" w:val="clear"/>
            <w:vAlign w:val="bottom"/>
          </w:tcPr>
          <w:p>
            <w:pPr>
              <w:pStyle w:val="TableContents"/>
              <w:spacing w:before="0" w:after="283"/>
              <w:rPr/>
            </w:pPr>
            <w:r>
              <w:rPr/>
              <w:t>​</w:t>
            </w:r>
          </w:p>
        </w:tc>
        <w:tc>
          <w:tcPr>
            <w:tcW w:w="605" w:type="dxa"/>
            <w:gridSpan w:val="2"/>
            <w:tcBorders/>
            <w:shd w:fill="auto" w:val="clear"/>
            <w:vAlign w:val="bottom"/>
          </w:tcPr>
          <w:p>
            <w:pPr>
              <w:pStyle w:val="TableContents"/>
              <w:spacing w:before="0" w:after="283"/>
              <w:jc w:val="right"/>
              <w:rPr>
                <w:rFonts w:ascii="arial" w:hAnsi="arial"/>
                <w:sz w:val="20"/>
              </w:rPr>
            </w:pPr>
            <w:r>
              <w:rPr>
                <w:rFonts w:ascii="arial" w:hAnsi="arial"/>
                <w:sz w:val="20"/>
              </w:rPr>
              <w:t>23,750</w:t>
            </w:r>
          </w:p>
        </w:tc>
        <w:tc>
          <w:tcPr>
            <w:tcW w:w="125"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bl>
    <w:p>
      <w:pPr>
        <w:pStyle w:val="TextBody"/>
        <w:rPr>
          <w:rFonts w:ascii="arial" w:hAnsi="arial"/>
          <w:sz w:val="20"/>
        </w:rPr>
      </w:pPr>
      <w:r>
        <w:rPr>
          <w:rFonts w:ascii="arial" w:hAnsi="arial"/>
          <w:sz w:val="20"/>
        </w:rPr>
        <w:t xml:space="preserve">20% of this award is time-based and will vest in three equal increments on the first three anniversaries of the grant date. The remainder of the award will start to vest only when the above-described hurdles are achieved, with one-half of the applicable tranche vesting immediately upon the achievement of the applicable criteria and the remainder vesting on the first anniversary of the date of the initial vesting of such tranche. </w:t>
      </w:r>
    </w:p>
    <w:p>
      <w:pPr>
        <w:pStyle w:val="TextBody"/>
        <w:ind w:left="200" w:right="0" w:hanging="200"/>
        <w:rPr>
          <w:rFonts w:ascii="arial" w:hAnsi="arial"/>
          <w:b/>
          <w:i/>
          <w:sz w:val="20"/>
        </w:rPr>
      </w:pPr>
      <w:r>
        <w:rPr>
          <w:rFonts w:ascii="arial" w:hAnsi="arial"/>
          <w:b/>
          <w:i/>
          <w:sz w:val="20"/>
        </w:rPr>
        <w:t xml:space="preserve">Other Benefits </w:t>
      </w:r>
    </w:p>
    <w:p>
      <w:pPr>
        <w:pStyle w:val="TextBody"/>
        <w:rPr>
          <w:rFonts w:ascii="arial" w:hAnsi="arial"/>
          <w:sz w:val="20"/>
        </w:rPr>
      </w:pPr>
      <w:r>
        <w:rPr>
          <w:rFonts w:ascii="arial" w:hAnsi="arial"/>
          <w:sz w:val="20"/>
        </w:rPr>
        <w:t xml:space="preserve">The Compensation Committee's policy with respect to employee benefit plans is to provide benefits to our employees, including our executive officers, comparable to benefits offered by companies of a similar size and circumstance to ours. A competitive comprehensive benefit program is essential to achieving the goal of attracting and retaining highly qualified employees. Consistent with this policy, our Luxembourg-based executive officers are eligible to participate in the Company's international health and travel plan. </w:t>
      </w:r>
    </w:p>
    <w:p>
      <w:pPr>
        <w:pStyle w:val="TextBody"/>
        <w:ind w:left="200" w:right="0" w:hanging="200"/>
        <w:rPr>
          <w:rFonts w:ascii="arial" w:hAnsi="arial"/>
          <w:b/>
          <w:i/>
          <w:sz w:val="20"/>
        </w:rPr>
      </w:pPr>
      <w:r>
        <w:rPr>
          <w:rFonts w:ascii="arial" w:hAnsi="arial"/>
          <w:b/>
          <w:i/>
          <w:sz w:val="20"/>
        </w:rPr>
        <w:t xml:space="preserve">Relocation and Foreign Living Allowances </w:t>
      </w:r>
    </w:p>
    <w:p>
      <w:pPr>
        <w:pStyle w:val="TextBody"/>
        <w:rPr>
          <w:rFonts w:ascii="arial" w:hAnsi="arial"/>
          <w:sz w:val="20"/>
        </w:rPr>
      </w:pPr>
      <w:r>
        <w:rPr>
          <w:rFonts w:ascii="arial" w:hAnsi="arial"/>
          <w:sz w:val="20"/>
        </w:rPr>
        <w:t xml:space="preserve">Since we are a Luxembourg company, our Named Executive Officers are generally based at our corporate headquarters in Luxembourg. This is consistent with our view that generally the interaction of our leadership team at our headquarters helps us to efficiently develop and execute our strategic initiatives. Often the executive talent we seek to attract to Luxembourg is based elsewhere. Consistent with our overall compensation aim to attract and retain superior employees for key positions requiring relocation, to attract and appropriately incent our Luxembourg-based Named Executive Officers, we provide those who have relocated to Luxembourg with certain reasonable relocation and foreign living allowances and other benefits. These relocation and foreign living benefits are provided pursuant to the executive's employment agreement and relocation plan and may include housing allowances, personal use of company cars, settling-in allowances, education allowances, goods and services allowances, travel allowances, medical benefits and tax-related benefits such as tax preparation and tax equalization and/or normalization. Tax normalization is an expatriate benefit that compensates the executive for the excess income taxes paid relative to the income taxes the executive would be paying in his or her country of origin. </w:t>
      </w:r>
    </w:p>
    <w:p>
      <w:pPr>
        <w:pStyle w:val="TextBody"/>
        <w:rPr>
          <w:rFonts w:ascii="arial" w:hAnsi="arial"/>
          <w:sz w:val="20"/>
        </w:rPr>
      </w:pPr>
      <w:r>
        <w:rPr>
          <w:rFonts w:ascii="arial" w:hAnsi="arial"/>
          <w:sz w:val="20"/>
        </w:rPr>
        <w:t xml:space="preserve">Please see the Summary Compensation Table under the "Executive Compensation" section for details regarding the relocation benefits received by each Named Executive Officer in 2020. </w:t>
      </w:r>
    </w:p>
    <w:p>
      <w:pPr>
        <w:pStyle w:val="TextBody"/>
        <w:rPr>
          <w:rFonts w:ascii="arial" w:hAnsi="arial"/>
          <w:sz w:val="20"/>
        </w:rPr>
      </w:pPr>
      <w:r>
        <w:rPr>
          <w:rFonts w:ascii="arial" w:hAnsi="arial"/>
          <w:sz w:val="20"/>
        </w:rPr>
        <w:t xml:space="preserve">In March 2021, the Chief Executive Officer informed the Compensation Committee that he voluntarily terminated his housing allowance (beginning on March 1, 2021) as well as the personal use of one company car (effective June 1, 2021). </w:t>
      </w:r>
    </w:p>
    <w:p>
      <w:pPr>
        <w:pStyle w:val="TextBody"/>
        <w:ind w:left="200" w:right="0" w:hanging="200"/>
        <w:rPr>
          <w:rFonts w:ascii="arial" w:hAnsi="arial"/>
          <w:b/>
          <w:sz w:val="20"/>
        </w:rPr>
      </w:pPr>
      <w:r>
        <w:rPr>
          <w:rFonts w:ascii="arial" w:hAnsi="arial"/>
          <w:b/>
          <w:sz w:val="20"/>
        </w:rPr>
        <w:t xml:space="preserve">Minimum Stock Ownership Requirement for the Chief Executive Officer </w:t>
      </w:r>
    </w:p>
    <w:p>
      <w:pPr>
        <w:pStyle w:val="TextBody"/>
        <w:rPr>
          <w:rFonts w:ascii="arial" w:hAnsi="arial"/>
          <w:sz w:val="20"/>
        </w:rPr>
      </w:pPr>
      <w:r>
        <w:rPr>
          <w:rFonts w:ascii="arial" w:hAnsi="arial"/>
          <w:sz w:val="20"/>
        </w:rPr>
        <w:t xml:space="preserve">The Compensation Committee has adopted a minimum stock ownership requirement applicable to our Chief Executive Officer, in line with its belief that the Chief Executive Officer should own a certain amount of stock to align his interests with the interests of our shareholders. </w:t>
      </w:r>
    </w:p>
    <w:p>
      <w:pPr>
        <w:pStyle w:val="TextBody"/>
        <w:jc w:val="center"/>
        <w:rPr>
          <w:rFonts w:ascii="arial" w:hAnsi="arial"/>
          <w:sz w:val="20"/>
        </w:rPr>
      </w:pPr>
      <w:r>
        <w:rPr>
          <w:rFonts w:ascii="arial" w:hAnsi="arial"/>
          <w:sz w:val="20"/>
        </w:rPr>
        <w:t>52</w:t>
      </w:r>
    </w:p>
    <w:p>
      <w:pPr>
        <w:pStyle w:val="HorizontalLine"/>
        <w:pBdr>
          <w:bottom w:val="single" w:sz="20" w:space="0" w:color="808080"/>
        </w:pBdr>
        <w:rPr/>
      </w:pPr>
      <w:r>
        <w:rPr/>
      </w:r>
      <w:r>
        <w:br w:type="page"/>
      </w:r>
    </w:p>
    <w:p>
      <w:pPr>
        <w:pStyle w:val="TextBody"/>
        <w:rPr/>
      </w:pPr>
      <w:hyperlink w:anchor="bg45301a_main_toc">
        <w:bookmarkStart w:id="100" w:name="page_ds45301_1_53"/>
        <w:bookmarkEnd w:id="100"/>
        <w:r>
          <w:rPr>
            <w:rStyle w:val="InternetLink"/>
            <w:rFonts w:ascii="arial" w:hAnsi="arial"/>
            <w:sz w:val="20"/>
          </w:rPr>
          <w:t>Table of Contents</w:t>
        </w:r>
      </w:hyperlink>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3367"/>
        <w:gridCol w:w="101"/>
        <w:gridCol w:w="6737"/>
      </w:tblGrid>
      <w:tr>
        <w:trPr/>
        <w:tc>
          <w:tcPr>
            <w:tcW w:w="3367" w:type="dxa"/>
            <w:tcBorders/>
            <w:shd w:fill="auto" w:val="clear"/>
            <w:vAlign w:val="center"/>
          </w:tcPr>
          <w:p>
            <w:pPr>
              <w:pStyle w:val="TableContents"/>
              <w:spacing w:before="0" w:after="283"/>
              <w:rPr/>
            </w:pPr>
            <w:r>
              <w:rPr/>
              <w:commentReference w:id="195"/>
            </w:r>
            <w:r>
              <w:rPr/>
              <w:commentReference w:id="196"/>
            </w:r>
            <w:r>
              <w:rPr/>
              <w:commentReference w:id="197"/>
            </w:r>
            <w:r>
              <w:rPr/>
              <w:t>​</w:t>
            </w:r>
          </w:p>
        </w:tc>
        <w:tc>
          <w:tcPr>
            <w:tcW w:w="101" w:type="dxa"/>
            <w:tcBorders/>
            <w:shd w:fill="auto" w:val="clear"/>
            <w:vAlign w:val="center"/>
          </w:tcPr>
          <w:p>
            <w:pPr>
              <w:pStyle w:val="TableContents"/>
              <w:spacing w:before="0" w:after="283"/>
              <w:rPr/>
            </w:pPr>
            <w:r>
              <w:rPr/>
              <w:t>​</w:t>
            </w:r>
          </w:p>
        </w:tc>
        <w:tc>
          <w:tcPr>
            <w:tcW w:w="6737" w:type="dxa"/>
            <w:tcBorders/>
            <w:shd w:fill="auto" w:val="clear"/>
            <w:vAlign w:val="center"/>
          </w:tcPr>
          <w:p>
            <w:pPr>
              <w:pStyle w:val="TableContents"/>
              <w:spacing w:before="0" w:after="283"/>
              <w:rPr/>
            </w:pPr>
            <w:r>
              <w:rPr/>
              <w:t>​</w:t>
            </w:r>
            <w:r>
              <w:rPr>
                <w:rFonts w:eastAsia="arial" w:cs="arial" w:ascii="arial" w:hAnsi="arial"/>
              </w:rPr>
              <w:commentReference w:id="198"/>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drawing>
                <wp:inline distT="0" distB="0" distL="0" distR="0">
                  <wp:extent cx="2943225" cy="1809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embed="rId87"/>
                          <a:stretch>
                            <a:fillRect/>
                          </a:stretch>
                        </pic:blipFill>
                        <pic:spPr bwMode="auto">
                          <a:xfrm>
                            <a:off x="0" y="0"/>
                            <a:ext cx="2943225" cy="180975"/>
                          </a:xfrm>
                          <a:prstGeom prst="rect">
                            <a:avLst/>
                          </a:prstGeom>
                        </pic:spPr>
                      </pic:pic>
                    </a:graphicData>
                  </a:graphic>
                </wp:inline>
              </w:drawing>
            </w:r>
            <w:r>
              <w:rPr/>
              <w:t xml:space="preserve"> </w:t>
            </w:r>
          </w:p>
        </w:tc>
      </w:tr>
      <w:tr>
        <w:trPr/>
        <w:tc>
          <w:tcPr>
            <w:tcW w:w="3367"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spacing w:before="0" w:after="283"/>
              <w:jc w:val="right"/>
              <w:rPr/>
            </w:pPr>
            <w:r>
              <w:rPr/>
              <w:t>​</w:t>
            </w:r>
          </w:p>
        </w:tc>
      </w:tr>
    </w:tbl>
    <w:p>
      <w:pPr>
        <w:pStyle w:val="TextBody"/>
        <w:rPr/>
      </w:pPr>
      <w:r>
        <w:rPr>
          <w:color w:val="000000"/>
        </w:rPr>
        <w:commentReference w:id="199"/>
      </w:r>
      <w:r>
        <w:rPr>
          <w:color w:val="000000"/>
        </w:rPr>
        <w:t>​</w:t>
      </w:r>
      <w:r>
        <w:rPr/>
        <w:t xml:space="preserve"> </w:t>
      </w:r>
    </w:p>
    <w:p>
      <w:pPr>
        <w:pStyle w:val="TextBody"/>
        <w:rPr>
          <w:rFonts w:ascii="arial" w:hAnsi="arial"/>
          <w:sz w:val="20"/>
        </w:rPr>
      </w:pPr>
      <w:r>
        <w:rPr>
          <w:rFonts w:ascii="arial" w:hAnsi="arial"/>
          <w:sz w:val="20"/>
        </w:rPr>
        <w:t xml:space="preserve">Pursuant to this requirement, the Chief Executive Officer is required to attain and maintain stock ownership at a level equal to three times his base salary, with vested options and restricted stock grants counting toward the satisfaction of this requirement. The minimum number of shares is determined as of the later of (i) the date of the Chief Executive Officer's election or (ii) the date when the Chief Executive Officer first became subject to this policy. The Chief Executive Officer has two years from the effective date of his initial appointment as Chief Executive Officer or from the date on which he first becomes subject to the policy, whichever is later, to comply with this requirement. The minimum stock ownership level will not change as a result of fluctuations in the market price of the Company's common stock. Incremental increases in the level of required stock ownership will be determined as of the effective date of any increase in the annual base salary payable to the Chief Executive Officer. Our Chief Executive Officer currently meets the applicable minimum stock ownership requirement. </w:t>
      </w:r>
    </w:p>
    <w:p>
      <w:pPr>
        <w:pStyle w:val="TextBody"/>
        <w:rPr>
          <w:rFonts w:ascii="arial" w:hAnsi="arial"/>
          <w:sz w:val="20"/>
        </w:rPr>
      </w:pPr>
      <w:r>
        <w:rPr>
          <w:rFonts w:ascii="arial" w:hAnsi="arial"/>
          <w:sz w:val="20"/>
        </w:rPr>
        <w:t xml:space="preserve">The minimum stock ownership requirements for our non-management directors and Chief Executive Officer are set forth in our Corporate Governance Guidelines, which are available on our website at www.altisource.com. </w:t>
      </w:r>
    </w:p>
    <w:p>
      <w:pPr>
        <w:pStyle w:val="TextBody"/>
        <w:ind w:left="200" w:right="0" w:hanging="200"/>
        <w:rPr>
          <w:rFonts w:ascii="arial" w:hAnsi="arial"/>
          <w:b/>
          <w:sz w:val="20"/>
        </w:rPr>
      </w:pPr>
      <w:r>
        <w:rPr>
          <w:rFonts w:ascii="arial" w:hAnsi="arial"/>
          <w:b/>
          <w:sz w:val="20"/>
        </w:rPr>
        <w:t xml:space="preserve">Amendments to Employment Agreements of Named Executive Officers </w:t>
      </w:r>
    </w:p>
    <w:p>
      <w:pPr>
        <w:pStyle w:val="TextBody"/>
        <w:ind w:left="200" w:right="0" w:hanging="200"/>
        <w:rPr>
          <w:rFonts w:ascii="arial" w:hAnsi="arial"/>
          <w:b/>
          <w:i/>
          <w:sz w:val="20"/>
        </w:rPr>
      </w:pPr>
      <w:r>
        <w:rPr>
          <w:rFonts w:ascii="arial" w:hAnsi="arial"/>
          <w:b/>
          <w:i/>
          <w:sz w:val="20"/>
        </w:rPr>
        <w:t xml:space="preserve">Kevin J. Wilcox </w:t>
      </w:r>
    </w:p>
    <w:p>
      <w:pPr>
        <w:pStyle w:val="TextBody"/>
        <w:rPr>
          <w:rFonts w:ascii="arial" w:hAnsi="arial"/>
          <w:sz w:val="20"/>
        </w:rPr>
      </w:pPr>
      <w:r>
        <w:rPr>
          <w:rFonts w:ascii="arial" w:hAnsi="arial"/>
          <w:sz w:val="20"/>
        </w:rPr>
        <w:t xml:space="preserve">On October 11, 2019, the subsidiary of the Company employing Mr. Wilcox, the Chief Administration and Risk Officer, entered into a separation agreement (the "Separation Agreement") with him affecting the termination of his employment effective April 15, 2020 (the "Separation Date"). On April 15, 2020, as required by the Separation Agreement, Mr. Wilcox and that same subsidiary entered into release agreement pursuant to which the parties released and discharged one another from any and all claims related to the employment relationship. The release agreement also provided that the Company would maintain certain liability insurance to cover actual or alleged acts by Mr. Wilcox that are alleged to have occurred prior to his separation from the Company, and that Mr. Wilcox would remain eligible for the advancement of certain defense costs or indemnification for any claims arising from acts related to his employment with the Company. </w:t>
      </w:r>
    </w:p>
    <w:p>
      <w:pPr>
        <w:pStyle w:val="TextBody"/>
        <w:ind w:left="200" w:right="0" w:hanging="200"/>
        <w:rPr>
          <w:rFonts w:ascii="arial" w:hAnsi="arial"/>
          <w:b/>
          <w:sz w:val="20"/>
        </w:rPr>
      </w:pPr>
      <w:r>
        <w:rPr>
          <w:rFonts w:ascii="arial" w:hAnsi="arial"/>
          <w:b/>
          <w:sz w:val="20"/>
        </w:rPr>
        <w:t xml:space="preserve">Compensation of Named Executive Officer Whose Employment Ended During 2020 </w:t>
      </w:r>
    </w:p>
    <w:p>
      <w:pPr>
        <w:pStyle w:val="TextBody"/>
        <w:ind w:left="200" w:right="0" w:hanging="200"/>
        <w:rPr>
          <w:rFonts w:ascii="arial" w:hAnsi="arial"/>
          <w:b/>
          <w:i/>
          <w:sz w:val="20"/>
        </w:rPr>
      </w:pPr>
      <w:r>
        <w:rPr>
          <w:rFonts w:ascii="arial" w:hAnsi="arial"/>
          <w:b/>
          <w:i/>
          <w:sz w:val="20"/>
        </w:rPr>
        <w:t xml:space="preserve">Kevin J. Wilcox </w:t>
      </w:r>
    </w:p>
    <w:p>
      <w:pPr>
        <w:pStyle w:val="TextBody"/>
        <w:rPr>
          <w:rFonts w:ascii="arial" w:hAnsi="arial"/>
          <w:sz w:val="20"/>
        </w:rPr>
      </w:pPr>
      <w:r>
        <w:rPr>
          <w:rFonts w:ascii="arial" w:hAnsi="arial"/>
          <w:sz w:val="20"/>
        </w:rPr>
        <w:t xml:space="preserve">Pursuant to the above referenced Separation Agreement, in 2020 Mr. Wilcox was paid (i) a lump sum cash payment of $264,746, as severance, (ii) a lump sum cash payment of $709,000 as a departure allowance pursuant to Luxembourg law, and (iii) a lump sum cash payment of $393,638 as his earned incentive compensation for service year 2019. </w:t>
      </w:r>
    </w:p>
    <w:p>
      <w:pPr>
        <w:pStyle w:val="TextBody"/>
        <w:rPr>
          <w:rFonts w:ascii="arial" w:hAnsi="arial"/>
          <w:sz w:val="20"/>
        </w:rPr>
      </w:pPr>
      <w:r>
        <w:rPr>
          <w:rFonts w:ascii="arial" w:hAnsi="arial"/>
          <w:sz w:val="20"/>
        </w:rPr>
        <w:t xml:space="preserve">The Separation Agreement also provided for the vesting of certain unvested RSUs and stock options and that Mr. Wilcox was entitled to retain and exercise all vested stock options for a period of five years from the Separation Date, or if earlier, until their contractual expiration date. Other than the retained stock options and reimbursement of relocation costs incurred prior to January 1, 2021, Mr. Wilcox was not entitled to any additional payments or benefits after December 31, 2020. </w:t>
      </w:r>
    </w:p>
    <w:p>
      <w:pPr>
        <w:pStyle w:val="TextBody"/>
        <w:jc w:val="center"/>
        <w:rPr>
          <w:rFonts w:ascii="arial" w:hAnsi="arial"/>
          <w:sz w:val="20"/>
        </w:rPr>
      </w:pPr>
      <w:r>
        <w:rPr>
          <w:rFonts w:ascii="arial" w:hAnsi="arial"/>
          <w:sz w:val="20"/>
        </w:rPr>
        <w:t>53</w:t>
      </w:r>
    </w:p>
    <w:p>
      <w:pPr>
        <w:pStyle w:val="HorizontalLine"/>
        <w:pBdr>
          <w:bottom w:val="single" w:sz="20" w:space="0" w:color="808080"/>
        </w:pBdr>
        <w:rPr/>
      </w:pPr>
      <w:r>
        <w:rPr/>
      </w:r>
      <w:r>
        <w:br w:type="page"/>
      </w:r>
    </w:p>
    <w:p>
      <w:pPr>
        <w:pStyle w:val="TextBody"/>
        <w:rPr/>
      </w:pPr>
      <w:hyperlink w:anchor="bg45301a_main_toc">
        <w:bookmarkStart w:id="101" w:name="page_du45301_1_54"/>
        <w:bookmarkEnd w:id="101"/>
        <w:r>
          <w:rPr>
            <w:rStyle w:val="InternetLink"/>
            <w:rFonts w:ascii="arial" w:hAnsi="arial"/>
            <w:sz w:val="20"/>
          </w:rPr>
          <w:t>Table of Contents</w:t>
        </w:r>
      </w:hyperlink>
      <w:r>
        <w:rPr>
          <w:rFonts w:ascii="arial" w:hAnsi="arial"/>
          <w:sz w:val="20"/>
        </w:rPr>
        <w:t xml:space="preserve"> </w:t>
      </w:r>
    </w:p>
    <w:p>
      <w:pPr>
        <w:pStyle w:val="Normal"/>
        <w:spacing w:before="0" w:after="0"/>
        <w:ind w:left="0" w:right="0" w:hanging="0"/>
        <w:rPr>
          <w:sz w:val="4"/>
          <w:szCs w:val="4"/>
        </w:rPr>
      </w:pPr>
      <w:r>
        <w:rPr>
          <w:sz w:val="4"/>
          <w:szCs w:val="4"/>
        </w:rPr>
      </w:r>
      <w:bookmarkStart w:id="102" w:name="toc_du45301_1"/>
      <w:bookmarkStart w:id="103" w:name="du45301_compensation_committee_report"/>
      <w:bookmarkStart w:id="104" w:name="toc_du45301_1"/>
      <w:bookmarkStart w:id="105" w:name="du45301_compensation_committee_report"/>
      <w:bookmarkEnd w:id="104"/>
      <w:bookmarkEnd w:id="105"/>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8" w:space="0" w:color="000000"/>
            </w:tcBorders>
            <w:shd w:fill="auto" w:val="clear"/>
            <w:vAlign w:val="center"/>
          </w:tcPr>
          <w:p>
            <w:pPr>
              <w:pStyle w:val="TableContents"/>
              <w:spacing w:before="0" w:after="0"/>
              <w:ind w:left="0" w:right="0" w:hanging="0"/>
              <w:jc w:val="left"/>
              <w:rPr>
                <w:rFonts w:ascii="arial" w:hAnsi="arial"/>
                <w:b/>
                <w:sz w:val="24"/>
              </w:rPr>
            </w:pPr>
            <w:r>
              <w:rPr>
                <w:rFonts w:ascii="arial" w:hAnsi="arial"/>
                <w:b/>
                <w:sz w:val="24"/>
              </w:rPr>
              <w:t xml:space="preserve">Compensation Committee Report </w:t>
            </w:r>
          </w:p>
        </w:tc>
      </w:tr>
    </w:tbl>
    <w:p>
      <w:pPr>
        <w:pStyle w:val="TextBody"/>
        <w:rPr>
          <w:rFonts w:ascii="arial" w:hAnsi="arial"/>
          <w:sz w:val="20"/>
        </w:rPr>
      </w:pPr>
      <w:r>
        <w:rPr>
          <w:rFonts w:ascii="arial" w:hAnsi="arial"/>
          <w:sz w:val="20"/>
        </w:rPr>
        <w:t xml:space="preserve">The Compensation Committee of the Board of Directors has reviewed and discussed with management the Compensation Discussion and Analysis included on pages 34 through 52 of this proxy statement. </w:t>
      </w:r>
    </w:p>
    <w:p>
      <w:pPr>
        <w:pStyle w:val="TextBody"/>
        <w:rPr>
          <w:rFonts w:ascii="arial" w:hAnsi="arial"/>
          <w:sz w:val="20"/>
        </w:rPr>
      </w:pPr>
      <w:r>
        <w:rPr>
          <w:rFonts w:ascii="arial" w:hAnsi="arial"/>
          <w:sz w:val="20"/>
        </w:rPr>
        <w:t xml:space="preserve">Based on this review and discussion, the Compensation Committee recommended to the Board of Directors that the Compensation Discussion and Analysis be included in this proxy statement. </w:t>
      </w:r>
    </w:p>
    <w:tbl>
      <w:tblPr>
        <w:tblW w:w="5000" w:type="pct"/>
        <w:jc w:val="left"/>
        <w:tblInd w:w="0" w:type="dxa"/>
        <w:tblCellMar>
          <w:top w:w="0" w:type="dxa"/>
          <w:left w:w="0" w:type="dxa"/>
          <w:bottom w:w="0" w:type="dxa"/>
          <w:right w:w="0" w:type="dxa"/>
        </w:tblCellMar>
      </w:tblPr>
      <w:tblGrid>
        <w:gridCol w:w="5090"/>
        <w:gridCol w:w="23"/>
        <w:gridCol w:w="5092"/>
      </w:tblGrid>
      <w:tr>
        <w:trPr/>
        <w:tc>
          <w:tcPr>
            <w:tcW w:w="509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5092" w:type="dxa"/>
            <w:tcBorders/>
            <w:shd w:fill="auto" w:val="clear"/>
            <w:vAlign w:val="center"/>
          </w:tcPr>
          <w:p>
            <w:pPr>
              <w:pStyle w:val="TableContents"/>
              <w:spacing w:before="0" w:after="283"/>
              <w:rPr>
                <w:sz w:val="4"/>
                <w:szCs w:val="4"/>
              </w:rPr>
            </w:pPr>
            <w:r>
              <w:rPr>
                <w:sz w:val="4"/>
                <w:szCs w:val="4"/>
              </w:rPr>
            </w:r>
          </w:p>
        </w:tc>
      </w:tr>
      <w:tr>
        <w:trPr/>
        <w:tc>
          <w:tcPr>
            <w:tcW w:w="5090" w:type="dxa"/>
            <w:tcBorders/>
            <w:shd w:fill="auto" w:val="clear"/>
          </w:tcPr>
          <w:p>
            <w:pPr>
              <w:pStyle w:val="TableContents"/>
              <w:spacing w:before="0" w:after="283"/>
              <w:rPr/>
            </w:pPr>
            <w:r>
              <w:rPr/>
              <w:t> </w:t>
            </w:r>
          </w:p>
        </w:tc>
        <w:tc>
          <w:tcPr>
            <w:tcW w:w="23" w:type="dxa"/>
            <w:tcBorders/>
            <w:shd w:fill="auto" w:val="clear"/>
          </w:tcPr>
          <w:p>
            <w:pPr>
              <w:pStyle w:val="TableContents"/>
              <w:spacing w:before="0" w:after="283"/>
              <w:rPr/>
            </w:pPr>
            <w:r>
              <w:rPr/>
              <w:t>​</w:t>
            </w:r>
          </w:p>
        </w:tc>
        <w:tc>
          <w:tcPr>
            <w:tcW w:w="5092" w:type="dxa"/>
            <w:tcBorders/>
            <w:shd w:fill="auto" w:val="clear"/>
          </w:tcPr>
          <w:p>
            <w:pPr>
              <w:pStyle w:val="TableContents"/>
              <w:spacing w:before="0" w:after="283"/>
              <w:rPr>
                <w:rFonts w:ascii="arial" w:hAnsi="arial"/>
                <w:b/>
                <w:sz w:val="20"/>
              </w:rPr>
            </w:pPr>
            <w:r>
              <w:rPr>
                <w:rFonts w:ascii="arial" w:hAnsi="arial"/>
                <w:b/>
                <w:sz w:val="20"/>
              </w:rPr>
              <w:t>Compensation Committee:</w:t>
            </w:r>
          </w:p>
        </w:tc>
      </w:tr>
      <w:tr>
        <w:trPr/>
        <w:tc>
          <w:tcPr>
            <w:tcW w:w="5090" w:type="dxa"/>
            <w:tcBorders/>
            <w:shd w:fill="auto" w:val="clear"/>
          </w:tcPr>
          <w:p>
            <w:pPr>
              <w:pStyle w:val="TableContents"/>
              <w:spacing w:before="0" w:after="283"/>
              <w:rPr/>
            </w:pPr>
            <w:r>
              <w:rPr/>
              <w:t> </w:t>
            </w:r>
          </w:p>
        </w:tc>
        <w:tc>
          <w:tcPr>
            <w:tcW w:w="23" w:type="dxa"/>
            <w:tcBorders/>
            <w:shd w:fill="auto" w:val="clear"/>
          </w:tcPr>
          <w:p>
            <w:pPr>
              <w:pStyle w:val="TableContents"/>
              <w:spacing w:before="0" w:after="283"/>
              <w:rPr/>
            </w:pPr>
            <w:r>
              <w:rPr/>
              <w:t>​</w:t>
            </w:r>
          </w:p>
        </w:tc>
        <w:tc>
          <w:tcPr>
            <w:tcW w:w="5092" w:type="dxa"/>
            <w:tcBorders/>
            <w:shd w:fill="auto" w:val="clear"/>
          </w:tcPr>
          <w:p>
            <w:pPr>
              <w:pStyle w:val="TableContents"/>
              <w:spacing w:before="0" w:after="283"/>
              <w:rPr>
                <w:rFonts w:ascii="arial" w:hAnsi="arial"/>
                <w:sz w:val="20"/>
              </w:rPr>
            </w:pPr>
            <w:r>
              <w:rPr>
                <w:rFonts w:ascii="arial" w:hAnsi="arial"/>
                <w:sz w:val="20"/>
              </w:rPr>
              <w:t>Scott E. Burg, Chairman</w:t>
              <w:br/>
              <w:t>Joseph L. Morettini, Director</w:t>
              <w:br/>
              <w:t>Roland Müller-Ineichen, Director</w:t>
            </w:r>
          </w:p>
        </w:tc>
      </w:tr>
      <w:tr>
        <w:trPr/>
        <w:tc>
          <w:tcPr>
            <w:tcW w:w="5090" w:type="dxa"/>
            <w:tcBorders/>
            <w:shd w:fill="auto" w:val="clear"/>
          </w:tcPr>
          <w:p>
            <w:pPr>
              <w:pStyle w:val="TableContents"/>
              <w:spacing w:before="0" w:after="283"/>
              <w:rPr>
                <w:rFonts w:ascii="arial" w:hAnsi="arial"/>
                <w:sz w:val="20"/>
              </w:rPr>
            </w:pPr>
            <w:r>
              <w:rPr>
                <w:rFonts w:ascii="arial" w:hAnsi="arial"/>
                <w:sz w:val="20"/>
              </w:rPr>
              <w:t>April 5, 2021</w:t>
            </w:r>
          </w:p>
        </w:tc>
        <w:tc>
          <w:tcPr>
            <w:tcW w:w="23" w:type="dxa"/>
            <w:tcBorders/>
            <w:shd w:fill="auto" w:val="clear"/>
          </w:tcPr>
          <w:p>
            <w:pPr>
              <w:pStyle w:val="TableContents"/>
              <w:spacing w:before="0" w:after="283"/>
              <w:rPr/>
            </w:pPr>
            <w:r>
              <w:rPr/>
              <w:t>​</w:t>
            </w:r>
          </w:p>
        </w:tc>
        <w:tc>
          <w:tcPr>
            <w:tcW w:w="5092" w:type="dxa"/>
            <w:tcBorders/>
            <w:shd w:fill="auto" w:val="clear"/>
          </w:tcPr>
          <w:p>
            <w:pPr>
              <w:pStyle w:val="TableContents"/>
              <w:spacing w:before="0" w:after="283"/>
              <w:rPr/>
            </w:pPr>
            <w:r>
              <w:rPr/>
              <w:t> </w:t>
            </w:r>
          </w:p>
        </w:tc>
      </w:tr>
    </w:tbl>
    <w:p>
      <w:pPr>
        <w:pStyle w:val="TextBody"/>
        <w:jc w:val="center"/>
        <w:rPr>
          <w:rFonts w:ascii="arial" w:hAnsi="arial"/>
          <w:sz w:val="20"/>
        </w:rPr>
      </w:pPr>
      <w:r>
        <w:rPr>
          <w:rFonts w:ascii="arial" w:hAnsi="arial"/>
          <w:sz w:val="20"/>
        </w:rPr>
        <w:t>54</w:t>
      </w:r>
    </w:p>
    <w:p>
      <w:pPr>
        <w:pStyle w:val="HorizontalLine"/>
        <w:pBdr>
          <w:bottom w:val="single" w:sz="20" w:space="0" w:color="808080"/>
        </w:pBdr>
        <w:rPr/>
      </w:pPr>
      <w:r>
        <w:rPr/>
      </w:r>
      <w:r>
        <w:br w:type="page"/>
      </w:r>
    </w:p>
    <w:p>
      <w:pPr>
        <w:pStyle w:val="TextBody"/>
        <w:rPr/>
      </w:pPr>
      <w:hyperlink w:anchor="bg45301a_main_toc">
        <w:bookmarkStart w:id="106" w:name="page_dw45301_1_55"/>
        <w:bookmarkEnd w:id="106"/>
        <w:r>
          <w:rPr>
            <w:rStyle w:val="InternetLink"/>
            <w:rFonts w:ascii="arial" w:hAnsi="arial"/>
            <w:sz w:val="20"/>
          </w:rPr>
          <w:t>Table of Contents</w:t>
        </w:r>
      </w:hyperlink>
      <w:r>
        <w:rPr>
          <w:rFonts w:ascii="arial" w:hAnsi="arial"/>
          <w:sz w:val="20"/>
        </w:rPr>
        <w:t xml:space="preserve"> </w:t>
      </w:r>
    </w:p>
    <w:p>
      <w:pPr>
        <w:pStyle w:val="TextBody"/>
        <w:rPr/>
      </w:pPr>
      <w:r>
        <w:rPr>
          <w:color w:val="000000"/>
        </w:rPr>
        <w:t>​</w:t>
      </w:r>
      <w:r>
        <w:rPr/>
        <w:t xml:space="preserve"> </w:t>
      </w:r>
    </w:p>
    <w:p>
      <w:pPr>
        <w:pStyle w:val="Normal"/>
        <w:spacing w:before="0" w:after="0"/>
        <w:ind w:left="0" w:right="0" w:hanging="0"/>
        <w:rPr>
          <w:sz w:val="4"/>
          <w:szCs w:val="4"/>
        </w:rPr>
      </w:pPr>
      <w:r>
        <w:rPr>
          <w:sz w:val="4"/>
          <w:szCs w:val="4"/>
        </w:rPr>
      </w:r>
      <w:bookmarkStart w:id="107" w:name="toc_dw45301_1"/>
      <w:bookmarkStart w:id="108" w:name="dw45301_executive_compensation"/>
      <w:bookmarkStart w:id="109" w:name="toc_dw45301_1"/>
      <w:bookmarkStart w:id="110" w:name="dw45301_executive_compensation"/>
      <w:bookmarkEnd w:id="109"/>
      <w:bookmarkEnd w:id="110"/>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8" w:space="0" w:color="000000"/>
            </w:tcBorders>
            <w:shd w:fill="auto" w:val="clear"/>
            <w:vAlign w:val="center"/>
          </w:tcPr>
          <w:p>
            <w:pPr>
              <w:pStyle w:val="TableContents"/>
              <w:spacing w:before="0" w:after="0"/>
              <w:ind w:left="0" w:right="0" w:hanging="0"/>
              <w:jc w:val="left"/>
              <w:rPr>
                <w:rFonts w:ascii="arial" w:hAnsi="arial"/>
                <w:b/>
                <w:sz w:val="24"/>
              </w:rPr>
            </w:pPr>
            <w:r>
              <w:rPr>
                <w:rFonts w:ascii="arial" w:hAnsi="arial"/>
                <w:b/>
                <w:sz w:val="24"/>
              </w:rPr>
              <w:t xml:space="preserve">Executive Compensation </w:t>
            </w:r>
          </w:p>
        </w:tc>
      </w:tr>
    </w:tbl>
    <w:p>
      <w:pPr>
        <w:pStyle w:val="TextBody"/>
        <w:rPr>
          <w:rFonts w:ascii="arial" w:hAnsi="arial"/>
          <w:b/>
          <w:sz w:val="20"/>
        </w:rPr>
      </w:pPr>
      <w:r>
        <w:rPr>
          <w:rFonts w:ascii="arial" w:hAnsi="arial"/>
          <w:b/>
          <w:sz w:val="20"/>
        </w:rPr>
        <w:t xml:space="preserve">Summary Compensation Table </w:t>
      </w:r>
    </w:p>
    <w:p>
      <w:pPr>
        <w:pStyle w:val="TextBody"/>
        <w:rPr>
          <w:rFonts w:ascii="arial" w:hAnsi="arial"/>
          <w:sz w:val="20"/>
        </w:rPr>
      </w:pPr>
      <w:r>
        <w:rPr>
          <w:rFonts w:ascii="arial" w:hAnsi="arial"/>
          <w:sz w:val="20"/>
        </w:rPr>
        <w:t xml:space="preserve">The following table discloses compensation of our Named Executive Officers for fiscal years 2018, 2019 and 2020. </w:t>
      </w:r>
    </w:p>
    <w:tbl>
      <w:tblPr>
        <w:tblW w:w="5000" w:type="pct"/>
        <w:jc w:val="center"/>
        <w:tblInd w:w="0" w:type="dxa"/>
        <w:tblCellMar>
          <w:top w:w="0" w:type="dxa"/>
          <w:left w:w="0" w:type="dxa"/>
          <w:bottom w:w="0" w:type="dxa"/>
          <w:right w:w="0" w:type="dxa"/>
        </w:tblCellMar>
      </w:tblPr>
      <w:tblGrid>
        <w:gridCol w:w="1420"/>
        <w:gridCol w:w="23"/>
        <w:gridCol w:w="219"/>
        <w:gridCol w:w="221"/>
        <w:gridCol w:w="260"/>
        <w:gridCol w:w="125"/>
        <w:gridCol w:w="710"/>
        <w:gridCol w:w="260"/>
        <w:gridCol w:w="125"/>
        <w:gridCol w:w="710"/>
        <w:gridCol w:w="260"/>
        <w:gridCol w:w="125"/>
        <w:gridCol w:w="875"/>
        <w:gridCol w:w="24"/>
        <w:gridCol w:w="125"/>
        <w:gridCol w:w="875"/>
        <w:gridCol w:w="260"/>
        <w:gridCol w:w="32"/>
        <w:gridCol w:w="175"/>
        <w:gridCol w:w="995"/>
        <w:gridCol w:w="33"/>
        <w:gridCol w:w="23"/>
        <w:gridCol w:w="23"/>
        <w:gridCol w:w="125"/>
        <w:gridCol w:w="875"/>
        <w:gridCol w:w="260"/>
        <w:gridCol w:w="23"/>
        <w:gridCol w:w="125"/>
        <w:gridCol w:w="875"/>
        <w:gridCol w:w="24"/>
      </w:tblGrid>
      <w:tr>
        <w:trPr/>
        <w:tc>
          <w:tcPr>
            <w:tcW w:w="142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2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32"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3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24" w:type="dxa"/>
            <w:tcBorders/>
            <w:shd w:fill="auto" w:val="clear"/>
            <w:vAlign w:val="center"/>
          </w:tcPr>
          <w:p>
            <w:pPr>
              <w:pStyle w:val="TableContents"/>
              <w:spacing w:before="0" w:after="283"/>
              <w:rPr>
                <w:sz w:val="4"/>
                <w:szCs w:val="4"/>
              </w:rPr>
            </w:pPr>
            <w:r>
              <w:rPr>
                <w:sz w:val="4"/>
                <w:szCs w:val="4"/>
              </w:rPr>
            </w:r>
          </w:p>
        </w:tc>
      </w:tr>
      <w:tr>
        <w:trPr/>
        <w:tc>
          <w:tcPr>
            <w:tcW w:w="1420" w:type="dxa"/>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Name and Principal</w:t>
              <w:br/>
              <w:t xml:space="preserve">Position </w:t>
            </w:r>
          </w:p>
        </w:tc>
        <w:tc>
          <w:tcPr>
            <w:tcW w:w="23" w:type="dxa"/>
            <w:tcBorders/>
            <w:shd w:fill="auto" w:val="clear"/>
            <w:vAlign w:val="bottom"/>
          </w:tcPr>
          <w:p>
            <w:pPr>
              <w:pStyle w:val="TableHeading"/>
              <w:spacing w:lineRule="atLeast" w:line="180" w:before="0" w:after="283"/>
              <w:rPr/>
            </w:pPr>
            <w:r>
              <w:rPr/>
              <w:t>​</w:t>
            </w:r>
          </w:p>
        </w:tc>
        <w:tc>
          <w:tcPr>
            <w:tcW w:w="440" w:type="dxa"/>
            <w:gridSpan w:val="2"/>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 xml:space="preserve">Year </w:t>
            </w:r>
          </w:p>
        </w:tc>
        <w:tc>
          <w:tcPr>
            <w:tcW w:w="260" w:type="dxa"/>
            <w:tcBorders/>
            <w:shd w:fill="auto" w:val="clear"/>
            <w:vAlign w:val="bottom"/>
          </w:tcPr>
          <w:p>
            <w:pPr>
              <w:pStyle w:val="TableHeading"/>
              <w:spacing w:lineRule="atLeast" w:line="180" w:before="0" w:after="283"/>
              <w:rPr/>
            </w:pPr>
            <w:r>
              <w:rPr/>
              <w:t>​</w:t>
            </w:r>
          </w:p>
        </w:tc>
        <w:tc>
          <w:tcPr>
            <w:tcW w:w="835" w:type="dxa"/>
            <w:gridSpan w:val="2"/>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Salary</w:t>
            </w:r>
            <w:r>
              <w:rPr>
                <w:rFonts w:ascii="arial" w:hAnsi="arial"/>
                <w:b/>
                <w:sz w:val="12"/>
              </w:rPr>
              <w:t>(1)</w:t>
            </w:r>
            <w:r>
              <w:rPr>
                <w:rFonts w:ascii="arial" w:hAnsi="arial"/>
                <w:b/>
                <w:sz w:val="16"/>
              </w:rPr>
              <w:t xml:space="preserve"> </w:t>
            </w:r>
          </w:p>
        </w:tc>
        <w:tc>
          <w:tcPr>
            <w:tcW w:w="260" w:type="dxa"/>
            <w:tcBorders/>
            <w:shd w:fill="auto" w:val="clear"/>
            <w:vAlign w:val="bottom"/>
          </w:tcPr>
          <w:p>
            <w:pPr>
              <w:pStyle w:val="TableHeading"/>
              <w:spacing w:lineRule="atLeast" w:line="180" w:before="0" w:after="283"/>
              <w:rPr/>
            </w:pPr>
            <w:r>
              <w:rPr/>
              <w:t>​</w:t>
            </w:r>
          </w:p>
        </w:tc>
        <w:tc>
          <w:tcPr>
            <w:tcW w:w="835" w:type="dxa"/>
            <w:gridSpan w:val="2"/>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 xml:space="preserve">Bonus </w:t>
            </w:r>
          </w:p>
        </w:tc>
        <w:tc>
          <w:tcPr>
            <w:tcW w:w="260" w:type="dxa"/>
            <w:tcBorders/>
            <w:shd w:fill="auto" w:val="clear"/>
            <w:vAlign w:val="bottom"/>
          </w:tcPr>
          <w:p>
            <w:pPr>
              <w:pStyle w:val="TableHeading"/>
              <w:spacing w:lineRule="atLeast" w:line="180" w:before="0" w:after="283"/>
              <w:rPr/>
            </w:pPr>
            <w:r>
              <w:rPr/>
              <w:t>​</w:t>
            </w:r>
          </w:p>
        </w:tc>
        <w:tc>
          <w:tcPr>
            <w:tcW w:w="1000" w:type="dxa"/>
            <w:gridSpan w:val="2"/>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Stock</w:t>
              <w:br/>
              <w:t>Awards</w:t>
            </w:r>
            <w:r>
              <w:rPr>
                <w:rFonts w:ascii="arial" w:hAnsi="arial"/>
                <w:b/>
                <w:sz w:val="12"/>
              </w:rPr>
              <w:t>(2)</w:t>
            </w:r>
            <w:r>
              <w:rPr>
                <w:rFonts w:ascii="arial" w:hAnsi="arial"/>
                <w:b/>
                <w:sz w:val="16"/>
              </w:rPr>
              <w:t xml:space="preserve"> </w:t>
            </w:r>
          </w:p>
        </w:tc>
        <w:tc>
          <w:tcPr>
            <w:tcW w:w="24" w:type="dxa"/>
            <w:tcBorders/>
            <w:shd w:fill="auto" w:val="clear"/>
            <w:vAlign w:val="bottom"/>
          </w:tcPr>
          <w:p>
            <w:pPr>
              <w:pStyle w:val="TableHeading"/>
              <w:spacing w:lineRule="atLeast" w:line="180" w:before="0" w:after="283"/>
              <w:rPr/>
            </w:pPr>
            <w:r>
              <w:rPr/>
              <w:t>​</w:t>
            </w:r>
          </w:p>
        </w:tc>
        <w:tc>
          <w:tcPr>
            <w:tcW w:w="1000" w:type="dxa"/>
            <w:gridSpan w:val="2"/>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Option</w:t>
              <w:br/>
              <w:t>Awards</w:t>
            </w:r>
            <w:r>
              <w:rPr>
                <w:rFonts w:ascii="arial" w:hAnsi="arial"/>
                <w:b/>
                <w:sz w:val="12"/>
              </w:rPr>
              <w:t>(3)</w:t>
            </w:r>
            <w:r>
              <w:rPr>
                <w:rFonts w:ascii="arial" w:hAnsi="arial"/>
                <w:b/>
                <w:sz w:val="16"/>
              </w:rPr>
              <w:t xml:space="preserve"> </w:t>
            </w:r>
          </w:p>
        </w:tc>
        <w:tc>
          <w:tcPr>
            <w:tcW w:w="260" w:type="dxa"/>
            <w:tcBorders/>
            <w:shd w:fill="auto" w:val="clear"/>
            <w:vAlign w:val="bottom"/>
          </w:tcPr>
          <w:p>
            <w:pPr>
              <w:pStyle w:val="TableHeading"/>
              <w:spacing w:lineRule="atLeast" w:line="180" w:before="0" w:after="283"/>
              <w:rPr/>
            </w:pPr>
            <w:r>
              <w:rPr/>
              <w:t>​</w:t>
            </w:r>
          </w:p>
        </w:tc>
        <w:tc>
          <w:tcPr>
            <w:tcW w:w="1235" w:type="dxa"/>
            <w:gridSpan w:val="4"/>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Non-Equity</w:t>
              <w:br/>
              <w:t>Incentive</w:t>
              <w:br/>
              <w:t>Plan</w:t>
              <w:br/>
              <w:t>Compensation</w:t>
            </w:r>
            <w:r>
              <w:rPr>
                <w:rFonts w:ascii="arial" w:hAnsi="arial"/>
                <w:b/>
                <w:sz w:val="12"/>
              </w:rPr>
              <w:t>(4)</w:t>
            </w:r>
            <w:r>
              <w:rPr>
                <w:rFonts w:ascii="arial" w:hAnsi="arial"/>
                <w:b/>
                <w:sz w:val="16"/>
              </w:rPr>
              <w:t xml:space="preserve"> </w:t>
            </w:r>
          </w:p>
        </w:tc>
        <w:tc>
          <w:tcPr>
            <w:tcW w:w="23" w:type="dxa"/>
            <w:tcBorders/>
            <w:shd w:fill="auto" w:val="clear"/>
            <w:vAlign w:val="bottom"/>
          </w:tcPr>
          <w:p>
            <w:pPr>
              <w:pStyle w:val="TableHeading"/>
              <w:spacing w:lineRule="atLeast" w:line="180" w:before="0" w:after="283"/>
              <w:rPr/>
            </w:pPr>
            <w:r>
              <w:rPr/>
              <w:t>​</w:t>
            </w:r>
          </w:p>
        </w:tc>
        <w:tc>
          <w:tcPr>
            <w:tcW w:w="1283" w:type="dxa"/>
            <w:gridSpan w:val="4"/>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All Other</w:t>
              <w:br/>
              <w:t>Compensation</w:t>
            </w:r>
            <w:r>
              <w:rPr>
                <w:rFonts w:ascii="arial" w:hAnsi="arial"/>
                <w:b/>
                <w:sz w:val="12"/>
              </w:rPr>
              <w:t>(5)</w:t>
            </w:r>
            <w:r>
              <w:rPr>
                <w:rFonts w:ascii="arial" w:hAnsi="arial"/>
                <w:b/>
                <w:sz w:val="16"/>
              </w:rPr>
              <w:t xml:space="preserve"> </w:t>
            </w:r>
          </w:p>
        </w:tc>
        <w:tc>
          <w:tcPr>
            <w:tcW w:w="23" w:type="dxa"/>
            <w:tcBorders/>
            <w:shd w:fill="auto" w:val="clear"/>
            <w:vAlign w:val="bottom"/>
          </w:tcPr>
          <w:p>
            <w:pPr>
              <w:pStyle w:val="TableHeading"/>
              <w:spacing w:lineRule="atLeast" w:line="180" w:before="0" w:after="283"/>
              <w:rPr/>
            </w:pPr>
            <w:r>
              <w:rPr/>
              <w:t>​</w:t>
            </w:r>
          </w:p>
        </w:tc>
        <w:tc>
          <w:tcPr>
            <w:tcW w:w="1000" w:type="dxa"/>
            <w:gridSpan w:val="2"/>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 xml:space="preserve">Total </w:t>
            </w:r>
          </w:p>
        </w:tc>
        <w:tc>
          <w:tcPr>
            <w:tcW w:w="24" w:type="dxa"/>
            <w:tcBorders/>
            <w:shd w:fill="auto" w:val="clear"/>
            <w:vAlign w:val="bottom"/>
          </w:tcPr>
          <w:p>
            <w:pPr>
              <w:pStyle w:val="TableHeading"/>
              <w:spacing w:lineRule="atLeast" w:line="180" w:before="0" w:after="283"/>
              <w:rPr/>
            </w:pPr>
            <w:r>
              <w:rPr/>
              <w:t>​</w:t>
            </w:r>
          </w:p>
        </w:tc>
      </w:tr>
      <w:tr>
        <w:trPr/>
        <w:tc>
          <w:tcPr>
            <w:tcW w:w="1420" w:type="dxa"/>
            <w:tcBorders/>
            <w:shd w:fill="CCEEFF" w:val="clear"/>
            <w:vAlign w:val="bottom"/>
          </w:tcPr>
          <w:p>
            <w:pPr>
              <w:pStyle w:val="TableContents"/>
              <w:spacing w:before="0" w:after="283"/>
              <w:ind w:left="160" w:right="0" w:hanging="160"/>
              <w:rPr>
                <w:rFonts w:ascii="arial" w:hAnsi="arial"/>
                <w:b/>
                <w:sz w:val="20"/>
              </w:rPr>
            </w:pPr>
            <w:r>
              <w:rPr>
                <w:rFonts w:ascii="arial" w:hAnsi="arial"/>
                <w:b/>
                <w:sz w:val="20"/>
              </w:rPr>
              <w:t>William B. Shepro</w:t>
            </w:r>
          </w:p>
        </w:tc>
        <w:tc>
          <w:tcPr>
            <w:tcW w:w="23" w:type="dxa"/>
            <w:tcBorders/>
            <w:shd w:fill="CCEEFF" w:val="clear"/>
            <w:vAlign w:val="bottom"/>
          </w:tcPr>
          <w:p>
            <w:pPr>
              <w:pStyle w:val="TableContents"/>
              <w:spacing w:before="0" w:after="283"/>
              <w:rPr/>
            </w:pPr>
            <w:r>
              <w:rPr/>
              <w:t>​</w:t>
            </w:r>
          </w:p>
        </w:tc>
        <w:tc>
          <w:tcPr>
            <w:tcW w:w="440"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2018</w:t>
            </w:r>
          </w:p>
        </w:tc>
        <w:tc>
          <w:tcPr>
            <w:tcW w:w="260" w:type="dxa"/>
            <w:tcBorders/>
            <w:shd w:fill="CCEEFF" w:val="clear"/>
            <w:vAlign w:val="bottom"/>
          </w:tcPr>
          <w:p>
            <w:pPr>
              <w:pStyle w:val="TableContents"/>
              <w:spacing w:before="0" w:after="283"/>
              <w:rPr/>
            </w:pPr>
            <w:r>
              <w:rPr/>
              <w:t>​</w:t>
            </w:r>
          </w:p>
        </w:tc>
        <w:tc>
          <w:tcPr>
            <w:tcW w:w="125" w:type="dxa"/>
            <w:tcBorders/>
            <w:shd w:fill="CCEEFF" w:val="clear"/>
            <w:vAlign w:val="bottom"/>
          </w:tcPr>
          <w:p>
            <w:pPr>
              <w:pStyle w:val="TableContents"/>
              <w:spacing w:before="0" w:after="283"/>
              <w:rPr>
                <w:rFonts w:ascii="arial" w:hAnsi="arial"/>
                <w:sz w:val="20"/>
              </w:rPr>
            </w:pPr>
            <w:r>
              <w:rPr>
                <w:rFonts w:ascii="arial" w:hAnsi="arial"/>
                <w:sz w:val="20"/>
              </w:rPr>
              <w:t>$</w:t>
            </w:r>
          </w:p>
        </w:tc>
        <w:tc>
          <w:tcPr>
            <w:tcW w:w="710" w:type="dxa"/>
            <w:tcBorders/>
            <w:shd w:fill="CCEEFF" w:val="clear"/>
            <w:vAlign w:val="bottom"/>
          </w:tcPr>
          <w:p>
            <w:pPr>
              <w:pStyle w:val="TableContents"/>
              <w:spacing w:before="0" w:after="283"/>
              <w:jc w:val="right"/>
              <w:rPr>
                <w:rFonts w:ascii="arial" w:hAnsi="arial"/>
                <w:sz w:val="20"/>
              </w:rPr>
            </w:pPr>
            <w:r>
              <w:rPr>
                <w:rFonts w:ascii="arial" w:hAnsi="arial"/>
                <w:sz w:val="20"/>
              </w:rPr>
              <w:t>807,827</w:t>
            </w:r>
          </w:p>
        </w:tc>
        <w:tc>
          <w:tcPr>
            <w:tcW w:w="260" w:type="dxa"/>
            <w:tcBorders/>
            <w:shd w:fill="CCEEFF" w:val="clear"/>
            <w:vAlign w:val="bottom"/>
          </w:tcPr>
          <w:p>
            <w:pPr>
              <w:pStyle w:val="TableContents"/>
              <w:spacing w:before="0" w:after="283"/>
              <w:rPr/>
            </w:pPr>
            <w:r>
              <w:rPr/>
              <w:t>​</w:t>
            </w:r>
          </w:p>
        </w:tc>
        <w:tc>
          <w:tcPr>
            <w:tcW w:w="835"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w:t>
            </w:r>
          </w:p>
        </w:tc>
        <w:tc>
          <w:tcPr>
            <w:tcW w:w="260" w:type="dxa"/>
            <w:tcBorders/>
            <w:shd w:fill="CCEEFF" w:val="clear"/>
            <w:vAlign w:val="bottom"/>
          </w:tcPr>
          <w:p>
            <w:pPr>
              <w:pStyle w:val="TableContents"/>
              <w:spacing w:before="0" w:after="283"/>
              <w:rPr/>
            </w:pPr>
            <w:r>
              <w:rPr/>
              <w:t>​</w:t>
            </w:r>
          </w:p>
        </w:tc>
        <w:tc>
          <w:tcPr>
            <w:tcW w:w="125" w:type="dxa"/>
            <w:tcBorders/>
            <w:shd w:fill="CCEEFF" w:val="clear"/>
            <w:vAlign w:val="bottom"/>
          </w:tcPr>
          <w:p>
            <w:pPr>
              <w:pStyle w:val="TableContents"/>
              <w:spacing w:before="0" w:after="283"/>
              <w:rPr>
                <w:rFonts w:ascii="arial" w:hAnsi="arial"/>
                <w:sz w:val="20"/>
              </w:rPr>
            </w:pPr>
            <w:r>
              <w:rPr>
                <w:rFonts w:ascii="arial" w:hAnsi="arial"/>
                <w:sz w:val="20"/>
              </w:rPr>
              <w:t>$</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t>2,434,000</w:t>
            </w:r>
          </w:p>
        </w:tc>
        <w:tc>
          <w:tcPr>
            <w:tcW w:w="24" w:type="dxa"/>
            <w:tcBorders/>
            <w:shd w:fill="CCEEFF" w:val="clear"/>
            <w:vAlign w:val="bottom"/>
          </w:tcPr>
          <w:p>
            <w:pPr>
              <w:pStyle w:val="TableContents"/>
              <w:spacing w:before="0" w:after="283"/>
              <w:rPr/>
            </w:pPr>
            <w:r>
              <w:rPr/>
              <w:t>​</w:t>
            </w:r>
          </w:p>
        </w:tc>
        <w:tc>
          <w:tcPr>
            <w:tcW w:w="125" w:type="dxa"/>
            <w:tcBorders/>
            <w:shd w:fill="CCEEFF" w:val="clear"/>
            <w:vAlign w:val="bottom"/>
          </w:tcPr>
          <w:p>
            <w:pPr>
              <w:pStyle w:val="TableContents"/>
              <w:spacing w:before="0" w:after="283"/>
              <w:rPr>
                <w:rFonts w:ascii="arial" w:hAnsi="arial"/>
                <w:sz w:val="20"/>
              </w:rPr>
            </w:pPr>
            <w:r>
              <w:rPr>
                <w:rFonts w:ascii="arial" w:hAnsi="arial"/>
                <w:sz w:val="20"/>
              </w:rPr>
              <w:t>$</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t>1,617,000</w:t>
            </w:r>
          </w:p>
        </w:tc>
        <w:tc>
          <w:tcPr>
            <w:tcW w:w="260" w:type="dxa"/>
            <w:tcBorders/>
            <w:shd w:fill="CCEEFF" w:val="clear"/>
            <w:vAlign w:val="bottom"/>
          </w:tcPr>
          <w:p>
            <w:pPr>
              <w:pStyle w:val="TableContents"/>
              <w:spacing w:before="0" w:after="283"/>
              <w:rPr>
                <w:rFonts w:ascii="arial" w:hAnsi="arial"/>
                <w:position w:val="7"/>
                <w:sz w:val="16"/>
                <w:sz w:val="20"/>
              </w:rPr>
            </w:pPr>
            <w:r>
              <w:rPr>
                <w:rFonts w:ascii="arial" w:hAnsi="arial"/>
                <w:position w:val="7"/>
                <w:sz w:val="16"/>
                <w:sz w:val="20"/>
              </w:rPr>
              <w:t>(6)</w:t>
            </w:r>
          </w:p>
        </w:tc>
        <w:tc>
          <w:tcPr>
            <w:tcW w:w="32" w:type="dxa"/>
            <w:tcBorders/>
            <w:shd w:fill="CCEEFF" w:val="clear"/>
            <w:vAlign w:val="bottom"/>
          </w:tcPr>
          <w:p>
            <w:pPr>
              <w:pStyle w:val="TableContents"/>
              <w:spacing w:before="0" w:after="283"/>
              <w:rPr/>
            </w:pPr>
            <w:r>
              <w:rPr/>
              <w:t>​</w:t>
            </w:r>
          </w:p>
        </w:tc>
        <w:tc>
          <w:tcPr>
            <w:tcW w:w="175" w:type="dxa"/>
            <w:tcBorders/>
            <w:shd w:fill="CCEEFF" w:val="clear"/>
            <w:vAlign w:val="bottom"/>
          </w:tcPr>
          <w:p>
            <w:pPr>
              <w:pStyle w:val="TableContents"/>
              <w:spacing w:before="0" w:after="283"/>
              <w:rPr>
                <w:rFonts w:ascii="arial" w:hAnsi="arial"/>
                <w:sz w:val="20"/>
              </w:rPr>
            </w:pPr>
            <w:r>
              <w:rPr>
                <w:rFonts w:ascii="arial" w:hAnsi="arial"/>
                <w:sz w:val="20"/>
              </w:rPr>
              <w:t>$</w:t>
            </w:r>
          </w:p>
        </w:tc>
        <w:tc>
          <w:tcPr>
            <w:tcW w:w="995" w:type="dxa"/>
            <w:tcBorders/>
            <w:shd w:fill="CCEEFF" w:val="clear"/>
            <w:vAlign w:val="bottom"/>
          </w:tcPr>
          <w:p>
            <w:pPr>
              <w:pStyle w:val="TableContents"/>
              <w:spacing w:before="0" w:after="283"/>
              <w:jc w:val="right"/>
              <w:rPr>
                <w:rFonts w:ascii="arial" w:hAnsi="arial"/>
                <w:sz w:val="20"/>
              </w:rPr>
            </w:pPr>
            <w:r>
              <w:rPr>
                <w:rFonts w:ascii="arial" w:hAnsi="arial"/>
                <w:sz w:val="20"/>
              </w:rPr>
              <w:t>652,402</w:t>
            </w:r>
          </w:p>
        </w:tc>
        <w:tc>
          <w:tcPr>
            <w:tcW w:w="33" w:type="dxa"/>
            <w:tcBorders/>
            <w:shd w:fill="CCEEFF" w:val="clear"/>
            <w:vAlign w:val="bottom"/>
          </w:tcPr>
          <w:p>
            <w:pPr>
              <w:pStyle w:val="TableContents"/>
              <w:spacing w:before="0" w:after="283"/>
              <w:rPr/>
            </w:pPr>
            <w:r>
              <w:rPr/>
              <w:t>​</w:t>
            </w:r>
          </w:p>
        </w:tc>
        <w:tc>
          <w:tcPr>
            <w:tcW w:w="23" w:type="dxa"/>
            <w:tcBorders/>
            <w:shd w:fill="CCEEFF" w:val="clear"/>
            <w:vAlign w:val="bottom"/>
          </w:tcPr>
          <w:p>
            <w:pPr>
              <w:pStyle w:val="TableContents"/>
              <w:spacing w:before="0" w:after="283"/>
              <w:rPr/>
            </w:pPr>
            <w:r>
              <w:rPr/>
              <w:t>​</w:t>
            </w:r>
          </w:p>
        </w:tc>
        <w:tc>
          <w:tcPr>
            <w:tcW w:w="23" w:type="dxa"/>
            <w:tcBorders/>
            <w:shd w:fill="CCEEFF" w:val="clear"/>
            <w:vAlign w:val="bottom"/>
          </w:tcPr>
          <w:p>
            <w:pPr>
              <w:pStyle w:val="TableContents"/>
              <w:spacing w:before="0" w:after="283"/>
              <w:rPr/>
            </w:pPr>
            <w:r>
              <w:rPr/>
              <w:t>​</w:t>
            </w:r>
          </w:p>
        </w:tc>
        <w:tc>
          <w:tcPr>
            <w:tcW w:w="125" w:type="dxa"/>
            <w:tcBorders/>
            <w:shd w:fill="CCEEFF" w:val="clear"/>
            <w:vAlign w:val="bottom"/>
          </w:tcPr>
          <w:p>
            <w:pPr>
              <w:pStyle w:val="TableContents"/>
              <w:spacing w:before="0" w:after="283"/>
              <w:rPr>
                <w:rFonts w:ascii="arial" w:hAnsi="arial"/>
                <w:sz w:val="20"/>
              </w:rPr>
            </w:pPr>
            <w:r>
              <w:rPr>
                <w:rFonts w:ascii="arial" w:hAnsi="arial"/>
                <w:sz w:val="20"/>
              </w:rPr>
              <w:t>$</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t>584,926</w:t>
            </w:r>
          </w:p>
        </w:tc>
        <w:tc>
          <w:tcPr>
            <w:tcW w:w="260" w:type="dxa"/>
            <w:tcBorders/>
            <w:shd w:fill="CCEEFF" w:val="clear"/>
            <w:vAlign w:val="bottom"/>
          </w:tcPr>
          <w:p>
            <w:pPr>
              <w:pStyle w:val="TableContents"/>
              <w:spacing w:before="0" w:after="283"/>
              <w:rPr/>
            </w:pPr>
            <w:r>
              <w:rPr/>
              <w:t>​</w:t>
            </w:r>
          </w:p>
        </w:tc>
        <w:tc>
          <w:tcPr>
            <w:tcW w:w="23" w:type="dxa"/>
            <w:tcBorders/>
            <w:shd w:fill="CCEEFF" w:val="clear"/>
            <w:vAlign w:val="bottom"/>
          </w:tcPr>
          <w:p>
            <w:pPr>
              <w:pStyle w:val="TableContents"/>
              <w:spacing w:before="0" w:after="283"/>
              <w:rPr/>
            </w:pPr>
            <w:r>
              <w:rPr/>
              <w:t>​</w:t>
            </w:r>
          </w:p>
        </w:tc>
        <w:tc>
          <w:tcPr>
            <w:tcW w:w="125" w:type="dxa"/>
            <w:tcBorders/>
            <w:shd w:fill="CCEEFF" w:val="clear"/>
            <w:vAlign w:val="bottom"/>
          </w:tcPr>
          <w:p>
            <w:pPr>
              <w:pStyle w:val="TableContents"/>
              <w:spacing w:before="0" w:after="283"/>
              <w:rPr>
                <w:rFonts w:ascii="arial" w:hAnsi="arial"/>
                <w:sz w:val="20"/>
              </w:rPr>
            </w:pPr>
            <w:r>
              <w:rPr>
                <w:rFonts w:ascii="arial" w:hAnsi="arial"/>
                <w:sz w:val="20"/>
              </w:rPr>
              <w:t>$</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t>6,096,155</w:t>
            </w:r>
          </w:p>
        </w:tc>
        <w:tc>
          <w:tcPr>
            <w:tcW w:w="24" w:type="dxa"/>
            <w:tcBorders/>
            <w:shd w:fill="CCEEFF" w:val="clear"/>
            <w:vAlign w:val="bottom"/>
          </w:tcPr>
          <w:p>
            <w:pPr>
              <w:pStyle w:val="TableContents"/>
              <w:spacing w:before="0" w:after="283"/>
              <w:rPr/>
            </w:pPr>
            <w:r>
              <w:rPr/>
              <w:t>​</w:t>
            </w:r>
          </w:p>
        </w:tc>
      </w:tr>
      <w:tr>
        <w:trPr/>
        <w:tc>
          <w:tcPr>
            <w:tcW w:w="1420" w:type="dxa"/>
            <w:tcBorders/>
            <w:shd w:fill="CCEEFF" w:val="clear"/>
            <w:vAlign w:val="bottom"/>
          </w:tcPr>
          <w:p>
            <w:pPr>
              <w:pStyle w:val="TableContents"/>
              <w:spacing w:before="0" w:after="283"/>
              <w:ind w:left="160" w:right="0" w:hanging="160"/>
              <w:rPr>
                <w:rFonts w:ascii="arial" w:hAnsi="arial"/>
                <w:sz w:val="20"/>
              </w:rPr>
            </w:pPr>
            <w:r>
              <w:rPr>
                <w:rFonts w:ascii="arial" w:hAnsi="arial"/>
                <w:sz w:val="20"/>
              </w:rPr>
              <w:t>Chief Executive</w:t>
            </w:r>
          </w:p>
        </w:tc>
        <w:tc>
          <w:tcPr>
            <w:tcW w:w="23" w:type="dxa"/>
            <w:tcBorders/>
            <w:shd w:fill="CCEEFF" w:val="clear"/>
            <w:vAlign w:val="bottom"/>
          </w:tcPr>
          <w:p>
            <w:pPr>
              <w:pStyle w:val="TableContents"/>
              <w:spacing w:before="0" w:after="283"/>
              <w:rPr/>
            </w:pPr>
            <w:r>
              <w:rPr/>
              <w:t>​</w:t>
            </w:r>
          </w:p>
        </w:tc>
        <w:tc>
          <w:tcPr>
            <w:tcW w:w="440"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2019</w:t>
            </w:r>
          </w:p>
        </w:tc>
        <w:tc>
          <w:tcPr>
            <w:tcW w:w="260" w:type="dxa"/>
            <w:tcBorders/>
            <w:shd w:fill="CCEEFF" w:val="clear"/>
            <w:vAlign w:val="bottom"/>
          </w:tcPr>
          <w:p>
            <w:pPr>
              <w:pStyle w:val="TableContents"/>
              <w:spacing w:before="0" w:after="283"/>
              <w:rPr/>
            </w:pPr>
            <w:r>
              <w:rPr/>
              <w:t>​</w:t>
            </w:r>
          </w:p>
        </w:tc>
        <w:tc>
          <w:tcPr>
            <w:tcW w:w="125" w:type="dxa"/>
            <w:tcBorders/>
            <w:shd w:fill="CCEEFF" w:val="clear"/>
            <w:vAlign w:val="bottom"/>
          </w:tcPr>
          <w:p>
            <w:pPr>
              <w:pStyle w:val="TableContents"/>
              <w:spacing w:before="0" w:after="283"/>
              <w:rPr>
                <w:rFonts w:ascii="arial" w:hAnsi="arial"/>
                <w:sz w:val="20"/>
              </w:rPr>
            </w:pPr>
            <w:r>
              <w:rPr>
                <w:rFonts w:ascii="arial" w:hAnsi="arial"/>
                <w:sz w:val="20"/>
              </w:rPr>
              <w:t>$</w:t>
            </w:r>
          </w:p>
        </w:tc>
        <w:tc>
          <w:tcPr>
            <w:tcW w:w="710" w:type="dxa"/>
            <w:tcBorders/>
            <w:shd w:fill="CCEEFF" w:val="clear"/>
            <w:vAlign w:val="bottom"/>
          </w:tcPr>
          <w:p>
            <w:pPr>
              <w:pStyle w:val="TableContents"/>
              <w:spacing w:before="0" w:after="283"/>
              <w:jc w:val="right"/>
              <w:rPr>
                <w:rFonts w:ascii="arial" w:hAnsi="arial"/>
                <w:sz w:val="20"/>
              </w:rPr>
            </w:pPr>
            <w:r>
              <w:rPr>
                <w:rFonts w:ascii="arial" w:hAnsi="arial"/>
                <w:sz w:val="20"/>
              </w:rPr>
              <w:t>819,484</w:t>
            </w:r>
          </w:p>
        </w:tc>
        <w:tc>
          <w:tcPr>
            <w:tcW w:w="260" w:type="dxa"/>
            <w:tcBorders/>
            <w:shd w:fill="CCEEFF" w:val="clear"/>
            <w:vAlign w:val="bottom"/>
          </w:tcPr>
          <w:p>
            <w:pPr>
              <w:pStyle w:val="TableContents"/>
              <w:spacing w:before="0" w:after="283"/>
              <w:rPr/>
            </w:pPr>
            <w:r>
              <w:rPr/>
              <w:t>​</w:t>
            </w:r>
          </w:p>
        </w:tc>
        <w:tc>
          <w:tcPr>
            <w:tcW w:w="835"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w:t>
            </w:r>
          </w:p>
        </w:tc>
        <w:tc>
          <w:tcPr>
            <w:tcW w:w="260" w:type="dxa"/>
            <w:tcBorders/>
            <w:shd w:fill="CCEEFF" w:val="clear"/>
            <w:vAlign w:val="bottom"/>
          </w:tcPr>
          <w:p>
            <w:pPr>
              <w:pStyle w:val="TableContents"/>
              <w:spacing w:before="0" w:after="283"/>
              <w:rPr/>
            </w:pPr>
            <w:r>
              <w:rPr/>
              <w:t>​</w:t>
            </w:r>
          </w:p>
        </w:tc>
        <w:tc>
          <w:tcPr>
            <w:tcW w:w="125" w:type="dxa"/>
            <w:tcBorders/>
            <w:shd w:fill="CCEEFF" w:val="clear"/>
            <w:vAlign w:val="bottom"/>
          </w:tcPr>
          <w:p>
            <w:pPr>
              <w:pStyle w:val="TableContents"/>
              <w:spacing w:before="0" w:after="283"/>
              <w:rPr>
                <w:rFonts w:ascii="arial" w:hAnsi="arial"/>
                <w:sz w:val="20"/>
              </w:rPr>
            </w:pPr>
            <w:r>
              <w:rPr>
                <w:rFonts w:ascii="arial" w:hAnsi="arial"/>
                <w:sz w:val="20"/>
              </w:rPr>
              <w:t>$</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t>2,226,828</w:t>
            </w:r>
          </w:p>
        </w:tc>
        <w:tc>
          <w:tcPr>
            <w:tcW w:w="24" w:type="dxa"/>
            <w:tcBorders/>
            <w:shd w:fill="CCEEFF" w:val="clear"/>
            <w:vAlign w:val="bottom"/>
          </w:tcPr>
          <w:p>
            <w:pPr>
              <w:pStyle w:val="TableContents"/>
              <w:spacing w:before="0" w:after="283"/>
              <w:rPr/>
            </w:pPr>
            <w:r>
              <w:rPr/>
              <w:t>​</w:t>
            </w:r>
          </w:p>
        </w:tc>
        <w:tc>
          <w:tcPr>
            <w:tcW w:w="1000"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w:t>
            </w:r>
          </w:p>
        </w:tc>
        <w:tc>
          <w:tcPr>
            <w:tcW w:w="260" w:type="dxa"/>
            <w:tcBorders/>
            <w:shd w:fill="CCEEFF" w:val="clear"/>
            <w:vAlign w:val="bottom"/>
          </w:tcPr>
          <w:p>
            <w:pPr>
              <w:pStyle w:val="TableContents"/>
              <w:spacing w:before="0" w:after="283"/>
              <w:rPr/>
            </w:pPr>
            <w:r>
              <w:rPr/>
              <w:t>​</w:t>
            </w:r>
          </w:p>
        </w:tc>
        <w:tc>
          <w:tcPr>
            <w:tcW w:w="32" w:type="dxa"/>
            <w:tcBorders/>
            <w:shd w:fill="CCEEFF" w:val="clear"/>
            <w:vAlign w:val="bottom"/>
          </w:tcPr>
          <w:p>
            <w:pPr>
              <w:pStyle w:val="TableContents"/>
              <w:spacing w:before="0" w:after="283"/>
              <w:rPr/>
            </w:pPr>
            <w:r>
              <w:rPr/>
              <w:t>​</w:t>
            </w:r>
          </w:p>
        </w:tc>
        <w:tc>
          <w:tcPr>
            <w:tcW w:w="175" w:type="dxa"/>
            <w:tcBorders/>
            <w:shd w:fill="CCEEFF" w:val="clear"/>
            <w:vAlign w:val="bottom"/>
          </w:tcPr>
          <w:p>
            <w:pPr>
              <w:pStyle w:val="TableContents"/>
              <w:spacing w:before="0" w:after="283"/>
              <w:rPr>
                <w:rFonts w:ascii="arial" w:hAnsi="arial"/>
                <w:sz w:val="20"/>
              </w:rPr>
            </w:pPr>
            <w:r>
              <w:rPr>
                <w:rFonts w:ascii="arial" w:hAnsi="arial"/>
                <w:sz w:val="20"/>
              </w:rPr>
              <w:t>$</w:t>
            </w:r>
          </w:p>
        </w:tc>
        <w:tc>
          <w:tcPr>
            <w:tcW w:w="995" w:type="dxa"/>
            <w:tcBorders/>
            <w:shd w:fill="CCEEFF" w:val="clear"/>
            <w:vAlign w:val="bottom"/>
          </w:tcPr>
          <w:p>
            <w:pPr>
              <w:pStyle w:val="TableContents"/>
              <w:spacing w:before="0" w:after="283"/>
              <w:jc w:val="right"/>
              <w:rPr>
                <w:rFonts w:ascii="arial" w:hAnsi="arial"/>
                <w:sz w:val="20"/>
              </w:rPr>
            </w:pPr>
            <w:r>
              <w:rPr>
                <w:rFonts w:ascii="arial" w:hAnsi="arial"/>
                <w:sz w:val="20"/>
              </w:rPr>
              <w:t>504,107</w:t>
            </w:r>
          </w:p>
        </w:tc>
        <w:tc>
          <w:tcPr>
            <w:tcW w:w="33" w:type="dxa"/>
            <w:tcBorders/>
            <w:shd w:fill="CCEEFF" w:val="clear"/>
            <w:vAlign w:val="bottom"/>
          </w:tcPr>
          <w:p>
            <w:pPr>
              <w:pStyle w:val="TableContents"/>
              <w:spacing w:before="0" w:after="283"/>
              <w:rPr/>
            </w:pPr>
            <w:r>
              <w:rPr/>
              <w:t>​</w:t>
            </w:r>
          </w:p>
        </w:tc>
        <w:tc>
          <w:tcPr>
            <w:tcW w:w="23" w:type="dxa"/>
            <w:tcBorders/>
            <w:shd w:fill="CCEEFF" w:val="clear"/>
            <w:vAlign w:val="bottom"/>
          </w:tcPr>
          <w:p>
            <w:pPr>
              <w:pStyle w:val="TableContents"/>
              <w:spacing w:before="0" w:after="283"/>
              <w:rPr/>
            </w:pPr>
            <w:r>
              <w:rPr/>
              <w:t>​</w:t>
            </w:r>
          </w:p>
        </w:tc>
        <w:tc>
          <w:tcPr>
            <w:tcW w:w="23" w:type="dxa"/>
            <w:tcBorders/>
            <w:shd w:fill="CCEEFF" w:val="clear"/>
            <w:vAlign w:val="bottom"/>
          </w:tcPr>
          <w:p>
            <w:pPr>
              <w:pStyle w:val="TableContents"/>
              <w:spacing w:before="0" w:after="283"/>
              <w:rPr/>
            </w:pPr>
            <w:r>
              <w:rPr/>
              <w:t>​</w:t>
            </w:r>
          </w:p>
        </w:tc>
        <w:tc>
          <w:tcPr>
            <w:tcW w:w="125" w:type="dxa"/>
            <w:tcBorders/>
            <w:shd w:fill="CCEEFF" w:val="clear"/>
            <w:vAlign w:val="bottom"/>
          </w:tcPr>
          <w:p>
            <w:pPr>
              <w:pStyle w:val="TableContents"/>
              <w:spacing w:before="0" w:after="283"/>
              <w:rPr>
                <w:rFonts w:ascii="arial" w:hAnsi="arial"/>
                <w:sz w:val="20"/>
              </w:rPr>
            </w:pPr>
            <w:r>
              <w:rPr>
                <w:rFonts w:ascii="arial" w:hAnsi="arial"/>
                <w:sz w:val="20"/>
              </w:rPr>
              <w:t>$</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t>2,211,043</w:t>
            </w:r>
          </w:p>
        </w:tc>
        <w:tc>
          <w:tcPr>
            <w:tcW w:w="260" w:type="dxa"/>
            <w:tcBorders/>
            <w:shd w:fill="CCEEFF" w:val="clear"/>
            <w:vAlign w:val="bottom"/>
          </w:tcPr>
          <w:p>
            <w:pPr>
              <w:pStyle w:val="TableContents"/>
              <w:spacing w:before="0" w:after="283"/>
              <w:rPr>
                <w:rFonts w:ascii="arial" w:hAnsi="arial"/>
                <w:position w:val="7"/>
                <w:sz w:val="16"/>
                <w:sz w:val="20"/>
              </w:rPr>
            </w:pPr>
            <w:r>
              <w:rPr>
                <w:rFonts w:ascii="arial" w:hAnsi="arial"/>
                <w:position w:val="7"/>
                <w:sz w:val="16"/>
                <w:sz w:val="20"/>
              </w:rPr>
              <w:t>(7)</w:t>
            </w:r>
          </w:p>
        </w:tc>
        <w:tc>
          <w:tcPr>
            <w:tcW w:w="23" w:type="dxa"/>
            <w:tcBorders/>
            <w:shd w:fill="CCEEFF" w:val="clear"/>
            <w:vAlign w:val="bottom"/>
          </w:tcPr>
          <w:p>
            <w:pPr>
              <w:pStyle w:val="TableContents"/>
              <w:spacing w:before="0" w:after="283"/>
              <w:rPr>
                <w:position w:val="8"/>
                <w:sz w:val="19"/>
              </w:rPr>
            </w:pPr>
            <w:r>
              <w:rPr>
                <w:position w:val="8"/>
                <w:sz w:val="19"/>
              </w:rPr>
              <w:t>​</w:t>
            </w:r>
          </w:p>
        </w:tc>
        <w:tc>
          <w:tcPr>
            <w:tcW w:w="125" w:type="dxa"/>
            <w:tcBorders/>
            <w:shd w:fill="CCEEFF" w:val="clear"/>
            <w:vAlign w:val="bottom"/>
          </w:tcPr>
          <w:p>
            <w:pPr>
              <w:pStyle w:val="TableContents"/>
              <w:spacing w:before="0" w:after="283"/>
              <w:rPr>
                <w:rFonts w:ascii="arial" w:hAnsi="arial"/>
                <w:sz w:val="20"/>
              </w:rPr>
            </w:pPr>
            <w:r>
              <w:rPr>
                <w:rFonts w:ascii="arial" w:hAnsi="arial"/>
                <w:sz w:val="20"/>
              </w:rPr>
              <w:t>$</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t>5,761,462</w:t>
            </w:r>
          </w:p>
        </w:tc>
        <w:tc>
          <w:tcPr>
            <w:tcW w:w="24" w:type="dxa"/>
            <w:tcBorders/>
            <w:shd w:fill="CCEEFF" w:val="clear"/>
            <w:vAlign w:val="bottom"/>
          </w:tcPr>
          <w:p>
            <w:pPr>
              <w:pStyle w:val="TableContents"/>
              <w:spacing w:before="0" w:after="283"/>
              <w:rPr/>
            </w:pPr>
            <w:r>
              <w:rPr/>
              <w:t>​</w:t>
            </w:r>
          </w:p>
        </w:tc>
      </w:tr>
      <w:tr>
        <w:trPr/>
        <w:tc>
          <w:tcPr>
            <w:tcW w:w="1420" w:type="dxa"/>
            <w:tcBorders/>
            <w:shd w:fill="CCEEFF" w:val="clear"/>
            <w:vAlign w:val="bottom"/>
          </w:tcPr>
          <w:p>
            <w:pPr>
              <w:pStyle w:val="TableContents"/>
              <w:spacing w:before="0" w:after="283"/>
              <w:ind w:left="160" w:right="0" w:hanging="160"/>
              <w:rPr>
                <w:rFonts w:ascii="arial" w:hAnsi="arial"/>
                <w:sz w:val="20"/>
              </w:rPr>
            </w:pPr>
            <w:r>
              <w:rPr>
                <w:rFonts w:ascii="arial" w:hAnsi="arial"/>
                <w:sz w:val="20"/>
              </w:rPr>
              <w:t>Officer</w:t>
            </w:r>
          </w:p>
        </w:tc>
        <w:tc>
          <w:tcPr>
            <w:tcW w:w="23" w:type="dxa"/>
            <w:tcBorders/>
            <w:shd w:fill="CCEEFF" w:val="clear"/>
            <w:vAlign w:val="bottom"/>
          </w:tcPr>
          <w:p>
            <w:pPr>
              <w:pStyle w:val="TableContents"/>
              <w:spacing w:before="0" w:after="283"/>
              <w:rPr/>
            </w:pPr>
            <w:r>
              <w:rPr/>
              <w:t>​</w:t>
            </w:r>
          </w:p>
        </w:tc>
        <w:tc>
          <w:tcPr>
            <w:tcW w:w="440"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2020</w:t>
            </w:r>
          </w:p>
        </w:tc>
        <w:tc>
          <w:tcPr>
            <w:tcW w:w="260" w:type="dxa"/>
            <w:tcBorders/>
            <w:shd w:fill="CCEEFF" w:val="clear"/>
            <w:vAlign w:val="bottom"/>
          </w:tcPr>
          <w:p>
            <w:pPr>
              <w:pStyle w:val="TableContents"/>
              <w:spacing w:before="0" w:after="283"/>
              <w:rPr/>
            </w:pPr>
            <w:r>
              <w:rPr/>
              <w:t>​</w:t>
            </w:r>
          </w:p>
        </w:tc>
        <w:tc>
          <w:tcPr>
            <w:tcW w:w="125" w:type="dxa"/>
            <w:tcBorders/>
            <w:shd w:fill="CCEEFF" w:val="clear"/>
            <w:vAlign w:val="bottom"/>
          </w:tcPr>
          <w:p>
            <w:pPr>
              <w:pStyle w:val="TableContents"/>
              <w:spacing w:before="0" w:after="283"/>
              <w:rPr>
                <w:rFonts w:ascii="arial" w:hAnsi="arial"/>
                <w:sz w:val="20"/>
              </w:rPr>
            </w:pPr>
            <w:r>
              <w:rPr>
                <w:rFonts w:ascii="arial" w:hAnsi="arial"/>
                <w:sz w:val="20"/>
              </w:rPr>
              <w:t>$</w:t>
            </w:r>
          </w:p>
        </w:tc>
        <w:tc>
          <w:tcPr>
            <w:tcW w:w="710" w:type="dxa"/>
            <w:tcBorders/>
            <w:shd w:fill="CCEEFF" w:val="clear"/>
            <w:vAlign w:val="bottom"/>
          </w:tcPr>
          <w:p>
            <w:pPr>
              <w:pStyle w:val="TableContents"/>
              <w:spacing w:before="0" w:after="283"/>
              <w:jc w:val="right"/>
              <w:rPr>
                <w:rFonts w:ascii="arial" w:hAnsi="arial"/>
                <w:sz w:val="20"/>
              </w:rPr>
            </w:pPr>
            <w:r>
              <w:rPr>
                <w:rFonts w:ascii="arial" w:hAnsi="arial"/>
                <w:sz w:val="20"/>
              </w:rPr>
              <w:t>669,432</w:t>
            </w:r>
          </w:p>
        </w:tc>
        <w:tc>
          <w:tcPr>
            <w:tcW w:w="260" w:type="dxa"/>
            <w:tcBorders/>
            <w:shd w:fill="CCEEFF" w:val="clear"/>
            <w:vAlign w:val="bottom"/>
          </w:tcPr>
          <w:p>
            <w:pPr>
              <w:pStyle w:val="TableContents"/>
              <w:spacing w:before="0" w:after="283"/>
              <w:rPr>
                <w:rFonts w:ascii="arial" w:hAnsi="arial"/>
                <w:position w:val="7"/>
                <w:sz w:val="16"/>
                <w:sz w:val="20"/>
              </w:rPr>
            </w:pPr>
            <w:r>
              <w:rPr>
                <w:rFonts w:ascii="arial" w:hAnsi="arial"/>
                <w:position w:val="7"/>
                <w:sz w:val="16"/>
                <w:sz w:val="20"/>
              </w:rPr>
              <w:t>(8)</w:t>
            </w:r>
          </w:p>
        </w:tc>
        <w:tc>
          <w:tcPr>
            <w:tcW w:w="835"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w:t>
            </w:r>
          </w:p>
        </w:tc>
        <w:tc>
          <w:tcPr>
            <w:tcW w:w="260" w:type="dxa"/>
            <w:tcBorders/>
            <w:shd w:fill="CCEEFF" w:val="clear"/>
            <w:vAlign w:val="bottom"/>
          </w:tcPr>
          <w:p>
            <w:pPr>
              <w:pStyle w:val="TableContents"/>
              <w:spacing w:before="0" w:after="283"/>
              <w:rPr/>
            </w:pPr>
            <w:r>
              <w:rPr/>
              <w:t>​</w:t>
            </w:r>
          </w:p>
        </w:tc>
        <w:tc>
          <w:tcPr>
            <w:tcW w:w="125" w:type="dxa"/>
            <w:tcBorders/>
            <w:shd w:fill="CCEEFF" w:val="clear"/>
            <w:vAlign w:val="bottom"/>
          </w:tcPr>
          <w:p>
            <w:pPr>
              <w:pStyle w:val="TableContents"/>
              <w:spacing w:before="0" w:after="283"/>
              <w:rPr>
                <w:rFonts w:ascii="arial" w:hAnsi="arial"/>
                <w:sz w:val="20"/>
              </w:rPr>
            </w:pPr>
            <w:r>
              <w:rPr>
                <w:rFonts w:ascii="arial" w:hAnsi="arial"/>
                <w:sz w:val="20"/>
              </w:rPr>
              <w:t>$</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t>1,797,814</w:t>
            </w:r>
          </w:p>
        </w:tc>
        <w:tc>
          <w:tcPr>
            <w:tcW w:w="24" w:type="dxa"/>
            <w:tcBorders/>
            <w:shd w:fill="CCEEFF" w:val="clear"/>
            <w:vAlign w:val="bottom"/>
          </w:tcPr>
          <w:p>
            <w:pPr>
              <w:pStyle w:val="TableContents"/>
              <w:spacing w:before="0" w:after="283"/>
              <w:rPr/>
            </w:pPr>
            <w:r>
              <w:rPr/>
              <w:t>​</w:t>
            </w:r>
          </w:p>
        </w:tc>
        <w:tc>
          <w:tcPr>
            <w:tcW w:w="1000"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w:t>
            </w:r>
          </w:p>
        </w:tc>
        <w:tc>
          <w:tcPr>
            <w:tcW w:w="260" w:type="dxa"/>
            <w:tcBorders/>
            <w:shd w:fill="CCEEFF" w:val="clear"/>
            <w:vAlign w:val="bottom"/>
          </w:tcPr>
          <w:p>
            <w:pPr>
              <w:pStyle w:val="TableContents"/>
              <w:spacing w:before="0" w:after="283"/>
              <w:rPr/>
            </w:pPr>
            <w:r>
              <w:rPr/>
              <w:t>​</w:t>
            </w:r>
          </w:p>
        </w:tc>
        <w:tc>
          <w:tcPr>
            <w:tcW w:w="32" w:type="dxa"/>
            <w:tcBorders/>
            <w:shd w:fill="CCEEFF" w:val="clear"/>
            <w:vAlign w:val="bottom"/>
          </w:tcPr>
          <w:p>
            <w:pPr>
              <w:pStyle w:val="TableContents"/>
              <w:spacing w:before="0" w:after="283"/>
              <w:rPr/>
            </w:pPr>
            <w:r>
              <w:rPr/>
              <w:t>​</w:t>
            </w:r>
          </w:p>
        </w:tc>
        <w:tc>
          <w:tcPr>
            <w:tcW w:w="1170"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w:t>
            </w:r>
          </w:p>
        </w:tc>
        <w:tc>
          <w:tcPr>
            <w:tcW w:w="33" w:type="dxa"/>
            <w:tcBorders/>
            <w:shd w:fill="CCEEFF" w:val="clear"/>
            <w:vAlign w:val="bottom"/>
          </w:tcPr>
          <w:p>
            <w:pPr>
              <w:pStyle w:val="TableContents"/>
              <w:spacing w:before="0" w:after="283"/>
              <w:rPr/>
            </w:pPr>
            <w:r>
              <w:rPr/>
              <w:t>​</w:t>
            </w:r>
          </w:p>
        </w:tc>
        <w:tc>
          <w:tcPr>
            <w:tcW w:w="23" w:type="dxa"/>
            <w:tcBorders/>
            <w:shd w:fill="CCEEFF" w:val="clear"/>
            <w:vAlign w:val="bottom"/>
          </w:tcPr>
          <w:p>
            <w:pPr>
              <w:pStyle w:val="TableContents"/>
              <w:spacing w:before="0" w:after="283"/>
              <w:rPr/>
            </w:pPr>
            <w:r>
              <w:rPr/>
              <w:t>​</w:t>
            </w:r>
          </w:p>
        </w:tc>
        <w:tc>
          <w:tcPr>
            <w:tcW w:w="23" w:type="dxa"/>
            <w:tcBorders/>
            <w:shd w:fill="CCEEFF" w:val="clear"/>
            <w:vAlign w:val="bottom"/>
          </w:tcPr>
          <w:p>
            <w:pPr>
              <w:pStyle w:val="TableContents"/>
              <w:spacing w:before="0" w:after="283"/>
              <w:rPr/>
            </w:pPr>
            <w:r>
              <w:rPr/>
              <w:t>​</w:t>
            </w:r>
          </w:p>
        </w:tc>
        <w:tc>
          <w:tcPr>
            <w:tcW w:w="125" w:type="dxa"/>
            <w:tcBorders/>
            <w:shd w:fill="CCEEFF" w:val="clear"/>
            <w:vAlign w:val="bottom"/>
          </w:tcPr>
          <w:p>
            <w:pPr>
              <w:pStyle w:val="TableContents"/>
              <w:spacing w:before="0" w:after="283"/>
              <w:rPr>
                <w:rFonts w:ascii="arial" w:hAnsi="arial"/>
                <w:sz w:val="20"/>
              </w:rPr>
            </w:pPr>
            <w:r>
              <w:rPr>
                <w:rFonts w:ascii="arial" w:hAnsi="arial"/>
                <w:sz w:val="20"/>
              </w:rPr>
              <w:t>$</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t>356,401</w:t>
            </w:r>
          </w:p>
        </w:tc>
        <w:tc>
          <w:tcPr>
            <w:tcW w:w="260" w:type="dxa"/>
            <w:tcBorders/>
            <w:shd w:fill="CCEEFF" w:val="clear"/>
            <w:vAlign w:val="bottom"/>
          </w:tcPr>
          <w:p>
            <w:pPr>
              <w:pStyle w:val="TableContents"/>
              <w:spacing w:before="0" w:after="283"/>
              <w:rPr>
                <w:rFonts w:ascii="arial" w:hAnsi="arial"/>
                <w:position w:val="7"/>
                <w:sz w:val="16"/>
                <w:sz w:val="20"/>
              </w:rPr>
            </w:pPr>
            <w:r>
              <w:rPr>
                <w:rFonts w:ascii="arial" w:hAnsi="arial"/>
                <w:position w:val="7"/>
                <w:sz w:val="16"/>
                <w:sz w:val="20"/>
              </w:rPr>
              <w:t>(9)</w:t>
            </w:r>
          </w:p>
        </w:tc>
        <w:tc>
          <w:tcPr>
            <w:tcW w:w="23" w:type="dxa"/>
            <w:tcBorders/>
            <w:shd w:fill="CCEEFF" w:val="clear"/>
            <w:vAlign w:val="bottom"/>
          </w:tcPr>
          <w:p>
            <w:pPr>
              <w:pStyle w:val="TableContents"/>
              <w:spacing w:before="0" w:after="283"/>
              <w:rPr>
                <w:position w:val="8"/>
                <w:sz w:val="19"/>
              </w:rPr>
            </w:pPr>
            <w:r>
              <w:rPr>
                <w:position w:val="8"/>
                <w:sz w:val="19"/>
              </w:rPr>
              <w:t>​</w:t>
            </w:r>
          </w:p>
        </w:tc>
        <w:tc>
          <w:tcPr>
            <w:tcW w:w="125" w:type="dxa"/>
            <w:tcBorders/>
            <w:shd w:fill="CCEEFF" w:val="clear"/>
            <w:vAlign w:val="bottom"/>
          </w:tcPr>
          <w:p>
            <w:pPr>
              <w:pStyle w:val="TableContents"/>
              <w:spacing w:before="0" w:after="283"/>
              <w:rPr>
                <w:rFonts w:ascii="arial" w:hAnsi="arial"/>
                <w:sz w:val="20"/>
              </w:rPr>
            </w:pPr>
            <w:r>
              <w:rPr>
                <w:rFonts w:ascii="arial" w:hAnsi="arial"/>
                <w:sz w:val="20"/>
              </w:rPr>
              <w:t>$</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t>2,823,646</w:t>
            </w:r>
          </w:p>
        </w:tc>
        <w:tc>
          <w:tcPr>
            <w:tcW w:w="24" w:type="dxa"/>
            <w:tcBorders/>
            <w:shd w:fill="CCEEFF" w:val="clear"/>
            <w:vAlign w:val="bottom"/>
          </w:tcPr>
          <w:p>
            <w:pPr>
              <w:pStyle w:val="TableContents"/>
              <w:spacing w:before="0" w:after="283"/>
              <w:rPr/>
            </w:pPr>
            <w:r>
              <w:rPr/>
              <w:t>​</w:t>
            </w:r>
          </w:p>
        </w:tc>
      </w:tr>
      <w:tr>
        <w:trPr/>
        <w:tc>
          <w:tcPr>
            <w:tcW w:w="1420" w:type="dxa"/>
            <w:tcBorders/>
            <w:shd w:fill="auto" w:val="clear"/>
            <w:vAlign w:val="bottom"/>
          </w:tcPr>
          <w:p>
            <w:pPr>
              <w:pStyle w:val="TableContents"/>
              <w:spacing w:before="200" w:after="283"/>
              <w:ind w:left="160" w:right="0" w:hanging="160"/>
              <w:rPr>
                <w:rFonts w:ascii="arial" w:hAnsi="arial"/>
                <w:b/>
                <w:sz w:val="20"/>
              </w:rPr>
            </w:pPr>
            <w:r>
              <w:rPr>
                <w:rFonts w:ascii="arial" w:hAnsi="arial"/>
                <w:b/>
                <w:sz w:val="20"/>
              </w:rPr>
              <w:t>Kevin J. Wilcox</w:t>
            </w:r>
          </w:p>
        </w:tc>
        <w:tc>
          <w:tcPr>
            <w:tcW w:w="23" w:type="dxa"/>
            <w:tcBorders/>
            <w:shd w:fill="auto" w:val="clear"/>
            <w:vAlign w:val="bottom"/>
          </w:tcPr>
          <w:p>
            <w:pPr>
              <w:pStyle w:val="TableContents"/>
              <w:spacing w:before="0" w:after="283"/>
              <w:rPr/>
            </w:pPr>
            <w:r>
              <w:rPr/>
              <w:t>​</w:t>
            </w:r>
          </w:p>
        </w:tc>
        <w:tc>
          <w:tcPr>
            <w:tcW w:w="440" w:type="dxa"/>
            <w:gridSpan w:val="2"/>
            <w:tcBorders/>
            <w:shd w:fill="auto" w:val="clear"/>
            <w:vAlign w:val="bottom"/>
          </w:tcPr>
          <w:p>
            <w:pPr>
              <w:pStyle w:val="TableContents"/>
              <w:spacing w:before="0" w:after="283"/>
              <w:jc w:val="right"/>
              <w:rPr>
                <w:rFonts w:ascii="arial" w:hAnsi="arial"/>
                <w:sz w:val="20"/>
              </w:rPr>
            </w:pPr>
            <w:r>
              <w:rPr>
                <w:rFonts w:ascii="arial" w:hAnsi="arial"/>
                <w:sz w:val="20"/>
              </w:rPr>
              <w:br/>
              <w:t>2018</w:t>
            </w:r>
          </w:p>
        </w:tc>
        <w:tc>
          <w:tcPr>
            <w:tcW w:w="260" w:type="dxa"/>
            <w:tcBorders/>
            <w:shd w:fill="auto" w:val="clear"/>
            <w:vAlign w:val="bottom"/>
          </w:tcPr>
          <w:p>
            <w:pPr>
              <w:pStyle w:val="TableContents"/>
              <w:spacing w:before="0" w:after="283"/>
              <w:rPr/>
            </w:pPr>
            <w:r>
              <w:rPr/>
              <w:t>​</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br/>
              <w:t>$</w:t>
            </w:r>
          </w:p>
        </w:tc>
        <w:tc>
          <w:tcPr>
            <w:tcW w:w="710" w:type="dxa"/>
            <w:tcBorders/>
            <w:shd w:fill="auto" w:val="clear"/>
            <w:vAlign w:val="bottom"/>
          </w:tcPr>
          <w:p>
            <w:pPr>
              <w:pStyle w:val="TableContents"/>
              <w:spacing w:before="0" w:after="283"/>
              <w:jc w:val="right"/>
              <w:rPr>
                <w:rFonts w:ascii="arial" w:hAnsi="arial"/>
                <w:sz w:val="20"/>
              </w:rPr>
            </w:pPr>
            <w:r>
              <w:rPr>
                <w:rFonts w:ascii="arial" w:hAnsi="arial"/>
                <w:sz w:val="20"/>
              </w:rPr>
              <w:br/>
              <w:t>479,947</w:t>
            </w:r>
          </w:p>
        </w:tc>
        <w:tc>
          <w:tcPr>
            <w:tcW w:w="260" w:type="dxa"/>
            <w:tcBorders/>
            <w:shd w:fill="auto" w:val="clear"/>
            <w:vAlign w:val="bottom"/>
          </w:tcPr>
          <w:p>
            <w:pPr>
              <w:pStyle w:val="TableContents"/>
              <w:spacing w:before="0" w:after="283"/>
              <w:rPr/>
            </w:pPr>
            <w:r>
              <w:rPr/>
              <w:t>​</w:t>
            </w:r>
          </w:p>
        </w:tc>
        <w:tc>
          <w:tcPr>
            <w:tcW w:w="835" w:type="dxa"/>
            <w:gridSpan w:val="2"/>
            <w:tcBorders/>
            <w:shd w:fill="auto" w:val="clear"/>
            <w:vAlign w:val="bottom"/>
          </w:tcPr>
          <w:p>
            <w:pPr>
              <w:pStyle w:val="TableContents"/>
              <w:spacing w:before="0" w:after="283"/>
              <w:jc w:val="right"/>
              <w:rPr>
                <w:rFonts w:ascii="arial" w:hAnsi="arial"/>
                <w:sz w:val="20"/>
              </w:rPr>
            </w:pPr>
            <w:r>
              <w:rPr>
                <w:rFonts w:ascii="arial" w:hAnsi="arial"/>
                <w:sz w:val="20"/>
              </w:rPr>
              <w:br/>
              <w:t>-</w:t>
            </w:r>
          </w:p>
        </w:tc>
        <w:tc>
          <w:tcPr>
            <w:tcW w:w="260" w:type="dxa"/>
            <w:tcBorders/>
            <w:shd w:fill="auto" w:val="clear"/>
            <w:vAlign w:val="bottom"/>
          </w:tcPr>
          <w:p>
            <w:pPr>
              <w:pStyle w:val="TableContents"/>
              <w:spacing w:before="0" w:after="283"/>
              <w:rPr/>
            </w:pPr>
            <w:r>
              <w:rPr/>
              <w:t>​</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br/>
              <w:t>$</w:t>
            </w:r>
          </w:p>
        </w:tc>
        <w:tc>
          <w:tcPr>
            <w:tcW w:w="875" w:type="dxa"/>
            <w:tcBorders/>
            <w:shd w:fill="auto" w:val="clear"/>
            <w:vAlign w:val="bottom"/>
          </w:tcPr>
          <w:p>
            <w:pPr>
              <w:pStyle w:val="TableContents"/>
              <w:spacing w:before="0" w:after="283"/>
              <w:jc w:val="right"/>
              <w:rPr>
                <w:rFonts w:ascii="arial" w:hAnsi="arial"/>
                <w:sz w:val="20"/>
              </w:rPr>
            </w:pPr>
            <w:r>
              <w:rPr>
                <w:rFonts w:ascii="arial" w:hAnsi="arial"/>
                <w:sz w:val="20"/>
              </w:rPr>
              <w:br/>
              <w:t>1,217,000</w:t>
            </w:r>
          </w:p>
        </w:tc>
        <w:tc>
          <w:tcPr>
            <w:tcW w:w="24" w:type="dxa"/>
            <w:tcBorders/>
            <w:shd w:fill="auto" w:val="clear"/>
            <w:vAlign w:val="bottom"/>
          </w:tcPr>
          <w:p>
            <w:pPr>
              <w:pStyle w:val="TableContents"/>
              <w:spacing w:before="0" w:after="283"/>
              <w:rPr/>
            </w:pPr>
            <w:r>
              <w:rPr/>
              <w:t>​</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br/>
              <w:t>$</w:t>
            </w:r>
          </w:p>
        </w:tc>
        <w:tc>
          <w:tcPr>
            <w:tcW w:w="875" w:type="dxa"/>
            <w:tcBorders/>
            <w:shd w:fill="auto" w:val="clear"/>
            <w:vAlign w:val="bottom"/>
          </w:tcPr>
          <w:p>
            <w:pPr>
              <w:pStyle w:val="TableContents"/>
              <w:spacing w:before="0" w:after="283"/>
              <w:jc w:val="right"/>
              <w:rPr>
                <w:rFonts w:ascii="arial" w:hAnsi="arial"/>
                <w:sz w:val="20"/>
              </w:rPr>
            </w:pPr>
            <w:r>
              <w:rPr>
                <w:rFonts w:ascii="arial" w:hAnsi="arial"/>
                <w:sz w:val="20"/>
              </w:rPr>
              <w:br/>
              <w:t>808,500</w:t>
            </w:r>
          </w:p>
        </w:tc>
        <w:tc>
          <w:tcPr>
            <w:tcW w:w="260" w:type="dxa"/>
            <w:tcBorders/>
            <w:shd w:fill="auto" w:val="clear"/>
            <w:vAlign w:val="bottom"/>
          </w:tcPr>
          <w:p>
            <w:pPr>
              <w:pStyle w:val="TableContents"/>
              <w:spacing w:before="0" w:after="283"/>
              <w:rPr>
                <w:rFonts w:ascii="arial" w:hAnsi="arial"/>
                <w:sz w:val="20"/>
              </w:rPr>
            </w:pPr>
            <w:r>
              <w:rPr>
                <w:rFonts w:ascii="arial" w:hAnsi="arial"/>
                <w:sz w:val="20"/>
              </w:rPr>
              <w:br/>
            </w:r>
            <w:r>
              <w:rPr>
                <w:rFonts w:ascii="arial" w:hAnsi="arial"/>
                <w:position w:val="7"/>
                <w:sz w:val="16"/>
                <w:sz w:val="20"/>
              </w:rPr>
              <w:t>(10)</w:t>
            </w:r>
          </w:p>
        </w:tc>
        <w:tc>
          <w:tcPr>
            <w:tcW w:w="32" w:type="dxa"/>
            <w:tcBorders/>
            <w:shd w:fill="auto" w:val="clear"/>
            <w:vAlign w:val="bottom"/>
          </w:tcPr>
          <w:p>
            <w:pPr>
              <w:pStyle w:val="TableContents"/>
              <w:spacing w:before="0" w:after="283"/>
              <w:rPr>
                <w:rFonts w:ascii="arial" w:hAnsi="arial"/>
                <w:sz w:val="20"/>
              </w:rPr>
            </w:pPr>
            <w:r>
              <w:rPr>
                <w:rFonts w:ascii="arial" w:hAnsi="arial"/>
                <w:sz w:val="20"/>
              </w:rPr>
              <w:br/>
              <w:t>​</w:t>
            </w:r>
          </w:p>
        </w:tc>
        <w:tc>
          <w:tcPr>
            <w:tcW w:w="175" w:type="dxa"/>
            <w:tcBorders/>
            <w:shd w:fill="auto" w:val="clear"/>
            <w:vAlign w:val="bottom"/>
          </w:tcPr>
          <w:p>
            <w:pPr>
              <w:pStyle w:val="TableContents"/>
              <w:spacing w:before="0" w:after="283"/>
              <w:rPr>
                <w:rFonts w:ascii="arial" w:hAnsi="arial"/>
                <w:sz w:val="20"/>
              </w:rPr>
            </w:pPr>
            <w:r>
              <w:rPr>
                <w:rFonts w:ascii="arial" w:hAnsi="arial"/>
                <w:sz w:val="20"/>
              </w:rPr>
              <w:br/>
              <w:t>$</w:t>
            </w:r>
          </w:p>
        </w:tc>
        <w:tc>
          <w:tcPr>
            <w:tcW w:w="995" w:type="dxa"/>
            <w:tcBorders/>
            <w:shd w:fill="auto" w:val="clear"/>
            <w:vAlign w:val="bottom"/>
          </w:tcPr>
          <w:p>
            <w:pPr>
              <w:pStyle w:val="TableContents"/>
              <w:spacing w:before="0" w:after="283"/>
              <w:jc w:val="right"/>
              <w:rPr>
                <w:rFonts w:ascii="arial" w:hAnsi="arial"/>
                <w:sz w:val="20"/>
              </w:rPr>
            </w:pPr>
            <w:r>
              <w:rPr>
                <w:rFonts w:ascii="arial" w:hAnsi="arial"/>
                <w:sz w:val="20"/>
              </w:rPr>
              <w:br/>
              <w:t>258,404</w:t>
            </w:r>
          </w:p>
        </w:tc>
        <w:tc>
          <w:tcPr>
            <w:tcW w:w="3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rFonts w:ascii="arial" w:hAnsi="arial"/>
                <w:sz w:val="20"/>
              </w:rPr>
            </w:pPr>
            <w:r>
              <w:rPr>
                <w:rFonts w:ascii="arial" w:hAnsi="arial"/>
                <w:sz w:val="20"/>
              </w:rPr>
              <w:br/>
              <w:t>​</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br/>
              <w:t>$</w:t>
            </w:r>
          </w:p>
        </w:tc>
        <w:tc>
          <w:tcPr>
            <w:tcW w:w="875" w:type="dxa"/>
            <w:tcBorders/>
            <w:shd w:fill="auto" w:val="clear"/>
            <w:vAlign w:val="bottom"/>
          </w:tcPr>
          <w:p>
            <w:pPr>
              <w:pStyle w:val="TableContents"/>
              <w:spacing w:before="0" w:after="283"/>
              <w:jc w:val="right"/>
              <w:rPr>
                <w:rFonts w:ascii="arial" w:hAnsi="arial"/>
                <w:sz w:val="20"/>
              </w:rPr>
            </w:pPr>
            <w:r>
              <w:rPr>
                <w:rFonts w:ascii="arial" w:hAnsi="arial"/>
                <w:sz w:val="20"/>
              </w:rPr>
              <w:br/>
              <w:t>1,016,818</w:t>
            </w:r>
          </w:p>
        </w:tc>
        <w:tc>
          <w:tcPr>
            <w:tcW w:w="260"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br/>
              <w:t>$</w:t>
            </w:r>
          </w:p>
        </w:tc>
        <w:tc>
          <w:tcPr>
            <w:tcW w:w="875" w:type="dxa"/>
            <w:tcBorders/>
            <w:shd w:fill="auto" w:val="clear"/>
            <w:vAlign w:val="bottom"/>
          </w:tcPr>
          <w:p>
            <w:pPr>
              <w:pStyle w:val="TableContents"/>
              <w:spacing w:before="0" w:after="283"/>
              <w:jc w:val="right"/>
              <w:rPr>
                <w:rFonts w:ascii="arial" w:hAnsi="arial"/>
                <w:sz w:val="20"/>
              </w:rPr>
            </w:pPr>
            <w:r>
              <w:rPr>
                <w:rFonts w:ascii="arial" w:hAnsi="arial"/>
                <w:sz w:val="20"/>
              </w:rPr>
              <w:br/>
              <w:t>3,780,669</w:t>
            </w:r>
          </w:p>
        </w:tc>
        <w:tc>
          <w:tcPr>
            <w:tcW w:w="24" w:type="dxa"/>
            <w:tcBorders/>
            <w:shd w:fill="auto" w:val="clear"/>
            <w:vAlign w:val="bottom"/>
          </w:tcPr>
          <w:p>
            <w:pPr>
              <w:pStyle w:val="TableContents"/>
              <w:spacing w:before="0" w:after="283"/>
              <w:rPr/>
            </w:pPr>
            <w:r>
              <w:rPr/>
              <w:t>​</w:t>
            </w:r>
          </w:p>
        </w:tc>
      </w:tr>
      <w:tr>
        <w:trPr/>
        <w:tc>
          <w:tcPr>
            <w:tcW w:w="1420" w:type="dxa"/>
            <w:tcBorders/>
            <w:shd w:fill="auto" w:val="clear"/>
            <w:vAlign w:val="bottom"/>
          </w:tcPr>
          <w:p>
            <w:pPr>
              <w:pStyle w:val="TableContents"/>
              <w:spacing w:before="0" w:after="283"/>
              <w:ind w:left="160" w:right="0" w:hanging="160"/>
              <w:rPr>
                <w:rFonts w:ascii="arial" w:hAnsi="arial"/>
                <w:sz w:val="20"/>
              </w:rPr>
            </w:pPr>
            <w:r>
              <w:rPr>
                <w:rFonts w:ascii="arial" w:hAnsi="arial"/>
                <w:sz w:val="20"/>
              </w:rPr>
              <w:t>Chief Administration</w:t>
            </w:r>
          </w:p>
        </w:tc>
        <w:tc>
          <w:tcPr>
            <w:tcW w:w="23" w:type="dxa"/>
            <w:tcBorders/>
            <w:shd w:fill="auto" w:val="clear"/>
            <w:vAlign w:val="bottom"/>
          </w:tcPr>
          <w:p>
            <w:pPr>
              <w:pStyle w:val="TableContents"/>
              <w:spacing w:before="0" w:after="283"/>
              <w:rPr/>
            </w:pPr>
            <w:r>
              <w:rPr/>
              <w:t>​</w:t>
            </w:r>
          </w:p>
        </w:tc>
        <w:tc>
          <w:tcPr>
            <w:tcW w:w="440" w:type="dxa"/>
            <w:gridSpan w:val="2"/>
            <w:tcBorders/>
            <w:shd w:fill="auto" w:val="clear"/>
            <w:vAlign w:val="bottom"/>
          </w:tcPr>
          <w:p>
            <w:pPr>
              <w:pStyle w:val="TableContents"/>
              <w:spacing w:before="0" w:after="283"/>
              <w:jc w:val="right"/>
              <w:rPr>
                <w:rFonts w:ascii="arial" w:hAnsi="arial"/>
                <w:sz w:val="20"/>
              </w:rPr>
            </w:pPr>
            <w:r>
              <w:rPr>
                <w:rFonts w:ascii="arial" w:hAnsi="arial"/>
                <w:sz w:val="20"/>
              </w:rPr>
              <w:t>2019</w:t>
            </w:r>
          </w:p>
        </w:tc>
        <w:tc>
          <w:tcPr>
            <w:tcW w:w="260" w:type="dxa"/>
            <w:tcBorders/>
            <w:shd w:fill="auto" w:val="clear"/>
            <w:vAlign w:val="bottom"/>
          </w:tcPr>
          <w:p>
            <w:pPr>
              <w:pStyle w:val="TableContents"/>
              <w:spacing w:before="0" w:after="283"/>
              <w:rPr/>
            </w:pPr>
            <w:r>
              <w:rPr/>
              <w:t>​</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710" w:type="dxa"/>
            <w:tcBorders/>
            <w:shd w:fill="auto" w:val="clear"/>
            <w:vAlign w:val="bottom"/>
          </w:tcPr>
          <w:p>
            <w:pPr>
              <w:pStyle w:val="TableContents"/>
              <w:spacing w:before="0" w:after="283"/>
              <w:jc w:val="right"/>
              <w:rPr>
                <w:rFonts w:ascii="arial" w:hAnsi="arial"/>
                <w:sz w:val="20"/>
              </w:rPr>
            </w:pPr>
            <w:r>
              <w:rPr>
                <w:rFonts w:ascii="arial" w:hAnsi="arial"/>
                <w:sz w:val="20"/>
              </w:rPr>
              <w:t>486,873</w:t>
            </w:r>
          </w:p>
        </w:tc>
        <w:tc>
          <w:tcPr>
            <w:tcW w:w="260" w:type="dxa"/>
            <w:tcBorders/>
            <w:shd w:fill="auto" w:val="clear"/>
            <w:vAlign w:val="bottom"/>
          </w:tcPr>
          <w:p>
            <w:pPr>
              <w:pStyle w:val="TableContents"/>
              <w:spacing w:before="0" w:after="283"/>
              <w:rPr/>
            </w:pPr>
            <w:r>
              <w:rPr/>
              <w:t>​</w:t>
            </w:r>
          </w:p>
        </w:tc>
        <w:tc>
          <w:tcPr>
            <w:tcW w:w="835" w:type="dxa"/>
            <w:gridSpan w:val="2"/>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260" w:type="dxa"/>
            <w:tcBorders/>
            <w:shd w:fill="auto" w:val="clear"/>
            <w:vAlign w:val="bottom"/>
          </w:tcPr>
          <w:p>
            <w:pPr>
              <w:pStyle w:val="TableContents"/>
              <w:spacing w:before="0" w:after="283"/>
              <w:rPr/>
            </w:pPr>
            <w:r>
              <w:rPr/>
              <w:t>​</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875" w:type="dxa"/>
            <w:tcBorders/>
            <w:shd w:fill="auto" w:val="clear"/>
            <w:vAlign w:val="bottom"/>
          </w:tcPr>
          <w:p>
            <w:pPr>
              <w:pStyle w:val="TableContents"/>
              <w:spacing w:before="0" w:after="283"/>
              <w:jc w:val="right"/>
              <w:rPr>
                <w:rFonts w:ascii="arial" w:hAnsi="arial"/>
                <w:sz w:val="20"/>
              </w:rPr>
            </w:pPr>
            <w:r>
              <w:rPr>
                <w:rFonts w:ascii="arial" w:hAnsi="arial"/>
                <w:sz w:val="20"/>
              </w:rPr>
              <w:t>1,000,405</w:t>
            </w:r>
          </w:p>
        </w:tc>
        <w:tc>
          <w:tcPr>
            <w:tcW w:w="24" w:type="dxa"/>
            <w:tcBorders/>
            <w:shd w:fill="auto" w:val="clear"/>
            <w:vAlign w:val="bottom"/>
          </w:tcPr>
          <w:p>
            <w:pPr>
              <w:pStyle w:val="TableContents"/>
              <w:spacing w:before="0" w:after="283"/>
              <w:rPr/>
            </w:pPr>
            <w:r>
              <w:rPr/>
              <w:t>​</w:t>
            </w:r>
          </w:p>
        </w:tc>
        <w:tc>
          <w:tcPr>
            <w:tcW w:w="1000" w:type="dxa"/>
            <w:gridSpan w:val="2"/>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260" w:type="dxa"/>
            <w:tcBorders/>
            <w:shd w:fill="auto" w:val="clear"/>
            <w:vAlign w:val="bottom"/>
          </w:tcPr>
          <w:p>
            <w:pPr>
              <w:pStyle w:val="TableContents"/>
              <w:spacing w:before="0" w:after="283"/>
              <w:rPr/>
            </w:pPr>
            <w:r>
              <w:rPr/>
              <w:t>​</w:t>
            </w:r>
          </w:p>
        </w:tc>
        <w:tc>
          <w:tcPr>
            <w:tcW w:w="32" w:type="dxa"/>
            <w:tcBorders/>
            <w:shd w:fill="auto" w:val="clear"/>
            <w:vAlign w:val="bottom"/>
          </w:tcPr>
          <w:p>
            <w:pPr>
              <w:pStyle w:val="TableContents"/>
              <w:spacing w:before="0" w:after="283"/>
              <w:rPr/>
            </w:pPr>
            <w:r>
              <w:rPr/>
              <w:t>​</w:t>
            </w:r>
          </w:p>
        </w:tc>
        <w:tc>
          <w:tcPr>
            <w:tcW w:w="17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995" w:type="dxa"/>
            <w:tcBorders/>
            <w:shd w:fill="auto" w:val="clear"/>
            <w:vAlign w:val="bottom"/>
          </w:tcPr>
          <w:p>
            <w:pPr>
              <w:pStyle w:val="TableContents"/>
              <w:spacing w:before="0" w:after="283"/>
              <w:jc w:val="right"/>
              <w:rPr>
                <w:rFonts w:ascii="arial" w:hAnsi="arial"/>
                <w:sz w:val="20"/>
              </w:rPr>
            </w:pPr>
            <w:r>
              <w:rPr>
                <w:rFonts w:ascii="arial" w:hAnsi="arial"/>
                <w:sz w:val="20"/>
              </w:rPr>
              <w:t>393,638</w:t>
            </w:r>
          </w:p>
        </w:tc>
        <w:tc>
          <w:tcPr>
            <w:tcW w:w="3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875" w:type="dxa"/>
            <w:tcBorders/>
            <w:shd w:fill="auto" w:val="clear"/>
            <w:vAlign w:val="bottom"/>
          </w:tcPr>
          <w:p>
            <w:pPr>
              <w:pStyle w:val="TableContents"/>
              <w:spacing w:before="0" w:after="283"/>
              <w:jc w:val="right"/>
              <w:rPr>
                <w:rFonts w:ascii="arial" w:hAnsi="arial"/>
                <w:sz w:val="20"/>
              </w:rPr>
            </w:pPr>
            <w:r>
              <w:rPr>
                <w:rFonts w:ascii="arial" w:hAnsi="arial"/>
                <w:sz w:val="20"/>
              </w:rPr>
              <w:t>1,513,449</w:t>
            </w:r>
          </w:p>
        </w:tc>
        <w:tc>
          <w:tcPr>
            <w:tcW w:w="260" w:type="dxa"/>
            <w:tcBorders/>
            <w:shd w:fill="auto" w:val="clear"/>
            <w:vAlign w:val="bottom"/>
          </w:tcPr>
          <w:p>
            <w:pPr>
              <w:pStyle w:val="TableContents"/>
              <w:spacing w:before="0" w:after="283"/>
              <w:rPr>
                <w:rFonts w:ascii="arial" w:hAnsi="arial"/>
                <w:position w:val="7"/>
                <w:sz w:val="16"/>
                <w:sz w:val="20"/>
              </w:rPr>
            </w:pPr>
            <w:r>
              <w:rPr>
                <w:rFonts w:ascii="arial" w:hAnsi="arial"/>
                <w:position w:val="7"/>
                <w:sz w:val="16"/>
                <w:sz w:val="20"/>
              </w:rPr>
              <w:t>(11)</w:t>
            </w:r>
          </w:p>
        </w:tc>
        <w:tc>
          <w:tcPr>
            <w:tcW w:w="23" w:type="dxa"/>
            <w:tcBorders/>
            <w:shd w:fill="auto" w:val="clear"/>
            <w:vAlign w:val="bottom"/>
          </w:tcPr>
          <w:p>
            <w:pPr>
              <w:pStyle w:val="TableContents"/>
              <w:spacing w:before="0" w:after="283"/>
              <w:rPr>
                <w:position w:val="8"/>
                <w:sz w:val="19"/>
              </w:rPr>
            </w:pPr>
            <w:r>
              <w:rPr>
                <w:position w:val="8"/>
                <w:sz w:val="19"/>
              </w:rPr>
              <w:t>​</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875" w:type="dxa"/>
            <w:tcBorders/>
            <w:shd w:fill="auto" w:val="clear"/>
            <w:vAlign w:val="bottom"/>
          </w:tcPr>
          <w:p>
            <w:pPr>
              <w:pStyle w:val="TableContents"/>
              <w:spacing w:before="0" w:after="283"/>
              <w:jc w:val="right"/>
              <w:rPr>
                <w:rFonts w:ascii="arial" w:hAnsi="arial"/>
                <w:sz w:val="20"/>
              </w:rPr>
            </w:pPr>
            <w:r>
              <w:rPr>
                <w:rFonts w:ascii="arial" w:hAnsi="arial"/>
                <w:sz w:val="20"/>
              </w:rPr>
              <w:t>3,394,365</w:t>
            </w:r>
          </w:p>
        </w:tc>
        <w:tc>
          <w:tcPr>
            <w:tcW w:w="24" w:type="dxa"/>
            <w:tcBorders/>
            <w:shd w:fill="auto" w:val="clear"/>
            <w:vAlign w:val="bottom"/>
          </w:tcPr>
          <w:p>
            <w:pPr>
              <w:pStyle w:val="TableContents"/>
              <w:spacing w:before="0" w:after="283"/>
              <w:rPr/>
            </w:pPr>
            <w:r>
              <w:rPr/>
              <w:t>​</w:t>
            </w:r>
          </w:p>
        </w:tc>
      </w:tr>
      <w:tr>
        <w:trPr/>
        <w:tc>
          <w:tcPr>
            <w:tcW w:w="1420" w:type="dxa"/>
            <w:tcBorders/>
            <w:shd w:fill="auto" w:val="clear"/>
            <w:vAlign w:val="bottom"/>
          </w:tcPr>
          <w:p>
            <w:pPr>
              <w:pStyle w:val="TableContents"/>
              <w:spacing w:before="0" w:after="283"/>
              <w:ind w:left="160" w:right="0" w:hanging="160"/>
              <w:rPr>
                <w:rFonts w:ascii="arial" w:hAnsi="arial"/>
                <w:sz w:val="20"/>
              </w:rPr>
            </w:pPr>
            <w:r>
              <w:rPr>
                <w:rFonts w:ascii="arial" w:hAnsi="arial"/>
                <w:sz w:val="20"/>
              </w:rPr>
              <w:t>and Risk Officer</w:t>
            </w:r>
          </w:p>
        </w:tc>
        <w:tc>
          <w:tcPr>
            <w:tcW w:w="23" w:type="dxa"/>
            <w:tcBorders/>
            <w:shd w:fill="auto" w:val="clear"/>
            <w:vAlign w:val="bottom"/>
          </w:tcPr>
          <w:p>
            <w:pPr>
              <w:pStyle w:val="TableContents"/>
              <w:spacing w:before="0" w:after="283"/>
              <w:rPr/>
            </w:pPr>
            <w:r>
              <w:rPr/>
              <w:t>​</w:t>
            </w:r>
          </w:p>
        </w:tc>
        <w:tc>
          <w:tcPr>
            <w:tcW w:w="440" w:type="dxa"/>
            <w:gridSpan w:val="2"/>
            <w:tcBorders/>
            <w:shd w:fill="auto" w:val="clear"/>
            <w:vAlign w:val="bottom"/>
          </w:tcPr>
          <w:p>
            <w:pPr>
              <w:pStyle w:val="TableContents"/>
              <w:spacing w:before="0" w:after="283"/>
              <w:jc w:val="right"/>
              <w:rPr>
                <w:rFonts w:ascii="arial" w:hAnsi="arial"/>
                <w:sz w:val="20"/>
              </w:rPr>
            </w:pPr>
            <w:r>
              <w:rPr>
                <w:rFonts w:ascii="arial" w:hAnsi="arial"/>
                <w:sz w:val="20"/>
              </w:rPr>
              <w:t>2020</w:t>
            </w:r>
          </w:p>
        </w:tc>
        <w:tc>
          <w:tcPr>
            <w:tcW w:w="260" w:type="dxa"/>
            <w:tcBorders/>
            <w:shd w:fill="auto" w:val="clear"/>
            <w:vAlign w:val="bottom"/>
          </w:tcPr>
          <w:p>
            <w:pPr>
              <w:pStyle w:val="TableContents"/>
              <w:spacing w:before="0" w:after="283"/>
              <w:rPr/>
            </w:pPr>
            <w:r>
              <w:rPr/>
              <w:t>​</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710" w:type="dxa"/>
            <w:tcBorders/>
            <w:shd w:fill="auto" w:val="clear"/>
            <w:vAlign w:val="bottom"/>
          </w:tcPr>
          <w:p>
            <w:pPr>
              <w:pStyle w:val="TableContents"/>
              <w:spacing w:before="0" w:after="283"/>
              <w:jc w:val="right"/>
              <w:rPr>
                <w:rFonts w:ascii="arial" w:hAnsi="arial"/>
                <w:sz w:val="20"/>
              </w:rPr>
            </w:pPr>
            <w:r>
              <w:rPr>
                <w:rFonts w:ascii="arial" w:hAnsi="arial"/>
                <w:sz w:val="20"/>
              </w:rPr>
              <w:t>145,915</w:t>
            </w:r>
          </w:p>
        </w:tc>
        <w:tc>
          <w:tcPr>
            <w:tcW w:w="260" w:type="dxa"/>
            <w:tcBorders/>
            <w:shd w:fill="auto" w:val="clear"/>
            <w:vAlign w:val="bottom"/>
          </w:tcPr>
          <w:p>
            <w:pPr>
              <w:pStyle w:val="TableContents"/>
              <w:spacing w:before="0" w:after="283"/>
              <w:rPr>
                <w:rFonts w:ascii="arial" w:hAnsi="arial"/>
                <w:position w:val="7"/>
                <w:sz w:val="16"/>
                <w:sz w:val="20"/>
              </w:rPr>
            </w:pPr>
            <w:r>
              <w:rPr>
                <w:rFonts w:ascii="arial" w:hAnsi="arial"/>
                <w:position w:val="7"/>
                <w:sz w:val="16"/>
                <w:sz w:val="20"/>
              </w:rPr>
              <w:t>(12)</w:t>
            </w:r>
          </w:p>
        </w:tc>
        <w:tc>
          <w:tcPr>
            <w:tcW w:w="835" w:type="dxa"/>
            <w:gridSpan w:val="2"/>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260" w:type="dxa"/>
            <w:tcBorders/>
            <w:shd w:fill="auto" w:val="clear"/>
            <w:vAlign w:val="bottom"/>
          </w:tcPr>
          <w:p>
            <w:pPr>
              <w:pStyle w:val="TableContents"/>
              <w:spacing w:before="0" w:after="283"/>
              <w:rPr/>
            </w:pPr>
            <w:r>
              <w:rPr/>
              <w:t>​</w:t>
            </w:r>
          </w:p>
        </w:tc>
        <w:tc>
          <w:tcPr>
            <w:tcW w:w="1000" w:type="dxa"/>
            <w:gridSpan w:val="2"/>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24" w:type="dxa"/>
            <w:tcBorders/>
            <w:shd w:fill="auto" w:val="clear"/>
            <w:vAlign w:val="bottom"/>
          </w:tcPr>
          <w:p>
            <w:pPr>
              <w:pStyle w:val="TableContents"/>
              <w:spacing w:before="0" w:after="283"/>
              <w:rPr/>
            </w:pPr>
            <w:r>
              <w:rPr/>
              <w:t>​</w:t>
            </w:r>
          </w:p>
        </w:tc>
        <w:tc>
          <w:tcPr>
            <w:tcW w:w="1000" w:type="dxa"/>
            <w:gridSpan w:val="2"/>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260" w:type="dxa"/>
            <w:tcBorders/>
            <w:shd w:fill="auto" w:val="clear"/>
            <w:vAlign w:val="bottom"/>
          </w:tcPr>
          <w:p>
            <w:pPr>
              <w:pStyle w:val="TableContents"/>
              <w:spacing w:before="0" w:after="283"/>
              <w:rPr/>
            </w:pPr>
            <w:r>
              <w:rPr/>
              <w:t>​</w:t>
            </w:r>
          </w:p>
        </w:tc>
        <w:tc>
          <w:tcPr>
            <w:tcW w:w="32" w:type="dxa"/>
            <w:tcBorders/>
            <w:shd w:fill="auto" w:val="clear"/>
            <w:vAlign w:val="bottom"/>
          </w:tcPr>
          <w:p>
            <w:pPr>
              <w:pStyle w:val="TableContents"/>
              <w:spacing w:before="0" w:after="283"/>
              <w:rPr/>
            </w:pPr>
            <w:r>
              <w:rPr/>
              <w:t>​</w:t>
            </w:r>
          </w:p>
        </w:tc>
        <w:tc>
          <w:tcPr>
            <w:tcW w:w="1170" w:type="dxa"/>
            <w:gridSpan w:val="2"/>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3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875" w:type="dxa"/>
            <w:tcBorders/>
            <w:shd w:fill="auto" w:val="clear"/>
            <w:vAlign w:val="bottom"/>
          </w:tcPr>
          <w:p>
            <w:pPr>
              <w:pStyle w:val="TableContents"/>
              <w:spacing w:before="0" w:after="283"/>
              <w:jc w:val="right"/>
              <w:rPr>
                <w:rFonts w:ascii="arial" w:hAnsi="arial"/>
                <w:sz w:val="20"/>
              </w:rPr>
            </w:pPr>
            <w:r>
              <w:rPr>
                <w:rFonts w:ascii="arial" w:hAnsi="arial"/>
                <w:sz w:val="20"/>
              </w:rPr>
              <w:t>1,489,084</w:t>
            </w:r>
          </w:p>
        </w:tc>
        <w:tc>
          <w:tcPr>
            <w:tcW w:w="260" w:type="dxa"/>
            <w:tcBorders/>
            <w:shd w:fill="auto" w:val="clear"/>
            <w:vAlign w:val="bottom"/>
          </w:tcPr>
          <w:p>
            <w:pPr>
              <w:pStyle w:val="TableContents"/>
              <w:spacing w:before="0" w:after="283"/>
              <w:rPr>
                <w:rFonts w:ascii="arial" w:hAnsi="arial"/>
                <w:position w:val="7"/>
                <w:sz w:val="16"/>
                <w:sz w:val="20"/>
              </w:rPr>
            </w:pPr>
            <w:r>
              <w:rPr>
                <w:rFonts w:ascii="arial" w:hAnsi="arial"/>
                <w:position w:val="7"/>
                <w:sz w:val="16"/>
                <w:sz w:val="20"/>
              </w:rPr>
              <w:t>(13)</w:t>
            </w:r>
          </w:p>
        </w:tc>
        <w:tc>
          <w:tcPr>
            <w:tcW w:w="23" w:type="dxa"/>
            <w:tcBorders/>
            <w:shd w:fill="auto" w:val="clear"/>
            <w:vAlign w:val="bottom"/>
          </w:tcPr>
          <w:p>
            <w:pPr>
              <w:pStyle w:val="TableContents"/>
              <w:spacing w:before="0" w:after="283"/>
              <w:rPr>
                <w:position w:val="8"/>
                <w:sz w:val="19"/>
              </w:rPr>
            </w:pPr>
            <w:r>
              <w:rPr>
                <w:position w:val="8"/>
                <w:sz w:val="19"/>
              </w:rPr>
              <w:t>​</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875" w:type="dxa"/>
            <w:tcBorders/>
            <w:shd w:fill="auto" w:val="clear"/>
            <w:vAlign w:val="bottom"/>
          </w:tcPr>
          <w:p>
            <w:pPr>
              <w:pStyle w:val="TableContents"/>
              <w:spacing w:before="0" w:after="283"/>
              <w:jc w:val="right"/>
              <w:rPr>
                <w:rFonts w:ascii="arial" w:hAnsi="arial"/>
                <w:sz w:val="20"/>
              </w:rPr>
            </w:pPr>
            <w:r>
              <w:rPr>
                <w:rFonts w:ascii="arial" w:hAnsi="arial"/>
                <w:sz w:val="20"/>
              </w:rPr>
              <w:t>1,634,999</w:t>
            </w:r>
          </w:p>
        </w:tc>
        <w:tc>
          <w:tcPr>
            <w:tcW w:w="24" w:type="dxa"/>
            <w:tcBorders/>
            <w:shd w:fill="auto" w:val="clear"/>
            <w:vAlign w:val="bottom"/>
          </w:tcPr>
          <w:p>
            <w:pPr>
              <w:pStyle w:val="TableContents"/>
              <w:spacing w:before="0" w:after="283"/>
              <w:rPr/>
            </w:pPr>
            <w:r>
              <w:rPr/>
              <w:t>​</w:t>
            </w:r>
          </w:p>
        </w:tc>
      </w:tr>
      <w:tr>
        <w:trPr/>
        <w:tc>
          <w:tcPr>
            <w:tcW w:w="1420" w:type="dxa"/>
            <w:tcBorders/>
            <w:shd w:fill="CCEEFF" w:val="clear"/>
            <w:vAlign w:val="bottom"/>
          </w:tcPr>
          <w:p>
            <w:pPr>
              <w:pStyle w:val="TableContents"/>
              <w:spacing w:before="200" w:after="283"/>
              <w:ind w:left="160" w:right="0" w:hanging="160"/>
              <w:rPr>
                <w:rFonts w:ascii="arial" w:hAnsi="arial"/>
                <w:b/>
                <w:sz w:val="20"/>
              </w:rPr>
            </w:pPr>
            <w:r>
              <w:rPr>
                <w:rFonts w:ascii="arial" w:hAnsi="arial"/>
                <w:b/>
                <w:sz w:val="20"/>
              </w:rPr>
              <w:t>Michelle D. Esterman</w:t>
            </w:r>
          </w:p>
        </w:tc>
        <w:tc>
          <w:tcPr>
            <w:tcW w:w="23" w:type="dxa"/>
            <w:tcBorders/>
            <w:shd w:fill="CCEEFF" w:val="clear"/>
            <w:vAlign w:val="bottom"/>
          </w:tcPr>
          <w:p>
            <w:pPr>
              <w:pStyle w:val="TableContents"/>
              <w:spacing w:before="0" w:after="283"/>
              <w:rPr/>
            </w:pPr>
            <w:r>
              <w:rPr/>
              <w:t>​</w:t>
            </w:r>
          </w:p>
        </w:tc>
        <w:tc>
          <w:tcPr>
            <w:tcW w:w="440"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br/>
              <w:t>2018</w:t>
            </w:r>
          </w:p>
        </w:tc>
        <w:tc>
          <w:tcPr>
            <w:tcW w:w="260" w:type="dxa"/>
            <w:tcBorders/>
            <w:shd w:fill="CCEEFF" w:val="clear"/>
            <w:vAlign w:val="bottom"/>
          </w:tcPr>
          <w:p>
            <w:pPr>
              <w:pStyle w:val="TableContents"/>
              <w:spacing w:before="0" w:after="283"/>
              <w:rPr>
                <w:rFonts w:ascii="arial" w:hAnsi="arial"/>
                <w:sz w:val="20"/>
              </w:rPr>
            </w:pPr>
            <w:r>
              <w:rPr>
                <w:rFonts w:ascii="arial" w:hAnsi="arial"/>
                <w:sz w:val="20"/>
              </w:rPr>
              <w:br/>
            </w:r>
            <w:r>
              <w:rPr>
                <w:rFonts w:ascii="arial" w:hAnsi="arial"/>
                <w:position w:val="7"/>
                <w:sz w:val="16"/>
                <w:sz w:val="20"/>
              </w:rPr>
              <w:t>(14)</w:t>
            </w:r>
          </w:p>
        </w:tc>
        <w:tc>
          <w:tcPr>
            <w:tcW w:w="125" w:type="dxa"/>
            <w:tcBorders/>
            <w:shd w:fill="CCEEFF" w:val="clear"/>
            <w:vAlign w:val="bottom"/>
          </w:tcPr>
          <w:p>
            <w:pPr>
              <w:pStyle w:val="TableContents"/>
              <w:spacing w:before="0" w:after="283"/>
              <w:rPr>
                <w:rFonts w:ascii="arial" w:hAnsi="arial"/>
                <w:sz w:val="20"/>
              </w:rPr>
            </w:pPr>
            <w:r>
              <w:rPr>
                <w:rFonts w:ascii="arial" w:hAnsi="arial"/>
                <w:sz w:val="20"/>
              </w:rPr>
              <w:br/>
              <w:t>$</w:t>
            </w:r>
          </w:p>
        </w:tc>
        <w:tc>
          <w:tcPr>
            <w:tcW w:w="710" w:type="dxa"/>
            <w:tcBorders/>
            <w:shd w:fill="CCEEFF" w:val="clear"/>
            <w:vAlign w:val="bottom"/>
          </w:tcPr>
          <w:p>
            <w:pPr>
              <w:pStyle w:val="TableContents"/>
              <w:spacing w:before="0" w:after="283"/>
              <w:jc w:val="right"/>
              <w:rPr>
                <w:rFonts w:ascii="arial" w:hAnsi="arial"/>
                <w:sz w:val="20"/>
              </w:rPr>
            </w:pPr>
            <w:r>
              <w:rPr>
                <w:rFonts w:ascii="arial" w:hAnsi="arial"/>
                <w:sz w:val="20"/>
              </w:rPr>
              <w:br/>
              <w:t>430,500</w:t>
            </w:r>
          </w:p>
        </w:tc>
        <w:tc>
          <w:tcPr>
            <w:tcW w:w="260" w:type="dxa"/>
            <w:tcBorders/>
            <w:shd w:fill="CCEEFF" w:val="clear"/>
            <w:vAlign w:val="bottom"/>
          </w:tcPr>
          <w:p>
            <w:pPr>
              <w:pStyle w:val="TableContents"/>
              <w:spacing w:before="0" w:after="283"/>
              <w:rPr/>
            </w:pPr>
            <w:r>
              <w:rPr/>
              <w:t>​</w:t>
            </w:r>
          </w:p>
        </w:tc>
        <w:tc>
          <w:tcPr>
            <w:tcW w:w="835"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br/>
              <w:t>-</w:t>
            </w:r>
          </w:p>
        </w:tc>
        <w:tc>
          <w:tcPr>
            <w:tcW w:w="260" w:type="dxa"/>
            <w:tcBorders/>
            <w:shd w:fill="CCEEFF" w:val="clear"/>
            <w:vAlign w:val="bottom"/>
          </w:tcPr>
          <w:p>
            <w:pPr>
              <w:pStyle w:val="TableContents"/>
              <w:spacing w:before="0" w:after="283"/>
              <w:rPr/>
            </w:pPr>
            <w:r>
              <w:rPr/>
              <w:t>​</w:t>
            </w:r>
          </w:p>
        </w:tc>
        <w:tc>
          <w:tcPr>
            <w:tcW w:w="125" w:type="dxa"/>
            <w:tcBorders/>
            <w:shd w:fill="CCEEFF" w:val="clear"/>
            <w:vAlign w:val="bottom"/>
          </w:tcPr>
          <w:p>
            <w:pPr>
              <w:pStyle w:val="TableContents"/>
              <w:spacing w:before="0" w:after="283"/>
              <w:rPr>
                <w:rFonts w:ascii="arial" w:hAnsi="arial"/>
                <w:sz w:val="20"/>
              </w:rPr>
            </w:pPr>
            <w:r>
              <w:rPr>
                <w:rFonts w:ascii="arial" w:hAnsi="arial"/>
                <w:sz w:val="20"/>
              </w:rPr>
              <w:br/>
              <w:t>$</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br/>
              <w:t>120,653</w:t>
            </w:r>
          </w:p>
        </w:tc>
        <w:tc>
          <w:tcPr>
            <w:tcW w:w="24" w:type="dxa"/>
            <w:tcBorders/>
            <w:shd w:fill="CCEEFF" w:val="clear"/>
            <w:vAlign w:val="bottom"/>
          </w:tcPr>
          <w:p>
            <w:pPr>
              <w:pStyle w:val="TableContents"/>
              <w:spacing w:before="0" w:after="283"/>
              <w:rPr/>
            </w:pPr>
            <w:r>
              <w:rPr/>
              <w:t>​</w:t>
            </w:r>
          </w:p>
        </w:tc>
        <w:tc>
          <w:tcPr>
            <w:tcW w:w="125" w:type="dxa"/>
            <w:tcBorders/>
            <w:shd w:fill="CCEEFF" w:val="clear"/>
            <w:vAlign w:val="bottom"/>
          </w:tcPr>
          <w:p>
            <w:pPr>
              <w:pStyle w:val="TableContents"/>
              <w:spacing w:before="0" w:after="283"/>
              <w:rPr>
                <w:rFonts w:ascii="arial" w:hAnsi="arial"/>
                <w:sz w:val="20"/>
              </w:rPr>
            </w:pPr>
            <w:r>
              <w:rPr>
                <w:rFonts w:ascii="arial" w:hAnsi="arial"/>
                <w:sz w:val="20"/>
              </w:rPr>
              <w:br/>
              <w:t>$</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br/>
              <w:t>140,000</w:t>
            </w:r>
          </w:p>
        </w:tc>
        <w:tc>
          <w:tcPr>
            <w:tcW w:w="260" w:type="dxa"/>
            <w:tcBorders/>
            <w:shd w:fill="CCEEFF" w:val="clear"/>
            <w:vAlign w:val="bottom"/>
          </w:tcPr>
          <w:p>
            <w:pPr>
              <w:pStyle w:val="TableContents"/>
              <w:spacing w:before="0" w:after="283"/>
              <w:rPr>
                <w:rFonts w:ascii="arial" w:hAnsi="arial"/>
                <w:sz w:val="20"/>
              </w:rPr>
            </w:pPr>
            <w:r>
              <w:rPr>
                <w:rFonts w:ascii="arial" w:hAnsi="arial"/>
                <w:sz w:val="20"/>
              </w:rPr>
              <w:br/>
            </w:r>
            <w:r>
              <w:rPr>
                <w:rFonts w:ascii="arial" w:hAnsi="arial"/>
                <w:position w:val="7"/>
                <w:sz w:val="16"/>
                <w:sz w:val="20"/>
              </w:rPr>
              <w:t>(15)</w:t>
            </w:r>
          </w:p>
        </w:tc>
        <w:tc>
          <w:tcPr>
            <w:tcW w:w="32" w:type="dxa"/>
            <w:tcBorders/>
            <w:shd w:fill="CCEEFF" w:val="clear"/>
            <w:vAlign w:val="bottom"/>
          </w:tcPr>
          <w:p>
            <w:pPr>
              <w:pStyle w:val="TableContents"/>
              <w:spacing w:before="0" w:after="283"/>
              <w:rPr>
                <w:rFonts w:ascii="arial" w:hAnsi="arial"/>
                <w:sz w:val="20"/>
              </w:rPr>
            </w:pPr>
            <w:r>
              <w:rPr>
                <w:rFonts w:ascii="arial" w:hAnsi="arial"/>
                <w:sz w:val="20"/>
              </w:rPr>
              <w:br/>
              <w:t>​</w:t>
            </w:r>
          </w:p>
        </w:tc>
        <w:tc>
          <w:tcPr>
            <w:tcW w:w="175" w:type="dxa"/>
            <w:tcBorders/>
            <w:shd w:fill="CCEEFF" w:val="clear"/>
            <w:vAlign w:val="bottom"/>
          </w:tcPr>
          <w:p>
            <w:pPr>
              <w:pStyle w:val="TableContents"/>
              <w:spacing w:before="0" w:after="283"/>
              <w:rPr>
                <w:rFonts w:ascii="arial" w:hAnsi="arial"/>
                <w:sz w:val="20"/>
              </w:rPr>
            </w:pPr>
            <w:r>
              <w:rPr>
                <w:rFonts w:ascii="arial" w:hAnsi="arial"/>
                <w:sz w:val="20"/>
              </w:rPr>
              <w:br/>
              <w:t>$</w:t>
            </w:r>
          </w:p>
        </w:tc>
        <w:tc>
          <w:tcPr>
            <w:tcW w:w="995" w:type="dxa"/>
            <w:tcBorders/>
            <w:shd w:fill="CCEEFF" w:val="clear"/>
            <w:vAlign w:val="bottom"/>
          </w:tcPr>
          <w:p>
            <w:pPr>
              <w:pStyle w:val="TableContents"/>
              <w:spacing w:before="0" w:after="283"/>
              <w:jc w:val="right"/>
              <w:rPr>
                <w:rFonts w:ascii="arial" w:hAnsi="arial"/>
                <w:sz w:val="20"/>
              </w:rPr>
            </w:pPr>
            <w:r>
              <w:rPr>
                <w:rFonts w:ascii="arial" w:hAnsi="arial"/>
                <w:sz w:val="20"/>
              </w:rPr>
              <w:br/>
              <w:t>144,452</w:t>
            </w:r>
          </w:p>
        </w:tc>
        <w:tc>
          <w:tcPr>
            <w:tcW w:w="33" w:type="dxa"/>
            <w:tcBorders/>
            <w:shd w:fill="CCEEFF" w:val="clear"/>
            <w:vAlign w:val="bottom"/>
          </w:tcPr>
          <w:p>
            <w:pPr>
              <w:pStyle w:val="TableContents"/>
              <w:spacing w:before="0" w:after="283"/>
              <w:rPr/>
            </w:pPr>
            <w:r>
              <w:rPr/>
              <w:t>​</w:t>
            </w:r>
          </w:p>
        </w:tc>
        <w:tc>
          <w:tcPr>
            <w:tcW w:w="23" w:type="dxa"/>
            <w:tcBorders/>
            <w:shd w:fill="CCEEFF" w:val="clear"/>
            <w:vAlign w:val="bottom"/>
          </w:tcPr>
          <w:p>
            <w:pPr>
              <w:pStyle w:val="TableContents"/>
              <w:spacing w:before="0" w:after="283"/>
              <w:rPr/>
            </w:pPr>
            <w:r>
              <w:rPr/>
              <w:t>​</w:t>
            </w:r>
          </w:p>
        </w:tc>
        <w:tc>
          <w:tcPr>
            <w:tcW w:w="23" w:type="dxa"/>
            <w:tcBorders/>
            <w:shd w:fill="CCEEFF" w:val="clear"/>
            <w:vAlign w:val="bottom"/>
          </w:tcPr>
          <w:p>
            <w:pPr>
              <w:pStyle w:val="TableContents"/>
              <w:spacing w:before="0" w:after="283"/>
              <w:rPr>
                <w:rFonts w:ascii="arial" w:hAnsi="arial"/>
                <w:sz w:val="20"/>
              </w:rPr>
            </w:pPr>
            <w:r>
              <w:rPr>
                <w:rFonts w:ascii="arial" w:hAnsi="arial"/>
                <w:sz w:val="20"/>
              </w:rPr>
              <w:br/>
              <w:t>​</w:t>
            </w:r>
          </w:p>
        </w:tc>
        <w:tc>
          <w:tcPr>
            <w:tcW w:w="125" w:type="dxa"/>
            <w:tcBorders/>
            <w:shd w:fill="CCEEFF" w:val="clear"/>
            <w:vAlign w:val="bottom"/>
          </w:tcPr>
          <w:p>
            <w:pPr>
              <w:pStyle w:val="TableContents"/>
              <w:spacing w:before="0" w:after="283"/>
              <w:rPr>
                <w:rFonts w:ascii="arial" w:hAnsi="arial"/>
                <w:sz w:val="20"/>
              </w:rPr>
            </w:pPr>
            <w:r>
              <w:rPr>
                <w:rFonts w:ascii="arial" w:hAnsi="arial"/>
                <w:sz w:val="20"/>
              </w:rPr>
              <w:br/>
              <w:t>$</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br/>
              <w:t>23,932</w:t>
            </w:r>
          </w:p>
        </w:tc>
        <w:tc>
          <w:tcPr>
            <w:tcW w:w="260" w:type="dxa"/>
            <w:tcBorders/>
            <w:shd w:fill="CCEEFF" w:val="clear"/>
            <w:vAlign w:val="bottom"/>
          </w:tcPr>
          <w:p>
            <w:pPr>
              <w:pStyle w:val="TableContents"/>
              <w:spacing w:before="0" w:after="283"/>
              <w:rPr/>
            </w:pPr>
            <w:r>
              <w:rPr/>
              <w:t>​</w:t>
            </w:r>
          </w:p>
        </w:tc>
        <w:tc>
          <w:tcPr>
            <w:tcW w:w="23" w:type="dxa"/>
            <w:tcBorders/>
            <w:shd w:fill="CCEEFF" w:val="clear"/>
            <w:vAlign w:val="bottom"/>
          </w:tcPr>
          <w:p>
            <w:pPr>
              <w:pStyle w:val="TableContents"/>
              <w:spacing w:before="0" w:after="283"/>
              <w:rPr/>
            </w:pPr>
            <w:r>
              <w:rPr/>
              <w:t>​</w:t>
            </w:r>
          </w:p>
        </w:tc>
        <w:tc>
          <w:tcPr>
            <w:tcW w:w="125" w:type="dxa"/>
            <w:tcBorders/>
            <w:shd w:fill="CCEEFF" w:val="clear"/>
            <w:vAlign w:val="bottom"/>
          </w:tcPr>
          <w:p>
            <w:pPr>
              <w:pStyle w:val="TableContents"/>
              <w:spacing w:before="0" w:after="283"/>
              <w:rPr>
                <w:rFonts w:ascii="arial" w:hAnsi="arial"/>
                <w:sz w:val="20"/>
              </w:rPr>
            </w:pPr>
            <w:r>
              <w:rPr>
                <w:rFonts w:ascii="arial" w:hAnsi="arial"/>
                <w:sz w:val="20"/>
              </w:rPr>
              <w:br/>
              <w:t>$</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br/>
              <w:t>859,537</w:t>
            </w:r>
          </w:p>
        </w:tc>
        <w:tc>
          <w:tcPr>
            <w:tcW w:w="24" w:type="dxa"/>
            <w:tcBorders/>
            <w:shd w:fill="CCEEFF" w:val="clear"/>
            <w:vAlign w:val="bottom"/>
          </w:tcPr>
          <w:p>
            <w:pPr>
              <w:pStyle w:val="TableContents"/>
              <w:spacing w:before="0" w:after="283"/>
              <w:rPr/>
            </w:pPr>
            <w:r>
              <w:rPr/>
              <w:t>​</w:t>
            </w:r>
          </w:p>
        </w:tc>
      </w:tr>
      <w:tr>
        <w:trPr/>
        <w:tc>
          <w:tcPr>
            <w:tcW w:w="1420" w:type="dxa"/>
            <w:tcBorders/>
            <w:shd w:fill="CCEEFF" w:val="clear"/>
            <w:vAlign w:val="bottom"/>
          </w:tcPr>
          <w:p>
            <w:pPr>
              <w:pStyle w:val="TableContents"/>
              <w:spacing w:before="0" w:after="283"/>
              <w:ind w:left="160" w:right="0" w:hanging="160"/>
              <w:rPr>
                <w:rFonts w:ascii="arial" w:hAnsi="arial"/>
                <w:sz w:val="20"/>
              </w:rPr>
            </w:pPr>
            <w:r>
              <w:rPr>
                <w:rFonts w:ascii="arial" w:hAnsi="arial"/>
                <w:sz w:val="20"/>
              </w:rPr>
              <w:t>Chief Financial Officer</w:t>
            </w:r>
          </w:p>
        </w:tc>
        <w:tc>
          <w:tcPr>
            <w:tcW w:w="23" w:type="dxa"/>
            <w:tcBorders/>
            <w:shd w:fill="CCEEFF" w:val="clear"/>
            <w:vAlign w:val="bottom"/>
          </w:tcPr>
          <w:p>
            <w:pPr>
              <w:pStyle w:val="TableContents"/>
              <w:spacing w:before="0" w:after="283"/>
              <w:rPr/>
            </w:pPr>
            <w:r>
              <w:rPr/>
              <w:t>​</w:t>
            </w:r>
          </w:p>
        </w:tc>
        <w:tc>
          <w:tcPr>
            <w:tcW w:w="440"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2019</w:t>
            </w:r>
          </w:p>
        </w:tc>
        <w:tc>
          <w:tcPr>
            <w:tcW w:w="260" w:type="dxa"/>
            <w:tcBorders/>
            <w:shd w:fill="CCEEFF" w:val="clear"/>
            <w:vAlign w:val="bottom"/>
          </w:tcPr>
          <w:p>
            <w:pPr>
              <w:pStyle w:val="TableContents"/>
              <w:spacing w:before="0" w:after="283"/>
              <w:rPr/>
            </w:pPr>
            <w:r>
              <w:rPr/>
              <w:t>​</w:t>
            </w:r>
          </w:p>
        </w:tc>
        <w:tc>
          <w:tcPr>
            <w:tcW w:w="125" w:type="dxa"/>
            <w:tcBorders/>
            <w:shd w:fill="CCEEFF" w:val="clear"/>
            <w:vAlign w:val="bottom"/>
          </w:tcPr>
          <w:p>
            <w:pPr>
              <w:pStyle w:val="TableContents"/>
              <w:spacing w:before="0" w:after="283"/>
              <w:rPr>
                <w:rFonts w:ascii="arial" w:hAnsi="arial"/>
                <w:sz w:val="20"/>
              </w:rPr>
            </w:pPr>
            <w:r>
              <w:rPr>
                <w:rFonts w:ascii="arial" w:hAnsi="arial"/>
                <w:sz w:val="20"/>
              </w:rPr>
              <w:t>$</w:t>
            </w:r>
          </w:p>
        </w:tc>
        <w:tc>
          <w:tcPr>
            <w:tcW w:w="710" w:type="dxa"/>
            <w:tcBorders/>
            <w:shd w:fill="CCEEFF" w:val="clear"/>
            <w:vAlign w:val="bottom"/>
          </w:tcPr>
          <w:p>
            <w:pPr>
              <w:pStyle w:val="TableContents"/>
              <w:spacing w:before="0" w:after="283"/>
              <w:jc w:val="right"/>
              <w:rPr>
                <w:rFonts w:ascii="arial" w:hAnsi="arial"/>
                <w:sz w:val="20"/>
              </w:rPr>
            </w:pPr>
            <w:r>
              <w:rPr>
                <w:rFonts w:ascii="arial" w:hAnsi="arial"/>
                <w:sz w:val="20"/>
              </w:rPr>
              <w:t>430,500</w:t>
            </w:r>
          </w:p>
        </w:tc>
        <w:tc>
          <w:tcPr>
            <w:tcW w:w="260" w:type="dxa"/>
            <w:tcBorders/>
            <w:shd w:fill="CCEEFF" w:val="clear"/>
            <w:vAlign w:val="bottom"/>
          </w:tcPr>
          <w:p>
            <w:pPr>
              <w:pStyle w:val="TableContents"/>
              <w:spacing w:before="0" w:after="283"/>
              <w:rPr/>
            </w:pPr>
            <w:r>
              <w:rPr/>
              <w:t>​</w:t>
            </w:r>
          </w:p>
        </w:tc>
        <w:tc>
          <w:tcPr>
            <w:tcW w:w="835"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w:t>
            </w:r>
          </w:p>
        </w:tc>
        <w:tc>
          <w:tcPr>
            <w:tcW w:w="260" w:type="dxa"/>
            <w:tcBorders/>
            <w:shd w:fill="CCEEFF" w:val="clear"/>
            <w:vAlign w:val="bottom"/>
          </w:tcPr>
          <w:p>
            <w:pPr>
              <w:pStyle w:val="TableContents"/>
              <w:spacing w:before="0" w:after="283"/>
              <w:rPr/>
            </w:pPr>
            <w:r>
              <w:rPr/>
              <w:t>​</w:t>
            </w:r>
          </w:p>
        </w:tc>
        <w:tc>
          <w:tcPr>
            <w:tcW w:w="125" w:type="dxa"/>
            <w:tcBorders/>
            <w:shd w:fill="CCEEFF" w:val="clear"/>
            <w:vAlign w:val="bottom"/>
          </w:tcPr>
          <w:p>
            <w:pPr>
              <w:pStyle w:val="TableContents"/>
              <w:spacing w:before="0" w:after="283"/>
              <w:rPr>
                <w:rFonts w:ascii="arial" w:hAnsi="arial"/>
                <w:sz w:val="20"/>
              </w:rPr>
            </w:pPr>
            <w:r>
              <w:rPr>
                <w:rFonts w:ascii="arial" w:hAnsi="arial"/>
                <w:sz w:val="20"/>
              </w:rPr>
              <w:t>$</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t>846,430</w:t>
            </w:r>
          </w:p>
        </w:tc>
        <w:tc>
          <w:tcPr>
            <w:tcW w:w="24" w:type="dxa"/>
            <w:tcBorders/>
            <w:shd w:fill="CCEEFF" w:val="clear"/>
            <w:vAlign w:val="bottom"/>
          </w:tcPr>
          <w:p>
            <w:pPr>
              <w:pStyle w:val="TableContents"/>
              <w:spacing w:before="0" w:after="283"/>
              <w:rPr/>
            </w:pPr>
            <w:r>
              <w:rPr/>
              <w:t>​</w:t>
            </w:r>
          </w:p>
        </w:tc>
        <w:tc>
          <w:tcPr>
            <w:tcW w:w="1000"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w:t>
            </w:r>
          </w:p>
        </w:tc>
        <w:tc>
          <w:tcPr>
            <w:tcW w:w="260" w:type="dxa"/>
            <w:tcBorders/>
            <w:shd w:fill="CCEEFF" w:val="clear"/>
            <w:vAlign w:val="bottom"/>
          </w:tcPr>
          <w:p>
            <w:pPr>
              <w:pStyle w:val="TableContents"/>
              <w:spacing w:before="0" w:after="283"/>
              <w:rPr/>
            </w:pPr>
            <w:r>
              <w:rPr/>
              <w:t>​</w:t>
            </w:r>
          </w:p>
        </w:tc>
        <w:tc>
          <w:tcPr>
            <w:tcW w:w="32" w:type="dxa"/>
            <w:tcBorders/>
            <w:shd w:fill="CCEEFF" w:val="clear"/>
            <w:vAlign w:val="bottom"/>
          </w:tcPr>
          <w:p>
            <w:pPr>
              <w:pStyle w:val="TableContents"/>
              <w:spacing w:before="0" w:after="283"/>
              <w:rPr/>
            </w:pPr>
            <w:r>
              <w:rPr/>
              <w:t>​</w:t>
            </w:r>
          </w:p>
        </w:tc>
        <w:tc>
          <w:tcPr>
            <w:tcW w:w="175" w:type="dxa"/>
            <w:tcBorders/>
            <w:shd w:fill="CCEEFF" w:val="clear"/>
            <w:vAlign w:val="bottom"/>
          </w:tcPr>
          <w:p>
            <w:pPr>
              <w:pStyle w:val="TableContents"/>
              <w:spacing w:before="0" w:after="283"/>
              <w:rPr>
                <w:rFonts w:ascii="arial" w:hAnsi="arial"/>
                <w:sz w:val="20"/>
              </w:rPr>
            </w:pPr>
            <w:r>
              <w:rPr>
                <w:rFonts w:ascii="arial" w:hAnsi="arial"/>
                <w:sz w:val="20"/>
              </w:rPr>
              <w:t>$</w:t>
            </w:r>
          </w:p>
        </w:tc>
        <w:tc>
          <w:tcPr>
            <w:tcW w:w="995" w:type="dxa"/>
            <w:tcBorders/>
            <w:shd w:fill="CCEEFF" w:val="clear"/>
            <w:vAlign w:val="bottom"/>
          </w:tcPr>
          <w:p>
            <w:pPr>
              <w:pStyle w:val="TableContents"/>
              <w:spacing w:before="0" w:after="283"/>
              <w:jc w:val="right"/>
              <w:rPr>
                <w:rFonts w:ascii="arial" w:hAnsi="arial"/>
                <w:sz w:val="20"/>
              </w:rPr>
            </w:pPr>
            <w:r>
              <w:rPr>
                <w:rFonts w:ascii="arial" w:hAnsi="arial"/>
                <w:sz w:val="20"/>
              </w:rPr>
              <w:t>100,800</w:t>
            </w:r>
          </w:p>
        </w:tc>
        <w:tc>
          <w:tcPr>
            <w:tcW w:w="33" w:type="dxa"/>
            <w:tcBorders/>
            <w:shd w:fill="CCEEFF" w:val="clear"/>
            <w:vAlign w:val="bottom"/>
          </w:tcPr>
          <w:p>
            <w:pPr>
              <w:pStyle w:val="TableContents"/>
              <w:spacing w:before="0" w:after="283"/>
              <w:rPr/>
            </w:pPr>
            <w:r>
              <w:rPr/>
              <w:t>​</w:t>
            </w:r>
          </w:p>
        </w:tc>
        <w:tc>
          <w:tcPr>
            <w:tcW w:w="23" w:type="dxa"/>
            <w:tcBorders/>
            <w:shd w:fill="CCEEFF" w:val="clear"/>
            <w:vAlign w:val="bottom"/>
          </w:tcPr>
          <w:p>
            <w:pPr>
              <w:pStyle w:val="TableContents"/>
              <w:spacing w:before="0" w:after="283"/>
              <w:rPr/>
            </w:pPr>
            <w:r>
              <w:rPr/>
              <w:t>​</w:t>
            </w:r>
          </w:p>
        </w:tc>
        <w:tc>
          <w:tcPr>
            <w:tcW w:w="23" w:type="dxa"/>
            <w:tcBorders/>
            <w:shd w:fill="CCEEFF" w:val="clear"/>
            <w:vAlign w:val="bottom"/>
          </w:tcPr>
          <w:p>
            <w:pPr>
              <w:pStyle w:val="TableContents"/>
              <w:spacing w:before="0" w:after="283"/>
              <w:rPr/>
            </w:pPr>
            <w:r>
              <w:rPr/>
              <w:t>​</w:t>
            </w:r>
          </w:p>
        </w:tc>
        <w:tc>
          <w:tcPr>
            <w:tcW w:w="125" w:type="dxa"/>
            <w:tcBorders/>
            <w:shd w:fill="CCEEFF" w:val="clear"/>
            <w:vAlign w:val="bottom"/>
          </w:tcPr>
          <w:p>
            <w:pPr>
              <w:pStyle w:val="TableContents"/>
              <w:spacing w:before="0" w:after="283"/>
              <w:rPr>
                <w:rFonts w:ascii="arial" w:hAnsi="arial"/>
                <w:sz w:val="20"/>
              </w:rPr>
            </w:pPr>
            <w:r>
              <w:rPr>
                <w:rFonts w:ascii="arial" w:hAnsi="arial"/>
                <w:sz w:val="20"/>
              </w:rPr>
              <w:t>$</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t>169,195</w:t>
            </w:r>
          </w:p>
        </w:tc>
        <w:tc>
          <w:tcPr>
            <w:tcW w:w="260" w:type="dxa"/>
            <w:tcBorders/>
            <w:shd w:fill="CCEEFF" w:val="clear"/>
            <w:vAlign w:val="bottom"/>
          </w:tcPr>
          <w:p>
            <w:pPr>
              <w:pStyle w:val="TableContents"/>
              <w:spacing w:before="0" w:after="283"/>
              <w:rPr>
                <w:rFonts w:ascii="arial" w:hAnsi="arial"/>
                <w:position w:val="7"/>
                <w:sz w:val="16"/>
                <w:sz w:val="20"/>
              </w:rPr>
            </w:pPr>
            <w:r>
              <w:rPr>
                <w:rFonts w:ascii="arial" w:hAnsi="arial"/>
                <w:position w:val="7"/>
                <w:sz w:val="16"/>
                <w:sz w:val="20"/>
              </w:rPr>
              <w:t>(16)</w:t>
            </w:r>
          </w:p>
        </w:tc>
        <w:tc>
          <w:tcPr>
            <w:tcW w:w="23" w:type="dxa"/>
            <w:tcBorders/>
            <w:shd w:fill="CCEEFF" w:val="clear"/>
            <w:vAlign w:val="bottom"/>
          </w:tcPr>
          <w:p>
            <w:pPr>
              <w:pStyle w:val="TableContents"/>
              <w:spacing w:before="0" w:after="283"/>
              <w:rPr>
                <w:position w:val="8"/>
                <w:sz w:val="19"/>
              </w:rPr>
            </w:pPr>
            <w:r>
              <w:rPr>
                <w:position w:val="8"/>
                <w:sz w:val="19"/>
              </w:rPr>
              <w:t>​</w:t>
            </w:r>
          </w:p>
        </w:tc>
        <w:tc>
          <w:tcPr>
            <w:tcW w:w="125" w:type="dxa"/>
            <w:tcBorders/>
            <w:shd w:fill="CCEEFF" w:val="clear"/>
            <w:vAlign w:val="bottom"/>
          </w:tcPr>
          <w:p>
            <w:pPr>
              <w:pStyle w:val="TableContents"/>
              <w:spacing w:before="0" w:after="283"/>
              <w:rPr>
                <w:rFonts w:ascii="arial" w:hAnsi="arial"/>
                <w:sz w:val="20"/>
              </w:rPr>
            </w:pPr>
            <w:r>
              <w:rPr>
                <w:rFonts w:ascii="arial" w:hAnsi="arial"/>
                <w:sz w:val="20"/>
              </w:rPr>
              <w:t>$</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t>1,546,925</w:t>
            </w:r>
          </w:p>
        </w:tc>
        <w:tc>
          <w:tcPr>
            <w:tcW w:w="24" w:type="dxa"/>
            <w:tcBorders/>
            <w:shd w:fill="CCEEFF" w:val="clear"/>
            <w:vAlign w:val="bottom"/>
          </w:tcPr>
          <w:p>
            <w:pPr>
              <w:pStyle w:val="TableContents"/>
              <w:spacing w:before="0" w:after="283"/>
              <w:rPr/>
            </w:pPr>
            <w:r>
              <w:rPr/>
              <w:t>​</w:t>
            </w:r>
          </w:p>
        </w:tc>
      </w:tr>
      <w:tr>
        <w:trPr/>
        <w:tc>
          <w:tcPr>
            <w:tcW w:w="1420" w:type="dxa"/>
            <w:tcBorders/>
            <w:shd w:fill="CCEEFF" w:val="clear"/>
            <w:vAlign w:val="bottom"/>
          </w:tcPr>
          <w:p>
            <w:pPr>
              <w:pStyle w:val="TableContents"/>
              <w:spacing w:before="0" w:after="283"/>
              <w:ind w:left="160" w:right="0" w:hanging="160"/>
              <w:rPr>
                <w:sz w:val="4"/>
                <w:szCs w:val="4"/>
              </w:rPr>
            </w:pPr>
            <w:r>
              <w:rPr>
                <w:sz w:val="4"/>
                <w:szCs w:val="4"/>
              </w:rPr>
            </w:r>
          </w:p>
        </w:tc>
        <w:tc>
          <w:tcPr>
            <w:tcW w:w="23" w:type="dxa"/>
            <w:tcBorders/>
            <w:shd w:fill="CCEEFF" w:val="clear"/>
            <w:vAlign w:val="bottom"/>
          </w:tcPr>
          <w:p>
            <w:pPr>
              <w:pStyle w:val="TableContents"/>
              <w:spacing w:before="0" w:after="283"/>
              <w:rPr/>
            </w:pPr>
            <w:r>
              <w:rPr/>
              <w:t>​</w:t>
            </w:r>
          </w:p>
        </w:tc>
        <w:tc>
          <w:tcPr>
            <w:tcW w:w="440"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2020</w:t>
            </w:r>
          </w:p>
        </w:tc>
        <w:tc>
          <w:tcPr>
            <w:tcW w:w="260" w:type="dxa"/>
            <w:tcBorders/>
            <w:shd w:fill="CCEEFF" w:val="clear"/>
            <w:vAlign w:val="bottom"/>
          </w:tcPr>
          <w:p>
            <w:pPr>
              <w:pStyle w:val="TableContents"/>
              <w:spacing w:before="0" w:after="283"/>
              <w:rPr/>
            </w:pPr>
            <w:r>
              <w:rPr/>
              <w:t>​</w:t>
            </w:r>
          </w:p>
        </w:tc>
        <w:tc>
          <w:tcPr>
            <w:tcW w:w="125" w:type="dxa"/>
            <w:tcBorders/>
            <w:shd w:fill="CCEEFF" w:val="clear"/>
            <w:vAlign w:val="bottom"/>
          </w:tcPr>
          <w:p>
            <w:pPr>
              <w:pStyle w:val="TableContents"/>
              <w:spacing w:before="0" w:after="283"/>
              <w:rPr>
                <w:rFonts w:ascii="arial" w:hAnsi="arial"/>
                <w:sz w:val="20"/>
              </w:rPr>
            </w:pPr>
            <w:r>
              <w:rPr>
                <w:rFonts w:ascii="arial" w:hAnsi="arial"/>
                <w:sz w:val="20"/>
              </w:rPr>
              <w:t>$</w:t>
            </w:r>
          </w:p>
        </w:tc>
        <w:tc>
          <w:tcPr>
            <w:tcW w:w="710" w:type="dxa"/>
            <w:tcBorders/>
            <w:shd w:fill="CCEEFF" w:val="clear"/>
            <w:vAlign w:val="bottom"/>
          </w:tcPr>
          <w:p>
            <w:pPr>
              <w:pStyle w:val="TableContents"/>
              <w:spacing w:before="0" w:after="283"/>
              <w:jc w:val="right"/>
              <w:rPr>
                <w:rFonts w:ascii="arial" w:hAnsi="arial"/>
                <w:sz w:val="20"/>
              </w:rPr>
            </w:pPr>
            <w:r>
              <w:rPr>
                <w:rFonts w:ascii="arial" w:hAnsi="arial"/>
                <w:sz w:val="20"/>
              </w:rPr>
              <w:t>380,827</w:t>
            </w:r>
          </w:p>
        </w:tc>
        <w:tc>
          <w:tcPr>
            <w:tcW w:w="260" w:type="dxa"/>
            <w:tcBorders/>
            <w:shd w:fill="CCEEFF" w:val="clear"/>
            <w:vAlign w:val="bottom"/>
          </w:tcPr>
          <w:p>
            <w:pPr>
              <w:pStyle w:val="TableContents"/>
              <w:spacing w:before="0" w:after="283"/>
              <w:rPr/>
            </w:pPr>
            <w:r>
              <w:rPr/>
              <w:t>​</w:t>
            </w:r>
          </w:p>
        </w:tc>
        <w:tc>
          <w:tcPr>
            <w:tcW w:w="835"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w:t>
            </w:r>
          </w:p>
        </w:tc>
        <w:tc>
          <w:tcPr>
            <w:tcW w:w="260" w:type="dxa"/>
            <w:tcBorders/>
            <w:shd w:fill="CCEEFF" w:val="clear"/>
            <w:vAlign w:val="bottom"/>
          </w:tcPr>
          <w:p>
            <w:pPr>
              <w:pStyle w:val="TableContents"/>
              <w:spacing w:before="0" w:after="283"/>
              <w:rPr/>
            </w:pPr>
            <w:r>
              <w:rPr/>
              <w:t>​</w:t>
            </w:r>
          </w:p>
        </w:tc>
        <w:tc>
          <w:tcPr>
            <w:tcW w:w="125" w:type="dxa"/>
            <w:tcBorders/>
            <w:shd w:fill="CCEEFF" w:val="clear"/>
            <w:vAlign w:val="bottom"/>
          </w:tcPr>
          <w:p>
            <w:pPr>
              <w:pStyle w:val="TableContents"/>
              <w:spacing w:before="0" w:after="283"/>
              <w:rPr>
                <w:rFonts w:ascii="arial" w:hAnsi="arial"/>
                <w:sz w:val="20"/>
              </w:rPr>
            </w:pPr>
            <w:r>
              <w:rPr>
                <w:rFonts w:ascii="arial" w:hAnsi="arial"/>
                <w:sz w:val="20"/>
              </w:rPr>
              <w:t>$</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t>687,026</w:t>
            </w:r>
          </w:p>
        </w:tc>
        <w:tc>
          <w:tcPr>
            <w:tcW w:w="24" w:type="dxa"/>
            <w:tcBorders/>
            <w:shd w:fill="CCEEFF" w:val="clear"/>
            <w:vAlign w:val="bottom"/>
          </w:tcPr>
          <w:p>
            <w:pPr>
              <w:pStyle w:val="TableContents"/>
              <w:spacing w:before="0" w:after="283"/>
              <w:rPr/>
            </w:pPr>
            <w:r>
              <w:rPr/>
              <w:t>​</w:t>
            </w:r>
          </w:p>
        </w:tc>
        <w:tc>
          <w:tcPr>
            <w:tcW w:w="1000"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w:t>
            </w:r>
          </w:p>
        </w:tc>
        <w:tc>
          <w:tcPr>
            <w:tcW w:w="260" w:type="dxa"/>
            <w:tcBorders/>
            <w:shd w:fill="CCEEFF" w:val="clear"/>
            <w:vAlign w:val="bottom"/>
          </w:tcPr>
          <w:p>
            <w:pPr>
              <w:pStyle w:val="TableContents"/>
              <w:spacing w:before="0" w:after="283"/>
              <w:rPr/>
            </w:pPr>
            <w:r>
              <w:rPr/>
              <w:t>​</w:t>
            </w:r>
          </w:p>
        </w:tc>
        <w:tc>
          <w:tcPr>
            <w:tcW w:w="32" w:type="dxa"/>
            <w:tcBorders/>
            <w:shd w:fill="CCEEFF" w:val="clear"/>
            <w:vAlign w:val="bottom"/>
          </w:tcPr>
          <w:p>
            <w:pPr>
              <w:pStyle w:val="TableContents"/>
              <w:spacing w:before="0" w:after="283"/>
              <w:rPr/>
            </w:pPr>
            <w:r>
              <w:rPr/>
              <w:t>​</w:t>
            </w:r>
          </w:p>
        </w:tc>
        <w:tc>
          <w:tcPr>
            <w:tcW w:w="1170" w:type="dxa"/>
            <w:gridSpan w:val="2"/>
            <w:tcBorders/>
            <w:shd w:fill="CCEEFF" w:val="clear"/>
            <w:vAlign w:val="bottom"/>
          </w:tcPr>
          <w:p>
            <w:pPr>
              <w:pStyle w:val="TableContents"/>
              <w:spacing w:before="0" w:after="283"/>
              <w:jc w:val="right"/>
              <w:rPr/>
            </w:pPr>
            <w:r>
              <w:rPr/>
              <w:t> </w:t>
            </w:r>
          </w:p>
        </w:tc>
        <w:tc>
          <w:tcPr>
            <w:tcW w:w="33" w:type="dxa"/>
            <w:tcBorders/>
            <w:shd w:fill="CCEEFF" w:val="clear"/>
            <w:vAlign w:val="bottom"/>
          </w:tcPr>
          <w:p>
            <w:pPr>
              <w:pStyle w:val="TableContents"/>
              <w:spacing w:before="0" w:after="283"/>
              <w:rPr/>
            </w:pPr>
            <w:r>
              <w:rPr/>
              <w:t>​</w:t>
            </w:r>
          </w:p>
        </w:tc>
        <w:tc>
          <w:tcPr>
            <w:tcW w:w="23" w:type="dxa"/>
            <w:tcBorders/>
            <w:shd w:fill="CCEEFF" w:val="clear"/>
            <w:vAlign w:val="bottom"/>
          </w:tcPr>
          <w:p>
            <w:pPr>
              <w:pStyle w:val="TableContents"/>
              <w:spacing w:before="0" w:after="283"/>
              <w:rPr/>
            </w:pPr>
            <w:r>
              <w:rPr/>
              <w:t>​</w:t>
            </w:r>
          </w:p>
        </w:tc>
        <w:tc>
          <w:tcPr>
            <w:tcW w:w="23" w:type="dxa"/>
            <w:tcBorders/>
            <w:shd w:fill="CCEEFF" w:val="clear"/>
            <w:vAlign w:val="bottom"/>
          </w:tcPr>
          <w:p>
            <w:pPr>
              <w:pStyle w:val="TableContents"/>
              <w:spacing w:before="0" w:after="283"/>
              <w:rPr/>
            </w:pPr>
            <w:r>
              <w:rPr/>
              <w:t>​</w:t>
            </w:r>
          </w:p>
        </w:tc>
        <w:tc>
          <w:tcPr>
            <w:tcW w:w="1000"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w:t>
            </w:r>
          </w:p>
        </w:tc>
        <w:tc>
          <w:tcPr>
            <w:tcW w:w="260" w:type="dxa"/>
            <w:tcBorders/>
            <w:shd w:fill="CCEEFF" w:val="clear"/>
            <w:vAlign w:val="bottom"/>
          </w:tcPr>
          <w:p>
            <w:pPr>
              <w:pStyle w:val="TableContents"/>
              <w:spacing w:before="0" w:after="283"/>
              <w:rPr/>
            </w:pPr>
            <w:r>
              <w:rPr/>
              <w:t>​</w:t>
            </w:r>
          </w:p>
        </w:tc>
        <w:tc>
          <w:tcPr>
            <w:tcW w:w="23" w:type="dxa"/>
            <w:tcBorders/>
            <w:shd w:fill="CCEEFF" w:val="clear"/>
            <w:vAlign w:val="bottom"/>
          </w:tcPr>
          <w:p>
            <w:pPr>
              <w:pStyle w:val="TableContents"/>
              <w:spacing w:before="0" w:after="283"/>
              <w:rPr/>
            </w:pPr>
            <w:r>
              <w:rPr/>
              <w:t>​</w:t>
            </w:r>
          </w:p>
        </w:tc>
        <w:tc>
          <w:tcPr>
            <w:tcW w:w="125" w:type="dxa"/>
            <w:tcBorders/>
            <w:shd w:fill="CCEEFF" w:val="clear"/>
            <w:vAlign w:val="bottom"/>
          </w:tcPr>
          <w:p>
            <w:pPr>
              <w:pStyle w:val="TableContents"/>
              <w:spacing w:before="0" w:after="283"/>
              <w:rPr>
                <w:rFonts w:ascii="arial" w:hAnsi="arial"/>
                <w:sz w:val="20"/>
              </w:rPr>
            </w:pPr>
            <w:r>
              <w:rPr>
                <w:rFonts w:ascii="arial" w:hAnsi="arial"/>
                <w:sz w:val="20"/>
              </w:rPr>
              <w:t>$</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t>1,067,853</w:t>
            </w:r>
          </w:p>
        </w:tc>
        <w:tc>
          <w:tcPr>
            <w:tcW w:w="24" w:type="dxa"/>
            <w:tcBorders/>
            <w:shd w:fill="CCEEFF" w:val="clear"/>
            <w:vAlign w:val="bottom"/>
          </w:tcPr>
          <w:p>
            <w:pPr>
              <w:pStyle w:val="TableContents"/>
              <w:spacing w:before="0" w:after="283"/>
              <w:rPr/>
            </w:pPr>
            <w:r>
              <w:rPr/>
              <w:t>​</w:t>
            </w:r>
          </w:p>
        </w:tc>
      </w:tr>
      <w:tr>
        <w:trPr/>
        <w:tc>
          <w:tcPr>
            <w:tcW w:w="1420" w:type="dxa"/>
            <w:tcBorders/>
            <w:shd w:fill="auto" w:val="clear"/>
            <w:vAlign w:val="bottom"/>
          </w:tcPr>
          <w:p>
            <w:pPr>
              <w:pStyle w:val="TableContents"/>
              <w:spacing w:before="200" w:after="283"/>
              <w:ind w:left="160" w:right="0" w:hanging="160"/>
              <w:rPr>
                <w:rFonts w:ascii="arial" w:hAnsi="arial"/>
                <w:b/>
                <w:sz w:val="20"/>
              </w:rPr>
            </w:pPr>
            <w:r>
              <w:rPr>
                <w:rFonts w:ascii="arial" w:hAnsi="arial"/>
                <w:b/>
                <w:sz w:val="20"/>
              </w:rPr>
              <w:t>Marcello Mastioni</w:t>
            </w:r>
          </w:p>
        </w:tc>
        <w:tc>
          <w:tcPr>
            <w:tcW w:w="23" w:type="dxa"/>
            <w:tcBorders/>
            <w:shd w:fill="auto" w:val="clear"/>
            <w:vAlign w:val="bottom"/>
          </w:tcPr>
          <w:p>
            <w:pPr>
              <w:pStyle w:val="TableContents"/>
              <w:spacing w:before="0" w:after="283"/>
              <w:rPr/>
            </w:pPr>
            <w:r>
              <w:rPr/>
              <w:t>​</w:t>
            </w:r>
          </w:p>
        </w:tc>
        <w:tc>
          <w:tcPr>
            <w:tcW w:w="440" w:type="dxa"/>
            <w:gridSpan w:val="2"/>
            <w:tcBorders/>
            <w:shd w:fill="auto" w:val="clear"/>
            <w:vAlign w:val="bottom"/>
          </w:tcPr>
          <w:p>
            <w:pPr>
              <w:pStyle w:val="TableContents"/>
              <w:spacing w:before="0" w:after="283"/>
              <w:jc w:val="right"/>
              <w:rPr>
                <w:rFonts w:ascii="arial" w:hAnsi="arial"/>
                <w:sz w:val="20"/>
              </w:rPr>
            </w:pPr>
            <w:r>
              <w:rPr>
                <w:rFonts w:ascii="arial" w:hAnsi="arial"/>
                <w:sz w:val="20"/>
              </w:rPr>
              <w:br/>
              <w:t>2018</w:t>
            </w:r>
          </w:p>
        </w:tc>
        <w:tc>
          <w:tcPr>
            <w:tcW w:w="260" w:type="dxa"/>
            <w:tcBorders/>
            <w:shd w:fill="auto" w:val="clear"/>
            <w:vAlign w:val="bottom"/>
          </w:tcPr>
          <w:p>
            <w:pPr>
              <w:pStyle w:val="TableContents"/>
              <w:spacing w:before="0" w:after="283"/>
              <w:rPr>
                <w:rFonts w:ascii="arial" w:hAnsi="arial"/>
                <w:sz w:val="20"/>
              </w:rPr>
            </w:pPr>
            <w:r>
              <w:rPr>
                <w:rFonts w:ascii="arial" w:hAnsi="arial"/>
                <w:sz w:val="20"/>
              </w:rPr>
              <w:br/>
            </w:r>
            <w:r>
              <w:rPr>
                <w:rFonts w:ascii="arial" w:hAnsi="arial"/>
                <w:position w:val="7"/>
                <w:sz w:val="16"/>
                <w:sz w:val="20"/>
              </w:rPr>
              <w:t>(17)</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br/>
              <w:t>$</w:t>
            </w:r>
          </w:p>
        </w:tc>
        <w:tc>
          <w:tcPr>
            <w:tcW w:w="710" w:type="dxa"/>
            <w:tcBorders/>
            <w:shd w:fill="auto" w:val="clear"/>
            <w:vAlign w:val="bottom"/>
          </w:tcPr>
          <w:p>
            <w:pPr>
              <w:pStyle w:val="TableContents"/>
              <w:spacing w:before="0" w:after="283"/>
              <w:jc w:val="right"/>
              <w:rPr>
                <w:rFonts w:ascii="arial" w:hAnsi="arial"/>
                <w:sz w:val="20"/>
              </w:rPr>
            </w:pPr>
            <w:r>
              <w:rPr>
                <w:rFonts w:ascii="arial" w:hAnsi="arial"/>
                <w:sz w:val="20"/>
              </w:rPr>
              <w:br/>
              <w:t>586,614</w:t>
            </w:r>
          </w:p>
        </w:tc>
        <w:tc>
          <w:tcPr>
            <w:tcW w:w="260" w:type="dxa"/>
            <w:tcBorders/>
            <w:shd w:fill="auto" w:val="clear"/>
            <w:vAlign w:val="bottom"/>
          </w:tcPr>
          <w:p>
            <w:pPr>
              <w:pStyle w:val="TableContents"/>
              <w:spacing w:before="0" w:after="283"/>
              <w:rPr/>
            </w:pPr>
            <w:r>
              <w:rPr/>
              <w:t>​</w:t>
            </w:r>
          </w:p>
        </w:tc>
        <w:tc>
          <w:tcPr>
            <w:tcW w:w="835" w:type="dxa"/>
            <w:gridSpan w:val="2"/>
            <w:tcBorders/>
            <w:shd w:fill="auto" w:val="clear"/>
            <w:vAlign w:val="bottom"/>
          </w:tcPr>
          <w:p>
            <w:pPr>
              <w:pStyle w:val="TableContents"/>
              <w:spacing w:before="0" w:after="283"/>
              <w:jc w:val="right"/>
              <w:rPr>
                <w:rFonts w:ascii="arial" w:hAnsi="arial"/>
                <w:sz w:val="20"/>
              </w:rPr>
            </w:pPr>
            <w:r>
              <w:rPr>
                <w:rFonts w:ascii="arial" w:hAnsi="arial"/>
                <w:sz w:val="20"/>
              </w:rPr>
              <w:br/>
              <w:t>-</w:t>
            </w:r>
          </w:p>
        </w:tc>
        <w:tc>
          <w:tcPr>
            <w:tcW w:w="260" w:type="dxa"/>
            <w:tcBorders/>
            <w:shd w:fill="auto" w:val="clear"/>
            <w:vAlign w:val="bottom"/>
          </w:tcPr>
          <w:p>
            <w:pPr>
              <w:pStyle w:val="TableContents"/>
              <w:spacing w:before="0" w:after="283"/>
              <w:rPr/>
            </w:pPr>
            <w:r>
              <w:rPr/>
              <w:t>​</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br/>
              <w:t>$</w:t>
            </w:r>
          </w:p>
        </w:tc>
        <w:tc>
          <w:tcPr>
            <w:tcW w:w="875" w:type="dxa"/>
            <w:tcBorders/>
            <w:shd w:fill="auto" w:val="clear"/>
            <w:vAlign w:val="bottom"/>
          </w:tcPr>
          <w:p>
            <w:pPr>
              <w:pStyle w:val="TableContents"/>
              <w:spacing w:before="0" w:after="283"/>
              <w:jc w:val="right"/>
              <w:rPr>
                <w:rFonts w:ascii="arial" w:hAnsi="arial"/>
                <w:sz w:val="20"/>
              </w:rPr>
            </w:pPr>
            <w:r>
              <w:rPr>
                <w:rFonts w:ascii="arial" w:hAnsi="arial"/>
                <w:sz w:val="20"/>
              </w:rPr>
              <w:br/>
              <w:t>484,519</w:t>
            </w:r>
          </w:p>
        </w:tc>
        <w:tc>
          <w:tcPr>
            <w:tcW w:w="24" w:type="dxa"/>
            <w:tcBorders/>
            <w:shd w:fill="auto" w:val="clear"/>
            <w:vAlign w:val="bottom"/>
          </w:tcPr>
          <w:p>
            <w:pPr>
              <w:pStyle w:val="TableContents"/>
              <w:spacing w:before="0" w:after="283"/>
              <w:rPr/>
            </w:pPr>
            <w:r>
              <w:rPr/>
              <w:t>​</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br/>
              <w:t>$</w:t>
            </w:r>
          </w:p>
        </w:tc>
        <w:tc>
          <w:tcPr>
            <w:tcW w:w="875" w:type="dxa"/>
            <w:tcBorders/>
            <w:shd w:fill="auto" w:val="clear"/>
            <w:vAlign w:val="bottom"/>
          </w:tcPr>
          <w:p>
            <w:pPr>
              <w:pStyle w:val="TableContents"/>
              <w:spacing w:before="0" w:after="283"/>
              <w:jc w:val="right"/>
              <w:rPr>
                <w:rFonts w:ascii="arial" w:hAnsi="arial"/>
                <w:sz w:val="20"/>
              </w:rPr>
            </w:pPr>
            <w:r>
              <w:rPr>
                <w:rFonts w:ascii="arial" w:hAnsi="arial"/>
                <w:sz w:val="20"/>
              </w:rPr>
              <w:br/>
              <w:t>180,004</w:t>
            </w:r>
          </w:p>
        </w:tc>
        <w:tc>
          <w:tcPr>
            <w:tcW w:w="260" w:type="dxa"/>
            <w:tcBorders/>
            <w:shd w:fill="auto" w:val="clear"/>
            <w:vAlign w:val="bottom"/>
          </w:tcPr>
          <w:p>
            <w:pPr>
              <w:pStyle w:val="TableContents"/>
              <w:spacing w:before="0" w:after="283"/>
              <w:rPr>
                <w:rFonts w:ascii="arial" w:hAnsi="arial"/>
                <w:sz w:val="20"/>
              </w:rPr>
            </w:pPr>
            <w:r>
              <w:rPr>
                <w:rFonts w:ascii="arial" w:hAnsi="arial"/>
                <w:sz w:val="20"/>
              </w:rPr>
              <w:br/>
            </w:r>
            <w:r>
              <w:rPr>
                <w:rFonts w:ascii="arial" w:hAnsi="arial"/>
                <w:position w:val="7"/>
                <w:sz w:val="16"/>
                <w:sz w:val="20"/>
              </w:rPr>
              <w:t>(18)</w:t>
            </w:r>
          </w:p>
        </w:tc>
        <w:tc>
          <w:tcPr>
            <w:tcW w:w="32" w:type="dxa"/>
            <w:tcBorders/>
            <w:shd w:fill="auto" w:val="clear"/>
            <w:vAlign w:val="bottom"/>
          </w:tcPr>
          <w:p>
            <w:pPr>
              <w:pStyle w:val="TableContents"/>
              <w:spacing w:before="0" w:after="283"/>
              <w:rPr>
                <w:rFonts w:ascii="arial" w:hAnsi="arial"/>
                <w:sz w:val="20"/>
              </w:rPr>
            </w:pPr>
            <w:r>
              <w:rPr>
                <w:rFonts w:ascii="arial" w:hAnsi="arial"/>
                <w:sz w:val="20"/>
              </w:rPr>
              <w:br/>
              <w:t>​</w:t>
            </w:r>
          </w:p>
        </w:tc>
        <w:tc>
          <w:tcPr>
            <w:tcW w:w="175" w:type="dxa"/>
            <w:tcBorders/>
            <w:shd w:fill="auto" w:val="clear"/>
            <w:vAlign w:val="bottom"/>
          </w:tcPr>
          <w:p>
            <w:pPr>
              <w:pStyle w:val="TableContents"/>
              <w:spacing w:before="0" w:after="283"/>
              <w:rPr>
                <w:rFonts w:ascii="arial" w:hAnsi="arial"/>
                <w:sz w:val="20"/>
              </w:rPr>
            </w:pPr>
            <w:r>
              <w:rPr>
                <w:rFonts w:ascii="arial" w:hAnsi="arial"/>
                <w:sz w:val="20"/>
              </w:rPr>
              <w:br/>
              <w:t>$</w:t>
            </w:r>
          </w:p>
        </w:tc>
        <w:tc>
          <w:tcPr>
            <w:tcW w:w="995" w:type="dxa"/>
            <w:tcBorders/>
            <w:shd w:fill="auto" w:val="clear"/>
            <w:vAlign w:val="bottom"/>
          </w:tcPr>
          <w:p>
            <w:pPr>
              <w:pStyle w:val="TableContents"/>
              <w:spacing w:before="0" w:after="283"/>
              <w:jc w:val="right"/>
              <w:rPr>
                <w:rFonts w:ascii="arial" w:hAnsi="arial"/>
                <w:sz w:val="20"/>
              </w:rPr>
            </w:pPr>
            <w:r>
              <w:rPr>
                <w:rFonts w:ascii="arial" w:hAnsi="arial"/>
                <w:sz w:val="20"/>
              </w:rPr>
              <w:br/>
              <w:t>177,440</w:t>
            </w:r>
          </w:p>
        </w:tc>
        <w:tc>
          <w:tcPr>
            <w:tcW w:w="3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rFonts w:ascii="arial" w:hAnsi="arial"/>
                <w:sz w:val="20"/>
              </w:rPr>
            </w:pPr>
            <w:r>
              <w:rPr>
                <w:rFonts w:ascii="arial" w:hAnsi="arial"/>
                <w:sz w:val="20"/>
              </w:rPr>
              <w:br/>
              <w:t>​</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br/>
              <w:t>$</w:t>
            </w:r>
          </w:p>
        </w:tc>
        <w:tc>
          <w:tcPr>
            <w:tcW w:w="875" w:type="dxa"/>
            <w:tcBorders/>
            <w:shd w:fill="auto" w:val="clear"/>
            <w:vAlign w:val="bottom"/>
          </w:tcPr>
          <w:p>
            <w:pPr>
              <w:pStyle w:val="TableContents"/>
              <w:spacing w:before="0" w:after="283"/>
              <w:jc w:val="right"/>
              <w:rPr>
                <w:rFonts w:ascii="arial" w:hAnsi="arial"/>
                <w:sz w:val="20"/>
              </w:rPr>
            </w:pPr>
            <w:r>
              <w:rPr>
                <w:rFonts w:ascii="arial" w:hAnsi="arial"/>
                <w:sz w:val="20"/>
              </w:rPr>
              <w:br/>
              <w:t>153,284</w:t>
            </w:r>
          </w:p>
        </w:tc>
        <w:tc>
          <w:tcPr>
            <w:tcW w:w="260"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br/>
              <w:t>$</w:t>
            </w:r>
          </w:p>
        </w:tc>
        <w:tc>
          <w:tcPr>
            <w:tcW w:w="875" w:type="dxa"/>
            <w:tcBorders/>
            <w:shd w:fill="auto" w:val="clear"/>
            <w:vAlign w:val="bottom"/>
          </w:tcPr>
          <w:p>
            <w:pPr>
              <w:pStyle w:val="TableContents"/>
              <w:spacing w:before="0" w:after="283"/>
              <w:jc w:val="right"/>
              <w:rPr>
                <w:rFonts w:ascii="arial" w:hAnsi="arial"/>
                <w:sz w:val="20"/>
              </w:rPr>
            </w:pPr>
            <w:r>
              <w:rPr>
                <w:rFonts w:ascii="arial" w:hAnsi="arial"/>
                <w:sz w:val="20"/>
              </w:rPr>
              <w:br/>
              <w:t>1,581,861</w:t>
            </w:r>
          </w:p>
        </w:tc>
        <w:tc>
          <w:tcPr>
            <w:tcW w:w="24" w:type="dxa"/>
            <w:tcBorders/>
            <w:shd w:fill="auto" w:val="clear"/>
            <w:vAlign w:val="bottom"/>
          </w:tcPr>
          <w:p>
            <w:pPr>
              <w:pStyle w:val="TableContents"/>
              <w:spacing w:before="0" w:after="283"/>
              <w:rPr/>
            </w:pPr>
            <w:r>
              <w:rPr/>
              <w:t>​</w:t>
            </w:r>
          </w:p>
        </w:tc>
      </w:tr>
      <w:tr>
        <w:trPr/>
        <w:tc>
          <w:tcPr>
            <w:tcW w:w="1420" w:type="dxa"/>
            <w:tcBorders/>
            <w:shd w:fill="auto" w:val="clear"/>
            <w:vAlign w:val="bottom"/>
          </w:tcPr>
          <w:p>
            <w:pPr>
              <w:pStyle w:val="TableContents"/>
              <w:spacing w:before="0" w:after="283"/>
              <w:ind w:left="160" w:right="0" w:hanging="160"/>
              <w:rPr>
                <w:rFonts w:ascii="arial" w:hAnsi="arial"/>
                <w:sz w:val="20"/>
              </w:rPr>
            </w:pPr>
            <w:r>
              <w:rPr>
                <w:rFonts w:ascii="arial" w:hAnsi="arial"/>
                <w:sz w:val="20"/>
              </w:rPr>
              <w:t>Chief Operating Officer</w:t>
            </w:r>
          </w:p>
        </w:tc>
        <w:tc>
          <w:tcPr>
            <w:tcW w:w="23" w:type="dxa"/>
            <w:tcBorders/>
            <w:shd w:fill="auto" w:val="clear"/>
            <w:vAlign w:val="bottom"/>
          </w:tcPr>
          <w:p>
            <w:pPr>
              <w:pStyle w:val="TableContents"/>
              <w:spacing w:before="0" w:after="283"/>
              <w:rPr/>
            </w:pPr>
            <w:r>
              <w:rPr/>
              <w:t>​</w:t>
            </w:r>
          </w:p>
        </w:tc>
        <w:tc>
          <w:tcPr>
            <w:tcW w:w="440" w:type="dxa"/>
            <w:gridSpan w:val="2"/>
            <w:tcBorders/>
            <w:shd w:fill="auto" w:val="clear"/>
            <w:vAlign w:val="bottom"/>
          </w:tcPr>
          <w:p>
            <w:pPr>
              <w:pStyle w:val="TableContents"/>
              <w:spacing w:before="0" w:after="283"/>
              <w:jc w:val="right"/>
              <w:rPr>
                <w:rFonts w:ascii="arial" w:hAnsi="arial"/>
                <w:sz w:val="20"/>
              </w:rPr>
            </w:pPr>
            <w:r>
              <w:rPr>
                <w:rFonts w:ascii="arial" w:hAnsi="arial"/>
                <w:sz w:val="20"/>
              </w:rPr>
              <w:t>2019</w:t>
            </w:r>
          </w:p>
        </w:tc>
        <w:tc>
          <w:tcPr>
            <w:tcW w:w="260" w:type="dxa"/>
            <w:tcBorders/>
            <w:shd w:fill="auto" w:val="clear"/>
            <w:vAlign w:val="bottom"/>
          </w:tcPr>
          <w:p>
            <w:pPr>
              <w:pStyle w:val="TableContents"/>
              <w:spacing w:before="0" w:after="283"/>
              <w:rPr/>
            </w:pPr>
            <w:r>
              <w:rPr/>
              <w:t>​</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710" w:type="dxa"/>
            <w:tcBorders/>
            <w:shd w:fill="auto" w:val="clear"/>
            <w:vAlign w:val="bottom"/>
          </w:tcPr>
          <w:p>
            <w:pPr>
              <w:pStyle w:val="TableContents"/>
              <w:spacing w:before="0" w:after="283"/>
              <w:jc w:val="right"/>
              <w:rPr>
                <w:rFonts w:ascii="arial" w:hAnsi="arial"/>
                <w:sz w:val="20"/>
              </w:rPr>
            </w:pPr>
            <w:r>
              <w:rPr>
                <w:rFonts w:ascii="arial" w:hAnsi="arial"/>
                <w:sz w:val="20"/>
              </w:rPr>
              <w:t>564,561</w:t>
            </w:r>
          </w:p>
        </w:tc>
        <w:tc>
          <w:tcPr>
            <w:tcW w:w="260" w:type="dxa"/>
            <w:tcBorders/>
            <w:shd w:fill="auto" w:val="clear"/>
            <w:vAlign w:val="bottom"/>
          </w:tcPr>
          <w:p>
            <w:pPr>
              <w:pStyle w:val="TableContents"/>
              <w:spacing w:before="0" w:after="283"/>
              <w:rPr>
                <w:rFonts w:ascii="arial" w:hAnsi="arial"/>
                <w:position w:val="7"/>
                <w:sz w:val="16"/>
                <w:sz w:val="20"/>
              </w:rPr>
            </w:pPr>
            <w:r>
              <w:rPr>
                <w:rFonts w:ascii="arial" w:hAnsi="arial"/>
                <w:position w:val="7"/>
                <w:sz w:val="16"/>
                <w:sz w:val="20"/>
              </w:rPr>
              <w:t>(19)</w:t>
            </w:r>
          </w:p>
        </w:tc>
        <w:tc>
          <w:tcPr>
            <w:tcW w:w="835" w:type="dxa"/>
            <w:gridSpan w:val="2"/>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260" w:type="dxa"/>
            <w:tcBorders/>
            <w:shd w:fill="auto" w:val="clear"/>
            <w:vAlign w:val="bottom"/>
          </w:tcPr>
          <w:p>
            <w:pPr>
              <w:pStyle w:val="TableContents"/>
              <w:spacing w:before="0" w:after="283"/>
              <w:rPr/>
            </w:pPr>
            <w:r>
              <w:rPr/>
              <w:t>​</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875" w:type="dxa"/>
            <w:tcBorders/>
            <w:shd w:fill="auto" w:val="clear"/>
            <w:vAlign w:val="bottom"/>
          </w:tcPr>
          <w:p>
            <w:pPr>
              <w:pStyle w:val="TableContents"/>
              <w:spacing w:before="0" w:after="283"/>
              <w:jc w:val="right"/>
              <w:rPr>
                <w:rFonts w:ascii="arial" w:hAnsi="arial"/>
                <w:sz w:val="20"/>
              </w:rPr>
            </w:pPr>
            <w:r>
              <w:rPr>
                <w:rFonts w:ascii="arial" w:hAnsi="arial"/>
                <w:sz w:val="20"/>
              </w:rPr>
              <w:t>592,137</w:t>
            </w:r>
          </w:p>
        </w:tc>
        <w:tc>
          <w:tcPr>
            <w:tcW w:w="24" w:type="dxa"/>
            <w:tcBorders/>
            <w:shd w:fill="auto" w:val="clear"/>
            <w:vAlign w:val="bottom"/>
          </w:tcPr>
          <w:p>
            <w:pPr>
              <w:pStyle w:val="TableContents"/>
              <w:spacing w:before="0" w:after="283"/>
              <w:rPr/>
            </w:pPr>
            <w:r>
              <w:rPr/>
              <w:t>​</w:t>
            </w:r>
          </w:p>
        </w:tc>
        <w:tc>
          <w:tcPr>
            <w:tcW w:w="1000" w:type="dxa"/>
            <w:gridSpan w:val="2"/>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260" w:type="dxa"/>
            <w:tcBorders/>
            <w:shd w:fill="auto" w:val="clear"/>
            <w:vAlign w:val="bottom"/>
          </w:tcPr>
          <w:p>
            <w:pPr>
              <w:pStyle w:val="TableContents"/>
              <w:spacing w:before="0" w:after="283"/>
              <w:rPr/>
            </w:pPr>
            <w:r>
              <w:rPr/>
              <w:t>​</w:t>
            </w:r>
          </w:p>
        </w:tc>
        <w:tc>
          <w:tcPr>
            <w:tcW w:w="32" w:type="dxa"/>
            <w:tcBorders/>
            <w:shd w:fill="auto" w:val="clear"/>
            <w:vAlign w:val="bottom"/>
          </w:tcPr>
          <w:p>
            <w:pPr>
              <w:pStyle w:val="TableContents"/>
              <w:spacing w:before="0" w:after="283"/>
              <w:rPr/>
            </w:pPr>
            <w:r>
              <w:rPr/>
              <w:t>​</w:t>
            </w:r>
          </w:p>
        </w:tc>
        <w:tc>
          <w:tcPr>
            <w:tcW w:w="17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995" w:type="dxa"/>
            <w:tcBorders/>
            <w:shd w:fill="auto" w:val="clear"/>
            <w:vAlign w:val="bottom"/>
          </w:tcPr>
          <w:p>
            <w:pPr>
              <w:pStyle w:val="TableContents"/>
              <w:spacing w:before="0" w:after="283"/>
              <w:jc w:val="right"/>
              <w:rPr>
                <w:rFonts w:ascii="arial" w:hAnsi="arial"/>
                <w:sz w:val="20"/>
              </w:rPr>
            </w:pPr>
            <w:r>
              <w:rPr>
                <w:rFonts w:ascii="arial" w:hAnsi="arial"/>
                <w:sz w:val="20"/>
              </w:rPr>
              <w:t>147,504</w:t>
            </w:r>
          </w:p>
        </w:tc>
        <w:tc>
          <w:tcPr>
            <w:tcW w:w="3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875" w:type="dxa"/>
            <w:tcBorders/>
            <w:shd w:fill="auto" w:val="clear"/>
            <w:vAlign w:val="bottom"/>
          </w:tcPr>
          <w:p>
            <w:pPr>
              <w:pStyle w:val="TableContents"/>
              <w:spacing w:before="0" w:after="283"/>
              <w:jc w:val="right"/>
              <w:rPr>
                <w:rFonts w:ascii="arial" w:hAnsi="arial"/>
                <w:sz w:val="20"/>
              </w:rPr>
            </w:pPr>
            <w:r>
              <w:rPr>
                <w:rFonts w:ascii="arial" w:hAnsi="arial"/>
                <w:sz w:val="20"/>
              </w:rPr>
              <w:t>90,568</w:t>
            </w:r>
          </w:p>
        </w:tc>
        <w:tc>
          <w:tcPr>
            <w:tcW w:w="260" w:type="dxa"/>
            <w:tcBorders/>
            <w:shd w:fill="auto" w:val="clear"/>
            <w:vAlign w:val="bottom"/>
          </w:tcPr>
          <w:p>
            <w:pPr>
              <w:pStyle w:val="TableContents"/>
              <w:spacing w:before="0" w:after="283"/>
              <w:rPr>
                <w:rFonts w:ascii="arial" w:hAnsi="arial"/>
                <w:position w:val="7"/>
                <w:sz w:val="16"/>
                <w:sz w:val="20"/>
              </w:rPr>
            </w:pPr>
            <w:r>
              <w:rPr>
                <w:rFonts w:ascii="arial" w:hAnsi="arial"/>
                <w:position w:val="7"/>
                <w:sz w:val="16"/>
                <w:sz w:val="20"/>
              </w:rPr>
              <w:t>(20)</w:t>
            </w:r>
          </w:p>
        </w:tc>
        <w:tc>
          <w:tcPr>
            <w:tcW w:w="23" w:type="dxa"/>
            <w:tcBorders/>
            <w:shd w:fill="auto" w:val="clear"/>
            <w:vAlign w:val="bottom"/>
          </w:tcPr>
          <w:p>
            <w:pPr>
              <w:pStyle w:val="TableContents"/>
              <w:spacing w:before="0" w:after="283"/>
              <w:rPr>
                <w:position w:val="8"/>
                <w:sz w:val="19"/>
              </w:rPr>
            </w:pPr>
            <w:r>
              <w:rPr>
                <w:position w:val="8"/>
                <w:sz w:val="19"/>
              </w:rPr>
              <w:t>​</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875" w:type="dxa"/>
            <w:tcBorders/>
            <w:shd w:fill="auto" w:val="clear"/>
            <w:vAlign w:val="bottom"/>
          </w:tcPr>
          <w:p>
            <w:pPr>
              <w:pStyle w:val="TableContents"/>
              <w:spacing w:before="0" w:after="283"/>
              <w:jc w:val="right"/>
              <w:rPr>
                <w:rFonts w:ascii="arial" w:hAnsi="arial"/>
                <w:sz w:val="20"/>
              </w:rPr>
            </w:pPr>
            <w:r>
              <w:rPr>
                <w:rFonts w:ascii="arial" w:hAnsi="arial"/>
                <w:sz w:val="20"/>
              </w:rPr>
              <w:t>1,394,770</w:t>
            </w:r>
          </w:p>
        </w:tc>
        <w:tc>
          <w:tcPr>
            <w:tcW w:w="24" w:type="dxa"/>
            <w:tcBorders/>
            <w:shd w:fill="auto" w:val="clear"/>
            <w:vAlign w:val="bottom"/>
          </w:tcPr>
          <w:p>
            <w:pPr>
              <w:pStyle w:val="TableContents"/>
              <w:spacing w:before="0" w:after="283"/>
              <w:rPr/>
            </w:pPr>
            <w:r>
              <w:rPr/>
              <w:t>​</w:t>
            </w:r>
          </w:p>
        </w:tc>
      </w:tr>
      <w:tr>
        <w:trPr/>
        <w:tc>
          <w:tcPr>
            <w:tcW w:w="1420" w:type="dxa"/>
            <w:tcBorders/>
            <w:shd w:fill="auto" w:val="clear"/>
            <w:vAlign w:val="bottom"/>
          </w:tcPr>
          <w:p>
            <w:pPr>
              <w:pStyle w:val="TableContents"/>
              <w:spacing w:before="0" w:after="283"/>
              <w:ind w:left="160" w:right="0" w:hanging="160"/>
              <w:rPr>
                <w:sz w:val="4"/>
                <w:szCs w:val="4"/>
              </w:rPr>
            </w:pPr>
            <w:r>
              <w:rPr>
                <w:sz w:val="4"/>
                <w:szCs w:val="4"/>
              </w:rPr>
            </w:r>
          </w:p>
        </w:tc>
        <w:tc>
          <w:tcPr>
            <w:tcW w:w="23" w:type="dxa"/>
            <w:tcBorders/>
            <w:shd w:fill="auto" w:val="clear"/>
            <w:vAlign w:val="bottom"/>
          </w:tcPr>
          <w:p>
            <w:pPr>
              <w:pStyle w:val="TableContents"/>
              <w:spacing w:before="0" w:after="283"/>
              <w:rPr/>
            </w:pPr>
            <w:r>
              <w:rPr/>
              <w:t>​</w:t>
            </w:r>
          </w:p>
        </w:tc>
        <w:tc>
          <w:tcPr>
            <w:tcW w:w="440" w:type="dxa"/>
            <w:gridSpan w:val="2"/>
            <w:tcBorders/>
            <w:shd w:fill="auto" w:val="clear"/>
            <w:vAlign w:val="bottom"/>
          </w:tcPr>
          <w:p>
            <w:pPr>
              <w:pStyle w:val="TableContents"/>
              <w:spacing w:before="0" w:after="283"/>
              <w:jc w:val="right"/>
              <w:rPr>
                <w:rFonts w:ascii="arial" w:hAnsi="arial"/>
                <w:sz w:val="20"/>
              </w:rPr>
            </w:pPr>
            <w:r>
              <w:rPr>
                <w:rFonts w:ascii="arial" w:hAnsi="arial"/>
                <w:sz w:val="20"/>
              </w:rPr>
              <w:t>2020</w:t>
            </w:r>
          </w:p>
        </w:tc>
        <w:tc>
          <w:tcPr>
            <w:tcW w:w="260" w:type="dxa"/>
            <w:tcBorders/>
            <w:shd w:fill="auto" w:val="clear"/>
            <w:vAlign w:val="bottom"/>
          </w:tcPr>
          <w:p>
            <w:pPr>
              <w:pStyle w:val="TableContents"/>
              <w:spacing w:before="0" w:after="283"/>
              <w:rPr/>
            </w:pPr>
            <w:r>
              <w:rPr/>
              <w:t>​</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710" w:type="dxa"/>
            <w:tcBorders/>
            <w:shd w:fill="auto" w:val="clear"/>
            <w:vAlign w:val="bottom"/>
          </w:tcPr>
          <w:p>
            <w:pPr>
              <w:pStyle w:val="TableContents"/>
              <w:spacing w:before="0" w:after="283"/>
              <w:jc w:val="right"/>
              <w:rPr>
                <w:rFonts w:ascii="arial" w:hAnsi="arial"/>
                <w:sz w:val="20"/>
              </w:rPr>
            </w:pPr>
            <w:r>
              <w:rPr>
                <w:rFonts w:ascii="arial" w:hAnsi="arial"/>
                <w:sz w:val="20"/>
              </w:rPr>
              <w:t>514,507</w:t>
            </w:r>
          </w:p>
        </w:tc>
        <w:tc>
          <w:tcPr>
            <w:tcW w:w="260" w:type="dxa"/>
            <w:tcBorders/>
            <w:shd w:fill="auto" w:val="clear"/>
            <w:vAlign w:val="bottom"/>
          </w:tcPr>
          <w:p>
            <w:pPr>
              <w:pStyle w:val="TableContents"/>
              <w:spacing w:before="0" w:after="283"/>
              <w:rPr>
                <w:rFonts w:ascii="arial" w:hAnsi="arial"/>
                <w:position w:val="7"/>
                <w:sz w:val="16"/>
                <w:sz w:val="20"/>
              </w:rPr>
            </w:pPr>
            <w:r>
              <w:rPr>
                <w:rFonts w:ascii="arial" w:hAnsi="arial"/>
                <w:position w:val="7"/>
                <w:sz w:val="16"/>
                <w:sz w:val="20"/>
              </w:rPr>
              <w:t>(21)</w:t>
            </w:r>
          </w:p>
        </w:tc>
        <w:tc>
          <w:tcPr>
            <w:tcW w:w="835" w:type="dxa"/>
            <w:gridSpan w:val="2"/>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260" w:type="dxa"/>
            <w:tcBorders/>
            <w:shd w:fill="auto" w:val="clear"/>
            <w:vAlign w:val="bottom"/>
          </w:tcPr>
          <w:p>
            <w:pPr>
              <w:pStyle w:val="TableContents"/>
              <w:spacing w:before="0" w:after="283"/>
              <w:rPr/>
            </w:pPr>
            <w:r>
              <w:rPr/>
              <w:t>​</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875" w:type="dxa"/>
            <w:tcBorders/>
            <w:shd w:fill="auto" w:val="clear"/>
            <w:vAlign w:val="bottom"/>
          </w:tcPr>
          <w:p>
            <w:pPr>
              <w:pStyle w:val="TableContents"/>
              <w:spacing w:before="0" w:after="283"/>
              <w:jc w:val="right"/>
              <w:rPr>
                <w:rFonts w:ascii="arial" w:hAnsi="arial"/>
                <w:sz w:val="20"/>
              </w:rPr>
            </w:pPr>
            <w:r>
              <w:rPr>
                <w:rFonts w:ascii="arial" w:hAnsi="arial"/>
                <w:sz w:val="20"/>
              </w:rPr>
              <w:t>822,190</w:t>
            </w:r>
          </w:p>
        </w:tc>
        <w:tc>
          <w:tcPr>
            <w:tcW w:w="24" w:type="dxa"/>
            <w:tcBorders/>
            <w:shd w:fill="auto" w:val="clear"/>
            <w:vAlign w:val="bottom"/>
          </w:tcPr>
          <w:p>
            <w:pPr>
              <w:pStyle w:val="TableContents"/>
              <w:spacing w:before="0" w:after="283"/>
              <w:rPr/>
            </w:pPr>
            <w:r>
              <w:rPr/>
              <w:t>​</w:t>
            </w:r>
          </w:p>
        </w:tc>
        <w:tc>
          <w:tcPr>
            <w:tcW w:w="1000" w:type="dxa"/>
            <w:gridSpan w:val="2"/>
            <w:tcBorders/>
            <w:shd w:fill="auto" w:val="clear"/>
            <w:vAlign w:val="bottom"/>
          </w:tcPr>
          <w:p>
            <w:pPr>
              <w:pStyle w:val="TableContents"/>
              <w:spacing w:before="0" w:after="283"/>
              <w:jc w:val="right"/>
              <w:rPr>
                <w:rFonts w:ascii="arial" w:hAnsi="arial"/>
                <w:sz w:val="20"/>
              </w:rPr>
            </w:pPr>
            <w:r>
              <w:rPr>
                <w:rFonts w:ascii="arial" w:hAnsi="arial"/>
                <w:sz w:val="20"/>
              </w:rPr>
              <w:t>-</w:t>
            </w:r>
          </w:p>
        </w:tc>
        <w:tc>
          <w:tcPr>
            <w:tcW w:w="260" w:type="dxa"/>
            <w:tcBorders/>
            <w:shd w:fill="auto" w:val="clear"/>
            <w:vAlign w:val="bottom"/>
          </w:tcPr>
          <w:p>
            <w:pPr>
              <w:pStyle w:val="TableContents"/>
              <w:spacing w:before="0" w:after="283"/>
              <w:rPr/>
            </w:pPr>
            <w:r>
              <w:rPr/>
              <w:t>​</w:t>
            </w:r>
          </w:p>
        </w:tc>
        <w:tc>
          <w:tcPr>
            <w:tcW w:w="32" w:type="dxa"/>
            <w:tcBorders/>
            <w:shd w:fill="auto" w:val="clear"/>
            <w:vAlign w:val="bottom"/>
          </w:tcPr>
          <w:p>
            <w:pPr>
              <w:pStyle w:val="TableContents"/>
              <w:spacing w:before="0" w:after="283"/>
              <w:rPr/>
            </w:pPr>
            <w:r>
              <w:rPr/>
              <w:t>​</w:t>
            </w:r>
          </w:p>
        </w:tc>
        <w:tc>
          <w:tcPr>
            <w:tcW w:w="1170" w:type="dxa"/>
            <w:gridSpan w:val="2"/>
            <w:tcBorders/>
            <w:shd w:fill="auto" w:val="clear"/>
            <w:vAlign w:val="bottom"/>
          </w:tcPr>
          <w:p>
            <w:pPr>
              <w:pStyle w:val="TableContents"/>
              <w:spacing w:before="0" w:after="283"/>
              <w:jc w:val="right"/>
              <w:rPr/>
            </w:pPr>
            <w:r>
              <w:rPr/>
              <w:t> </w:t>
            </w:r>
          </w:p>
        </w:tc>
        <w:tc>
          <w:tcPr>
            <w:tcW w:w="3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875" w:type="dxa"/>
            <w:tcBorders/>
            <w:shd w:fill="auto" w:val="clear"/>
            <w:vAlign w:val="bottom"/>
          </w:tcPr>
          <w:p>
            <w:pPr>
              <w:pStyle w:val="TableContents"/>
              <w:spacing w:before="0" w:after="283"/>
              <w:jc w:val="right"/>
              <w:rPr>
                <w:rFonts w:ascii="arial" w:hAnsi="arial"/>
                <w:sz w:val="20"/>
              </w:rPr>
            </w:pPr>
            <w:r>
              <w:rPr>
                <w:rFonts w:ascii="arial" w:hAnsi="arial"/>
                <w:sz w:val="20"/>
              </w:rPr>
              <w:t>84,361</w:t>
            </w:r>
          </w:p>
        </w:tc>
        <w:tc>
          <w:tcPr>
            <w:tcW w:w="260" w:type="dxa"/>
            <w:tcBorders/>
            <w:shd w:fill="auto" w:val="clear"/>
            <w:vAlign w:val="bottom"/>
          </w:tcPr>
          <w:p>
            <w:pPr>
              <w:pStyle w:val="TableContents"/>
              <w:spacing w:before="0" w:after="283"/>
              <w:rPr>
                <w:rFonts w:ascii="arial" w:hAnsi="arial"/>
                <w:position w:val="7"/>
                <w:sz w:val="16"/>
                <w:sz w:val="20"/>
              </w:rPr>
            </w:pPr>
            <w:r>
              <w:rPr>
                <w:rFonts w:ascii="arial" w:hAnsi="arial"/>
                <w:position w:val="7"/>
                <w:sz w:val="16"/>
                <w:sz w:val="20"/>
              </w:rPr>
              <w:t>(22)</w:t>
            </w:r>
          </w:p>
        </w:tc>
        <w:tc>
          <w:tcPr>
            <w:tcW w:w="23" w:type="dxa"/>
            <w:tcBorders/>
            <w:shd w:fill="auto" w:val="clear"/>
            <w:vAlign w:val="bottom"/>
          </w:tcPr>
          <w:p>
            <w:pPr>
              <w:pStyle w:val="TableContents"/>
              <w:spacing w:before="0" w:after="283"/>
              <w:rPr>
                <w:position w:val="8"/>
                <w:sz w:val="19"/>
              </w:rPr>
            </w:pPr>
            <w:r>
              <w:rPr>
                <w:position w:val="8"/>
                <w:sz w:val="19"/>
              </w:rPr>
              <w:t>​</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875" w:type="dxa"/>
            <w:tcBorders/>
            <w:shd w:fill="auto" w:val="clear"/>
            <w:vAlign w:val="bottom"/>
          </w:tcPr>
          <w:p>
            <w:pPr>
              <w:pStyle w:val="TableContents"/>
              <w:spacing w:before="0" w:after="283"/>
              <w:jc w:val="right"/>
              <w:rPr>
                <w:rFonts w:ascii="arial" w:hAnsi="arial"/>
                <w:sz w:val="20"/>
              </w:rPr>
            </w:pPr>
            <w:r>
              <w:rPr>
                <w:rFonts w:ascii="arial" w:hAnsi="arial"/>
                <w:sz w:val="20"/>
              </w:rPr>
              <w:t>1,421,059</w:t>
            </w:r>
          </w:p>
        </w:tc>
        <w:tc>
          <w:tcPr>
            <w:tcW w:w="24" w:type="dxa"/>
            <w:tcBorders/>
            <w:shd w:fill="auto" w:val="clear"/>
            <w:vAlign w:val="bottom"/>
          </w:tcPr>
          <w:p>
            <w:pPr>
              <w:pStyle w:val="TableContents"/>
              <w:spacing w:before="0" w:after="283"/>
              <w:rPr/>
            </w:pPr>
            <w:r>
              <w:rPr/>
              <w:t>​</w:t>
            </w:r>
          </w:p>
        </w:tc>
      </w:tr>
      <w:tr>
        <w:trPr/>
        <w:tc>
          <w:tcPr>
            <w:tcW w:w="1420" w:type="dxa"/>
            <w:tcBorders/>
            <w:shd w:fill="CCEEFF" w:val="clear"/>
            <w:vAlign w:val="bottom"/>
          </w:tcPr>
          <w:p>
            <w:pPr>
              <w:pStyle w:val="TableContents"/>
              <w:spacing w:before="200" w:after="283"/>
              <w:ind w:left="160" w:right="0" w:hanging="160"/>
              <w:rPr>
                <w:rFonts w:ascii="arial" w:hAnsi="arial"/>
                <w:b/>
                <w:sz w:val="20"/>
              </w:rPr>
            </w:pPr>
            <w:r>
              <w:rPr>
                <w:rFonts w:ascii="arial" w:hAnsi="arial"/>
                <w:b/>
                <w:sz w:val="20"/>
              </w:rPr>
              <w:t>Gregory J. Ritts</w:t>
            </w:r>
          </w:p>
        </w:tc>
        <w:tc>
          <w:tcPr>
            <w:tcW w:w="23" w:type="dxa"/>
            <w:tcBorders/>
            <w:shd w:fill="CCEEFF" w:val="clear"/>
            <w:vAlign w:val="bottom"/>
          </w:tcPr>
          <w:p>
            <w:pPr>
              <w:pStyle w:val="TableContents"/>
              <w:spacing w:before="0" w:after="283"/>
              <w:rPr/>
            </w:pPr>
            <w:r>
              <w:rPr/>
              <w:t>​</w:t>
            </w:r>
          </w:p>
        </w:tc>
        <w:tc>
          <w:tcPr>
            <w:tcW w:w="440"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br/>
              <w:t>2018</w:t>
            </w:r>
          </w:p>
        </w:tc>
        <w:tc>
          <w:tcPr>
            <w:tcW w:w="260" w:type="dxa"/>
            <w:tcBorders/>
            <w:shd w:fill="CCEEFF" w:val="clear"/>
            <w:vAlign w:val="bottom"/>
          </w:tcPr>
          <w:p>
            <w:pPr>
              <w:pStyle w:val="TableContents"/>
              <w:spacing w:before="0" w:after="283"/>
              <w:rPr/>
            </w:pPr>
            <w:r>
              <w:rPr/>
              <w:t>​</w:t>
            </w:r>
          </w:p>
        </w:tc>
        <w:tc>
          <w:tcPr>
            <w:tcW w:w="125" w:type="dxa"/>
            <w:tcBorders/>
            <w:shd w:fill="CCEEFF" w:val="clear"/>
            <w:vAlign w:val="bottom"/>
          </w:tcPr>
          <w:p>
            <w:pPr>
              <w:pStyle w:val="TableContents"/>
              <w:spacing w:before="0" w:after="283"/>
              <w:rPr>
                <w:rFonts w:ascii="arial" w:hAnsi="arial"/>
                <w:sz w:val="20"/>
              </w:rPr>
            </w:pPr>
            <w:r>
              <w:rPr>
                <w:rFonts w:ascii="arial" w:hAnsi="arial"/>
                <w:sz w:val="20"/>
              </w:rPr>
              <w:br/>
              <w:t>$</w:t>
            </w:r>
          </w:p>
        </w:tc>
        <w:tc>
          <w:tcPr>
            <w:tcW w:w="710" w:type="dxa"/>
            <w:tcBorders/>
            <w:shd w:fill="CCEEFF" w:val="clear"/>
            <w:vAlign w:val="bottom"/>
          </w:tcPr>
          <w:p>
            <w:pPr>
              <w:pStyle w:val="TableContents"/>
              <w:spacing w:before="0" w:after="283"/>
              <w:jc w:val="right"/>
              <w:rPr>
                <w:rFonts w:ascii="arial" w:hAnsi="arial"/>
                <w:sz w:val="20"/>
              </w:rPr>
            </w:pPr>
            <w:r>
              <w:rPr>
                <w:rFonts w:ascii="arial" w:hAnsi="arial"/>
                <w:sz w:val="20"/>
              </w:rPr>
              <w:br/>
              <w:t>456,668</w:t>
            </w:r>
          </w:p>
        </w:tc>
        <w:tc>
          <w:tcPr>
            <w:tcW w:w="260" w:type="dxa"/>
            <w:tcBorders/>
            <w:shd w:fill="CCEEFF" w:val="clear"/>
            <w:vAlign w:val="bottom"/>
          </w:tcPr>
          <w:p>
            <w:pPr>
              <w:pStyle w:val="TableContents"/>
              <w:spacing w:before="0" w:after="283"/>
              <w:rPr/>
            </w:pPr>
            <w:r>
              <w:rPr/>
              <w:t>​</w:t>
            </w:r>
          </w:p>
        </w:tc>
        <w:tc>
          <w:tcPr>
            <w:tcW w:w="835"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br/>
              <w:t>-</w:t>
            </w:r>
          </w:p>
        </w:tc>
        <w:tc>
          <w:tcPr>
            <w:tcW w:w="260" w:type="dxa"/>
            <w:tcBorders/>
            <w:shd w:fill="CCEEFF" w:val="clear"/>
            <w:vAlign w:val="bottom"/>
          </w:tcPr>
          <w:p>
            <w:pPr>
              <w:pStyle w:val="TableContents"/>
              <w:spacing w:before="0" w:after="283"/>
              <w:rPr/>
            </w:pPr>
            <w:r>
              <w:rPr/>
              <w:t>​</w:t>
            </w:r>
          </w:p>
        </w:tc>
        <w:tc>
          <w:tcPr>
            <w:tcW w:w="125" w:type="dxa"/>
            <w:tcBorders/>
            <w:shd w:fill="CCEEFF" w:val="clear"/>
            <w:vAlign w:val="bottom"/>
          </w:tcPr>
          <w:p>
            <w:pPr>
              <w:pStyle w:val="TableContents"/>
              <w:spacing w:before="0" w:after="283"/>
              <w:rPr>
                <w:rFonts w:ascii="arial" w:hAnsi="arial"/>
                <w:sz w:val="20"/>
              </w:rPr>
            </w:pPr>
            <w:r>
              <w:rPr>
                <w:rFonts w:ascii="arial" w:hAnsi="arial"/>
                <w:sz w:val="20"/>
              </w:rPr>
              <w:br/>
              <w:t>$</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br/>
              <w:t>103,421</w:t>
            </w:r>
          </w:p>
        </w:tc>
        <w:tc>
          <w:tcPr>
            <w:tcW w:w="24" w:type="dxa"/>
            <w:tcBorders/>
            <w:shd w:fill="CCEEFF" w:val="clear"/>
            <w:vAlign w:val="bottom"/>
          </w:tcPr>
          <w:p>
            <w:pPr>
              <w:pStyle w:val="TableContents"/>
              <w:spacing w:before="0" w:after="283"/>
              <w:rPr/>
            </w:pPr>
            <w:r>
              <w:rPr/>
              <w:t>​</w:t>
            </w:r>
          </w:p>
        </w:tc>
        <w:tc>
          <w:tcPr>
            <w:tcW w:w="125" w:type="dxa"/>
            <w:tcBorders/>
            <w:shd w:fill="CCEEFF" w:val="clear"/>
            <w:vAlign w:val="bottom"/>
          </w:tcPr>
          <w:p>
            <w:pPr>
              <w:pStyle w:val="TableContents"/>
              <w:spacing w:before="0" w:after="283"/>
              <w:rPr>
                <w:rFonts w:ascii="arial" w:hAnsi="arial"/>
                <w:sz w:val="20"/>
              </w:rPr>
            </w:pPr>
            <w:r>
              <w:rPr>
                <w:rFonts w:ascii="arial" w:hAnsi="arial"/>
                <w:sz w:val="20"/>
              </w:rPr>
              <w:br/>
              <w:t>$</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br/>
              <w:t>119,998</w:t>
            </w:r>
          </w:p>
        </w:tc>
        <w:tc>
          <w:tcPr>
            <w:tcW w:w="260" w:type="dxa"/>
            <w:tcBorders/>
            <w:shd w:fill="CCEEFF" w:val="clear"/>
            <w:vAlign w:val="bottom"/>
          </w:tcPr>
          <w:p>
            <w:pPr>
              <w:pStyle w:val="TableContents"/>
              <w:spacing w:before="0" w:after="283"/>
              <w:rPr>
                <w:rFonts w:ascii="arial" w:hAnsi="arial"/>
                <w:sz w:val="20"/>
              </w:rPr>
            </w:pPr>
            <w:r>
              <w:rPr>
                <w:rFonts w:ascii="arial" w:hAnsi="arial"/>
                <w:sz w:val="20"/>
              </w:rPr>
              <w:br/>
            </w:r>
            <w:r>
              <w:rPr>
                <w:rFonts w:ascii="arial" w:hAnsi="arial"/>
                <w:position w:val="7"/>
                <w:sz w:val="16"/>
                <w:sz w:val="20"/>
              </w:rPr>
              <w:t>(23)</w:t>
            </w:r>
          </w:p>
        </w:tc>
        <w:tc>
          <w:tcPr>
            <w:tcW w:w="32" w:type="dxa"/>
            <w:tcBorders/>
            <w:shd w:fill="CCEEFF" w:val="clear"/>
            <w:vAlign w:val="bottom"/>
          </w:tcPr>
          <w:p>
            <w:pPr>
              <w:pStyle w:val="TableContents"/>
              <w:spacing w:before="0" w:after="283"/>
              <w:rPr>
                <w:rFonts w:ascii="arial" w:hAnsi="arial"/>
                <w:sz w:val="20"/>
              </w:rPr>
            </w:pPr>
            <w:r>
              <w:rPr>
                <w:rFonts w:ascii="arial" w:hAnsi="arial"/>
                <w:sz w:val="20"/>
              </w:rPr>
              <w:br/>
              <w:t>​</w:t>
            </w:r>
          </w:p>
        </w:tc>
        <w:tc>
          <w:tcPr>
            <w:tcW w:w="175" w:type="dxa"/>
            <w:tcBorders/>
            <w:shd w:fill="CCEEFF" w:val="clear"/>
            <w:vAlign w:val="bottom"/>
          </w:tcPr>
          <w:p>
            <w:pPr>
              <w:pStyle w:val="TableContents"/>
              <w:spacing w:before="0" w:after="283"/>
              <w:rPr>
                <w:rFonts w:ascii="arial" w:hAnsi="arial"/>
                <w:sz w:val="20"/>
              </w:rPr>
            </w:pPr>
            <w:r>
              <w:rPr>
                <w:rFonts w:ascii="arial" w:hAnsi="arial"/>
                <w:sz w:val="20"/>
              </w:rPr>
              <w:br/>
              <w:t>$</w:t>
            </w:r>
          </w:p>
        </w:tc>
        <w:tc>
          <w:tcPr>
            <w:tcW w:w="995" w:type="dxa"/>
            <w:tcBorders/>
            <w:shd w:fill="CCEEFF" w:val="clear"/>
            <w:vAlign w:val="bottom"/>
          </w:tcPr>
          <w:p>
            <w:pPr>
              <w:pStyle w:val="TableContents"/>
              <w:spacing w:before="0" w:after="283"/>
              <w:jc w:val="right"/>
              <w:rPr>
                <w:rFonts w:ascii="arial" w:hAnsi="arial"/>
                <w:sz w:val="20"/>
              </w:rPr>
            </w:pPr>
            <w:r>
              <w:rPr>
                <w:rFonts w:ascii="arial" w:hAnsi="arial"/>
                <w:sz w:val="20"/>
              </w:rPr>
              <w:br/>
              <w:t>184,682</w:t>
            </w:r>
          </w:p>
        </w:tc>
        <w:tc>
          <w:tcPr>
            <w:tcW w:w="33" w:type="dxa"/>
            <w:tcBorders/>
            <w:shd w:fill="CCEEFF" w:val="clear"/>
            <w:vAlign w:val="bottom"/>
          </w:tcPr>
          <w:p>
            <w:pPr>
              <w:pStyle w:val="TableContents"/>
              <w:spacing w:before="0" w:after="283"/>
              <w:rPr/>
            </w:pPr>
            <w:r>
              <w:rPr/>
              <w:t>​</w:t>
            </w:r>
          </w:p>
        </w:tc>
        <w:tc>
          <w:tcPr>
            <w:tcW w:w="23" w:type="dxa"/>
            <w:tcBorders/>
            <w:shd w:fill="CCEEFF" w:val="clear"/>
            <w:vAlign w:val="bottom"/>
          </w:tcPr>
          <w:p>
            <w:pPr>
              <w:pStyle w:val="TableContents"/>
              <w:spacing w:before="0" w:after="283"/>
              <w:rPr/>
            </w:pPr>
            <w:r>
              <w:rPr/>
              <w:t>​</w:t>
            </w:r>
          </w:p>
        </w:tc>
        <w:tc>
          <w:tcPr>
            <w:tcW w:w="23" w:type="dxa"/>
            <w:tcBorders/>
            <w:shd w:fill="CCEEFF" w:val="clear"/>
            <w:vAlign w:val="bottom"/>
          </w:tcPr>
          <w:p>
            <w:pPr>
              <w:pStyle w:val="TableContents"/>
              <w:spacing w:before="0" w:after="283"/>
              <w:rPr>
                <w:rFonts w:ascii="arial" w:hAnsi="arial"/>
                <w:sz w:val="20"/>
              </w:rPr>
            </w:pPr>
            <w:r>
              <w:rPr>
                <w:rFonts w:ascii="arial" w:hAnsi="arial"/>
                <w:sz w:val="20"/>
              </w:rPr>
              <w:br/>
              <w:t>​</w:t>
            </w:r>
          </w:p>
        </w:tc>
        <w:tc>
          <w:tcPr>
            <w:tcW w:w="125" w:type="dxa"/>
            <w:tcBorders/>
            <w:shd w:fill="CCEEFF" w:val="clear"/>
            <w:vAlign w:val="bottom"/>
          </w:tcPr>
          <w:p>
            <w:pPr>
              <w:pStyle w:val="TableContents"/>
              <w:spacing w:before="0" w:after="283"/>
              <w:rPr>
                <w:rFonts w:ascii="arial" w:hAnsi="arial"/>
                <w:sz w:val="20"/>
              </w:rPr>
            </w:pPr>
            <w:r>
              <w:rPr>
                <w:rFonts w:ascii="arial" w:hAnsi="arial"/>
                <w:sz w:val="20"/>
              </w:rPr>
              <w:br/>
              <w:t>$</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br/>
              <w:t>205,853</w:t>
            </w:r>
          </w:p>
        </w:tc>
        <w:tc>
          <w:tcPr>
            <w:tcW w:w="260" w:type="dxa"/>
            <w:tcBorders/>
            <w:shd w:fill="CCEEFF" w:val="clear"/>
            <w:vAlign w:val="bottom"/>
          </w:tcPr>
          <w:p>
            <w:pPr>
              <w:pStyle w:val="TableContents"/>
              <w:spacing w:before="0" w:after="283"/>
              <w:rPr/>
            </w:pPr>
            <w:r>
              <w:rPr/>
              <w:t>​</w:t>
            </w:r>
          </w:p>
        </w:tc>
        <w:tc>
          <w:tcPr>
            <w:tcW w:w="23" w:type="dxa"/>
            <w:tcBorders/>
            <w:shd w:fill="CCEEFF" w:val="clear"/>
            <w:vAlign w:val="bottom"/>
          </w:tcPr>
          <w:p>
            <w:pPr>
              <w:pStyle w:val="TableContents"/>
              <w:spacing w:before="0" w:after="283"/>
              <w:rPr/>
            </w:pPr>
            <w:r>
              <w:rPr/>
              <w:t>​</w:t>
            </w:r>
          </w:p>
        </w:tc>
        <w:tc>
          <w:tcPr>
            <w:tcW w:w="125" w:type="dxa"/>
            <w:tcBorders/>
            <w:shd w:fill="CCEEFF" w:val="clear"/>
            <w:vAlign w:val="bottom"/>
          </w:tcPr>
          <w:p>
            <w:pPr>
              <w:pStyle w:val="TableContents"/>
              <w:spacing w:before="0" w:after="283"/>
              <w:rPr>
                <w:rFonts w:ascii="arial" w:hAnsi="arial"/>
                <w:sz w:val="20"/>
              </w:rPr>
            </w:pPr>
            <w:r>
              <w:rPr>
                <w:rFonts w:ascii="arial" w:hAnsi="arial"/>
                <w:sz w:val="20"/>
              </w:rPr>
              <w:br/>
              <w:t>$</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br/>
              <w:t>1,070,622</w:t>
            </w:r>
          </w:p>
        </w:tc>
        <w:tc>
          <w:tcPr>
            <w:tcW w:w="24" w:type="dxa"/>
            <w:tcBorders/>
            <w:shd w:fill="CCEEFF" w:val="clear"/>
            <w:vAlign w:val="bottom"/>
          </w:tcPr>
          <w:p>
            <w:pPr>
              <w:pStyle w:val="TableContents"/>
              <w:spacing w:before="0" w:after="283"/>
              <w:rPr/>
            </w:pPr>
            <w:r>
              <w:rPr/>
              <w:t>​</w:t>
            </w:r>
          </w:p>
        </w:tc>
      </w:tr>
      <w:tr>
        <w:trPr/>
        <w:tc>
          <w:tcPr>
            <w:tcW w:w="1420" w:type="dxa"/>
            <w:tcBorders/>
            <w:shd w:fill="CCEEFF" w:val="clear"/>
            <w:vAlign w:val="bottom"/>
          </w:tcPr>
          <w:p>
            <w:pPr>
              <w:pStyle w:val="TableContents"/>
              <w:spacing w:before="0" w:after="283"/>
              <w:ind w:left="160" w:right="0" w:hanging="160"/>
              <w:rPr>
                <w:rFonts w:ascii="arial" w:hAnsi="arial"/>
                <w:sz w:val="20"/>
              </w:rPr>
            </w:pPr>
            <w:r>
              <w:rPr>
                <w:rFonts w:ascii="arial" w:hAnsi="arial"/>
                <w:sz w:val="20"/>
              </w:rPr>
              <w:t>Chief Legal and</w:t>
            </w:r>
          </w:p>
        </w:tc>
        <w:tc>
          <w:tcPr>
            <w:tcW w:w="23" w:type="dxa"/>
            <w:tcBorders/>
            <w:shd w:fill="CCEEFF" w:val="clear"/>
            <w:vAlign w:val="bottom"/>
          </w:tcPr>
          <w:p>
            <w:pPr>
              <w:pStyle w:val="TableContents"/>
              <w:spacing w:before="0" w:after="283"/>
              <w:rPr/>
            </w:pPr>
            <w:r>
              <w:rPr/>
              <w:t>​</w:t>
            </w:r>
          </w:p>
        </w:tc>
        <w:tc>
          <w:tcPr>
            <w:tcW w:w="440"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2019</w:t>
            </w:r>
          </w:p>
        </w:tc>
        <w:tc>
          <w:tcPr>
            <w:tcW w:w="260" w:type="dxa"/>
            <w:tcBorders/>
            <w:shd w:fill="CCEEFF" w:val="clear"/>
            <w:vAlign w:val="bottom"/>
          </w:tcPr>
          <w:p>
            <w:pPr>
              <w:pStyle w:val="TableContents"/>
              <w:spacing w:before="0" w:after="283"/>
              <w:rPr/>
            </w:pPr>
            <w:r>
              <w:rPr/>
              <w:t>​</w:t>
            </w:r>
          </w:p>
        </w:tc>
        <w:tc>
          <w:tcPr>
            <w:tcW w:w="125" w:type="dxa"/>
            <w:tcBorders/>
            <w:shd w:fill="CCEEFF" w:val="clear"/>
            <w:vAlign w:val="bottom"/>
          </w:tcPr>
          <w:p>
            <w:pPr>
              <w:pStyle w:val="TableContents"/>
              <w:spacing w:before="0" w:after="283"/>
              <w:rPr>
                <w:rFonts w:ascii="arial" w:hAnsi="arial"/>
                <w:sz w:val="20"/>
              </w:rPr>
            </w:pPr>
            <w:r>
              <w:rPr>
                <w:rFonts w:ascii="arial" w:hAnsi="arial"/>
                <w:sz w:val="20"/>
              </w:rPr>
              <w:t>$</w:t>
            </w:r>
          </w:p>
        </w:tc>
        <w:tc>
          <w:tcPr>
            <w:tcW w:w="710" w:type="dxa"/>
            <w:tcBorders/>
            <w:shd w:fill="CCEEFF" w:val="clear"/>
            <w:vAlign w:val="bottom"/>
          </w:tcPr>
          <w:p>
            <w:pPr>
              <w:pStyle w:val="TableContents"/>
              <w:spacing w:before="0" w:after="283"/>
              <w:jc w:val="right"/>
              <w:rPr>
                <w:rFonts w:ascii="arial" w:hAnsi="arial"/>
                <w:sz w:val="20"/>
              </w:rPr>
            </w:pPr>
            <w:r>
              <w:rPr>
                <w:rFonts w:ascii="arial" w:hAnsi="arial"/>
                <w:sz w:val="20"/>
              </w:rPr>
              <w:t>446,514</w:t>
            </w:r>
          </w:p>
        </w:tc>
        <w:tc>
          <w:tcPr>
            <w:tcW w:w="260" w:type="dxa"/>
            <w:tcBorders/>
            <w:shd w:fill="CCEEFF" w:val="clear"/>
            <w:vAlign w:val="bottom"/>
          </w:tcPr>
          <w:p>
            <w:pPr>
              <w:pStyle w:val="TableContents"/>
              <w:spacing w:before="0" w:after="283"/>
              <w:rPr/>
            </w:pPr>
            <w:r>
              <w:rPr/>
              <w:t>​</w:t>
            </w:r>
          </w:p>
        </w:tc>
        <w:tc>
          <w:tcPr>
            <w:tcW w:w="835"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w:t>
            </w:r>
          </w:p>
        </w:tc>
        <w:tc>
          <w:tcPr>
            <w:tcW w:w="260" w:type="dxa"/>
            <w:tcBorders/>
            <w:shd w:fill="CCEEFF" w:val="clear"/>
            <w:vAlign w:val="bottom"/>
          </w:tcPr>
          <w:p>
            <w:pPr>
              <w:pStyle w:val="TableContents"/>
              <w:spacing w:before="0" w:after="283"/>
              <w:rPr/>
            </w:pPr>
            <w:r>
              <w:rPr/>
              <w:t>​</w:t>
            </w:r>
          </w:p>
        </w:tc>
        <w:tc>
          <w:tcPr>
            <w:tcW w:w="125" w:type="dxa"/>
            <w:tcBorders/>
            <w:shd w:fill="CCEEFF" w:val="clear"/>
            <w:vAlign w:val="bottom"/>
          </w:tcPr>
          <w:p>
            <w:pPr>
              <w:pStyle w:val="TableContents"/>
              <w:spacing w:before="0" w:after="283"/>
              <w:rPr>
                <w:rFonts w:ascii="arial" w:hAnsi="arial"/>
                <w:sz w:val="20"/>
              </w:rPr>
            </w:pPr>
            <w:r>
              <w:rPr>
                <w:rFonts w:ascii="arial" w:hAnsi="arial"/>
                <w:sz w:val="20"/>
              </w:rPr>
              <w:t>$</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t>387,003</w:t>
            </w:r>
          </w:p>
        </w:tc>
        <w:tc>
          <w:tcPr>
            <w:tcW w:w="24" w:type="dxa"/>
            <w:tcBorders/>
            <w:shd w:fill="CCEEFF" w:val="clear"/>
            <w:vAlign w:val="bottom"/>
          </w:tcPr>
          <w:p>
            <w:pPr>
              <w:pStyle w:val="TableContents"/>
              <w:spacing w:before="0" w:after="283"/>
              <w:rPr/>
            </w:pPr>
            <w:r>
              <w:rPr/>
              <w:t>​</w:t>
            </w:r>
          </w:p>
        </w:tc>
        <w:tc>
          <w:tcPr>
            <w:tcW w:w="1000"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w:t>
            </w:r>
          </w:p>
        </w:tc>
        <w:tc>
          <w:tcPr>
            <w:tcW w:w="260" w:type="dxa"/>
            <w:tcBorders/>
            <w:shd w:fill="CCEEFF" w:val="clear"/>
            <w:vAlign w:val="bottom"/>
          </w:tcPr>
          <w:p>
            <w:pPr>
              <w:pStyle w:val="TableContents"/>
              <w:spacing w:before="0" w:after="283"/>
              <w:rPr/>
            </w:pPr>
            <w:r>
              <w:rPr/>
              <w:t>​</w:t>
            </w:r>
          </w:p>
        </w:tc>
        <w:tc>
          <w:tcPr>
            <w:tcW w:w="32" w:type="dxa"/>
            <w:tcBorders/>
            <w:shd w:fill="CCEEFF" w:val="clear"/>
            <w:vAlign w:val="bottom"/>
          </w:tcPr>
          <w:p>
            <w:pPr>
              <w:pStyle w:val="TableContents"/>
              <w:spacing w:before="0" w:after="283"/>
              <w:rPr/>
            </w:pPr>
            <w:r>
              <w:rPr/>
              <w:t>​</w:t>
            </w:r>
          </w:p>
        </w:tc>
        <w:tc>
          <w:tcPr>
            <w:tcW w:w="175" w:type="dxa"/>
            <w:tcBorders/>
            <w:shd w:fill="CCEEFF" w:val="clear"/>
            <w:vAlign w:val="bottom"/>
          </w:tcPr>
          <w:p>
            <w:pPr>
              <w:pStyle w:val="TableContents"/>
              <w:spacing w:before="0" w:after="283"/>
              <w:rPr>
                <w:rFonts w:ascii="arial" w:hAnsi="arial"/>
                <w:sz w:val="20"/>
              </w:rPr>
            </w:pPr>
            <w:r>
              <w:rPr>
                <w:rFonts w:ascii="arial" w:hAnsi="arial"/>
                <w:sz w:val="20"/>
              </w:rPr>
              <w:t>$</w:t>
            </w:r>
          </w:p>
        </w:tc>
        <w:tc>
          <w:tcPr>
            <w:tcW w:w="995" w:type="dxa"/>
            <w:tcBorders/>
            <w:shd w:fill="CCEEFF" w:val="clear"/>
            <w:vAlign w:val="bottom"/>
          </w:tcPr>
          <w:p>
            <w:pPr>
              <w:pStyle w:val="TableContents"/>
              <w:spacing w:before="0" w:after="283"/>
              <w:jc w:val="right"/>
              <w:rPr>
                <w:rFonts w:ascii="arial" w:hAnsi="arial"/>
                <w:sz w:val="20"/>
              </w:rPr>
            </w:pPr>
            <w:r>
              <w:rPr>
                <w:rFonts w:ascii="arial" w:hAnsi="arial"/>
                <w:sz w:val="20"/>
              </w:rPr>
              <w:t>126,000</w:t>
            </w:r>
          </w:p>
        </w:tc>
        <w:tc>
          <w:tcPr>
            <w:tcW w:w="33" w:type="dxa"/>
            <w:tcBorders/>
            <w:shd w:fill="CCEEFF" w:val="clear"/>
            <w:vAlign w:val="bottom"/>
          </w:tcPr>
          <w:p>
            <w:pPr>
              <w:pStyle w:val="TableContents"/>
              <w:spacing w:before="0" w:after="283"/>
              <w:rPr/>
            </w:pPr>
            <w:r>
              <w:rPr/>
              <w:t>​</w:t>
            </w:r>
          </w:p>
        </w:tc>
        <w:tc>
          <w:tcPr>
            <w:tcW w:w="23" w:type="dxa"/>
            <w:tcBorders/>
            <w:shd w:fill="CCEEFF" w:val="clear"/>
            <w:vAlign w:val="bottom"/>
          </w:tcPr>
          <w:p>
            <w:pPr>
              <w:pStyle w:val="TableContents"/>
              <w:spacing w:before="0" w:after="283"/>
              <w:rPr/>
            </w:pPr>
            <w:r>
              <w:rPr/>
              <w:t>​</w:t>
            </w:r>
          </w:p>
        </w:tc>
        <w:tc>
          <w:tcPr>
            <w:tcW w:w="23" w:type="dxa"/>
            <w:tcBorders/>
            <w:shd w:fill="CCEEFF" w:val="clear"/>
            <w:vAlign w:val="bottom"/>
          </w:tcPr>
          <w:p>
            <w:pPr>
              <w:pStyle w:val="TableContents"/>
              <w:spacing w:before="0" w:after="283"/>
              <w:rPr/>
            </w:pPr>
            <w:r>
              <w:rPr/>
              <w:t>​</w:t>
            </w:r>
          </w:p>
        </w:tc>
        <w:tc>
          <w:tcPr>
            <w:tcW w:w="125" w:type="dxa"/>
            <w:tcBorders/>
            <w:shd w:fill="CCEEFF" w:val="clear"/>
            <w:vAlign w:val="bottom"/>
          </w:tcPr>
          <w:p>
            <w:pPr>
              <w:pStyle w:val="TableContents"/>
              <w:spacing w:before="0" w:after="283"/>
              <w:rPr>
                <w:rFonts w:ascii="arial" w:hAnsi="arial"/>
                <w:sz w:val="20"/>
              </w:rPr>
            </w:pPr>
            <w:r>
              <w:rPr>
                <w:rFonts w:ascii="arial" w:hAnsi="arial"/>
                <w:sz w:val="20"/>
              </w:rPr>
              <w:t>$</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t>161,833</w:t>
            </w:r>
          </w:p>
        </w:tc>
        <w:tc>
          <w:tcPr>
            <w:tcW w:w="260" w:type="dxa"/>
            <w:tcBorders/>
            <w:shd w:fill="CCEEFF" w:val="clear"/>
            <w:vAlign w:val="bottom"/>
          </w:tcPr>
          <w:p>
            <w:pPr>
              <w:pStyle w:val="TableContents"/>
              <w:spacing w:before="0" w:after="283"/>
              <w:rPr>
                <w:rFonts w:ascii="arial" w:hAnsi="arial"/>
                <w:position w:val="7"/>
                <w:sz w:val="16"/>
                <w:sz w:val="20"/>
              </w:rPr>
            </w:pPr>
            <w:r>
              <w:rPr>
                <w:rFonts w:ascii="arial" w:hAnsi="arial"/>
                <w:position w:val="7"/>
                <w:sz w:val="16"/>
                <w:sz w:val="20"/>
              </w:rPr>
              <w:t>(24)</w:t>
            </w:r>
          </w:p>
        </w:tc>
        <w:tc>
          <w:tcPr>
            <w:tcW w:w="23" w:type="dxa"/>
            <w:tcBorders/>
            <w:shd w:fill="CCEEFF" w:val="clear"/>
            <w:vAlign w:val="bottom"/>
          </w:tcPr>
          <w:p>
            <w:pPr>
              <w:pStyle w:val="TableContents"/>
              <w:spacing w:before="0" w:after="283"/>
              <w:rPr>
                <w:position w:val="8"/>
                <w:sz w:val="19"/>
              </w:rPr>
            </w:pPr>
            <w:r>
              <w:rPr>
                <w:position w:val="8"/>
                <w:sz w:val="19"/>
              </w:rPr>
              <w:t>​</w:t>
            </w:r>
          </w:p>
        </w:tc>
        <w:tc>
          <w:tcPr>
            <w:tcW w:w="125" w:type="dxa"/>
            <w:tcBorders/>
            <w:shd w:fill="CCEEFF" w:val="clear"/>
            <w:vAlign w:val="bottom"/>
          </w:tcPr>
          <w:p>
            <w:pPr>
              <w:pStyle w:val="TableContents"/>
              <w:spacing w:before="0" w:after="283"/>
              <w:rPr>
                <w:rFonts w:ascii="arial" w:hAnsi="arial"/>
                <w:sz w:val="20"/>
              </w:rPr>
            </w:pPr>
            <w:r>
              <w:rPr>
                <w:rFonts w:ascii="arial" w:hAnsi="arial"/>
                <w:sz w:val="20"/>
              </w:rPr>
              <w:t>$</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t>1,121,350</w:t>
            </w:r>
          </w:p>
        </w:tc>
        <w:tc>
          <w:tcPr>
            <w:tcW w:w="24" w:type="dxa"/>
            <w:tcBorders/>
            <w:shd w:fill="CCEEFF" w:val="clear"/>
            <w:vAlign w:val="bottom"/>
          </w:tcPr>
          <w:p>
            <w:pPr>
              <w:pStyle w:val="TableContents"/>
              <w:spacing w:before="0" w:after="283"/>
              <w:rPr/>
            </w:pPr>
            <w:r>
              <w:rPr/>
              <w:t>​</w:t>
            </w:r>
          </w:p>
        </w:tc>
      </w:tr>
      <w:tr>
        <w:trPr/>
        <w:tc>
          <w:tcPr>
            <w:tcW w:w="1420" w:type="dxa"/>
            <w:tcBorders/>
            <w:shd w:fill="CCEEFF" w:val="clear"/>
            <w:vAlign w:val="bottom"/>
          </w:tcPr>
          <w:p>
            <w:pPr>
              <w:pStyle w:val="TableContents"/>
              <w:spacing w:before="0" w:after="283"/>
              <w:ind w:left="160" w:right="0" w:hanging="160"/>
              <w:rPr>
                <w:rFonts w:ascii="arial" w:hAnsi="arial"/>
                <w:sz w:val="20"/>
              </w:rPr>
            </w:pPr>
            <w:r>
              <w:rPr>
                <w:rFonts w:ascii="arial" w:hAnsi="arial"/>
                <w:sz w:val="20"/>
              </w:rPr>
              <w:t>Compliance Officer</w:t>
            </w:r>
          </w:p>
        </w:tc>
        <w:tc>
          <w:tcPr>
            <w:tcW w:w="23" w:type="dxa"/>
            <w:tcBorders/>
            <w:shd w:fill="CCEEFF" w:val="clear"/>
            <w:vAlign w:val="bottom"/>
          </w:tcPr>
          <w:p>
            <w:pPr>
              <w:pStyle w:val="TableContents"/>
              <w:spacing w:before="0" w:after="283"/>
              <w:rPr/>
            </w:pPr>
            <w:r>
              <w:rPr/>
              <w:t>​</w:t>
            </w:r>
          </w:p>
        </w:tc>
        <w:tc>
          <w:tcPr>
            <w:tcW w:w="440"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2020</w:t>
            </w:r>
          </w:p>
        </w:tc>
        <w:tc>
          <w:tcPr>
            <w:tcW w:w="260" w:type="dxa"/>
            <w:tcBorders/>
            <w:shd w:fill="CCEEFF" w:val="clear"/>
            <w:vAlign w:val="bottom"/>
          </w:tcPr>
          <w:p>
            <w:pPr>
              <w:pStyle w:val="TableContents"/>
              <w:spacing w:before="0" w:after="283"/>
              <w:rPr/>
            </w:pPr>
            <w:r>
              <w:rPr/>
              <w:t>​</w:t>
            </w:r>
          </w:p>
        </w:tc>
        <w:tc>
          <w:tcPr>
            <w:tcW w:w="125" w:type="dxa"/>
            <w:tcBorders/>
            <w:shd w:fill="CCEEFF" w:val="clear"/>
            <w:vAlign w:val="bottom"/>
          </w:tcPr>
          <w:p>
            <w:pPr>
              <w:pStyle w:val="TableContents"/>
              <w:spacing w:before="0" w:after="283"/>
              <w:rPr>
                <w:rFonts w:ascii="arial" w:hAnsi="arial"/>
                <w:sz w:val="20"/>
              </w:rPr>
            </w:pPr>
            <w:r>
              <w:rPr>
                <w:rFonts w:ascii="arial" w:hAnsi="arial"/>
                <w:sz w:val="20"/>
              </w:rPr>
              <w:t>$</w:t>
            </w:r>
          </w:p>
        </w:tc>
        <w:tc>
          <w:tcPr>
            <w:tcW w:w="710" w:type="dxa"/>
            <w:tcBorders/>
            <w:shd w:fill="CCEEFF" w:val="clear"/>
            <w:vAlign w:val="bottom"/>
          </w:tcPr>
          <w:p>
            <w:pPr>
              <w:pStyle w:val="TableContents"/>
              <w:spacing w:before="0" w:after="283"/>
              <w:jc w:val="right"/>
              <w:rPr>
                <w:rFonts w:ascii="arial" w:hAnsi="arial"/>
                <w:sz w:val="20"/>
              </w:rPr>
            </w:pPr>
            <w:r>
              <w:rPr>
                <w:rFonts w:ascii="arial" w:hAnsi="arial"/>
                <w:sz w:val="20"/>
              </w:rPr>
              <w:t>457,677</w:t>
            </w:r>
          </w:p>
        </w:tc>
        <w:tc>
          <w:tcPr>
            <w:tcW w:w="260" w:type="dxa"/>
            <w:tcBorders/>
            <w:shd w:fill="CCEEFF" w:val="clear"/>
            <w:vAlign w:val="bottom"/>
          </w:tcPr>
          <w:p>
            <w:pPr>
              <w:pStyle w:val="TableContents"/>
              <w:spacing w:before="0" w:after="283"/>
              <w:rPr>
                <w:rFonts w:ascii="arial" w:hAnsi="arial"/>
                <w:position w:val="7"/>
                <w:sz w:val="16"/>
                <w:sz w:val="20"/>
              </w:rPr>
            </w:pPr>
            <w:r>
              <w:rPr>
                <w:rFonts w:ascii="arial" w:hAnsi="arial"/>
                <w:position w:val="7"/>
                <w:sz w:val="16"/>
                <w:sz w:val="20"/>
              </w:rPr>
              <w:t>(25)</w:t>
            </w:r>
          </w:p>
        </w:tc>
        <w:tc>
          <w:tcPr>
            <w:tcW w:w="125" w:type="dxa"/>
            <w:tcBorders/>
            <w:shd w:fill="CCEEFF" w:val="clear"/>
            <w:vAlign w:val="bottom"/>
          </w:tcPr>
          <w:p>
            <w:pPr>
              <w:pStyle w:val="TableContents"/>
              <w:spacing w:before="0" w:after="283"/>
              <w:rPr>
                <w:rFonts w:ascii="arial" w:hAnsi="arial"/>
                <w:sz w:val="20"/>
              </w:rPr>
            </w:pPr>
            <w:r>
              <w:rPr>
                <w:rFonts w:ascii="arial" w:hAnsi="arial"/>
                <w:sz w:val="20"/>
              </w:rPr>
              <w:t>$</w:t>
            </w:r>
          </w:p>
        </w:tc>
        <w:tc>
          <w:tcPr>
            <w:tcW w:w="710" w:type="dxa"/>
            <w:tcBorders/>
            <w:shd w:fill="CCEEFF" w:val="clear"/>
            <w:vAlign w:val="bottom"/>
          </w:tcPr>
          <w:p>
            <w:pPr>
              <w:pStyle w:val="TableContents"/>
              <w:spacing w:before="0" w:after="283"/>
              <w:jc w:val="right"/>
              <w:rPr>
                <w:rFonts w:ascii="arial" w:hAnsi="arial"/>
                <w:sz w:val="20"/>
              </w:rPr>
            </w:pPr>
            <w:r>
              <w:rPr>
                <w:rFonts w:ascii="arial" w:hAnsi="arial"/>
                <w:sz w:val="20"/>
              </w:rPr>
              <w:t>671,834</w:t>
            </w:r>
          </w:p>
        </w:tc>
        <w:tc>
          <w:tcPr>
            <w:tcW w:w="260" w:type="dxa"/>
            <w:tcBorders/>
            <w:shd w:fill="CCEEFF" w:val="clear"/>
            <w:vAlign w:val="bottom"/>
          </w:tcPr>
          <w:p>
            <w:pPr>
              <w:pStyle w:val="TableContents"/>
              <w:spacing w:before="0" w:after="283"/>
              <w:rPr>
                <w:rFonts w:ascii="arial" w:hAnsi="arial"/>
                <w:position w:val="7"/>
                <w:sz w:val="16"/>
                <w:sz w:val="20"/>
              </w:rPr>
            </w:pPr>
            <w:r>
              <w:rPr>
                <w:rFonts w:ascii="arial" w:hAnsi="arial"/>
                <w:position w:val="7"/>
                <w:sz w:val="16"/>
                <w:sz w:val="20"/>
              </w:rPr>
              <w:t>(26)</w:t>
            </w:r>
          </w:p>
        </w:tc>
        <w:tc>
          <w:tcPr>
            <w:tcW w:w="125" w:type="dxa"/>
            <w:tcBorders/>
            <w:shd w:fill="CCEEFF" w:val="clear"/>
            <w:vAlign w:val="bottom"/>
          </w:tcPr>
          <w:p>
            <w:pPr>
              <w:pStyle w:val="TableContents"/>
              <w:spacing w:before="0" w:after="283"/>
              <w:rPr>
                <w:rFonts w:ascii="arial" w:hAnsi="arial"/>
                <w:sz w:val="20"/>
              </w:rPr>
            </w:pPr>
            <w:r>
              <w:rPr>
                <w:rFonts w:ascii="arial" w:hAnsi="arial"/>
                <w:sz w:val="20"/>
              </w:rPr>
              <w:t>$</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t>562,622</w:t>
            </w:r>
          </w:p>
        </w:tc>
        <w:tc>
          <w:tcPr>
            <w:tcW w:w="24" w:type="dxa"/>
            <w:tcBorders/>
            <w:shd w:fill="CCEEFF" w:val="clear"/>
            <w:vAlign w:val="bottom"/>
          </w:tcPr>
          <w:p>
            <w:pPr>
              <w:pStyle w:val="TableContents"/>
              <w:spacing w:before="0" w:after="283"/>
              <w:rPr/>
            </w:pPr>
            <w:r>
              <w:rPr/>
              <w:t>​</w:t>
            </w:r>
          </w:p>
        </w:tc>
        <w:tc>
          <w:tcPr>
            <w:tcW w:w="1000"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w:t>
            </w:r>
          </w:p>
        </w:tc>
        <w:tc>
          <w:tcPr>
            <w:tcW w:w="260" w:type="dxa"/>
            <w:tcBorders/>
            <w:shd w:fill="CCEEFF" w:val="clear"/>
            <w:vAlign w:val="bottom"/>
          </w:tcPr>
          <w:p>
            <w:pPr>
              <w:pStyle w:val="TableContents"/>
              <w:spacing w:before="0" w:after="283"/>
              <w:rPr/>
            </w:pPr>
            <w:r>
              <w:rPr/>
              <w:t>​</w:t>
            </w:r>
          </w:p>
        </w:tc>
        <w:tc>
          <w:tcPr>
            <w:tcW w:w="32" w:type="dxa"/>
            <w:tcBorders/>
            <w:shd w:fill="CCEEFF" w:val="clear"/>
            <w:vAlign w:val="bottom"/>
          </w:tcPr>
          <w:p>
            <w:pPr>
              <w:pStyle w:val="TableContents"/>
              <w:spacing w:before="0" w:after="283"/>
              <w:rPr/>
            </w:pPr>
            <w:r>
              <w:rPr/>
              <w:t>​</w:t>
            </w:r>
          </w:p>
        </w:tc>
        <w:tc>
          <w:tcPr>
            <w:tcW w:w="1170" w:type="dxa"/>
            <w:gridSpan w:val="2"/>
            <w:tcBorders/>
            <w:shd w:fill="CCEEFF" w:val="clear"/>
            <w:vAlign w:val="bottom"/>
          </w:tcPr>
          <w:p>
            <w:pPr>
              <w:pStyle w:val="TableContents"/>
              <w:spacing w:before="0" w:after="283"/>
              <w:jc w:val="right"/>
              <w:rPr/>
            </w:pPr>
            <w:r>
              <w:rPr/>
              <w:t> </w:t>
            </w:r>
          </w:p>
        </w:tc>
        <w:tc>
          <w:tcPr>
            <w:tcW w:w="33" w:type="dxa"/>
            <w:tcBorders/>
            <w:shd w:fill="CCEEFF" w:val="clear"/>
            <w:vAlign w:val="bottom"/>
          </w:tcPr>
          <w:p>
            <w:pPr>
              <w:pStyle w:val="TableContents"/>
              <w:spacing w:before="0" w:after="283"/>
              <w:rPr/>
            </w:pPr>
            <w:r>
              <w:rPr/>
              <w:t>​</w:t>
            </w:r>
          </w:p>
        </w:tc>
        <w:tc>
          <w:tcPr>
            <w:tcW w:w="23" w:type="dxa"/>
            <w:tcBorders/>
            <w:shd w:fill="CCEEFF" w:val="clear"/>
            <w:vAlign w:val="bottom"/>
          </w:tcPr>
          <w:p>
            <w:pPr>
              <w:pStyle w:val="TableContents"/>
              <w:spacing w:before="0" w:after="283"/>
              <w:rPr/>
            </w:pPr>
            <w:r>
              <w:rPr/>
              <w:t>​</w:t>
            </w:r>
          </w:p>
        </w:tc>
        <w:tc>
          <w:tcPr>
            <w:tcW w:w="23" w:type="dxa"/>
            <w:tcBorders/>
            <w:shd w:fill="CCEEFF" w:val="clear"/>
            <w:vAlign w:val="bottom"/>
          </w:tcPr>
          <w:p>
            <w:pPr>
              <w:pStyle w:val="TableContents"/>
              <w:spacing w:before="0" w:after="283"/>
              <w:rPr/>
            </w:pPr>
            <w:r>
              <w:rPr/>
              <w:t>​</w:t>
            </w:r>
          </w:p>
        </w:tc>
        <w:tc>
          <w:tcPr>
            <w:tcW w:w="125" w:type="dxa"/>
            <w:tcBorders/>
            <w:shd w:fill="CCEEFF" w:val="clear"/>
            <w:vAlign w:val="bottom"/>
          </w:tcPr>
          <w:p>
            <w:pPr>
              <w:pStyle w:val="TableContents"/>
              <w:spacing w:before="0" w:after="283"/>
              <w:rPr>
                <w:rFonts w:ascii="arial" w:hAnsi="arial"/>
                <w:sz w:val="20"/>
              </w:rPr>
            </w:pPr>
            <w:r>
              <w:rPr>
                <w:rFonts w:ascii="arial" w:hAnsi="arial"/>
                <w:sz w:val="20"/>
              </w:rPr>
              <w:t>$</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t>226,398</w:t>
            </w:r>
          </w:p>
        </w:tc>
        <w:tc>
          <w:tcPr>
            <w:tcW w:w="260" w:type="dxa"/>
            <w:tcBorders/>
            <w:shd w:fill="CCEEFF" w:val="clear"/>
            <w:vAlign w:val="bottom"/>
          </w:tcPr>
          <w:p>
            <w:pPr>
              <w:pStyle w:val="TableContents"/>
              <w:spacing w:before="0" w:after="283"/>
              <w:rPr>
                <w:rFonts w:ascii="arial" w:hAnsi="arial"/>
                <w:position w:val="7"/>
                <w:sz w:val="16"/>
                <w:sz w:val="20"/>
              </w:rPr>
            </w:pPr>
            <w:r>
              <w:rPr>
                <w:rFonts w:ascii="arial" w:hAnsi="arial"/>
                <w:position w:val="7"/>
                <w:sz w:val="16"/>
                <w:sz w:val="20"/>
              </w:rPr>
              <w:t>(27)</w:t>
            </w:r>
          </w:p>
        </w:tc>
        <w:tc>
          <w:tcPr>
            <w:tcW w:w="23" w:type="dxa"/>
            <w:tcBorders/>
            <w:shd w:fill="CCEEFF" w:val="clear"/>
            <w:vAlign w:val="bottom"/>
          </w:tcPr>
          <w:p>
            <w:pPr>
              <w:pStyle w:val="TableContents"/>
              <w:spacing w:before="0" w:after="283"/>
              <w:rPr>
                <w:position w:val="8"/>
                <w:sz w:val="19"/>
              </w:rPr>
            </w:pPr>
            <w:r>
              <w:rPr>
                <w:position w:val="8"/>
                <w:sz w:val="19"/>
              </w:rPr>
              <w:t>​</w:t>
            </w:r>
          </w:p>
        </w:tc>
        <w:tc>
          <w:tcPr>
            <w:tcW w:w="125" w:type="dxa"/>
            <w:tcBorders/>
            <w:shd w:fill="CCEEFF" w:val="clear"/>
            <w:vAlign w:val="bottom"/>
          </w:tcPr>
          <w:p>
            <w:pPr>
              <w:pStyle w:val="TableContents"/>
              <w:spacing w:before="0" w:after="283"/>
              <w:rPr>
                <w:rFonts w:ascii="arial" w:hAnsi="arial"/>
                <w:sz w:val="20"/>
              </w:rPr>
            </w:pPr>
            <w:r>
              <w:rPr>
                <w:rFonts w:ascii="arial" w:hAnsi="arial"/>
                <w:sz w:val="20"/>
              </w:rPr>
              <w:t>$</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t>1,918,531</w:t>
            </w:r>
          </w:p>
        </w:tc>
        <w:tc>
          <w:tcPr>
            <w:tcW w:w="24" w:type="dxa"/>
            <w:tcBorders/>
            <w:shd w:fill="CCEEFF" w:val="clear"/>
            <w:vAlign w:val="bottom"/>
          </w:tcPr>
          <w:p>
            <w:pPr>
              <w:pStyle w:val="TableContents"/>
              <w:spacing w:before="0" w:after="283"/>
              <w:rPr/>
            </w:pPr>
            <w:r>
              <w:rPr/>
              <w:t>​</w:t>
            </w:r>
          </w:p>
        </w:tc>
      </w:tr>
    </w:tbl>
    <w:p>
      <w:pPr>
        <w:pStyle w:val="ListHeading"/>
        <w:spacing w:before="0" w:after="0"/>
        <w:jc w:val="left"/>
        <w:rPr>
          <w:rFonts w:ascii="arial" w:hAnsi="arial"/>
          <w:position w:val="7"/>
          <w:sz w:val="16"/>
          <w:sz w:val="20"/>
        </w:rPr>
      </w:pPr>
      <w:r>
        <w:rPr>
          <w:rFonts w:ascii="arial" w:hAnsi="arial"/>
          <w:position w:val="7"/>
          <w:sz w:val="16"/>
          <w:sz w:val="20"/>
        </w:rPr>
        <w:t>(1)</w:t>
      </w:r>
    </w:p>
    <w:p>
      <w:pPr>
        <w:pStyle w:val="ListContents"/>
        <w:spacing w:before="0" w:after="283"/>
        <w:jc w:val="left"/>
        <w:rPr>
          <w:rFonts w:ascii="arial" w:hAnsi="arial"/>
          <w:sz w:val="20"/>
        </w:rPr>
      </w:pPr>
      <w:r>
        <w:rPr>
          <w:rFonts w:ascii="arial" w:hAnsi="arial"/>
          <w:sz w:val="20"/>
        </w:rPr>
        <w:t xml:space="preserve">Represents amounts earned in corresponding year. </w:t>
      </w:r>
    </w:p>
    <w:p>
      <w:pPr>
        <w:pStyle w:val="ListHeading"/>
        <w:spacing w:before="0" w:after="0"/>
        <w:jc w:val="left"/>
        <w:rPr>
          <w:rFonts w:ascii="arial" w:hAnsi="arial"/>
          <w:position w:val="7"/>
          <w:sz w:val="16"/>
          <w:sz w:val="20"/>
        </w:rPr>
      </w:pPr>
      <w:r>
        <w:rPr>
          <w:rFonts w:ascii="arial" w:hAnsi="arial"/>
          <w:position w:val="7"/>
          <w:sz w:val="16"/>
          <w:sz w:val="20"/>
        </w:rPr>
        <w:t>(2)</w:t>
      </w:r>
    </w:p>
    <w:p>
      <w:pPr>
        <w:pStyle w:val="ListContents"/>
        <w:spacing w:before="0" w:after="283"/>
        <w:jc w:val="left"/>
        <w:rPr>
          <w:rFonts w:ascii="arial" w:hAnsi="arial"/>
          <w:sz w:val="20"/>
        </w:rPr>
      </w:pPr>
      <w:r>
        <w:rPr>
          <w:rFonts w:ascii="arial" w:hAnsi="arial"/>
          <w:sz w:val="20"/>
        </w:rPr>
        <w:t xml:space="preserve">Represents the grant date fair value in accordance with Financial Accounting Standards Board Accounting Standards Codification Topic 718 of the restricted share awards granted during each year presented. The value was determined by using the grant date fair value per award multiplied by the shares or RSUs granted, as per the grant date. </w:t>
      </w:r>
    </w:p>
    <w:p>
      <w:pPr>
        <w:pStyle w:val="ListHeading"/>
        <w:spacing w:before="0" w:after="0"/>
        <w:jc w:val="left"/>
        <w:rPr>
          <w:rFonts w:ascii="arial" w:hAnsi="arial"/>
          <w:position w:val="7"/>
          <w:sz w:val="16"/>
          <w:sz w:val="20"/>
        </w:rPr>
      </w:pPr>
      <w:r>
        <w:rPr>
          <w:rFonts w:ascii="arial" w:hAnsi="arial"/>
          <w:position w:val="7"/>
          <w:sz w:val="16"/>
          <w:sz w:val="20"/>
        </w:rPr>
        <w:t>(3)</w:t>
      </w:r>
    </w:p>
    <w:p>
      <w:pPr>
        <w:pStyle w:val="ListContents"/>
        <w:spacing w:before="0" w:after="283"/>
        <w:jc w:val="left"/>
        <w:rPr>
          <w:rFonts w:ascii="arial" w:hAnsi="arial"/>
          <w:sz w:val="20"/>
        </w:rPr>
      </w:pPr>
      <w:r>
        <w:rPr>
          <w:rFonts w:ascii="arial" w:hAnsi="arial"/>
          <w:sz w:val="20"/>
        </w:rPr>
        <w:t xml:space="preserve">For awards of options, the amount disclosed represents the aggregate grant date fair value of awards granted, during the applicable year, computed in accordance with Financial Accounting Standards Board Accounting Standards Codification Topic 718. </w:t>
      </w:r>
    </w:p>
    <w:p>
      <w:pPr>
        <w:pStyle w:val="ListHeading"/>
        <w:spacing w:before="0" w:after="0"/>
        <w:jc w:val="left"/>
        <w:rPr>
          <w:rFonts w:ascii="arial" w:hAnsi="arial"/>
        </w:rPr>
      </w:pPr>
      <w:r>
        <w:rPr>
          <w:rFonts w:ascii="arial" w:hAnsi="arial"/>
        </w:rPr>
      </w:r>
    </w:p>
    <w:p>
      <w:pPr>
        <w:pStyle w:val="ListContents"/>
        <w:spacing w:before="0" w:after="283"/>
        <w:jc w:val="left"/>
        <w:rPr>
          <w:rFonts w:ascii="arial" w:hAnsi="arial"/>
          <w:sz w:val="20"/>
        </w:rPr>
      </w:pPr>
      <w:r>
        <w:rPr>
          <w:rFonts w:ascii="arial" w:hAnsi="arial"/>
          <w:sz w:val="20"/>
        </w:rPr>
        <w:t xml:space="preserve">We estimated the grant date fair value of stock option awards using a Black-Scholes option-pricing model utilizing the following assumptions: </w:t>
      </w:r>
    </w:p>
    <w:tbl>
      <w:tblPr>
        <w:tblW w:w="5000" w:type="pct"/>
        <w:jc w:val="center"/>
        <w:tblInd w:w="0" w:type="dxa"/>
        <w:tblCellMar>
          <w:top w:w="0" w:type="dxa"/>
          <w:left w:w="0" w:type="dxa"/>
          <w:bottom w:w="0" w:type="dxa"/>
          <w:right w:w="0" w:type="dxa"/>
        </w:tblCellMar>
      </w:tblPr>
      <w:tblGrid>
        <w:gridCol w:w="1958"/>
        <w:gridCol w:w="230"/>
        <w:gridCol w:w="1443"/>
        <w:gridCol w:w="229"/>
        <w:gridCol w:w="1443"/>
        <w:gridCol w:w="229"/>
        <w:gridCol w:w="1300"/>
        <w:gridCol w:w="229"/>
        <w:gridCol w:w="1471"/>
        <w:gridCol w:w="230"/>
        <w:gridCol w:w="1443"/>
      </w:tblGrid>
      <w:tr>
        <w:trPr/>
        <w:tc>
          <w:tcPr>
            <w:tcW w:w="195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443"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443"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300"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471"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443" w:type="dxa"/>
            <w:tcBorders/>
            <w:shd w:fill="auto" w:val="clear"/>
            <w:vAlign w:val="center"/>
          </w:tcPr>
          <w:p>
            <w:pPr>
              <w:pStyle w:val="TableContents"/>
              <w:spacing w:before="0" w:after="283"/>
              <w:rPr>
                <w:sz w:val="4"/>
                <w:szCs w:val="4"/>
              </w:rPr>
            </w:pPr>
            <w:r>
              <w:rPr>
                <w:sz w:val="4"/>
                <w:szCs w:val="4"/>
              </w:rPr>
            </w:r>
          </w:p>
        </w:tc>
      </w:tr>
      <w:tr>
        <w:trPr/>
        <w:tc>
          <w:tcPr>
            <w:tcW w:w="10205" w:type="dxa"/>
            <w:gridSpan w:val="11"/>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Service-Based and Performance-Based Awards -Black-Scholes</w:t>
              <w:br/>
              <w:t xml:space="preserve">Option Pricing Model </w:t>
            </w:r>
          </w:p>
        </w:tc>
      </w:tr>
      <w:tr>
        <w:trPr/>
        <w:tc>
          <w:tcPr>
            <w:tcW w:w="1958" w:type="dxa"/>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Performance</w:t>
              <w:br/>
              <w:t xml:space="preserve">Year </w:t>
            </w:r>
          </w:p>
        </w:tc>
        <w:tc>
          <w:tcPr>
            <w:tcW w:w="230" w:type="dxa"/>
            <w:tcBorders/>
            <w:shd w:fill="auto" w:val="clear"/>
            <w:vAlign w:val="bottom"/>
          </w:tcPr>
          <w:p>
            <w:pPr>
              <w:pStyle w:val="TableHeading"/>
              <w:spacing w:lineRule="atLeast" w:line="180" w:before="0" w:after="283"/>
              <w:rPr/>
            </w:pPr>
            <w:r>
              <w:rPr/>
              <w:t>​</w:t>
            </w:r>
          </w:p>
        </w:tc>
        <w:tc>
          <w:tcPr>
            <w:tcW w:w="1443" w:type="dxa"/>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Expected</w:t>
              <w:br/>
              <w:t>Volatility</w:t>
              <w:br/>
              <w:t xml:space="preserve">(%) </w:t>
            </w:r>
          </w:p>
        </w:tc>
        <w:tc>
          <w:tcPr>
            <w:tcW w:w="229" w:type="dxa"/>
            <w:tcBorders/>
            <w:shd w:fill="auto" w:val="clear"/>
            <w:vAlign w:val="bottom"/>
          </w:tcPr>
          <w:p>
            <w:pPr>
              <w:pStyle w:val="TableHeading"/>
              <w:spacing w:lineRule="atLeast" w:line="180" w:before="0" w:after="283"/>
              <w:rPr/>
            </w:pPr>
            <w:r>
              <w:rPr/>
              <w:t>​</w:t>
            </w:r>
          </w:p>
        </w:tc>
        <w:tc>
          <w:tcPr>
            <w:tcW w:w="1443" w:type="dxa"/>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Expected</w:t>
              <w:br/>
              <w:t>Dividend</w:t>
              <w:br/>
              <w:t xml:space="preserve">Yield (%) </w:t>
            </w:r>
          </w:p>
        </w:tc>
        <w:tc>
          <w:tcPr>
            <w:tcW w:w="229" w:type="dxa"/>
            <w:tcBorders/>
            <w:shd w:fill="auto" w:val="clear"/>
            <w:vAlign w:val="bottom"/>
          </w:tcPr>
          <w:p>
            <w:pPr>
              <w:pStyle w:val="TableHeading"/>
              <w:spacing w:lineRule="atLeast" w:line="180" w:before="0" w:after="283"/>
              <w:rPr/>
            </w:pPr>
            <w:r>
              <w:rPr/>
              <w:t>​</w:t>
            </w:r>
          </w:p>
        </w:tc>
        <w:tc>
          <w:tcPr>
            <w:tcW w:w="1300" w:type="dxa"/>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Exercise Price</w:t>
              <w:br/>
              <w:t xml:space="preserve">($) </w:t>
            </w:r>
          </w:p>
        </w:tc>
        <w:tc>
          <w:tcPr>
            <w:tcW w:w="229" w:type="dxa"/>
            <w:tcBorders/>
            <w:shd w:fill="auto" w:val="clear"/>
            <w:vAlign w:val="bottom"/>
          </w:tcPr>
          <w:p>
            <w:pPr>
              <w:pStyle w:val="TableHeading"/>
              <w:spacing w:lineRule="atLeast" w:line="180" w:before="0" w:after="283"/>
              <w:rPr/>
            </w:pPr>
            <w:r>
              <w:rPr/>
              <w:t>​</w:t>
            </w:r>
          </w:p>
        </w:tc>
        <w:tc>
          <w:tcPr>
            <w:tcW w:w="1471" w:type="dxa"/>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Risk-Free</w:t>
              <w:br/>
              <w:t>Interest</w:t>
              <w:br/>
              <w:t xml:space="preserve">Rate (%) </w:t>
            </w:r>
          </w:p>
        </w:tc>
        <w:tc>
          <w:tcPr>
            <w:tcW w:w="230" w:type="dxa"/>
            <w:tcBorders/>
            <w:shd w:fill="auto" w:val="clear"/>
            <w:vAlign w:val="bottom"/>
          </w:tcPr>
          <w:p>
            <w:pPr>
              <w:pStyle w:val="TableHeading"/>
              <w:spacing w:lineRule="atLeast" w:line="180" w:before="0" w:after="283"/>
              <w:rPr/>
            </w:pPr>
            <w:r>
              <w:rPr/>
              <w:t>​</w:t>
            </w:r>
          </w:p>
        </w:tc>
        <w:tc>
          <w:tcPr>
            <w:tcW w:w="1443" w:type="dxa"/>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Expected</w:t>
              <w:br/>
              <w:t>Term in</w:t>
              <w:br/>
              <w:t xml:space="preserve">Years </w:t>
            </w:r>
          </w:p>
        </w:tc>
      </w:tr>
      <w:tr>
        <w:trPr/>
        <w:tc>
          <w:tcPr>
            <w:tcW w:w="1958" w:type="dxa"/>
            <w:tcBorders/>
            <w:shd w:fill="CCEEFF" w:val="clear"/>
            <w:vAlign w:val="bottom"/>
          </w:tcPr>
          <w:p>
            <w:pPr>
              <w:pStyle w:val="TableContents"/>
              <w:spacing w:before="0" w:after="283"/>
              <w:ind w:left="160" w:right="0" w:hanging="160"/>
              <w:jc w:val="center"/>
              <w:rPr>
                <w:rFonts w:ascii="arial" w:hAnsi="arial"/>
                <w:sz w:val="20"/>
              </w:rPr>
            </w:pPr>
            <w:r>
              <w:rPr>
                <w:rFonts w:ascii="arial" w:hAnsi="arial"/>
                <w:sz w:val="20"/>
              </w:rPr>
              <w:t>2018</w:t>
            </w:r>
          </w:p>
        </w:tc>
        <w:tc>
          <w:tcPr>
            <w:tcW w:w="230" w:type="dxa"/>
            <w:tcBorders/>
            <w:shd w:fill="CCEEFF" w:val="clear"/>
            <w:vAlign w:val="bottom"/>
          </w:tcPr>
          <w:p>
            <w:pPr>
              <w:pStyle w:val="TableContents"/>
              <w:spacing w:before="0" w:after="283"/>
              <w:rPr/>
            </w:pPr>
            <w:r>
              <w:rPr/>
              <w:t>​</w:t>
            </w:r>
          </w:p>
        </w:tc>
        <w:tc>
          <w:tcPr>
            <w:tcW w:w="1443" w:type="dxa"/>
            <w:tcBorders/>
            <w:shd w:fill="CCEEFF" w:val="clear"/>
            <w:vAlign w:val="bottom"/>
          </w:tcPr>
          <w:p>
            <w:pPr>
              <w:pStyle w:val="TableContents"/>
              <w:spacing w:before="0" w:after="283"/>
              <w:jc w:val="center"/>
              <w:rPr>
                <w:rFonts w:ascii="arial" w:hAnsi="arial"/>
                <w:sz w:val="20"/>
              </w:rPr>
            </w:pPr>
            <w:r>
              <w:rPr>
                <w:rFonts w:ascii="arial" w:hAnsi="arial"/>
                <w:sz w:val="20"/>
              </w:rPr>
              <w:t>70%</w:t>
            </w:r>
          </w:p>
        </w:tc>
        <w:tc>
          <w:tcPr>
            <w:tcW w:w="229" w:type="dxa"/>
            <w:tcBorders/>
            <w:shd w:fill="CCEEFF" w:val="clear"/>
            <w:vAlign w:val="bottom"/>
          </w:tcPr>
          <w:p>
            <w:pPr>
              <w:pStyle w:val="TableContents"/>
              <w:spacing w:before="0" w:after="283"/>
              <w:rPr/>
            </w:pPr>
            <w:r>
              <w:rPr/>
              <w:t>​</w:t>
            </w:r>
          </w:p>
        </w:tc>
        <w:tc>
          <w:tcPr>
            <w:tcW w:w="1443" w:type="dxa"/>
            <w:tcBorders/>
            <w:shd w:fill="CCEEFF" w:val="clear"/>
            <w:vAlign w:val="bottom"/>
          </w:tcPr>
          <w:p>
            <w:pPr>
              <w:pStyle w:val="TableContents"/>
              <w:spacing w:before="0" w:after="283"/>
              <w:jc w:val="center"/>
              <w:rPr>
                <w:rFonts w:ascii="arial" w:hAnsi="arial"/>
                <w:sz w:val="20"/>
              </w:rPr>
            </w:pPr>
            <w:r>
              <w:rPr>
                <w:rFonts w:ascii="arial" w:hAnsi="arial"/>
                <w:sz w:val="20"/>
              </w:rPr>
              <w:t>-</w:t>
            </w:r>
          </w:p>
        </w:tc>
        <w:tc>
          <w:tcPr>
            <w:tcW w:w="229" w:type="dxa"/>
            <w:tcBorders/>
            <w:shd w:fill="CCEEFF" w:val="clear"/>
            <w:vAlign w:val="bottom"/>
          </w:tcPr>
          <w:p>
            <w:pPr>
              <w:pStyle w:val="TableContents"/>
              <w:spacing w:before="0" w:after="283"/>
              <w:rPr/>
            </w:pPr>
            <w:r>
              <w:rPr/>
              <w:t>​</w:t>
            </w:r>
          </w:p>
        </w:tc>
        <w:tc>
          <w:tcPr>
            <w:tcW w:w="1300" w:type="dxa"/>
            <w:tcBorders/>
            <w:shd w:fill="CCEEFF" w:val="clear"/>
            <w:vAlign w:val="bottom"/>
          </w:tcPr>
          <w:p>
            <w:pPr>
              <w:pStyle w:val="TableContents"/>
              <w:spacing w:before="0" w:after="283"/>
              <w:jc w:val="center"/>
              <w:rPr>
                <w:rFonts w:ascii="arial" w:hAnsi="arial"/>
                <w:sz w:val="20"/>
              </w:rPr>
            </w:pPr>
            <w:r>
              <w:rPr>
                <w:rFonts w:ascii="arial" w:hAnsi="arial"/>
                <w:sz w:val="20"/>
              </w:rPr>
              <w:t>$24.82</w:t>
            </w:r>
          </w:p>
        </w:tc>
        <w:tc>
          <w:tcPr>
            <w:tcW w:w="229" w:type="dxa"/>
            <w:tcBorders/>
            <w:shd w:fill="CCEEFF" w:val="clear"/>
            <w:vAlign w:val="bottom"/>
          </w:tcPr>
          <w:p>
            <w:pPr>
              <w:pStyle w:val="TableContents"/>
              <w:spacing w:before="0" w:after="283"/>
              <w:rPr/>
            </w:pPr>
            <w:r>
              <w:rPr/>
              <w:t>​</w:t>
            </w:r>
          </w:p>
        </w:tc>
        <w:tc>
          <w:tcPr>
            <w:tcW w:w="1471" w:type="dxa"/>
            <w:tcBorders/>
            <w:shd w:fill="CCEEFF" w:val="clear"/>
            <w:vAlign w:val="bottom"/>
          </w:tcPr>
          <w:p>
            <w:pPr>
              <w:pStyle w:val="TableContents"/>
              <w:spacing w:before="0" w:after="283"/>
              <w:jc w:val="center"/>
              <w:rPr>
                <w:rFonts w:ascii="arial" w:hAnsi="arial"/>
                <w:sz w:val="20"/>
              </w:rPr>
            </w:pPr>
            <w:r>
              <w:rPr>
                <w:rFonts w:ascii="arial" w:hAnsi="arial"/>
                <w:sz w:val="20"/>
              </w:rPr>
              <w:t>2.67%</w:t>
            </w:r>
          </w:p>
        </w:tc>
        <w:tc>
          <w:tcPr>
            <w:tcW w:w="230" w:type="dxa"/>
            <w:tcBorders/>
            <w:shd w:fill="CCEEFF" w:val="clear"/>
            <w:vAlign w:val="bottom"/>
          </w:tcPr>
          <w:p>
            <w:pPr>
              <w:pStyle w:val="TableContents"/>
              <w:spacing w:before="0" w:after="283"/>
              <w:rPr/>
            </w:pPr>
            <w:r>
              <w:rPr/>
              <w:t>​</w:t>
            </w:r>
          </w:p>
        </w:tc>
        <w:tc>
          <w:tcPr>
            <w:tcW w:w="1443" w:type="dxa"/>
            <w:tcBorders/>
            <w:shd w:fill="CCEEFF" w:val="clear"/>
            <w:vAlign w:val="bottom"/>
          </w:tcPr>
          <w:p>
            <w:pPr>
              <w:pStyle w:val="TableContents"/>
              <w:spacing w:before="0" w:after="283"/>
              <w:jc w:val="center"/>
              <w:rPr>
                <w:rFonts w:ascii="arial" w:hAnsi="arial"/>
                <w:sz w:val="20"/>
              </w:rPr>
            </w:pPr>
            <w:r>
              <w:rPr>
                <w:rFonts w:ascii="arial" w:hAnsi="arial"/>
                <w:sz w:val="20"/>
              </w:rPr>
              <w:t>6.25</w:t>
            </w:r>
          </w:p>
        </w:tc>
      </w:tr>
      <w:tr>
        <w:trPr/>
        <w:tc>
          <w:tcPr>
            <w:tcW w:w="1958" w:type="dxa"/>
            <w:tcBorders/>
            <w:shd w:fill="auto" w:val="clear"/>
            <w:vAlign w:val="bottom"/>
          </w:tcPr>
          <w:p>
            <w:pPr>
              <w:pStyle w:val="TableContents"/>
              <w:spacing w:before="0" w:after="283"/>
              <w:ind w:left="160" w:right="0" w:hanging="160"/>
              <w:jc w:val="center"/>
              <w:rPr>
                <w:rFonts w:ascii="arial" w:hAnsi="arial"/>
                <w:sz w:val="20"/>
              </w:rPr>
            </w:pPr>
            <w:r>
              <w:rPr>
                <w:rFonts w:ascii="arial" w:hAnsi="arial"/>
                <w:sz w:val="20"/>
              </w:rPr>
              <w:t>2019</w:t>
            </w:r>
          </w:p>
        </w:tc>
        <w:tc>
          <w:tcPr>
            <w:tcW w:w="230" w:type="dxa"/>
            <w:tcBorders/>
            <w:shd w:fill="auto" w:val="clear"/>
            <w:vAlign w:val="bottom"/>
          </w:tcPr>
          <w:p>
            <w:pPr>
              <w:pStyle w:val="TableContents"/>
              <w:spacing w:before="0" w:after="283"/>
              <w:rPr/>
            </w:pPr>
            <w:r>
              <w:rPr/>
              <w:t>​</w:t>
            </w:r>
          </w:p>
        </w:tc>
        <w:tc>
          <w:tcPr>
            <w:tcW w:w="1443" w:type="dxa"/>
            <w:tcBorders/>
            <w:shd w:fill="auto" w:val="clear"/>
            <w:vAlign w:val="bottom"/>
          </w:tcPr>
          <w:p>
            <w:pPr>
              <w:pStyle w:val="TableContents"/>
              <w:spacing w:before="0" w:after="283"/>
              <w:jc w:val="center"/>
              <w:rPr>
                <w:rFonts w:ascii="arial" w:hAnsi="arial"/>
                <w:sz w:val="20"/>
              </w:rPr>
            </w:pPr>
            <w:r>
              <w:rPr>
                <w:rFonts w:ascii="arial" w:hAnsi="arial"/>
                <w:sz w:val="20"/>
              </w:rPr>
              <w:t>n/a</w:t>
            </w:r>
          </w:p>
        </w:tc>
        <w:tc>
          <w:tcPr>
            <w:tcW w:w="229" w:type="dxa"/>
            <w:tcBorders/>
            <w:shd w:fill="auto" w:val="clear"/>
            <w:vAlign w:val="bottom"/>
          </w:tcPr>
          <w:p>
            <w:pPr>
              <w:pStyle w:val="TableContents"/>
              <w:spacing w:before="0" w:after="283"/>
              <w:rPr/>
            </w:pPr>
            <w:r>
              <w:rPr/>
              <w:t>​</w:t>
            </w:r>
          </w:p>
        </w:tc>
        <w:tc>
          <w:tcPr>
            <w:tcW w:w="1443" w:type="dxa"/>
            <w:tcBorders/>
            <w:shd w:fill="auto" w:val="clear"/>
            <w:vAlign w:val="bottom"/>
          </w:tcPr>
          <w:p>
            <w:pPr>
              <w:pStyle w:val="TableContents"/>
              <w:spacing w:before="0" w:after="283"/>
              <w:jc w:val="center"/>
              <w:rPr>
                <w:rFonts w:ascii="arial" w:hAnsi="arial"/>
                <w:sz w:val="20"/>
              </w:rPr>
            </w:pPr>
            <w:r>
              <w:rPr>
                <w:rFonts w:ascii="arial" w:hAnsi="arial"/>
                <w:sz w:val="20"/>
              </w:rPr>
              <w:t>n/a</w:t>
            </w:r>
          </w:p>
        </w:tc>
        <w:tc>
          <w:tcPr>
            <w:tcW w:w="229" w:type="dxa"/>
            <w:tcBorders/>
            <w:shd w:fill="auto" w:val="clear"/>
            <w:vAlign w:val="bottom"/>
          </w:tcPr>
          <w:p>
            <w:pPr>
              <w:pStyle w:val="TableContents"/>
              <w:spacing w:before="0" w:after="283"/>
              <w:rPr/>
            </w:pPr>
            <w:r>
              <w:rPr/>
              <w:t>​</w:t>
            </w:r>
          </w:p>
        </w:tc>
        <w:tc>
          <w:tcPr>
            <w:tcW w:w="1300" w:type="dxa"/>
            <w:tcBorders/>
            <w:shd w:fill="auto" w:val="clear"/>
            <w:vAlign w:val="bottom"/>
          </w:tcPr>
          <w:p>
            <w:pPr>
              <w:pStyle w:val="TableContents"/>
              <w:spacing w:before="0" w:after="283"/>
              <w:jc w:val="center"/>
              <w:rPr>
                <w:rFonts w:ascii="arial" w:hAnsi="arial"/>
                <w:sz w:val="20"/>
              </w:rPr>
            </w:pPr>
            <w:r>
              <w:rPr>
                <w:rFonts w:ascii="arial" w:hAnsi="arial"/>
                <w:sz w:val="20"/>
              </w:rPr>
              <w:t>n/a</w:t>
            </w:r>
          </w:p>
        </w:tc>
        <w:tc>
          <w:tcPr>
            <w:tcW w:w="229" w:type="dxa"/>
            <w:tcBorders/>
            <w:shd w:fill="auto" w:val="clear"/>
            <w:vAlign w:val="bottom"/>
          </w:tcPr>
          <w:p>
            <w:pPr>
              <w:pStyle w:val="TableContents"/>
              <w:spacing w:before="0" w:after="283"/>
              <w:rPr/>
            </w:pPr>
            <w:r>
              <w:rPr/>
              <w:t>​</w:t>
            </w:r>
          </w:p>
        </w:tc>
        <w:tc>
          <w:tcPr>
            <w:tcW w:w="1471" w:type="dxa"/>
            <w:tcBorders/>
            <w:shd w:fill="auto" w:val="clear"/>
            <w:vAlign w:val="bottom"/>
          </w:tcPr>
          <w:p>
            <w:pPr>
              <w:pStyle w:val="TableContents"/>
              <w:spacing w:before="0" w:after="283"/>
              <w:jc w:val="center"/>
              <w:rPr>
                <w:rFonts w:ascii="arial" w:hAnsi="arial"/>
                <w:sz w:val="20"/>
              </w:rPr>
            </w:pPr>
            <w:r>
              <w:rPr>
                <w:rFonts w:ascii="arial" w:hAnsi="arial"/>
                <w:sz w:val="20"/>
              </w:rPr>
              <w:t>n/a</w:t>
            </w:r>
          </w:p>
        </w:tc>
        <w:tc>
          <w:tcPr>
            <w:tcW w:w="230" w:type="dxa"/>
            <w:tcBorders/>
            <w:shd w:fill="auto" w:val="clear"/>
            <w:vAlign w:val="bottom"/>
          </w:tcPr>
          <w:p>
            <w:pPr>
              <w:pStyle w:val="TableContents"/>
              <w:spacing w:before="0" w:after="283"/>
              <w:rPr/>
            </w:pPr>
            <w:r>
              <w:rPr/>
              <w:t>​</w:t>
            </w:r>
          </w:p>
        </w:tc>
        <w:tc>
          <w:tcPr>
            <w:tcW w:w="1443" w:type="dxa"/>
            <w:tcBorders/>
            <w:shd w:fill="auto" w:val="clear"/>
            <w:vAlign w:val="bottom"/>
          </w:tcPr>
          <w:p>
            <w:pPr>
              <w:pStyle w:val="TableContents"/>
              <w:spacing w:before="0" w:after="283"/>
              <w:jc w:val="center"/>
              <w:rPr>
                <w:rFonts w:ascii="arial" w:hAnsi="arial"/>
                <w:sz w:val="20"/>
              </w:rPr>
            </w:pPr>
            <w:r>
              <w:rPr>
                <w:rFonts w:ascii="arial" w:hAnsi="arial"/>
                <w:sz w:val="20"/>
              </w:rPr>
              <w:t>n/a</w:t>
            </w:r>
          </w:p>
        </w:tc>
      </w:tr>
      <w:tr>
        <w:trPr/>
        <w:tc>
          <w:tcPr>
            <w:tcW w:w="1958" w:type="dxa"/>
            <w:tcBorders/>
            <w:shd w:fill="CCEEFF" w:val="clear"/>
            <w:vAlign w:val="bottom"/>
          </w:tcPr>
          <w:p>
            <w:pPr>
              <w:pStyle w:val="TableContents"/>
              <w:spacing w:before="0" w:after="283"/>
              <w:ind w:left="160" w:right="0" w:hanging="160"/>
              <w:jc w:val="center"/>
              <w:rPr>
                <w:rFonts w:ascii="arial" w:hAnsi="arial"/>
                <w:sz w:val="20"/>
              </w:rPr>
            </w:pPr>
            <w:r>
              <w:rPr>
                <w:rFonts w:ascii="arial" w:hAnsi="arial"/>
                <w:sz w:val="20"/>
              </w:rPr>
              <w:t>2020</w:t>
            </w:r>
          </w:p>
        </w:tc>
        <w:tc>
          <w:tcPr>
            <w:tcW w:w="230" w:type="dxa"/>
            <w:tcBorders/>
            <w:shd w:fill="CCEEFF" w:val="clear"/>
            <w:vAlign w:val="bottom"/>
          </w:tcPr>
          <w:p>
            <w:pPr>
              <w:pStyle w:val="TableContents"/>
              <w:spacing w:before="0" w:after="283"/>
              <w:rPr/>
            </w:pPr>
            <w:r>
              <w:rPr/>
              <w:t>​</w:t>
            </w:r>
          </w:p>
        </w:tc>
        <w:tc>
          <w:tcPr>
            <w:tcW w:w="1443" w:type="dxa"/>
            <w:tcBorders/>
            <w:shd w:fill="CCEEFF" w:val="clear"/>
            <w:vAlign w:val="bottom"/>
          </w:tcPr>
          <w:p>
            <w:pPr>
              <w:pStyle w:val="TableContents"/>
              <w:spacing w:before="0" w:after="283"/>
              <w:jc w:val="center"/>
              <w:rPr>
                <w:rFonts w:ascii="arial" w:hAnsi="arial"/>
                <w:sz w:val="20"/>
              </w:rPr>
            </w:pPr>
            <w:r>
              <w:rPr>
                <w:rFonts w:ascii="arial" w:hAnsi="arial"/>
                <w:sz w:val="20"/>
              </w:rPr>
              <w:t>n/a</w:t>
            </w:r>
          </w:p>
        </w:tc>
        <w:tc>
          <w:tcPr>
            <w:tcW w:w="229" w:type="dxa"/>
            <w:tcBorders/>
            <w:shd w:fill="CCEEFF" w:val="clear"/>
            <w:vAlign w:val="bottom"/>
          </w:tcPr>
          <w:p>
            <w:pPr>
              <w:pStyle w:val="TableContents"/>
              <w:spacing w:before="0" w:after="283"/>
              <w:rPr/>
            </w:pPr>
            <w:r>
              <w:rPr/>
              <w:t>​</w:t>
            </w:r>
          </w:p>
        </w:tc>
        <w:tc>
          <w:tcPr>
            <w:tcW w:w="1443" w:type="dxa"/>
            <w:tcBorders/>
            <w:shd w:fill="CCEEFF" w:val="clear"/>
            <w:vAlign w:val="bottom"/>
          </w:tcPr>
          <w:p>
            <w:pPr>
              <w:pStyle w:val="TableContents"/>
              <w:spacing w:before="0" w:after="283"/>
              <w:jc w:val="center"/>
              <w:rPr>
                <w:rFonts w:ascii="arial" w:hAnsi="arial"/>
                <w:sz w:val="20"/>
              </w:rPr>
            </w:pPr>
            <w:r>
              <w:rPr>
                <w:rFonts w:ascii="arial" w:hAnsi="arial"/>
                <w:sz w:val="20"/>
              </w:rPr>
              <w:t>n/a</w:t>
            </w:r>
          </w:p>
        </w:tc>
        <w:tc>
          <w:tcPr>
            <w:tcW w:w="229" w:type="dxa"/>
            <w:tcBorders/>
            <w:shd w:fill="CCEEFF" w:val="clear"/>
            <w:vAlign w:val="bottom"/>
          </w:tcPr>
          <w:p>
            <w:pPr>
              <w:pStyle w:val="TableContents"/>
              <w:spacing w:before="0" w:after="283"/>
              <w:rPr/>
            </w:pPr>
            <w:r>
              <w:rPr/>
              <w:t>​</w:t>
            </w:r>
          </w:p>
        </w:tc>
        <w:tc>
          <w:tcPr>
            <w:tcW w:w="1300" w:type="dxa"/>
            <w:tcBorders/>
            <w:shd w:fill="CCEEFF" w:val="clear"/>
            <w:vAlign w:val="bottom"/>
          </w:tcPr>
          <w:p>
            <w:pPr>
              <w:pStyle w:val="TableContents"/>
              <w:spacing w:before="0" w:after="283"/>
              <w:jc w:val="center"/>
              <w:rPr>
                <w:rFonts w:ascii="arial" w:hAnsi="arial"/>
                <w:sz w:val="20"/>
              </w:rPr>
            </w:pPr>
            <w:r>
              <w:rPr>
                <w:rFonts w:ascii="arial" w:hAnsi="arial"/>
                <w:sz w:val="20"/>
              </w:rPr>
              <w:t>n/a</w:t>
            </w:r>
          </w:p>
        </w:tc>
        <w:tc>
          <w:tcPr>
            <w:tcW w:w="229" w:type="dxa"/>
            <w:tcBorders/>
            <w:shd w:fill="CCEEFF" w:val="clear"/>
            <w:vAlign w:val="bottom"/>
          </w:tcPr>
          <w:p>
            <w:pPr>
              <w:pStyle w:val="TableContents"/>
              <w:spacing w:before="0" w:after="283"/>
              <w:rPr/>
            </w:pPr>
            <w:r>
              <w:rPr/>
              <w:t>​</w:t>
            </w:r>
          </w:p>
        </w:tc>
        <w:tc>
          <w:tcPr>
            <w:tcW w:w="1471" w:type="dxa"/>
            <w:tcBorders/>
            <w:shd w:fill="CCEEFF" w:val="clear"/>
            <w:vAlign w:val="bottom"/>
          </w:tcPr>
          <w:p>
            <w:pPr>
              <w:pStyle w:val="TableContents"/>
              <w:spacing w:before="0" w:after="283"/>
              <w:jc w:val="center"/>
              <w:rPr>
                <w:rFonts w:ascii="arial" w:hAnsi="arial"/>
                <w:sz w:val="20"/>
              </w:rPr>
            </w:pPr>
            <w:r>
              <w:rPr>
                <w:rFonts w:ascii="arial" w:hAnsi="arial"/>
                <w:sz w:val="20"/>
              </w:rPr>
              <w:t>n/a</w:t>
            </w:r>
          </w:p>
        </w:tc>
        <w:tc>
          <w:tcPr>
            <w:tcW w:w="230" w:type="dxa"/>
            <w:tcBorders/>
            <w:shd w:fill="CCEEFF" w:val="clear"/>
            <w:vAlign w:val="bottom"/>
          </w:tcPr>
          <w:p>
            <w:pPr>
              <w:pStyle w:val="TableContents"/>
              <w:spacing w:before="0" w:after="283"/>
              <w:rPr/>
            </w:pPr>
            <w:r>
              <w:rPr/>
              <w:t>​</w:t>
            </w:r>
          </w:p>
        </w:tc>
        <w:tc>
          <w:tcPr>
            <w:tcW w:w="1443" w:type="dxa"/>
            <w:tcBorders/>
            <w:shd w:fill="CCEEFF" w:val="clear"/>
            <w:vAlign w:val="bottom"/>
          </w:tcPr>
          <w:p>
            <w:pPr>
              <w:pStyle w:val="TableContents"/>
              <w:spacing w:before="0" w:after="283"/>
              <w:jc w:val="center"/>
              <w:rPr>
                <w:rFonts w:ascii="arial" w:hAnsi="arial"/>
                <w:sz w:val="20"/>
              </w:rPr>
            </w:pPr>
            <w:r>
              <w:rPr>
                <w:rFonts w:ascii="arial" w:hAnsi="arial"/>
                <w:sz w:val="20"/>
              </w:rPr>
              <w:t>n/a</w:t>
            </w:r>
          </w:p>
        </w:tc>
      </w:tr>
    </w:tbl>
    <w:p>
      <w:pPr>
        <w:pStyle w:val="TextBody"/>
        <w:numPr>
          <w:ilvl w:val="0"/>
          <w:numId w:val="0"/>
        </w:numPr>
        <w:ind w:left="707" w:hanging="0"/>
        <w:jc w:val="left"/>
        <w:rPr>
          <w:rFonts w:ascii="arial" w:hAnsi="arial"/>
          <w:sz w:val="20"/>
        </w:rPr>
      </w:pPr>
      <w:r>
        <w:rPr>
          <w:rFonts w:ascii="arial" w:hAnsi="arial"/>
          <w:sz w:val="20"/>
        </w:rPr>
        <w:t xml:space="preserve">n/anot applicable </w:t>
      </w:r>
    </w:p>
    <w:p>
      <w:pPr>
        <w:pStyle w:val="ListHeading"/>
        <w:spacing w:before="0" w:after="0"/>
        <w:jc w:val="left"/>
        <w:rPr>
          <w:rFonts w:ascii="arial" w:hAnsi="arial"/>
          <w:position w:val="7"/>
          <w:sz w:val="16"/>
          <w:sz w:val="20"/>
        </w:rPr>
      </w:pPr>
      <w:r>
        <w:rPr>
          <w:rFonts w:ascii="arial" w:hAnsi="arial"/>
          <w:position w:val="7"/>
          <w:sz w:val="16"/>
          <w:sz w:val="20"/>
        </w:rPr>
        <w:t>(4)</w:t>
      </w:r>
    </w:p>
    <w:p>
      <w:pPr>
        <w:pStyle w:val="ListContents"/>
        <w:spacing w:before="0" w:after="283"/>
        <w:jc w:val="left"/>
        <w:rPr>
          <w:rFonts w:ascii="arial" w:hAnsi="arial"/>
          <w:sz w:val="20"/>
        </w:rPr>
      </w:pPr>
      <w:r>
        <w:rPr>
          <w:rFonts w:ascii="arial" w:hAnsi="arial"/>
          <w:sz w:val="20"/>
        </w:rPr>
        <w:t xml:space="preserve">Consists of the cash portion of annual incentive compensation related to performance in the year indicated and awarded in the first quarter of the following year. </w:t>
      </w:r>
    </w:p>
    <w:p>
      <w:pPr>
        <w:pStyle w:val="ListHeading"/>
        <w:spacing w:before="0" w:after="0"/>
        <w:jc w:val="left"/>
        <w:rPr>
          <w:rFonts w:ascii="arial" w:hAnsi="arial"/>
          <w:position w:val="7"/>
          <w:sz w:val="16"/>
          <w:sz w:val="20"/>
        </w:rPr>
      </w:pPr>
      <w:r>
        <w:rPr>
          <w:rFonts w:ascii="arial" w:hAnsi="arial"/>
          <w:position w:val="7"/>
          <w:sz w:val="16"/>
          <w:sz w:val="20"/>
        </w:rPr>
        <w:t>(5)</w:t>
      </w:r>
    </w:p>
    <w:p>
      <w:pPr>
        <w:pStyle w:val="ListContents"/>
        <w:spacing w:before="0" w:after="283"/>
        <w:jc w:val="left"/>
        <w:rPr>
          <w:rFonts w:ascii="arial" w:hAnsi="arial"/>
          <w:sz w:val="20"/>
        </w:rPr>
      </w:pPr>
      <w:r>
        <w:rPr>
          <w:rFonts w:ascii="arial" w:hAnsi="arial"/>
          <w:sz w:val="20"/>
        </w:rPr>
        <w:t xml:space="preserve">Consists of payments made to each Named Executive Officer or on their behalf pursuant to their respective employment agreements and relocation/expat plans, which may include: housing allowances, personal use of a company car, settling-in allowances, education allowances, goods and services allowances, travel allowances, medical benefits and tax-related allowances as detailed in the footnotes below and in the "Relocation and Foreign Living Allowances" section of the Compensation Discussion and Analysis. </w:t>
      </w:r>
    </w:p>
    <w:p>
      <w:pPr>
        <w:pStyle w:val="TextBody"/>
        <w:jc w:val="center"/>
        <w:rPr>
          <w:rFonts w:ascii="arial" w:hAnsi="arial"/>
          <w:sz w:val="20"/>
        </w:rPr>
      </w:pPr>
      <w:r>
        <w:rPr>
          <w:rFonts w:ascii="arial" w:hAnsi="arial"/>
          <w:sz w:val="20"/>
        </w:rPr>
        <w:t>55</w:t>
      </w:r>
    </w:p>
    <w:p>
      <w:pPr>
        <w:pStyle w:val="HorizontalLine"/>
        <w:pBdr>
          <w:bottom w:val="single" w:sz="20" w:space="0" w:color="808080"/>
        </w:pBdr>
        <w:rPr/>
      </w:pPr>
      <w:r>
        <w:rPr/>
      </w:r>
      <w:r>
        <w:br w:type="page"/>
      </w:r>
    </w:p>
    <w:p>
      <w:pPr>
        <w:pStyle w:val="TextBody"/>
        <w:rPr/>
      </w:pPr>
      <w:hyperlink w:anchor="bg45301a_main_toc">
        <w:bookmarkStart w:id="111" w:name="page_dw45301_1_56"/>
        <w:bookmarkEnd w:id="111"/>
        <w:r>
          <w:rPr>
            <w:rStyle w:val="InternetLink"/>
            <w:rFonts w:ascii="arial" w:hAnsi="arial"/>
            <w:sz w:val="20"/>
          </w:rPr>
          <w:t>Table of Contents</w:t>
        </w:r>
      </w:hyperlink>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3368"/>
        <w:gridCol w:w="100"/>
        <w:gridCol w:w="6737"/>
      </w:tblGrid>
      <w:tr>
        <w:trPr/>
        <w:tc>
          <w:tcPr>
            <w:tcW w:w="3368" w:type="dxa"/>
            <w:tcBorders/>
            <w:shd w:fill="auto" w:val="clear"/>
            <w:vAlign w:val="center"/>
          </w:tcPr>
          <w:p>
            <w:pPr>
              <w:pStyle w:val="TableContents"/>
              <w:spacing w:before="0" w:after="283"/>
              <w:rPr/>
            </w:pPr>
            <w:r>
              <w:rPr/>
              <w:commentReference w:id="200"/>
            </w:r>
            <w:r>
              <w:rPr/>
              <w:commentReference w:id="201"/>
            </w:r>
            <w:r>
              <w:rPr/>
              <w:commentReference w:id="202"/>
            </w:r>
            <w:r>
              <w:rPr/>
              <w:t>​</w:t>
            </w:r>
          </w:p>
        </w:tc>
        <w:tc>
          <w:tcPr>
            <w:tcW w:w="100" w:type="dxa"/>
            <w:tcBorders/>
            <w:shd w:fill="auto" w:val="clear"/>
            <w:vAlign w:val="center"/>
          </w:tcPr>
          <w:p>
            <w:pPr>
              <w:pStyle w:val="TableContents"/>
              <w:spacing w:before="0" w:after="283"/>
              <w:rPr/>
            </w:pPr>
            <w:r>
              <w:rPr/>
              <w:t>​</w:t>
            </w:r>
          </w:p>
        </w:tc>
        <w:tc>
          <w:tcPr>
            <w:tcW w:w="6737" w:type="dxa"/>
            <w:tcBorders/>
            <w:shd w:fill="auto" w:val="clear"/>
            <w:vAlign w:val="center"/>
          </w:tcPr>
          <w:p>
            <w:pPr>
              <w:pStyle w:val="TableContents"/>
              <w:spacing w:before="0" w:after="283"/>
              <w:rPr/>
            </w:pPr>
            <w:r>
              <w:rPr/>
              <w:t>​</w:t>
            </w:r>
            <w:r>
              <w:rPr>
                <w:rFonts w:eastAsia="arial" w:cs="arial" w:ascii="arial" w:hAnsi="arial"/>
              </w:rPr>
              <w:commentReference w:id="203"/>
            </w:r>
          </w:p>
        </w:tc>
      </w:tr>
      <w:tr>
        <w:trPr/>
        <w:tc>
          <w:tcPr>
            <w:tcW w:w="3368" w:type="dxa"/>
            <w:tcBorders/>
            <w:shd w:fill="auto" w:val="clear"/>
          </w:tcPr>
          <w:p>
            <w:pPr>
              <w:pStyle w:val="TableContents"/>
              <w:rPr/>
            </w:pPr>
            <w:r>
              <w:rPr/>
              <w:t>​</w:t>
            </w:r>
          </w:p>
          <w:p>
            <w:pPr>
              <w:pStyle w:val="TableContents"/>
              <w:spacing w:before="0" w:after="283"/>
              <w:rPr/>
            </w:pPr>
            <w:r>
              <w:rPr/>
              <w:t> </w:t>
            </w:r>
          </w:p>
        </w:tc>
        <w:tc>
          <w:tcPr>
            <w:tcW w:w="100"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drawing>
                <wp:inline distT="0" distB="0" distL="0" distR="0">
                  <wp:extent cx="1971675" cy="1809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embed="rId88"/>
                          <a:stretch>
                            <a:fillRect/>
                          </a:stretch>
                        </pic:blipFill>
                        <pic:spPr bwMode="auto">
                          <a:xfrm>
                            <a:off x="0" y="0"/>
                            <a:ext cx="1971675" cy="180975"/>
                          </a:xfrm>
                          <a:prstGeom prst="rect">
                            <a:avLst/>
                          </a:prstGeom>
                        </pic:spPr>
                      </pic:pic>
                    </a:graphicData>
                  </a:graphic>
                </wp:inline>
              </w:drawing>
            </w:r>
            <w:r>
              <w:rPr/>
              <w:t xml:space="preserve"> </w:t>
            </w:r>
          </w:p>
        </w:tc>
      </w:tr>
      <w:tr>
        <w:trPr/>
        <w:tc>
          <w:tcPr>
            <w:tcW w:w="3368" w:type="dxa"/>
            <w:tcBorders/>
            <w:shd w:fill="auto" w:val="clear"/>
          </w:tcPr>
          <w:p>
            <w:pPr>
              <w:pStyle w:val="TableContents"/>
              <w:rPr/>
            </w:pPr>
            <w:r>
              <w:rPr/>
              <w:t>​</w:t>
            </w:r>
          </w:p>
          <w:p>
            <w:pPr>
              <w:pStyle w:val="TableContents"/>
              <w:spacing w:before="0" w:after="283"/>
              <w:rPr/>
            </w:pPr>
            <w:r>
              <w:rPr/>
              <w:t> </w:t>
            </w:r>
          </w:p>
        </w:tc>
        <w:tc>
          <w:tcPr>
            <w:tcW w:w="100"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t> </w:t>
            </w:r>
          </w:p>
        </w:tc>
      </w:tr>
    </w:tbl>
    <w:p>
      <w:pPr>
        <w:pStyle w:val="TextBody"/>
        <w:rPr/>
      </w:pPr>
      <w:r>
        <w:rPr>
          <w:color w:val="000000"/>
        </w:rPr>
        <w:commentReference w:id="204"/>
      </w:r>
      <w:r>
        <w:rPr>
          <w:color w:val="000000"/>
        </w:rPr>
        <w:t>​</w:t>
      </w:r>
      <w:r>
        <w:rPr/>
        <w:t xml:space="preserve"> </w:t>
      </w:r>
    </w:p>
    <w:p>
      <w:pPr>
        <w:pStyle w:val="ListHeading"/>
        <w:spacing w:before="0" w:after="0"/>
        <w:jc w:val="left"/>
        <w:rPr>
          <w:rFonts w:ascii="arial" w:hAnsi="arial"/>
          <w:position w:val="7"/>
          <w:sz w:val="16"/>
          <w:sz w:val="20"/>
        </w:rPr>
      </w:pPr>
      <w:r>
        <w:rPr>
          <w:rFonts w:ascii="arial" w:hAnsi="arial"/>
          <w:position w:val="7"/>
          <w:sz w:val="16"/>
          <w:sz w:val="20"/>
        </w:rPr>
        <w:t>(6)</w:t>
      </w:r>
    </w:p>
    <w:p>
      <w:pPr>
        <w:pStyle w:val="ListContents"/>
        <w:spacing w:before="0" w:after="283"/>
        <w:jc w:val="left"/>
        <w:rPr>
          <w:rFonts w:ascii="arial" w:hAnsi="arial"/>
          <w:sz w:val="20"/>
        </w:rPr>
      </w:pPr>
      <w:r>
        <w:rPr>
          <w:rFonts w:ascii="arial" w:hAnsi="arial"/>
          <w:sz w:val="20"/>
        </w:rPr>
        <w:t xml:space="preserve">Represents the February 12, 2018 LTIP award of 100,000 performance-based stock options, which were scheduled to vest from 0% to 200%, based upon the Company's achievement against the 2018 LTIP Performance Criteria. On February 25, 2019, the Compensation Committee confirmed that the 2018 LTIP Performance Criteria was met at the outstanding level, and that the award was earned at a level of 200% of the target award and began vesting in four equal annual installments commencing February 12, 2019. These options have an exercise price of $24.82. </w:t>
      </w:r>
    </w:p>
    <w:p>
      <w:pPr>
        <w:pStyle w:val="ListHeading"/>
        <w:spacing w:before="0" w:after="0"/>
        <w:jc w:val="left"/>
        <w:rPr>
          <w:rFonts w:ascii="arial" w:hAnsi="arial"/>
          <w:position w:val="7"/>
          <w:sz w:val="16"/>
          <w:sz w:val="20"/>
        </w:rPr>
      </w:pPr>
      <w:r>
        <w:rPr>
          <w:rFonts w:ascii="arial" w:hAnsi="arial"/>
          <w:position w:val="7"/>
          <w:sz w:val="16"/>
          <w:sz w:val="20"/>
        </w:rPr>
        <w:t>(7)</w:t>
      </w:r>
    </w:p>
    <w:p>
      <w:pPr>
        <w:pStyle w:val="ListContents"/>
        <w:spacing w:before="0" w:after="283"/>
        <w:jc w:val="left"/>
        <w:rPr>
          <w:rFonts w:ascii="arial" w:hAnsi="arial"/>
          <w:sz w:val="20"/>
        </w:rPr>
      </w:pPr>
      <w:r>
        <w:rPr>
          <w:rFonts w:ascii="arial" w:hAnsi="arial"/>
          <w:sz w:val="20"/>
        </w:rPr>
        <w:t xml:space="preserve">Includes $152,634 for housing allowance, $24,573 for personal use of a company car, $77,118 for education allowance, $19,920 for goods and services allowance, $13,442 for travel allowance, $47,255 for medical benefits, $1,867,003 for income tax normalization allowance for 2017 and 2018 earnings, and $9,098 for tax preparation services. Mr. Shepro's other compensation is generally paid in euros and, for purposes of the table, is converted into U.S. dollars based on the OANDA one-year average exchange rate ending on December 31, 2019 of 0.8933 euros to the U.S. dollar. </w:t>
      </w:r>
    </w:p>
    <w:p>
      <w:pPr>
        <w:pStyle w:val="ListHeading"/>
        <w:spacing w:before="0" w:after="0"/>
        <w:jc w:val="left"/>
        <w:rPr>
          <w:rFonts w:ascii="arial" w:hAnsi="arial"/>
          <w:position w:val="7"/>
          <w:sz w:val="16"/>
          <w:sz w:val="20"/>
        </w:rPr>
      </w:pPr>
      <w:r>
        <w:rPr>
          <w:rFonts w:ascii="arial" w:hAnsi="arial"/>
          <w:position w:val="7"/>
          <w:sz w:val="16"/>
          <w:sz w:val="20"/>
        </w:rPr>
        <w:t>(8)</w:t>
      </w:r>
    </w:p>
    <w:p>
      <w:pPr>
        <w:pStyle w:val="ListContents"/>
        <w:spacing w:before="0" w:after="283"/>
        <w:jc w:val="left"/>
        <w:rPr>
          <w:rFonts w:ascii="arial" w:hAnsi="arial"/>
          <w:sz w:val="20"/>
        </w:rPr>
      </w:pPr>
      <w:r>
        <w:rPr>
          <w:rFonts w:ascii="arial" w:hAnsi="arial"/>
          <w:sz w:val="20"/>
        </w:rPr>
        <w:t xml:space="preserve">Mr. Shepro's base salary is set in U.S. dollars and paid in euros. His base salary was converted to euros using an exchange rate of 0.83 euros to the U.S. dollar in accordance with his employment agreement. The base salary reported herein is the U.S. dollar base salary prior to conversion to euros. </w:t>
      </w:r>
    </w:p>
    <w:p>
      <w:pPr>
        <w:pStyle w:val="ListHeading"/>
        <w:spacing w:before="0" w:after="0"/>
        <w:jc w:val="left"/>
        <w:rPr>
          <w:rFonts w:ascii="arial" w:hAnsi="arial"/>
          <w:position w:val="7"/>
          <w:sz w:val="16"/>
          <w:sz w:val="20"/>
        </w:rPr>
      </w:pPr>
      <w:r>
        <w:rPr>
          <w:rFonts w:ascii="arial" w:hAnsi="arial"/>
          <w:position w:val="7"/>
          <w:sz w:val="16"/>
          <w:sz w:val="20"/>
        </w:rPr>
        <w:t>(9)</w:t>
      </w:r>
    </w:p>
    <w:p>
      <w:pPr>
        <w:pStyle w:val="ListContents"/>
        <w:spacing w:before="0" w:after="283"/>
        <w:jc w:val="left"/>
        <w:rPr>
          <w:rFonts w:ascii="arial" w:hAnsi="arial"/>
          <w:sz w:val="20"/>
        </w:rPr>
      </w:pPr>
      <w:r>
        <w:rPr>
          <w:rFonts w:ascii="arial" w:hAnsi="arial"/>
          <w:sz w:val="20"/>
        </w:rPr>
        <w:t xml:space="preserve">Includes $155,461 for housing allowance, $25,024 for personal use of two company cars, $84,609 for education allowance, $20,286 for goods and services allowance, $13,318 for travel allowance and, $57,703 for medical benefits. Mr. Shepro's other compensation is paid in euros and, for purposes of the table, is converted into U.S. dollars based on the OANDA one-year average exchange rate ending on December 31, 2020, 0.8772 euros to the U.S. dollar. </w:t>
      </w:r>
    </w:p>
    <w:p>
      <w:pPr>
        <w:pStyle w:val="ListHeading"/>
        <w:spacing w:before="0" w:after="0"/>
        <w:jc w:val="left"/>
        <w:rPr>
          <w:rFonts w:ascii="arial" w:hAnsi="arial"/>
          <w:position w:val="7"/>
          <w:sz w:val="16"/>
          <w:sz w:val="20"/>
        </w:rPr>
      </w:pPr>
      <w:r>
        <w:rPr>
          <w:rFonts w:ascii="arial" w:hAnsi="arial"/>
          <w:position w:val="7"/>
          <w:sz w:val="16"/>
          <w:sz w:val="20"/>
        </w:rPr>
        <w:t>(10)</w:t>
      </w:r>
    </w:p>
    <w:p>
      <w:pPr>
        <w:pStyle w:val="ListContents"/>
        <w:spacing w:before="0" w:after="283"/>
        <w:jc w:val="left"/>
        <w:rPr>
          <w:rFonts w:ascii="arial" w:hAnsi="arial"/>
          <w:sz w:val="20"/>
        </w:rPr>
      </w:pPr>
      <w:r>
        <w:rPr>
          <w:rFonts w:ascii="arial" w:hAnsi="arial"/>
          <w:sz w:val="20"/>
        </w:rPr>
        <w:t xml:space="preserve">Represents the February 12, 2018 LTIP award of 50,000 performance-based stock options, which were scheduled to vest from 0% to 200%, based upon the Company's achievement against the 2018 LTIP Performance Criteria. On February 25, 2019, the Compensation Committee confirmed that the 2018 LTIP Performance Criteria was met at the outstanding level, and that the award was earned at a level of 200% of the target award and began vesting in four equal annual installments commencing February 12, 2019. These options have an exercise price of $24.82. </w:t>
      </w:r>
    </w:p>
    <w:p>
      <w:pPr>
        <w:pStyle w:val="ListHeading"/>
        <w:spacing w:before="0" w:after="0"/>
        <w:jc w:val="left"/>
        <w:rPr>
          <w:rFonts w:ascii="arial" w:hAnsi="arial"/>
          <w:position w:val="7"/>
          <w:sz w:val="16"/>
          <w:sz w:val="20"/>
        </w:rPr>
      </w:pPr>
      <w:r>
        <w:rPr>
          <w:rFonts w:ascii="arial" w:hAnsi="arial"/>
          <w:position w:val="7"/>
          <w:sz w:val="16"/>
          <w:sz w:val="20"/>
        </w:rPr>
        <w:t>(11)</w:t>
      </w:r>
    </w:p>
    <w:p>
      <w:pPr>
        <w:pStyle w:val="ListContents"/>
        <w:spacing w:before="0" w:after="283"/>
        <w:jc w:val="left"/>
        <w:rPr>
          <w:rFonts w:ascii="arial" w:hAnsi="arial"/>
          <w:sz w:val="20"/>
        </w:rPr>
      </w:pPr>
      <w:r>
        <w:rPr>
          <w:rFonts w:ascii="arial" w:hAnsi="arial"/>
          <w:sz w:val="20"/>
        </w:rPr>
        <w:t xml:space="preserve">Includes $128,766 for housing allowance, $11,782 for personal use of a company car, $19,920 for goods and services allowance, $5,777 for travel allowance, $15,242 for medical benefits, $1,322,864 for income tax normalization allowance for 2017 and 2018 earnings, and $9,098 for tax preparation services. Mr. Wilcox's other compensation is generally paid in euros and, for purposes of the table, is converted into U.S. dollars based on the OANDA one-year average exchange rate ending on December 31, 2019 of 0.8933 euros to the U.S. dollar. </w:t>
      </w:r>
    </w:p>
    <w:p>
      <w:pPr>
        <w:pStyle w:val="ListHeading"/>
        <w:spacing w:before="0" w:after="0"/>
        <w:jc w:val="left"/>
        <w:rPr>
          <w:rFonts w:ascii="arial" w:hAnsi="arial"/>
          <w:position w:val="7"/>
          <w:sz w:val="16"/>
          <w:sz w:val="20"/>
        </w:rPr>
      </w:pPr>
      <w:r>
        <w:rPr>
          <w:rFonts w:ascii="arial" w:hAnsi="arial"/>
          <w:position w:val="7"/>
          <w:sz w:val="16"/>
          <w:sz w:val="20"/>
        </w:rPr>
        <w:t>(12)</w:t>
      </w:r>
    </w:p>
    <w:p>
      <w:pPr>
        <w:pStyle w:val="ListContents"/>
        <w:spacing w:before="0" w:after="283"/>
        <w:jc w:val="left"/>
        <w:rPr>
          <w:rFonts w:ascii="arial" w:hAnsi="arial"/>
          <w:sz w:val="20"/>
        </w:rPr>
      </w:pPr>
      <w:r>
        <w:rPr>
          <w:rFonts w:ascii="arial" w:hAnsi="arial"/>
          <w:sz w:val="20"/>
        </w:rPr>
        <w:t xml:space="preserve">Mr. Wilcox's base salary was set in U.S. dollars and paid in euros. His base salary was converted to euros using an exchange rate of 0.83 euros to the U.S. dollar in accordance with his employment agreement. The base salary reported herein is the U.S. dollar base salary prior to conversion to euros. Mr. Wilcox served as a Chief Administration and Risk Officer until April 15, 2020. </w:t>
      </w:r>
    </w:p>
    <w:p>
      <w:pPr>
        <w:pStyle w:val="ListHeading"/>
        <w:spacing w:before="0" w:after="0"/>
        <w:jc w:val="left"/>
        <w:rPr>
          <w:rFonts w:ascii="arial" w:hAnsi="arial"/>
          <w:position w:val="7"/>
          <w:sz w:val="16"/>
          <w:sz w:val="20"/>
        </w:rPr>
      </w:pPr>
      <w:r>
        <w:rPr>
          <w:rFonts w:ascii="arial" w:hAnsi="arial"/>
          <w:position w:val="7"/>
          <w:sz w:val="16"/>
          <w:sz w:val="20"/>
        </w:rPr>
        <w:t>(13)</w:t>
      </w:r>
    </w:p>
    <w:p>
      <w:pPr>
        <w:pStyle w:val="ListContents"/>
        <w:spacing w:before="0" w:after="283"/>
        <w:jc w:val="left"/>
        <w:rPr>
          <w:rFonts w:ascii="arial" w:hAnsi="arial"/>
          <w:sz w:val="20"/>
        </w:rPr>
      </w:pPr>
      <w:r>
        <w:rPr>
          <w:rFonts w:ascii="arial" w:hAnsi="arial"/>
          <w:sz w:val="20"/>
        </w:rPr>
        <w:t xml:space="preserve">Includes $37,174 for housing allowance, $3,500 for personal use of a company car, $5,071 for goods and services allowance, $6,463 for travel allowance, $18,981 for medical benefits, $5,229 for storage of household goods, $140,322 for tax equalization allowance for 2019 earnings, $236,647 for tax preparation services, $13,302 for unused leave balance, $277,973 for severance payment and, $744,422 for departure allowance. Mr. Wilcox's other compensation is paid in euros and, for purposes of the table, is converted into U.S. dollars based on the OANDA one-year average exchange rate ending on December 31, 2020, 0.8772 euros to the U.S. dollar. </w:t>
      </w:r>
    </w:p>
    <w:p>
      <w:pPr>
        <w:pStyle w:val="ListHeading"/>
        <w:spacing w:before="0" w:after="0"/>
        <w:jc w:val="left"/>
        <w:rPr>
          <w:rFonts w:ascii="arial" w:hAnsi="arial"/>
          <w:position w:val="7"/>
          <w:sz w:val="16"/>
          <w:sz w:val="20"/>
        </w:rPr>
      </w:pPr>
      <w:r>
        <w:rPr>
          <w:rFonts w:ascii="arial" w:hAnsi="arial"/>
          <w:position w:val="7"/>
          <w:sz w:val="16"/>
          <w:sz w:val="20"/>
        </w:rPr>
        <w:t>(14)</w:t>
      </w:r>
    </w:p>
    <w:p>
      <w:pPr>
        <w:pStyle w:val="ListContents"/>
        <w:spacing w:before="0" w:after="283"/>
        <w:jc w:val="left"/>
        <w:rPr>
          <w:rFonts w:ascii="arial" w:hAnsi="arial"/>
          <w:sz w:val="20"/>
        </w:rPr>
      </w:pPr>
      <w:r>
        <w:rPr>
          <w:rFonts w:ascii="arial" w:hAnsi="arial"/>
          <w:sz w:val="20"/>
        </w:rPr>
        <w:t xml:space="preserve">Ms. Esterman served as the Company's Chief Financial Officer and was an "executive officer" for purposes of the Exchange Act until October 4, 2017 and then again effective August 27, 2018. The compensation amounts provided for the year ended December 31, 2018 include compensation for the full year 2018, including for the period Ms. Esterman served as Executive Vice President, Finance. </w:t>
      </w:r>
    </w:p>
    <w:p>
      <w:pPr>
        <w:pStyle w:val="ListHeading"/>
        <w:spacing w:before="0" w:after="0"/>
        <w:jc w:val="left"/>
        <w:rPr>
          <w:rFonts w:ascii="arial" w:hAnsi="arial"/>
          <w:position w:val="7"/>
          <w:sz w:val="16"/>
          <w:sz w:val="20"/>
        </w:rPr>
      </w:pPr>
      <w:r>
        <w:rPr>
          <w:rFonts w:ascii="arial" w:hAnsi="arial"/>
          <w:position w:val="7"/>
          <w:sz w:val="16"/>
          <w:sz w:val="20"/>
        </w:rPr>
        <w:t>(15)</w:t>
      </w:r>
    </w:p>
    <w:p>
      <w:pPr>
        <w:pStyle w:val="ListContents"/>
        <w:spacing w:before="0" w:after="283"/>
        <w:jc w:val="left"/>
        <w:rPr>
          <w:rFonts w:ascii="arial" w:hAnsi="arial"/>
          <w:sz w:val="20"/>
        </w:rPr>
      </w:pPr>
      <w:r>
        <w:rPr>
          <w:rFonts w:ascii="arial" w:hAnsi="arial"/>
          <w:sz w:val="20"/>
        </w:rPr>
        <w:t xml:space="preserve">Represents the February 12, 2018 LTIP award of 8,658 performance-based stock options, which were scheduled to vest from 0% to 200%, based upon the Company's achievement against the 2018 LTIP Performance Criteria. On February 25, 2019, the Compensation Committee confirmed that the 2018 LTIP Performance Criteria was met at the outstanding level, and that the award was earned at a level of 200% of the target award and began vesting in four equal annual installments commencing February 12, 2019. These options have an exercise price of $24.82. </w:t>
      </w:r>
    </w:p>
    <w:p>
      <w:pPr>
        <w:pStyle w:val="ListHeading"/>
        <w:spacing w:before="0" w:after="0"/>
        <w:jc w:val="left"/>
        <w:rPr>
          <w:rFonts w:ascii="arial" w:hAnsi="arial"/>
          <w:position w:val="7"/>
          <w:sz w:val="16"/>
          <w:sz w:val="20"/>
        </w:rPr>
      </w:pPr>
      <w:r>
        <w:rPr>
          <w:rFonts w:ascii="arial" w:hAnsi="arial"/>
          <w:position w:val="7"/>
          <w:sz w:val="16"/>
          <w:sz w:val="20"/>
        </w:rPr>
        <w:t>(16)</w:t>
      </w:r>
    </w:p>
    <w:p>
      <w:pPr>
        <w:pStyle w:val="ListContents"/>
        <w:spacing w:before="0" w:after="283"/>
        <w:jc w:val="left"/>
        <w:rPr>
          <w:rFonts w:ascii="arial" w:hAnsi="arial"/>
          <w:sz w:val="20"/>
        </w:rPr>
      </w:pPr>
      <w:r>
        <w:rPr>
          <w:rFonts w:ascii="arial" w:hAnsi="arial"/>
          <w:sz w:val="20"/>
        </w:rPr>
        <w:t xml:space="preserve">Includes $163,187 for income tax equalization allowance for 2017 and $6,008 for tax preparation services. Certain of Ms. Esterman's other compensation was paid in euros and, for purposes of the table, is converted into U.S. dollars </w:t>
      </w:r>
    </w:p>
    <w:p>
      <w:pPr>
        <w:pStyle w:val="TextBody"/>
        <w:jc w:val="center"/>
        <w:rPr>
          <w:rFonts w:ascii="arial" w:hAnsi="arial"/>
          <w:sz w:val="20"/>
        </w:rPr>
      </w:pPr>
      <w:r>
        <w:rPr>
          <w:rFonts w:ascii="arial" w:hAnsi="arial"/>
          <w:sz w:val="20"/>
        </w:rPr>
        <w:t>56</w:t>
      </w:r>
    </w:p>
    <w:p>
      <w:pPr>
        <w:pStyle w:val="HorizontalLine"/>
        <w:pBdr>
          <w:bottom w:val="single" w:sz="20" w:space="0" w:color="808080"/>
        </w:pBdr>
        <w:rPr/>
      </w:pPr>
      <w:r>
        <w:rPr/>
      </w:r>
      <w:r>
        <w:br w:type="page"/>
      </w:r>
    </w:p>
    <w:p>
      <w:pPr>
        <w:pStyle w:val="TextBody"/>
        <w:rPr/>
      </w:pPr>
      <w:hyperlink w:anchor="bg45301a_main_toc">
        <w:bookmarkStart w:id="112" w:name="page_dw45301_1_57"/>
        <w:bookmarkEnd w:id="112"/>
        <w:r>
          <w:rPr>
            <w:rStyle w:val="InternetLink"/>
            <w:rFonts w:ascii="arial" w:hAnsi="arial"/>
            <w:sz w:val="20"/>
          </w:rPr>
          <w:t>Table of Contents</w:t>
        </w:r>
      </w:hyperlink>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3368"/>
        <w:gridCol w:w="100"/>
        <w:gridCol w:w="6737"/>
      </w:tblGrid>
      <w:tr>
        <w:trPr/>
        <w:tc>
          <w:tcPr>
            <w:tcW w:w="3368" w:type="dxa"/>
            <w:tcBorders/>
            <w:shd w:fill="auto" w:val="clear"/>
            <w:vAlign w:val="center"/>
          </w:tcPr>
          <w:p>
            <w:pPr>
              <w:pStyle w:val="TableContents"/>
              <w:spacing w:before="0" w:after="283"/>
              <w:rPr/>
            </w:pPr>
            <w:r>
              <w:rPr/>
              <w:commentReference w:id="205"/>
            </w:r>
            <w:r>
              <w:rPr/>
              <w:commentReference w:id="206"/>
            </w:r>
            <w:r>
              <w:rPr/>
              <w:commentReference w:id="207"/>
            </w:r>
            <w:r>
              <w:rPr/>
              <w:t>​</w:t>
            </w:r>
          </w:p>
        </w:tc>
        <w:tc>
          <w:tcPr>
            <w:tcW w:w="100" w:type="dxa"/>
            <w:tcBorders/>
            <w:shd w:fill="auto" w:val="clear"/>
            <w:vAlign w:val="center"/>
          </w:tcPr>
          <w:p>
            <w:pPr>
              <w:pStyle w:val="TableContents"/>
              <w:spacing w:before="0" w:after="283"/>
              <w:rPr/>
            </w:pPr>
            <w:r>
              <w:rPr/>
              <w:t>​</w:t>
            </w:r>
          </w:p>
        </w:tc>
        <w:tc>
          <w:tcPr>
            <w:tcW w:w="6737" w:type="dxa"/>
            <w:tcBorders/>
            <w:shd w:fill="auto" w:val="clear"/>
            <w:vAlign w:val="center"/>
          </w:tcPr>
          <w:p>
            <w:pPr>
              <w:pStyle w:val="TableContents"/>
              <w:spacing w:before="0" w:after="283"/>
              <w:rPr/>
            </w:pPr>
            <w:r>
              <w:rPr/>
              <w:t>​</w:t>
            </w:r>
            <w:r>
              <w:rPr>
                <w:rFonts w:eastAsia="arial" w:cs="arial" w:ascii="arial" w:hAnsi="arial"/>
              </w:rPr>
              <w:commentReference w:id="208"/>
            </w:r>
          </w:p>
        </w:tc>
      </w:tr>
      <w:tr>
        <w:trPr/>
        <w:tc>
          <w:tcPr>
            <w:tcW w:w="3368" w:type="dxa"/>
            <w:tcBorders/>
            <w:shd w:fill="auto" w:val="clear"/>
          </w:tcPr>
          <w:p>
            <w:pPr>
              <w:pStyle w:val="TableContents"/>
              <w:rPr/>
            </w:pPr>
            <w:r>
              <w:rPr/>
              <w:t>​</w:t>
            </w:r>
          </w:p>
          <w:p>
            <w:pPr>
              <w:pStyle w:val="TableContents"/>
              <w:spacing w:before="0" w:after="283"/>
              <w:rPr/>
            </w:pPr>
            <w:r>
              <w:rPr/>
              <w:t> </w:t>
            </w:r>
          </w:p>
        </w:tc>
        <w:tc>
          <w:tcPr>
            <w:tcW w:w="100"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drawing>
                <wp:inline distT="0" distB="0" distL="0" distR="0">
                  <wp:extent cx="1971675" cy="1809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embed="rId89"/>
                          <a:stretch>
                            <a:fillRect/>
                          </a:stretch>
                        </pic:blipFill>
                        <pic:spPr bwMode="auto">
                          <a:xfrm>
                            <a:off x="0" y="0"/>
                            <a:ext cx="1971675" cy="180975"/>
                          </a:xfrm>
                          <a:prstGeom prst="rect">
                            <a:avLst/>
                          </a:prstGeom>
                        </pic:spPr>
                      </pic:pic>
                    </a:graphicData>
                  </a:graphic>
                </wp:inline>
              </w:drawing>
            </w:r>
            <w:r>
              <w:rPr/>
              <w:t xml:space="preserve"> </w:t>
            </w:r>
          </w:p>
        </w:tc>
      </w:tr>
      <w:tr>
        <w:trPr/>
        <w:tc>
          <w:tcPr>
            <w:tcW w:w="3368" w:type="dxa"/>
            <w:tcBorders/>
            <w:shd w:fill="auto" w:val="clear"/>
          </w:tcPr>
          <w:p>
            <w:pPr>
              <w:pStyle w:val="TableContents"/>
              <w:rPr/>
            </w:pPr>
            <w:r>
              <w:rPr/>
              <w:t>​</w:t>
            </w:r>
          </w:p>
          <w:p>
            <w:pPr>
              <w:pStyle w:val="TableContents"/>
              <w:spacing w:before="0" w:after="283"/>
              <w:rPr/>
            </w:pPr>
            <w:r>
              <w:rPr/>
              <w:t> </w:t>
            </w:r>
          </w:p>
        </w:tc>
        <w:tc>
          <w:tcPr>
            <w:tcW w:w="100"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t> </w:t>
            </w:r>
          </w:p>
        </w:tc>
      </w:tr>
    </w:tbl>
    <w:p>
      <w:pPr>
        <w:pStyle w:val="TextBody"/>
        <w:rPr/>
      </w:pPr>
      <w:r>
        <w:rPr>
          <w:color w:val="000000"/>
        </w:rPr>
        <w:commentReference w:id="209"/>
      </w:r>
      <w:r>
        <w:rPr>
          <w:color w:val="000000"/>
        </w:rPr>
        <w:t>​</w:t>
      </w:r>
      <w:r>
        <w:rPr/>
        <w:t xml:space="preserve"> </w:t>
      </w:r>
    </w:p>
    <w:p>
      <w:pPr>
        <w:pStyle w:val="TextBody"/>
        <w:numPr>
          <w:ilvl w:val="0"/>
          <w:numId w:val="0"/>
        </w:numPr>
        <w:ind w:left="707" w:hanging="0"/>
        <w:jc w:val="left"/>
        <w:rPr>
          <w:rFonts w:ascii="arial" w:hAnsi="arial"/>
          <w:sz w:val="20"/>
        </w:rPr>
      </w:pPr>
      <w:r>
        <w:rPr>
          <w:rFonts w:ascii="arial" w:hAnsi="arial"/>
          <w:sz w:val="20"/>
        </w:rPr>
        <w:t xml:space="preserve">based on the OANDA one-year average exchange rate ending on December 31, 2019 of 0.8933 euros to the U.S. dollar. </w:t>
      </w:r>
    </w:p>
    <w:p>
      <w:pPr>
        <w:pStyle w:val="ListHeading"/>
        <w:spacing w:before="0" w:after="0"/>
        <w:jc w:val="left"/>
        <w:rPr>
          <w:rFonts w:ascii="arial" w:hAnsi="arial"/>
          <w:position w:val="7"/>
          <w:sz w:val="16"/>
          <w:sz w:val="20"/>
        </w:rPr>
      </w:pPr>
      <w:r>
        <w:rPr>
          <w:rFonts w:ascii="arial" w:hAnsi="arial"/>
          <w:position w:val="7"/>
          <w:sz w:val="16"/>
          <w:sz w:val="20"/>
        </w:rPr>
        <w:t>(17)</w:t>
      </w:r>
    </w:p>
    <w:p>
      <w:pPr>
        <w:pStyle w:val="ListContents"/>
        <w:spacing w:before="0" w:after="283"/>
        <w:jc w:val="left"/>
        <w:rPr>
          <w:rFonts w:ascii="arial" w:hAnsi="arial"/>
          <w:sz w:val="20"/>
        </w:rPr>
      </w:pPr>
      <w:r>
        <w:rPr>
          <w:rFonts w:ascii="arial" w:hAnsi="arial"/>
          <w:sz w:val="20"/>
        </w:rPr>
        <w:t xml:space="preserve">Mr. Mastioni joined the Company on August 1, 2017 and became an "executive officer" for purposes of the Exchange Act on December 14, 2018. The compensation reflected for 2018 includes the compensation received during 2018 before he became an executive officer. </w:t>
      </w:r>
    </w:p>
    <w:p>
      <w:pPr>
        <w:pStyle w:val="ListHeading"/>
        <w:spacing w:before="0" w:after="0"/>
        <w:jc w:val="left"/>
        <w:rPr>
          <w:rFonts w:ascii="arial" w:hAnsi="arial"/>
          <w:position w:val="7"/>
          <w:sz w:val="16"/>
          <w:sz w:val="20"/>
        </w:rPr>
      </w:pPr>
      <w:r>
        <w:rPr>
          <w:rFonts w:ascii="arial" w:hAnsi="arial"/>
          <w:position w:val="7"/>
          <w:sz w:val="16"/>
          <w:sz w:val="20"/>
        </w:rPr>
        <w:t>(18)</w:t>
      </w:r>
    </w:p>
    <w:p>
      <w:pPr>
        <w:pStyle w:val="ListContents"/>
        <w:spacing w:before="0" w:after="283"/>
        <w:jc w:val="left"/>
        <w:rPr>
          <w:rFonts w:ascii="arial" w:hAnsi="arial"/>
          <w:sz w:val="20"/>
        </w:rPr>
      </w:pPr>
      <w:r>
        <w:rPr>
          <w:rFonts w:ascii="arial" w:hAnsi="arial"/>
          <w:sz w:val="20"/>
        </w:rPr>
        <w:t xml:space="preserve">Represents the February 12, 2018 LTIP award of 11,132 performance-based stock options, which were scheduled to vest from 0% to 200%, based upon the Company's achievement against the 2018 LTIP Performance Criteria. On February 25, 2019, the Compensation Committee confirmed that the 2018 LTIP Performance Criteria was met at the outstanding level, and that the award was earned at a level of 200% of the target award and began vesting in four equal annual installments commencing February 12, 2019. These stock options have an exercise price of $24.82. </w:t>
      </w:r>
    </w:p>
    <w:p>
      <w:pPr>
        <w:pStyle w:val="ListHeading"/>
        <w:spacing w:before="0" w:after="0"/>
        <w:jc w:val="left"/>
        <w:rPr>
          <w:rFonts w:ascii="arial" w:hAnsi="arial"/>
          <w:position w:val="7"/>
          <w:sz w:val="16"/>
          <w:sz w:val="20"/>
        </w:rPr>
      </w:pPr>
      <w:r>
        <w:rPr>
          <w:rFonts w:ascii="arial" w:hAnsi="arial"/>
          <w:position w:val="7"/>
          <w:sz w:val="16"/>
          <w:sz w:val="20"/>
        </w:rPr>
        <w:t>(19)</w:t>
      </w:r>
    </w:p>
    <w:p>
      <w:pPr>
        <w:pStyle w:val="ListContents"/>
        <w:spacing w:before="0" w:after="283"/>
        <w:jc w:val="left"/>
        <w:rPr>
          <w:rFonts w:ascii="arial" w:hAnsi="arial"/>
          <w:sz w:val="20"/>
        </w:rPr>
      </w:pPr>
      <w:r>
        <w:rPr>
          <w:rFonts w:ascii="arial" w:hAnsi="arial"/>
          <w:sz w:val="20"/>
        </w:rPr>
        <w:t xml:space="preserve">Mr. Mastioni's base salary is set and paid in euros. His base salary was converted to U.S. dollars using an exchange rate of 0.8933 euros to U.S. dollars based on the OANDA one-year average exchange rate ending on December 31, 2019. </w:t>
      </w:r>
    </w:p>
    <w:p>
      <w:pPr>
        <w:pStyle w:val="ListHeading"/>
        <w:spacing w:before="0" w:after="0"/>
        <w:jc w:val="left"/>
        <w:rPr>
          <w:rFonts w:ascii="arial" w:hAnsi="arial"/>
          <w:position w:val="7"/>
          <w:sz w:val="16"/>
          <w:sz w:val="20"/>
        </w:rPr>
      </w:pPr>
      <w:r>
        <w:rPr>
          <w:rFonts w:ascii="arial" w:hAnsi="arial"/>
          <w:position w:val="7"/>
          <w:sz w:val="16"/>
          <w:sz w:val="20"/>
        </w:rPr>
        <w:t>(20)</w:t>
      </w:r>
    </w:p>
    <w:p>
      <w:pPr>
        <w:pStyle w:val="ListContents"/>
        <w:spacing w:before="0" w:after="283"/>
        <w:jc w:val="left"/>
        <w:rPr>
          <w:rFonts w:ascii="arial" w:hAnsi="arial"/>
          <w:sz w:val="20"/>
        </w:rPr>
      </w:pPr>
      <w:r>
        <w:rPr>
          <w:rFonts w:ascii="arial" w:hAnsi="arial"/>
          <w:sz w:val="20"/>
        </w:rPr>
        <w:t xml:space="preserve">Includes $55,975 for housing allowance, $6,717 for a car allowance, $20,151 for goods and services allowance, and $7,725 for tax preparation services. Mr. Mastioni's other compensation is paid in euros and, for purposes of the table, is converted into U.S. dollars based on the OANDA one-year average exchange rate ending on December 31, 2019 of 0.8933 euros to the U.S. dollar. </w:t>
      </w:r>
    </w:p>
    <w:p>
      <w:pPr>
        <w:pStyle w:val="ListHeading"/>
        <w:spacing w:before="0" w:after="0"/>
        <w:jc w:val="left"/>
        <w:rPr>
          <w:rFonts w:ascii="arial" w:hAnsi="arial"/>
          <w:position w:val="7"/>
          <w:sz w:val="16"/>
          <w:sz w:val="20"/>
        </w:rPr>
      </w:pPr>
      <w:r>
        <w:rPr>
          <w:rFonts w:ascii="arial" w:hAnsi="arial"/>
          <w:position w:val="7"/>
          <w:sz w:val="16"/>
          <w:sz w:val="20"/>
        </w:rPr>
        <w:t>(21)</w:t>
      </w:r>
    </w:p>
    <w:p>
      <w:pPr>
        <w:pStyle w:val="ListContents"/>
        <w:spacing w:before="0" w:after="283"/>
        <w:jc w:val="left"/>
        <w:rPr>
          <w:rFonts w:ascii="arial" w:hAnsi="arial"/>
          <w:sz w:val="20"/>
        </w:rPr>
      </w:pPr>
      <w:r>
        <w:rPr>
          <w:rFonts w:ascii="arial" w:hAnsi="arial"/>
          <w:sz w:val="20"/>
        </w:rPr>
        <w:t xml:space="preserve">Mr. Mastioni's base salary is set in euros and paid in euros. His base salary was converted to US. dollars using an exchange rate of 0.8772 euros to the U.S. dollars based on the OANDA one-year average exchange rate ending on December 31, 2020. </w:t>
      </w:r>
    </w:p>
    <w:p>
      <w:pPr>
        <w:pStyle w:val="ListHeading"/>
        <w:spacing w:before="0" w:after="0"/>
        <w:jc w:val="left"/>
        <w:rPr>
          <w:rFonts w:ascii="arial" w:hAnsi="arial"/>
          <w:position w:val="7"/>
          <w:sz w:val="16"/>
          <w:sz w:val="20"/>
        </w:rPr>
      </w:pPr>
      <w:r>
        <w:rPr>
          <w:rFonts w:ascii="arial" w:hAnsi="arial"/>
          <w:position w:val="7"/>
          <w:sz w:val="16"/>
          <w:sz w:val="20"/>
        </w:rPr>
        <w:t>(22)</w:t>
      </w:r>
    </w:p>
    <w:p>
      <w:pPr>
        <w:pStyle w:val="ListContents"/>
        <w:spacing w:before="0" w:after="283"/>
        <w:jc w:val="left"/>
        <w:rPr>
          <w:rFonts w:ascii="arial" w:hAnsi="arial"/>
          <w:sz w:val="20"/>
        </w:rPr>
      </w:pPr>
      <w:r>
        <w:rPr>
          <w:rFonts w:ascii="arial" w:hAnsi="arial"/>
          <w:sz w:val="20"/>
        </w:rPr>
        <w:t xml:space="preserve">Includes $57,001 for housing allowance, $6,840 for personal use of a company car, and $20,520 for goods and services allowance. Mr. Mastioni's all compensations are paid in euros and, for purposes of the table, is converted into U.S. dollars based on the OANDA one-year average exchange rate ending on December 31, 2020, 0.8772 euros to the U.S. dollar. </w:t>
      </w:r>
    </w:p>
    <w:p>
      <w:pPr>
        <w:pStyle w:val="ListHeading"/>
        <w:spacing w:before="0" w:after="0"/>
        <w:jc w:val="left"/>
        <w:rPr>
          <w:rFonts w:ascii="arial" w:hAnsi="arial"/>
          <w:position w:val="7"/>
          <w:sz w:val="16"/>
          <w:sz w:val="20"/>
        </w:rPr>
      </w:pPr>
      <w:r>
        <w:rPr>
          <w:rFonts w:ascii="arial" w:hAnsi="arial"/>
          <w:position w:val="7"/>
          <w:sz w:val="16"/>
          <w:sz w:val="20"/>
        </w:rPr>
        <w:t>(23)</w:t>
      </w:r>
    </w:p>
    <w:p>
      <w:pPr>
        <w:pStyle w:val="ListContents"/>
        <w:spacing w:before="0" w:after="283"/>
        <w:jc w:val="left"/>
        <w:rPr>
          <w:rFonts w:ascii="arial" w:hAnsi="arial"/>
          <w:sz w:val="20"/>
        </w:rPr>
      </w:pPr>
      <w:r>
        <w:rPr>
          <w:rFonts w:ascii="arial" w:hAnsi="arial"/>
          <w:sz w:val="20"/>
        </w:rPr>
        <w:t xml:space="preserve">Represents the February 12, 2018 LTIP award of 7,421 performance-based stock options, which were scheduled to vest from 0% to 200%, based upon the Company's achievement against the 2018 LTIP Performance Criteria. On February 25, 2019, the Compensation Committee confirmed that the 2018 LTIP Performance Criteria was met at the outstanding level, and that the award was earned at a level of 200% of the target award and began vesting in four equal annual installments commencing February 12, 2019. These options have an exercise price of $24.82. </w:t>
      </w:r>
    </w:p>
    <w:p>
      <w:pPr>
        <w:pStyle w:val="ListHeading"/>
        <w:spacing w:before="0" w:after="0"/>
        <w:jc w:val="left"/>
        <w:rPr>
          <w:rFonts w:ascii="arial" w:hAnsi="arial"/>
          <w:position w:val="7"/>
          <w:sz w:val="16"/>
          <w:sz w:val="20"/>
        </w:rPr>
      </w:pPr>
      <w:r>
        <w:rPr>
          <w:rFonts w:ascii="arial" w:hAnsi="arial"/>
          <w:position w:val="7"/>
          <w:sz w:val="16"/>
          <w:sz w:val="20"/>
        </w:rPr>
        <w:t>(24)</w:t>
      </w:r>
    </w:p>
    <w:p>
      <w:pPr>
        <w:pStyle w:val="ListContents"/>
        <w:spacing w:before="0" w:after="283"/>
        <w:jc w:val="left"/>
        <w:rPr>
          <w:rFonts w:ascii="arial" w:hAnsi="arial"/>
          <w:sz w:val="20"/>
        </w:rPr>
      </w:pPr>
      <w:r>
        <w:rPr>
          <w:rFonts w:ascii="arial" w:hAnsi="arial"/>
          <w:sz w:val="20"/>
        </w:rPr>
        <w:t xml:space="preserve">Includes $26,867 for housing allowance, $41,486 for medical benefits, $30,183 for education allowance, $18,095 for travel allowance, $38,903 for income tax equalization allowance for 2017 and $6,299 for tax preparation services. Mr. Ritts' other compensation is generally paid in euros and, for purposes of the table, is converted into U.S. dollars based on the OANDA one-year average exchange rate ending on December 31, 2019 of 0.8933 euros to the U.S. dollar. </w:t>
      </w:r>
    </w:p>
    <w:p>
      <w:pPr>
        <w:pStyle w:val="ListHeading"/>
        <w:spacing w:before="0" w:after="0"/>
        <w:jc w:val="left"/>
        <w:rPr>
          <w:rFonts w:ascii="arial" w:hAnsi="arial"/>
          <w:position w:val="7"/>
          <w:sz w:val="16"/>
          <w:sz w:val="20"/>
        </w:rPr>
      </w:pPr>
      <w:r>
        <w:rPr>
          <w:rFonts w:ascii="arial" w:hAnsi="arial"/>
          <w:position w:val="7"/>
          <w:sz w:val="16"/>
          <w:sz w:val="20"/>
        </w:rPr>
        <w:t>(25)</w:t>
      </w:r>
    </w:p>
    <w:p>
      <w:pPr>
        <w:pStyle w:val="ListContents"/>
        <w:spacing w:before="0" w:after="283"/>
        <w:jc w:val="left"/>
        <w:rPr>
          <w:rFonts w:ascii="arial" w:hAnsi="arial"/>
          <w:sz w:val="20"/>
        </w:rPr>
      </w:pPr>
      <w:r>
        <w:rPr>
          <w:rFonts w:ascii="arial" w:hAnsi="arial"/>
          <w:sz w:val="20"/>
        </w:rPr>
        <w:t xml:space="preserve">Mr. Ritts' base salary is set in U.S. dollars and paid in euros. His base salary was converted to euros using an exchange rate of 0.83 euros to the U.S. dollar in accordance with his employment agreement. The number reported on the table above is the U.S. dollar base salary applicable for the period prior to conversion to euros. </w:t>
      </w:r>
    </w:p>
    <w:p>
      <w:pPr>
        <w:pStyle w:val="ListHeading"/>
        <w:spacing w:before="0" w:after="0"/>
        <w:jc w:val="left"/>
        <w:rPr>
          <w:rFonts w:ascii="arial" w:hAnsi="arial"/>
          <w:position w:val="7"/>
          <w:sz w:val="16"/>
          <w:sz w:val="20"/>
        </w:rPr>
      </w:pPr>
      <w:r>
        <w:rPr>
          <w:rFonts w:ascii="arial" w:hAnsi="arial"/>
          <w:position w:val="7"/>
          <w:sz w:val="16"/>
          <w:sz w:val="20"/>
        </w:rPr>
        <w:t>(26)</w:t>
      </w:r>
    </w:p>
    <w:p>
      <w:pPr>
        <w:pStyle w:val="ListContents"/>
        <w:spacing w:before="0" w:after="283"/>
        <w:jc w:val="left"/>
        <w:rPr>
          <w:rFonts w:ascii="arial" w:hAnsi="arial"/>
          <w:sz w:val="20"/>
        </w:rPr>
      </w:pPr>
      <w:r>
        <w:rPr>
          <w:rFonts w:ascii="arial" w:hAnsi="arial"/>
          <w:sz w:val="20"/>
        </w:rPr>
        <w:t xml:space="preserve">Represents a payment made to the executive on October 27, 2020 pursuant to a retention cash award granted on September 24, 2018. The retention cash award was payable on September 24, 2020, subject to the employee's continued employment through that date. The award was paid in euros and, for purposes of the table, is converted into U.S. dollars based on the OANDA one-year average exchange rate ending on December 31, 2020, 0.8772 euros to the U.S. dollar. </w:t>
      </w:r>
    </w:p>
    <w:p>
      <w:pPr>
        <w:pStyle w:val="ListHeading"/>
        <w:spacing w:before="0" w:after="0"/>
        <w:jc w:val="left"/>
        <w:rPr>
          <w:rFonts w:ascii="arial" w:hAnsi="arial"/>
          <w:position w:val="7"/>
          <w:sz w:val="16"/>
          <w:sz w:val="20"/>
        </w:rPr>
      </w:pPr>
      <w:r>
        <w:rPr>
          <w:rFonts w:ascii="arial" w:hAnsi="arial"/>
          <w:position w:val="7"/>
          <w:sz w:val="16"/>
          <w:sz w:val="20"/>
        </w:rPr>
        <w:t>(27)</w:t>
      </w:r>
    </w:p>
    <w:p>
      <w:pPr>
        <w:pStyle w:val="ListContents"/>
        <w:spacing w:before="0" w:after="283"/>
        <w:jc w:val="left"/>
        <w:rPr>
          <w:rFonts w:ascii="arial" w:hAnsi="arial"/>
          <w:sz w:val="20"/>
        </w:rPr>
      </w:pPr>
      <w:r>
        <w:rPr>
          <w:rFonts w:ascii="arial" w:hAnsi="arial"/>
          <w:sz w:val="20"/>
        </w:rPr>
        <w:t xml:space="preserve">Includes $27,361 for housing allowance, $58,090 for medical benefits, $10,912 for education allowance, $8,479 for travel allowance, and $121,557 for tax equalization allowance. Mr. Ritts' other compensation is paid in euros and, for purposes of the table, is converted into U.S. dollars based on the OANDA one-year average exchange rate ending on December 31, 2020, 0.8772 euros to the U.S. dollar. </w:t>
      </w:r>
    </w:p>
    <w:p>
      <w:pPr>
        <w:pStyle w:val="TextBody"/>
        <w:rPr>
          <w:rFonts w:ascii="arial" w:hAnsi="arial"/>
          <w:sz w:val="20"/>
        </w:rPr>
      </w:pPr>
      <w:r>
        <w:rPr>
          <w:rFonts w:ascii="arial" w:hAnsi="arial"/>
          <w:sz w:val="20"/>
        </w:rPr>
        <w:t xml:space="preserve">For more information regarding the elements of compensation paid to our Named Executive Officers, see "Compensation Discussion and Analysis" above. </w:t>
      </w:r>
    </w:p>
    <w:p>
      <w:pPr>
        <w:pStyle w:val="TextBody"/>
        <w:jc w:val="center"/>
        <w:rPr>
          <w:rFonts w:ascii="arial" w:hAnsi="arial"/>
          <w:sz w:val="20"/>
        </w:rPr>
      </w:pPr>
      <w:r>
        <w:rPr>
          <w:rFonts w:ascii="arial" w:hAnsi="arial"/>
          <w:sz w:val="20"/>
        </w:rPr>
        <w:t>57</w:t>
      </w:r>
    </w:p>
    <w:p>
      <w:pPr>
        <w:pStyle w:val="HorizontalLine"/>
        <w:pBdr>
          <w:bottom w:val="single" w:sz="20" w:space="0" w:color="808080"/>
        </w:pBdr>
        <w:rPr/>
      </w:pPr>
      <w:r>
        <w:rPr/>
      </w:r>
      <w:r>
        <w:br w:type="page"/>
      </w:r>
    </w:p>
    <w:p>
      <w:pPr>
        <w:pStyle w:val="TextBody"/>
        <w:rPr/>
      </w:pPr>
      <w:hyperlink w:anchor="bg45301a_main_toc">
        <w:bookmarkStart w:id="113" w:name="page_dw45301_1_58"/>
        <w:bookmarkEnd w:id="113"/>
        <w:r>
          <w:rPr>
            <w:rStyle w:val="InternetLink"/>
            <w:rFonts w:ascii="arial" w:hAnsi="arial"/>
            <w:sz w:val="20"/>
          </w:rPr>
          <w:t>Table of Contents</w:t>
        </w:r>
      </w:hyperlink>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3368"/>
        <w:gridCol w:w="100"/>
        <w:gridCol w:w="6737"/>
      </w:tblGrid>
      <w:tr>
        <w:trPr/>
        <w:tc>
          <w:tcPr>
            <w:tcW w:w="3368" w:type="dxa"/>
            <w:tcBorders/>
            <w:shd w:fill="auto" w:val="clear"/>
            <w:vAlign w:val="center"/>
          </w:tcPr>
          <w:p>
            <w:pPr>
              <w:pStyle w:val="TableContents"/>
              <w:spacing w:before="0" w:after="283"/>
              <w:rPr/>
            </w:pPr>
            <w:r>
              <w:rPr/>
              <w:commentReference w:id="210"/>
            </w:r>
            <w:r>
              <w:rPr/>
              <w:commentReference w:id="211"/>
            </w:r>
            <w:r>
              <w:rPr/>
              <w:commentReference w:id="212"/>
            </w:r>
            <w:r>
              <w:rPr/>
              <w:t>​</w:t>
            </w:r>
          </w:p>
        </w:tc>
        <w:tc>
          <w:tcPr>
            <w:tcW w:w="100" w:type="dxa"/>
            <w:tcBorders/>
            <w:shd w:fill="auto" w:val="clear"/>
            <w:vAlign w:val="center"/>
          </w:tcPr>
          <w:p>
            <w:pPr>
              <w:pStyle w:val="TableContents"/>
              <w:spacing w:before="0" w:after="283"/>
              <w:rPr/>
            </w:pPr>
            <w:r>
              <w:rPr/>
              <w:t>​</w:t>
            </w:r>
          </w:p>
        </w:tc>
        <w:tc>
          <w:tcPr>
            <w:tcW w:w="6737" w:type="dxa"/>
            <w:tcBorders/>
            <w:shd w:fill="auto" w:val="clear"/>
            <w:vAlign w:val="center"/>
          </w:tcPr>
          <w:p>
            <w:pPr>
              <w:pStyle w:val="TableContents"/>
              <w:spacing w:before="0" w:after="283"/>
              <w:rPr/>
            </w:pPr>
            <w:r>
              <w:rPr/>
              <w:t>​</w:t>
            </w:r>
            <w:r>
              <w:rPr>
                <w:rFonts w:eastAsia="arial" w:cs="arial" w:ascii="arial" w:hAnsi="arial"/>
              </w:rPr>
              <w:commentReference w:id="213"/>
            </w:r>
          </w:p>
        </w:tc>
      </w:tr>
      <w:tr>
        <w:trPr/>
        <w:tc>
          <w:tcPr>
            <w:tcW w:w="3368" w:type="dxa"/>
            <w:tcBorders/>
            <w:shd w:fill="auto" w:val="clear"/>
          </w:tcPr>
          <w:p>
            <w:pPr>
              <w:pStyle w:val="TableContents"/>
              <w:rPr/>
            </w:pPr>
            <w:r>
              <w:rPr/>
              <w:t>​</w:t>
            </w:r>
          </w:p>
          <w:p>
            <w:pPr>
              <w:pStyle w:val="TableContents"/>
              <w:spacing w:before="0" w:after="283"/>
              <w:rPr/>
            </w:pPr>
            <w:r>
              <w:rPr/>
              <w:t> </w:t>
            </w:r>
          </w:p>
        </w:tc>
        <w:tc>
          <w:tcPr>
            <w:tcW w:w="100"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drawing>
                <wp:inline distT="0" distB="0" distL="0" distR="0">
                  <wp:extent cx="1971675" cy="1809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embed="rId90"/>
                          <a:stretch>
                            <a:fillRect/>
                          </a:stretch>
                        </pic:blipFill>
                        <pic:spPr bwMode="auto">
                          <a:xfrm>
                            <a:off x="0" y="0"/>
                            <a:ext cx="1971675" cy="180975"/>
                          </a:xfrm>
                          <a:prstGeom prst="rect">
                            <a:avLst/>
                          </a:prstGeom>
                        </pic:spPr>
                      </pic:pic>
                    </a:graphicData>
                  </a:graphic>
                </wp:inline>
              </w:drawing>
            </w:r>
            <w:r>
              <w:rPr/>
              <w:t xml:space="preserve"> </w:t>
            </w:r>
          </w:p>
        </w:tc>
      </w:tr>
      <w:tr>
        <w:trPr/>
        <w:tc>
          <w:tcPr>
            <w:tcW w:w="3368" w:type="dxa"/>
            <w:tcBorders/>
            <w:shd w:fill="auto" w:val="clear"/>
          </w:tcPr>
          <w:p>
            <w:pPr>
              <w:pStyle w:val="TableContents"/>
              <w:rPr/>
            </w:pPr>
            <w:r>
              <w:rPr/>
              <w:t>​</w:t>
            </w:r>
          </w:p>
          <w:p>
            <w:pPr>
              <w:pStyle w:val="TableContents"/>
              <w:spacing w:before="0" w:after="283"/>
              <w:rPr/>
            </w:pPr>
            <w:r>
              <w:rPr/>
              <w:t> </w:t>
            </w:r>
          </w:p>
        </w:tc>
        <w:tc>
          <w:tcPr>
            <w:tcW w:w="100"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t> </w:t>
            </w:r>
          </w:p>
        </w:tc>
      </w:tr>
    </w:tbl>
    <w:p>
      <w:pPr>
        <w:pStyle w:val="TextBody"/>
        <w:rPr/>
      </w:pPr>
      <w:r>
        <w:rPr>
          <w:color w:val="000000"/>
        </w:rPr>
        <w:commentReference w:id="214"/>
      </w:r>
      <w:r>
        <w:rPr>
          <w:color w:val="000000"/>
        </w:rPr>
        <w:t>​</w:t>
      </w:r>
      <w:r>
        <w:rPr/>
        <w:t xml:space="preserve"> </w:t>
      </w:r>
    </w:p>
    <w:p>
      <w:pPr>
        <w:pStyle w:val="TextBody"/>
        <w:ind w:left="220" w:right="0" w:hanging="220"/>
        <w:rPr>
          <w:rFonts w:ascii="arial" w:hAnsi="arial"/>
          <w:b/>
          <w:sz w:val="20"/>
        </w:rPr>
      </w:pPr>
      <w:r>
        <w:rPr>
          <w:rFonts w:ascii="arial" w:hAnsi="arial"/>
          <w:b/>
          <w:sz w:val="20"/>
        </w:rPr>
        <w:t xml:space="preserve">CEO Pay Ratio Disclosure </w:t>
      </w:r>
    </w:p>
    <w:p>
      <w:pPr>
        <w:pStyle w:val="TextBody"/>
        <w:rPr>
          <w:rFonts w:ascii="arial" w:hAnsi="arial"/>
          <w:sz w:val="20"/>
        </w:rPr>
      </w:pPr>
      <w:r>
        <w:rPr>
          <w:rFonts w:ascii="arial" w:hAnsi="arial"/>
          <w:sz w:val="20"/>
        </w:rPr>
        <w:t xml:space="preserve">As mandated by the Dodd-Frank Act and Item 402(u) of Regulation S-K, we must disclose the annual total compensation of our median employee, the annual total compensation of our Chief Executive Officer, William B. Shepro, and the ratio of these two amounts. </w:t>
      </w:r>
    </w:p>
    <w:p>
      <w:pPr>
        <w:pStyle w:val="TextBody"/>
        <w:rPr>
          <w:rFonts w:ascii="arial" w:hAnsi="arial"/>
          <w:sz w:val="20"/>
        </w:rPr>
      </w:pPr>
      <w:r>
        <w:rPr>
          <w:rFonts w:ascii="arial" w:hAnsi="arial"/>
          <w:sz w:val="20"/>
        </w:rPr>
        <w:t xml:space="preserve">Altisource is geographically diverse, with a large majority of our employees located in jurisdictions other than the Company's Luxembourg headquarters, where our Chief Executive Officer is based. We identified our median employee using our global employee population as of December 31, 2020, which consisted of 2,726 employees, of which 1,945 employees (seventy-one percent (71%) of our total employees) were based in India, 697 employees (twenty-six percent (26%) of our total employees) were based in the United States, 74 employees (three percent (3%) of our total employees) were based in Uruguay and 10 employees (less than one percent (1%) of our total employees) were based in Luxembourg. This population consisted of our full-time and part-time employees, and excludes temporary employees. </w:t>
      </w:r>
    </w:p>
    <w:p>
      <w:pPr>
        <w:pStyle w:val="TextBody"/>
        <w:rPr>
          <w:rFonts w:ascii="arial" w:hAnsi="arial"/>
          <w:sz w:val="20"/>
        </w:rPr>
      </w:pPr>
      <w:r>
        <w:rPr>
          <w:rFonts w:ascii="arial" w:hAnsi="arial"/>
          <w:sz w:val="20"/>
        </w:rPr>
        <w:t xml:space="preserve">To identify our median employee, our consistently applied compensation measure included the following elements, as permitted by SEC rules: base salary, cash incentive paid, equity awards, transportation, term life insurance, accidental insurance and medical insurance. We believe this measure reasonably reflects the annual compensation of our employees. Non-U.S. compensation was converted to U.S. dollars using exchange rates of 0. 8153 euros to the U.S. dollar for Luxembourg and 72.959 Indian rupees to the U.S. dollar for India, the applicable exchange rates on December 31, 2020 as disclosed by OANDA. </w:t>
      </w:r>
    </w:p>
    <w:p>
      <w:pPr>
        <w:pStyle w:val="TextBody"/>
        <w:rPr>
          <w:rFonts w:ascii="arial" w:hAnsi="arial"/>
          <w:sz w:val="20"/>
        </w:rPr>
      </w:pPr>
      <w:r>
        <w:rPr>
          <w:rFonts w:ascii="arial" w:hAnsi="arial"/>
          <w:sz w:val="20"/>
        </w:rPr>
        <w:t xml:space="preserve">In addition, we used a publicly available cost of living adjustment (available here: </w:t>
      </w:r>
      <w:r>
        <w:rPr>
          <w:rFonts w:ascii="arial" w:hAnsi="arial"/>
          <w:sz w:val="20"/>
          <w:u w:val="single"/>
        </w:rPr>
        <w:t>www.numbeo.com/cost-of-living/</w:t>
      </w:r>
      <w:r>
        <w:rPr>
          <w:rFonts w:ascii="arial" w:hAnsi="arial"/>
          <w:sz w:val="20"/>
        </w:rPr>
        <w:t xml:space="preserve">) to adjust the compensation of employees in jurisdictions other than Luxembourg. After application of this cost of living adjustment, we have estimated that the annual compensation for 2020 of our median employee (who is based in India) was $34,371. Without the cost of living adjustment, the median employee had total compensation of $11,177. </w:t>
      </w:r>
    </w:p>
    <w:p>
      <w:pPr>
        <w:pStyle w:val="TextBody"/>
        <w:rPr>
          <w:rFonts w:ascii="arial" w:hAnsi="arial"/>
          <w:sz w:val="20"/>
        </w:rPr>
      </w:pPr>
      <w:r>
        <w:rPr>
          <w:rFonts w:ascii="arial" w:hAnsi="arial"/>
          <w:sz w:val="20"/>
        </w:rPr>
        <w:t xml:space="preserve">The total compensation of our Chief Executive Officer in 2020, as reported in the Summary Compensation Table above was $2,823,646. This amount includes February 26, 2020, February 27, 2020, and October 1, 2020 awards of service-based RSUs and performance-based RSUs, with a grant date value of $1,797,814 as detailed in the next section. </w:t>
      </w:r>
    </w:p>
    <w:p>
      <w:pPr>
        <w:pStyle w:val="TextBody"/>
        <w:rPr>
          <w:rFonts w:ascii="arial" w:hAnsi="arial"/>
          <w:sz w:val="20"/>
        </w:rPr>
      </w:pPr>
      <w:r>
        <w:rPr>
          <w:rFonts w:ascii="arial" w:hAnsi="arial"/>
          <w:sz w:val="20"/>
        </w:rPr>
        <w:t xml:space="preserve">Based on the methodology described above, we estimated our CEO Pay Ratio for 2020 to be 82:1 (253:1 without the cost of living adjustment) as calculated according to the regulations based on the 2020 total compensation reported in the Summary Compensation Table. Due to the flexibility afforded by Item 402(u) in calculating the CEO Pay Ratio, and our unique employee distribution, the ratio may or may not be comparable to CEO pay ratios presented by other companies. </w:t>
      </w:r>
    </w:p>
    <w:p>
      <w:pPr>
        <w:pStyle w:val="TextBody"/>
        <w:jc w:val="center"/>
        <w:rPr>
          <w:rFonts w:ascii="arial" w:hAnsi="arial"/>
          <w:sz w:val="20"/>
        </w:rPr>
      </w:pPr>
      <w:r>
        <w:rPr>
          <w:rFonts w:ascii="arial" w:hAnsi="arial"/>
          <w:sz w:val="20"/>
        </w:rPr>
        <w:t>58</w:t>
      </w:r>
    </w:p>
    <w:p>
      <w:pPr>
        <w:pStyle w:val="HorizontalLine"/>
        <w:pBdr>
          <w:bottom w:val="single" w:sz="20" w:space="0" w:color="808080"/>
        </w:pBdr>
        <w:rPr/>
      </w:pPr>
      <w:r>
        <w:rPr/>
      </w:r>
      <w:r>
        <w:br w:type="page"/>
      </w:r>
    </w:p>
    <w:p>
      <w:pPr>
        <w:pStyle w:val="TextBody"/>
        <w:rPr/>
      </w:pPr>
      <w:hyperlink w:anchor="bg45301a_main_toc">
        <w:bookmarkStart w:id="114" w:name="page_dy45301_1_59"/>
        <w:bookmarkEnd w:id="114"/>
        <w:r>
          <w:rPr>
            <w:rStyle w:val="InternetLink"/>
            <w:rFonts w:ascii="arial" w:hAnsi="arial"/>
            <w:sz w:val="20"/>
          </w:rPr>
          <w:t>Table of Contents</w:t>
        </w:r>
      </w:hyperlink>
      <w:r>
        <w:rPr>
          <w:rFonts w:ascii="arial" w:hAnsi="arial"/>
          <w:sz w:val="20"/>
        </w:rPr>
        <w:t xml:space="preserve"> </w:t>
      </w:r>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3368"/>
        <w:gridCol w:w="100"/>
        <w:gridCol w:w="6737"/>
      </w:tblGrid>
      <w:tr>
        <w:trPr/>
        <w:tc>
          <w:tcPr>
            <w:tcW w:w="3368" w:type="dxa"/>
            <w:tcBorders/>
            <w:shd w:fill="auto" w:val="clear"/>
            <w:vAlign w:val="center"/>
          </w:tcPr>
          <w:p>
            <w:pPr>
              <w:pStyle w:val="TableContents"/>
              <w:spacing w:before="0" w:after="283"/>
              <w:rPr/>
            </w:pPr>
            <w:r>
              <w:rPr/>
              <w:commentReference w:id="215"/>
            </w:r>
            <w:r>
              <w:rPr/>
              <w:commentReference w:id="216"/>
            </w:r>
            <w:r>
              <w:rPr/>
              <w:commentReference w:id="217"/>
            </w:r>
            <w:r>
              <w:rPr/>
              <w:t>​</w:t>
            </w:r>
          </w:p>
        </w:tc>
        <w:tc>
          <w:tcPr>
            <w:tcW w:w="100" w:type="dxa"/>
            <w:tcBorders/>
            <w:shd w:fill="auto" w:val="clear"/>
            <w:vAlign w:val="center"/>
          </w:tcPr>
          <w:p>
            <w:pPr>
              <w:pStyle w:val="TableContents"/>
              <w:spacing w:before="0" w:after="283"/>
              <w:rPr/>
            </w:pPr>
            <w:r>
              <w:rPr/>
              <w:t>​</w:t>
            </w:r>
          </w:p>
        </w:tc>
        <w:tc>
          <w:tcPr>
            <w:tcW w:w="6737" w:type="dxa"/>
            <w:tcBorders/>
            <w:shd w:fill="auto" w:val="clear"/>
            <w:vAlign w:val="center"/>
          </w:tcPr>
          <w:p>
            <w:pPr>
              <w:pStyle w:val="TableContents"/>
              <w:spacing w:before="0" w:after="283"/>
              <w:rPr/>
            </w:pPr>
            <w:r>
              <w:rPr/>
              <w:t>​</w:t>
            </w:r>
            <w:r>
              <w:rPr>
                <w:rFonts w:eastAsia="arial" w:cs="arial" w:ascii="arial" w:hAnsi="arial"/>
              </w:rPr>
              <w:commentReference w:id="218"/>
            </w:r>
          </w:p>
        </w:tc>
      </w:tr>
      <w:tr>
        <w:trPr/>
        <w:tc>
          <w:tcPr>
            <w:tcW w:w="3368" w:type="dxa"/>
            <w:tcBorders/>
            <w:shd w:fill="auto" w:val="clear"/>
          </w:tcPr>
          <w:p>
            <w:pPr>
              <w:pStyle w:val="TableContents"/>
              <w:rPr/>
            </w:pPr>
            <w:r>
              <w:rPr/>
              <w:t>​</w:t>
            </w:r>
          </w:p>
          <w:p>
            <w:pPr>
              <w:pStyle w:val="TableContents"/>
              <w:spacing w:before="0" w:after="283"/>
              <w:rPr/>
            </w:pPr>
            <w:r>
              <w:rPr/>
              <w:t> </w:t>
            </w:r>
          </w:p>
        </w:tc>
        <w:tc>
          <w:tcPr>
            <w:tcW w:w="100"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drawing>
                <wp:inline distT="0" distB="0" distL="0" distR="0">
                  <wp:extent cx="1971675" cy="1809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embed="rId91"/>
                          <a:stretch>
                            <a:fillRect/>
                          </a:stretch>
                        </pic:blipFill>
                        <pic:spPr bwMode="auto">
                          <a:xfrm>
                            <a:off x="0" y="0"/>
                            <a:ext cx="1971675" cy="180975"/>
                          </a:xfrm>
                          <a:prstGeom prst="rect">
                            <a:avLst/>
                          </a:prstGeom>
                        </pic:spPr>
                      </pic:pic>
                    </a:graphicData>
                  </a:graphic>
                </wp:inline>
              </w:drawing>
            </w:r>
            <w:r>
              <w:rPr/>
              <w:t xml:space="preserve"> </w:t>
            </w:r>
          </w:p>
        </w:tc>
      </w:tr>
      <w:tr>
        <w:trPr/>
        <w:tc>
          <w:tcPr>
            <w:tcW w:w="3368" w:type="dxa"/>
            <w:tcBorders/>
            <w:shd w:fill="auto" w:val="clear"/>
          </w:tcPr>
          <w:p>
            <w:pPr>
              <w:pStyle w:val="TableContents"/>
              <w:rPr/>
            </w:pPr>
            <w:r>
              <w:rPr/>
              <w:t>​</w:t>
            </w:r>
          </w:p>
          <w:p>
            <w:pPr>
              <w:pStyle w:val="TableContents"/>
              <w:spacing w:before="0" w:after="283"/>
              <w:rPr/>
            </w:pPr>
            <w:r>
              <w:rPr/>
              <w:t> </w:t>
            </w:r>
          </w:p>
        </w:tc>
        <w:tc>
          <w:tcPr>
            <w:tcW w:w="100"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spacing w:before="0" w:after="283"/>
              <w:jc w:val="right"/>
              <w:rPr/>
            </w:pPr>
            <w:r>
              <w:rPr/>
              <w:t>​</w:t>
            </w:r>
          </w:p>
        </w:tc>
      </w:tr>
    </w:tbl>
    <w:p>
      <w:pPr>
        <w:pStyle w:val="TextBody"/>
        <w:rPr/>
      </w:pPr>
      <w:r>
        <w:rPr>
          <w:color w:val="000000"/>
        </w:rPr>
        <w:commentReference w:id="219"/>
      </w:r>
      <w:r>
        <w:rPr>
          <w:color w:val="000000"/>
        </w:rPr>
        <w:t>​</w:t>
      </w:r>
      <w:r>
        <w:rPr/>
        <w:t xml:space="preserve"> </w:t>
      </w:r>
    </w:p>
    <w:p>
      <w:pPr>
        <w:pStyle w:val="TextBody"/>
        <w:ind w:left="220" w:right="0" w:hanging="220"/>
        <w:rPr>
          <w:rFonts w:ascii="arial" w:hAnsi="arial"/>
          <w:b/>
          <w:sz w:val="20"/>
        </w:rPr>
      </w:pPr>
      <w:r>
        <w:rPr>
          <w:rFonts w:ascii="arial" w:hAnsi="arial"/>
          <w:b/>
          <w:sz w:val="20"/>
        </w:rPr>
        <w:t xml:space="preserve">Grants of Plan-Based Awards for 2020 </w:t>
      </w:r>
    </w:p>
    <w:p>
      <w:pPr>
        <w:pStyle w:val="TextBody"/>
        <w:rPr>
          <w:rFonts w:ascii="arial" w:hAnsi="arial"/>
          <w:sz w:val="20"/>
        </w:rPr>
      </w:pPr>
      <w:r>
        <w:rPr>
          <w:rFonts w:ascii="arial" w:hAnsi="arial"/>
          <w:sz w:val="20"/>
        </w:rPr>
        <w:t xml:space="preserve">The following table provides information related to non-equity incentive plan compensation and equity incentive plan awards pursuant to our annual incentive compensation plan and our 2009 Equity Incentive Plan for the individuals named in the Summary Compensation Table. </w:t>
      </w:r>
    </w:p>
    <w:tbl>
      <w:tblPr>
        <w:tblW w:w="5000" w:type="pct"/>
        <w:jc w:val="center"/>
        <w:tblInd w:w="0" w:type="dxa"/>
        <w:tblCellMar>
          <w:top w:w="0" w:type="dxa"/>
          <w:left w:w="0" w:type="dxa"/>
          <w:bottom w:w="0" w:type="dxa"/>
          <w:right w:w="0" w:type="dxa"/>
        </w:tblCellMar>
      </w:tblPr>
      <w:tblGrid>
        <w:gridCol w:w="1508"/>
        <w:gridCol w:w="23"/>
        <w:gridCol w:w="31"/>
        <w:gridCol w:w="45"/>
        <w:gridCol w:w="270"/>
        <w:gridCol w:w="125"/>
        <w:gridCol w:w="23"/>
        <w:gridCol w:w="353"/>
        <w:gridCol w:w="81"/>
        <w:gridCol w:w="41"/>
        <w:gridCol w:w="355"/>
        <w:gridCol w:w="90"/>
        <w:gridCol w:w="216"/>
        <w:gridCol w:w="92"/>
        <w:gridCol w:w="47"/>
        <w:gridCol w:w="175"/>
        <w:gridCol w:w="23"/>
        <w:gridCol w:w="196"/>
        <w:gridCol w:w="196"/>
        <w:gridCol w:w="196"/>
        <w:gridCol w:w="197"/>
        <w:gridCol w:w="24"/>
        <w:gridCol w:w="122"/>
        <w:gridCol w:w="92"/>
        <w:gridCol w:w="491"/>
        <w:gridCol w:w="125"/>
        <w:gridCol w:w="60"/>
        <w:gridCol w:w="101"/>
        <w:gridCol w:w="429"/>
        <w:gridCol w:w="23"/>
        <w:gridCol w:w="196"/>
        <w:gridCol w:w="196"/>
        <w:gridCol w:w="319"/>
        <w:gridCol w:w="197"/>
        <w:gridCol w:w="23"/>
        <w:gridCol w:w="170"/>
        <w:gridCol w:w="258"/>
        <w:gridCol w:w="258"/>
        <w:gridCol w:w="170"/>
        <w:gridCol w:w="23"/>
        <w:gridCol w:w="222"/>
        <w:gridCol w:w="222"/>
        <w:gridCol w:w="222"/>
        <w:gridCol w:w="224"/>
        <w:gridCol w:w="23"/>
        <w:gridCol w:w="170"/>
        <w:gridCol w:w="170"/>
        <w:gridCol w:w="170"/>
        <w:gridCol w:w="170"/>
        <w:gridCol w:w="23"/>
        <w:gridCol w:w="155"/>
        <w:gridCol w:w="347"/>
        <w:gridCol w:w="348"/>
        <w:gridCol w:w="155"/>
        <w:gridCol w:w="24"/>
      </w:tblGrid>
      <w:tr>
        <w:trPr/>
        <w:tc>
          <w:tcPr>
            <w:tcW w:w="1508"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31" w:type="dxa"/>
            <w:tcBorders/>
            <w:shd w:fill="auto" w:val="clear"/>
            <w:vAlign w:val="center"/>
          </w:tcPr>
          <w:p>
            <w:pPr>
              <w:pStyle w:val="TableContents"/>
              <w:spacing w:before="0" w:after="283"/>
              <w:rPr>
                <w:sz w:val="4"/>
                <w:szCs w:val="4"/>
              </w:rPr>
            </w:pPr>
            <w:r>
              <w:rPr>
                <w:sz w:val="4"/>
                <w:szCs w:val="4"/>
              </w:rPr>
            </w:r>
          </w:p>
        </w:tc>
        <w:tc>
          <w:tcPr>
            <w:tcW w:w="45"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81" w:type="dxa"/>
            <w:tcBorders/>
            <w:shd w:fill="auto" w:val="clear"/>
            <w:vAlign w:val="center"/>
          </w:tcPr>
          <w:p>
            <w:pPr>
              <w:pStyle w:val="TableContents"/>
              <w:spacing w:before="0" w:after="283"/>
              <w:rPr>
                <w:sz w:val="4"/>
                <w:szCs w:val="4"/>
              </w:rPr>
            </w:pPr>
            <w:r>
              <w:rPr>
                <w:sz w:val="4"/>
                <w:szCs w:val="4"/>
              </w:rPr>
            </w:r>
          </w:p>
        </w:tc>
        <w:tc>
          <w:tcPr>
            <w:tcW w:w="41"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center"/>
          </w:tcPr>
          <w:p>
            <w:pPr>
              <w:pStyle w:val="TableContents"/>
              <w:spacing w:before="0" w:after="283"/>
              <w:rPr>
                <w:sz w:val="4"/>
                <w:szCs w:val="4"/>
              </w:rPr>
            </w:pPr>
            <w:r>
              <w:rPr>
                <w:sz w:val="4"/>
                <w:szCs w:val="4"/>
              </w:rPr>
            </w:r>
          </w:p>
        </w:tc>
        <w:tc>
          <w:tcPr>
            <w:tcW w:w="47"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24"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4" w:type="dxa"/>
            <w:tcBorders/>
            <w:shd w:fill="auto" w:val="clear"/>
            <w:vAlign w:val="center"/>
          </w:tcPr>
          <w:p>
            <w:pPr>
              <w:pStyle w:val="TableContents"/>
              <w:spacing w:before="0" w:after="283"/>
              <w:rPr>
                <w:sz w:val="4"/>
                <w:szCs w:val="4"/>
              </w:rPr>
            </w:pPr>
            <w:r>
              <w:rPr>
                <w:sz w:val="4"/>
                <w:szCs w:val="4"/>
              </w:rPr>
            </w:r>
          </w:p>
        </w:tc>
      </w:tr>
      <w:tr>
        <w:trPr/>
        <w:tc>
          <w:tcPr>
            <w:tcW w:w="1508" w:type="dxa"/>
            <w:tcBorders/>
            <w:shd w:fill="auto" w:val="clear"/>
            <w:vAlign w:val="bottom"/>
          </w:tcPr>
          <w:p>
            <w:pPr>
              <w:pStyle w:val="TableHeading"/>
              <w:spacing w:lineRule="atLeast" w:line="180" w:before="0" w:after="283"/>
              <w:jc w:val="left"/>
              <w:rPr/>
            </w:pPr>
            <w:r>
              <w:rPr/>
              <w:t> </w:t>
            </w:r>
          </w:p>
        </w:tc>
        <w:tc>
          <w:tcPr>
            <w:tcW w:w="23" w:type="dxa"/>
            <w:tcBorders/>
            <w:shd w:fill="auto" w:val="clear"/>
            <w:vAlign w:val="bottom"/>
          </w:tcPr>
          <w:p>
            <w:pPr>
              <w:pStyle w:val="TableHeading"/>
              <w:spacing w:lineRule="atLeast" w:line="180" w:before="0" w:after="283"/>
              <w:rPr/>
            </w:pPr>
            <w:r>
              <w:rPr/>
              <w:t>​</w:t>
            </w:r>
          </w:p>
        </w:tc>
        <w:tc>
          <w:tcPr>
            <w:tcW w:w="471" w:type="dxa"/>
            <w:gridSpan w:val="4"/>
            <w:tcBorders/>
            <w:shd w:fill="auto" w:val="clear"/>
            <w:vAlign w:val="bottom"/>
          </w:tcPr>
          <w:p>
            <w:pPr>
              <w:pStyle w:val="TableHeading"/>
              <w:spacing w:lineRule="atLeast" w:line="180" w:before="0" w:after="283"/>
              <w:jc w:val="left"/>
              <w:rPr/>
            </w:pPr>
            <w:r>
              <w:rPr/>
              <w:t> </w:t>
            </w:r>
          </w:p>
        </w:tc>
        <w:tc>
          <w:tcPr>
            <w:tcW w:w="23" w:type="dxa"/>
            <w:tcBorders/>
            <w:shd w:fill="auto" w:val="clear"/>
            <w:vAlign w:val="bottom"/>
          </w:tcPr>
          <w:p>
            <w:pPr>
              <w:pStyle w:val="TableHeading"/>
              <w:spacing w:lineRule="atLeast" w:line="180" w:before="0" w:after="283"/>
              <w:rPr/>
            </w:pPr>
            <w:r>
              <w:rPr/>
              <w:t>​</w:t>
            </w:r>
          </w:p>
        </w:tc>
        <w:tc>
          <w:tcPr>
            <w:tcW w:w="830" w:type="dxa"/>
            <w:gridSpan w:val="4"/>
            <w:tcBorders/>
            <w:shd w:fill="auto" w:val="clear"/>
            <w:vAlign w:val="bottom"/>
          </w:tcPr>
          <w:p>
            <w:pPr>
              <w:pStyle w:val="TableHeading"/>
              <w:spacing w:lineRule="atLeast" w:line="180" w:before="0" w:after="283"/>
              <w:jc w:val="left"/>
              <w:rPr/>
            </w:pPr>
            <w:r>
              <w:rPr/>
              <w:t> </w:t>
            </w:r>
          </w:p>
        </w:tc>
        <w:tc>
          <w:tcPr>
            <w:tcW w:w="90" w:type="dxa"/>
            <w:tcBorders/>
            <w:shd w:fill="auto" w:val="clear"/>
            <w:vAlign w:val="bottom"/>
          </w:tcPr>
          <w:p>
            <w:pPr>
              <w:pStyle w:val="TableHeading"/>
              <w:spacing w:lineRule="atLeast" w:line="180" w:before="0" w:after="283"/>
              <w:rPr/>
            </w:pPr>
            <w:r>
              <w:rPr/>
              <w:t>​</w:t>
            </w:r>
          </w:p>
        </w:tc>
        <w:tc>
          <w:tcPr>
            <w:tcW w:w="530" w:type="dxa"/>
            <w:gridSpan w:val="4"/>
            <w:tcBorders/>
            <w:shd w:fill="auto" w:val="clear"/>
            <w:vAlign w:val="bottom"/>
          </w:tcPr>
          <w:p>
            <w:pPr>
              <w:pStyle w:val="TableHeading"/>
              <w:spacing w:lineRule="atLeast" w:line="180" w:before="0" w:after="283"/>
              <w:jc w:val="left"/>
              <w:rPr/>
            </w:pPr>
            <w:r>
              <w:rPr/>
              <w:t> </w:t>
            </w:r>
          </w:p>
        </w:tc>
        <w:tc>
          <w:tcPr>
            <w:tcW w:w="23" w:type="dxa"/>
            <w:tcBorders/>
            <w:shd w:fill="auto" w:val="clear"/>
            <w:vAlign w:val="bottom"/>
          </w:tcPr>
          <w:p>
            <w:pPr>
              <w:pStyle w:val="TableHeading"/>
              <w:spacing w:lineRule="atLeast" w:line="180" w:before="0" w:after="283"/>
              <w:rPr/>
            </w:pPr>
            <w:r>
              <w:rPr/>
              <w:t>​</w:t>
            </w:r>
          </w:p>
        </w:tc>
        <w:tc>
          <w:tcPr>
            <w:tcW w:w="785" w:type="dxa"/>
            <w:gridSpan w:val="4"/>
            <w:tcBorders/>
            <w:shd w:fill="auto" w:val="clear"/>
            <w:vAlign w:val="bottom"/>
          </w:tcPr>
          <w:p>
            <w:pPr>
              <w:pStyle w:val="TableHeading"/>
              <w:spacing w:lineRule="atLeast" w:line="180" w:before="0" w:after="283"/>
              <w:jc w:val="left"/>
              <w:rPr/>
            </w:pPr>
            <w:r>
              <w:rPr/>
              <w:t> </w:t>
            </w:r>
          </w:p>
        </w:tc>
        <w:tc>
          <w:tcPr>
            <w:tcW w:w="24" w:type="dxa"/>
            <w:tcBorders/>
            <w:shd w:fill="auto" w:val="clear"/>
            <w:vAlign w:val="bottom"/>
          </w:tcPr>
          <w:p>
            <w:pPr>
              <w:pStyle w:val="TableHeading"/>
              <w:spacing w:lineRule="atLeast" w:line="180" w:before="0" w:after="283"/>
              <w:rPr/>
            </w:pPr>
            <w:r>
              <w:rPr/>
              <w:t>​</w:t>
            </w:r>
          </w:p>
        </w:tc>
        <w:tc>
          <w:tcPr>
            <w:tcW w:w="830" w:type="dxa"/>
            <w:gridSpan w:val="4"/>
            <w:tcBorders/>
            <w:shd w:fill="auto" w:val="clear"/>
            <w:vAlign w:val="bottom"/>
          </w:tcPr>
          <w:p>
            <w:pPr>
              <w:pStyle w:val="TableHeading"/>
              <w:spacing w:lineRule="atLeast" w:line="180" w:before="0" w:after="283"/>
              <w:jc w:val="left"/>
              <w:rPr/>
            </w:pPr>
            <w:r>
              <w:rPr/>
              <w:t> </w:t>
            </w:r>
          </w:p>
        </w:tc>
        <w:tc>
          <w:tcPr>
            <w:tcW w:w="60" w:type="dxa"/>
            <w:tcBorders/>
            <w:shd w:fill="auto" w:val="clear"/>
            <w:vAlign w:val="bottom"/>
          </w:tcPr>
          <w:p>
            <w:pPr>
              <w:pStyle w:val="TableHeading"/>
              <w:spacing w:lineRule="atLeast" w:line="180" w:before="0" w:after="283"/>
              <w:rPr/>
            </w:pPr>
            <w:r>
              <w:rPr/>
              <w:t>​</w:t>
            </w:r>
          </w:p>
        </w:tc>
        <w:tc>
          <w:tcPr>
            <w:tcW w:w="530" w:type="dxa"/>
            <w:gridSpan w:val="2"/>
            <w:tcBorders/>
            <w:shd w:fill="auto" w:val="clear"/>
            <w:vAlign w:val="bottom"/>
          </w:tcPr>
          <w:p>
            <w:pPr>
              <w:pStyle w:val="TableHeading"/>
              <w:spacing w:lineRule="atLeast" w:line="180" w:before="0" w:after="283"/>
              <w:jc w:val="left"/>
              <w:rPr/>
            </w:pPr>
            <w:r>
              <w:rPr/>
              <w:t> </w:t>
            </w:r>
          </w:p>
        </w:tc>
        <w:tc>
          <w:tcPr>
            <w:tcW w:w="23" w:type="dxa"/>
            <w:tcBorders/>
            <w:shd w:fill="auto" w:val="clear"/>
            <w:vAlign w:val="bottom"/>
          </w:tcPr>
          <w:p>
            <w:pPr>
              <w:pStyle w:val="TableHeading"/>
              <w:spacing w:lineRule="atLeast" w:line="180" w:before="0" w:after="283"/>
              <w:rPr/>
            </w:pPr>
            <w:r>
              <w:rPr/>
              <w:t>​</w:t>
            </w:r>
          </w:p>
        </w:tc>
        <w:tc>
          <w:tcPr>
            <w:tcW w:w="908" w:type="dxa"/>
            <w:gridSpan w:val="4"/>
            <w:tcBorders/>
            <w:shd w:fill="auto" w:val="clear"/>
            <w:vAlign w:val="bottom"/>
          </w:tcPr>
          <w:p>
            <w:pPr>
              <w:pStyle w:val="TableHeading"/>
              <w:spacing w:lineRule="atLeast" w:line="180" w:before="0" w:after="283"/>
              <w:jc w:val="left"/>
              <w:rPr/>
            </w:pPr>
            <w:r>
              <w:rPr/>
              <w:t> </w:t>
            </w:r>
          </w:p>
        </w:tc>
        <w:tc>
          <w:tcPr>
            <w:tcW w:w="23" w:type="dxa"/>
            <w:vMerge w:val="restart"/>
            <w:tcBorders/>
            <w:shd w:fill="auto" w:val="clear"/>
            <w:vAlign w:val="bottom"/>
          </w:tcPr>
          <w:p>
            <w:pPr>
              <w:pStyle w:val="TableHeading"/>
              <w:spacing w:lineRule="atLeast" w:line="180" w:before="0" w:after="283"/>
              <w:rPr/>
            </w:pPr>
            <w:r>
              <w:rPr/>
              <w:t>​</w:t>
            </w:r>
          </w:p>
        </w:tc>
        <w:tc>
          <w:tcPr>
            <w:tcW w:w="856" w:type="dxa"/>
            <w:gridSpan w:val="4"/>
            <w:vMerge w:val="restart"/>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All Other</w:t>
              <w:br/>
              <w:t>Stock</w:t>
              <w:br/>
              <w:t>Awards:</w:t>
              <w:br/>
              <w:t>Number of</w:t>
              <w:br/>
              <w:t>Shares of</w:t>
              <w:br/>
              <w:t>Stock or</w:t>
              <w:br/>
              <w:t xml:space="preserve">Units </w:t>
            </w:r>
          </w:p>
        </w:tc>
        <w:tc>
          <w:tcPr>
            <w:tcW w:w="23" w:type="dxa"/>
            <w:vMerge w:val="restart"/>
            <w:tcBorders/>
            <w:shd w:fill="auto" w:val="clear"/>
            <w:vAlign w:val="bottom"/>
          </w:tcPr>
          <w:p>
            <w:pPr>
              <w:pStyle w:val="TableHeading"/>
              <w:spacing w:lineRule="atLeast" w:line="180" w:before="0" w:after="283"/>
              <w:rPr/>
            </w:pPr>
            <w:r>
              <w:rPr/>
              <w:t>​</w:t>
            </w:r>
          </w:p>
        </w:tc>
        <w:tc>
          <w:tcPr>
            <w:tcW w:w="890" w:type="dxa"/>
            <w:gridSpan w:val="4"/>
            <w:vMerge w:val="restart"/>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All Other</w:t>
              <w:br/>
              <w:t>Option</w:t>
              <w:br/>
              <w:t>Awards:</w:t>
              <w:br/>
              <w:t>Number of</w:t>
              <w:br/>
              <w:t>Securities</w:t>
              <w:br/>
              <w:t>Underlying</w:t>
              <w:br/>
              <w:t xml:space="preserve">Options </w:t>
            </w:r>
          </w:p>
        </w:tc>
        <w:tc>
          <w:tcPr>
            <w:tcW w:w="23" w:type="dxa"/>
            <w:tcBorders/>
            <w:shd w:fill="auto" w:val="clear"/>
            <w:vAlign w:val="bottom"/>
          </w:tcPr>
          <w:p>
            <w:pPr>
              <w:pStyle w:val="TableHeading"/>
              <w:spacing w:lineRule="atLeast" w:line="180" w:before="0" w:after="283"/>
              <w:rPr/>
            </w:pPr>
            <w:r>
              <w:rPr/>
              <w:t>​</w:t>
            </w:r>
          </w:p>
        </w:tc>
        <w:tc>
          <w:tcPr>
            <w:tcW w:w="680" w:type="dxa"/>
            <w:gridSpan w:val="4"/>
            <w:tcBorders/>
            <w:shd w:fill="auto" w:val="clear"/>
            <w:vAlign w:val="bottom"/>
          </w:tcPr>
          <w:p>
            <w:pPr>
              <w:pStyle w:val="TableHeading"/>
              <w:spacing w:lineRule="atLeast" w:line="180" w:before="0" w:after="283"/>
              <w:jc w:val="left"/>
              <w:rPr/>
            </w:pPr>
            <w:r>
              <w:rPr/>
              <w:t> </w:t>
            </w:r>
          </w:p>
        </w:tc>
        <w:tc>
          <w:tcPr>
            <w:tcW w:w="23" w:type="dxa"/>
            <w:tcBorders/>
            <w:shd w:fill="auto" w:val="clear"/>
            <w:vAlign w:val="bottom"/>
          </w:tcPr>
          <w:p>
            <w:pPr>
              <w:pStyle w:val="TableHeading"/>
              <w:spacing w:lineRule="atLeast" w:line="180" w:before="0" w:after="283"/>
              <w:rPr/>
            </w:pPr>
            <w:r>
              <w:rPr/>
              <w:t>​</w:t>
            </w:r>
          </w:p>
        </w:tc>
        <w:tc>
          <w:tcPr>
            <w:tcW w:w="1005" w:type="dxa"/>
            <w:gridSpan w:val="4"/>
            <w:tcBorders/>
            <w:shd w:fill="auto" w:val="clear"/>
            <w:vAlign w:val="bottom"/>
          </w:tcPr>
          <w:p>
            <w:pPr>
              <w:pStyle w:val="TableHeading"/>
              <w:spacing w:lineRule="atLeast" w:line="180" w:before="0" w:after="283"/>
              <w:jc w:val="left"/>
              <w:rPr/>
            </w:pPr>
            <w:r>
              <w:rPr/>
              <w:t> </w:t>
            </w:r>
          </w:p>
        </w:tc>
        <w:tc>
          <w:tcPr>
            <w:tcW w:w="24" w:type="dxa"/>
            <w:tcBorders/>
            <w:shd w:fill="auto" w:val="clear"/>
            <w:vAlign w:val="bottom"/>
          </w:tcPr>
          <w:p>
            <w:pPr>
              <w:pStyle w:val="TableHeading"/>
              <w:spacing w:lineRule="atLeast" w:line="180" w:before="0" w:after="283"/>
              <w:rPr/>
            </w:pPr>
            <w:r>
              <w:rPr/>
              <w:t>​</w:t>
            </w:r>
          </w:p>
        </w:tc>
      </w:tr>
      <w:tr>
        <w:trPr/>
        <w:tc>
          <w:tcPr>
            <w:tcW w:w="1508" w:type="dxa"/>
            <w:tcBorders/>
            <w:shd w:fill="auto" w:val="clear"/>
            <w:vAlign w:val="bottom"/>
          </w:tcPr>
          <w:p>
            <w:pPr>
              <w:pStyle w:val="TableHeading"/>
              <w:spacing w:lineRule="atLeast" w:line="180" w:before="0" w:after="283"/>
              <w:jc w:val="left"/>
              <w:rPr/>
            </w:pPr>
            <w:r>
              <w:rPr/>
              <w:t> </w:t>
            </w:r>
          </w:p>
        </w:tc>
        <w:tc>
          <w:tcPr>
            <w:tcW w:w="23" w:type="dxa"/>
            <w:tcBorders/>
            <w:shd w:fill="auto" w:val="clear"/>
            <w:vAlign w:val="bottom"/>
          </w:tcPr>
          <w:p>
            <w:pPr>
              <w:pStyle w:val="TableHeading"/>
              <w:spacing w:lineRule="atLeast" w:line="180" w:before="0" w:after="283"/>
              <w:rPr/>
            </w:pPr>
            <w:r>
              <w:rPr/>
              <w:t>​</w:t>
            </w:r>
          </w:p>
        </w:tc>
        <w:tc>
          <w:tcPr>
            <w:tcW w:w="471" w:type="dxa"/>
            <w:gridSpan w:val="4"/>
            <w:tcBorders/>
            <w:shd w:fill="auto" w:val="clear"/>
            <w:vAlign w:val="bottom"/>
          </w:tcPr>
          <w:p>
            <w:pPr>
              <w:pStyle w:val="TableHeading"/>
              <w:spacing w:lineRule="atLeast" w:line="180" w:before="0" w:after="283"/>
              <w:jc w:val="left"/>
              <w:rPr/>
            </w:pPr>
            <w:r>
              <w:rPr/>
              <w:t> </w:t>
            </w:r>
          </w:p>
        </w:tc>
        <w:tc>
          <w:tcPr>
            <w:tcW w:w="23" w:type="dxa"/>
            <w:vMerge w:val="restart"/>
            <w:tcBorders/>
            <w:shd w:fill="auto" w:val="clear"/>
            <w:vAlign w:val="bottom"/>
          </w:tcPr>
          <w:p>
            <w:pPr>
              <w:pStyle w:val="TableHeading"/>
              <w:spacing w:lineRule="atLeast" w:line="180" w:before="0" w:after="283"/>
              <w:rPr/>
            </w:pPr>
            <w:r>
              <w:rPr/>
              <w:t>​</w:t>
            </w:r>
          </w:p>
        </w:tc>
        <w:tc>
          <w:tcPr>
            <w:tcW w:w="2258" w:type="dxa"/>
            <w:gridSpan w:val="14"/>
            <w:vMerge w:val="restart"/>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Estimated Future Payouts</w:t>
              <w:br/>
              <w:t>Under Non-Equity Incentive</w:t>
              <w:br/>
              <w:t>Plan Awards</w:t>
            </w:r>
            <w:r>
              <w:rPr>
                <w:rFonts w:ascii="arial" w:hAnsi="arial"/>
                <w:b/>
                <w:sz w:val="12"/>
              </w:rPr>
              <w:t>(1)</w:t>
            </w:r>
            <w:r>
              <w:rPr>
                <w:rFonts w:ascii="arial" w:hAnsi="arial"/>
                <w:b/>
                <w:sz w:val="16"/>
              </w:rPr>
              <w:t xml:space="preserve"> </w:t>
            </w:r>
          </w:p>
        </w:tc>
        <w:tc>
          <w:tcPr>
            <w:tcW w:w="24" w:type="dxa"/>
            <w:vMerge w:val="restart"/>
            <w:tcBorders/>
            <w:shd w:fill="auto" w:val="clear"/>
            <w:vAlign w:val="bottom"/>
          </w:tcPr>
          <w:p>
            <w:pPr>
              <w:pStyle w:val="TableHeading"/>
              <w:spacing w:lineRule="atLeast" w:line="180" w:before="0" w:after="283"/>
              <w:rPr/>
            </w:pPr>
            <w:r>
              <w:rPr/>
              <w:t>​</w:t>
            </w:r>
          </w:p>
        </w:tc>
        <w:tc>
          <w:tcPr>
            <w:tcW w:w="2351" w:type="dxa"/>
            <w:gridSpan w:val="12"/>
            <w:vMerge w:val="restart"/>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Estimated Future Payouts</w:t>
              <w:br/>
              <w:t>Under Equity Incentive Plan</w:t>
              <w:br/>
              <w:t xml:space="preserve">Awards </w:t>
            </w:r>
          </w:p>
        </w:tc>
        <w:tc>
          <w:tcPr>
            <w:tcW w:w="23" w:type="dxa"/>
            <w:vMerge w:val="continue"/>
            <w:tcBorders/>
            <w:shd w:fill="auto" w:val="clear"/>
            <w:vAlign w:val="bottom"/>
          </w:tcPr>
          <w:p>
            <w:pPr>
              <w:pStyle w:val="Normal"/>
              <w:rPr/>
            </w:pPr>
            <w:r>
              <w:rPr/>
            </w:r>
          </w:p>
        </w:tc>
        <w:tc>
          <w:tcPr>
            <w:tcW w:w="856" w:type="dxa"/>
            <w:gridSpan w:val="4"/>
            <w:vMerge w:val="continue"/>
            <w:tcBorders>
              <w:bottom w:val="single" w:sz="8" w:space="0" w:color="000000"/>
            </w:tcBorders>
            <w:shd w:fill="auto" w:val="clear"/>
            <w:tcMar>
              <w:bottom w:w="28" w:type="dxa"/>
            </w:tcMar>
            <w:vAlign w:val="bottom"/>
          </w:tcPr>
          <w:p>
            <w:pPr>
              <w:pStyle w:val="Normal"/>
              <w:rPr/>
            </w:pPr>
            <w:r>
              <w:rPr/>
            </w:r>
          </w:p>
        </w:tc>
        <w:tc>
          <w:tcPr>
            <w:tcW w:w="23" w:type="dxa"/>
            <w:vMerge w:val="continue"/>
            <w:tcBorders/>
            <w:shd w:fill="auto" w:val="clear"/>
            <w:vAlign w:val="bottom"/>
          </w:tcPr>
          <w:p>
            <w:pPr>
              <w:pStyle w:val="Normal"/>
              <w:rPr/>
            </w:pPr>
            <w:r>
              <w:rPr/>
            </w:r>
          </w:p>
        </w:tc>
        <w:tc>
          <w:tcPr>
            <w:tcW w:w="890" w:type="dxa"/>
            <w:gridSpan w:val="4"/>
            <w:vMerge w:val="continue"/>
            <w:tcBorders>
              <w:bottom w:val="single" w:sz="8" w:space="0" w:color="000000"/>
            </w:tcBorders>
            <w:shd w:fill="auto" w:val="clear"/>
            <w:tcMar>
              <w:bottom w:w="28" w:type="dxa"/>
            </w:tcMar>
            <w:vAlign w:val="bottom"/>
          </w:tcPr>
          <w:p>
            <w:pPr>
              <w:pStyle w:val="Normal"/>
              <w:rPr/>
            </w:pPr>
            <w:r>
              <w:rPr/>
            </w:r>
          </w:p>
        </w:tc>
        <w:tc>
          <w:tcPr>
            <w:tcW w:w="23" w:type="dxa"/>
            <w:tcBorders/>
            <w:shd w:fill="auto" w:val="clear"/>
            <w:vAlign w:val="bottom"/>
          </w:tcPr>
          <w:p>
            <w:pPr>
              <w:pStyle w:val="TableHeading"/>
              <w:spacing w:lineRule="atLeast" w:line="180" w:before="0" w:after="283"/>
              <w:rPr/>
            </w:pPr>
            <w:r>
              <w:rPr/>
              <w:t>​</w:t>
            </w:r>
          </w:p>
        </w:tc>
        <w:tc>
          <w:tcPr>
            <w:tcW w:w="680" w:type="dxa"/>
            <w:gridSpan w:val="4"/>
            <w:tcBorders/>
            <w:shd w:fill="auto" w:val="clear"/>
            <w:vAlign w:val="bottom"/>
          </w:tcPr>
          <w:p>
            <w:pPr>
              <w:pStyle w:val="TableHeading"/>
              <w:spacing w:lineRule="atLeast" w:line="180" w:before="0" w:after="283"/>
              <w:jc w:val="left"/>
              <w:rPr/>
            </w:pPr>
            <w:r>
              <w:rPr/>
              <w:t> </w:t>
            </w:r>
          </w:p>
        </w:tc>
        <w:tc>
          <w:tcPr>
            <w:tcW w:w="23" w:type="dxa"/>
            <w:vMerge w:val="restart"/>
            <w:tcBorders/>
            <w:shd w:fill="auto" w:val="clear"/>
            <w:vAlign w:val="bottom"/>
          </w:tcPr>
          <w:p>
            <w:pPr>
              <w:pStyle w:val="TableHeading"/>
              <w:spacing w:lineRule="atLeast" w:line="180" w:before="0" w:after="283"/>
              <w:rPr/>
            </w:pPr>
            <w:r>
              <w:rPr/>
              <w:t>​</w:t>
            </w:r>
          </w:p>
        </w:tc>
        <w:tc>
          <w:tcPr>
            <w:tcW w:w="1005" w:type="dxa"/>
            <w:gridSpan w:val="4"/>
            <w:vMerge w:val="restart"/>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Grant Date</w:t>
              <w:br/>
              <w:t>Fair Value</w:t>
              <w:br/>
              <w:t>of Stock</w:t>
              <w:br/>
              <w:t>and Option</w:t>
              <w:br/>
              <w:t xml:space="preserve">Awards </w:t>
            </w:r>
          </w:p>
        </w:tc>
        <w:tc>
          <w:tcPr>
            <w:tcW w:w="24" w:type="dxa"/>
            <w:tcBorders/>
            <w:shd w:fill="auto" w:val="clear"/>
            <w:vAlign w:val="bottom"/>
          </w:tcPr>
          <w:p>
            <w:pPr>
              <w:pStyle w:val="TableHeading"/>
              <w:spacing w:lineRule="atLeast" w:line="180" w:before="0" w:after="283"/>
              <w:rPr/>
            </w:pPr>
            <w:r>
              <w:rPr/>
              <w:t>​</w:t>
            </w:r>
          </w:p>
        </w:tc>
      </w:tr>
      <w:tr>
        <w:trPr/>
        <w:tc>
          <w:tcPr>
            <w:tcW w:w="1508" w:type="dxa"/>
            <w:tcBorders/>
            <w:shd w:fill="auto" w:val="clear"/>
            <w:vAlign w:val="bottom"/>
          </w:tcPr>
          <w:p>
            <w:pPr>
              <w:pStyle w:val="TableHeading"/>
              <w:spacing w:lineRule="atLeast" w:line="180" w:before="0" w:after="283"/>
              <w:jc w:val="left"/>
              <w:rPr/>
            </w:pPr>
            <w:r>
              <w:rPr/>
              <w:t> </w:t>
            </w:r>
          </w:p>
        </w:tc>
        <w:tc>
          <w:tcPr>
            <w:tcW w:w="23" w:type="dxa"/>
            <w:tcBorders/>
            <w:shd w:fill="auto" w:val="clear"/>
            <w:vAlign w:val="bottom"/>
          </w:tcPr>
          <w:p>
            <w:pPr>
              <w:pStyle w:val="TableHeading"/>
              <w:spacing w:lineRule="atLeast" w:line="180" w:before="0" w:after="283"/>
              <w:rPr/>
            </w:pPr>
            <w:r>
              <w:rPr/>
              <w:t>​</w:t>
            </w:r>
          </w:p>
        </w:tc>
        <w:tc>
          <w:tcPr>
            <w:tcW w:w="471" w:type="dxa"/>
            <w:gridSpan w:val="4"/>
            <w:tcBorders/>
            <w:shd w:fill="auto" w:val="clear"/>
            <w:vAlign w:val="bottom"/>
          </w:tcPr>
          <w:p>
            <w:pPr>
              <w:pStyle w:val="TableHeading"/>
              <w:spacing w:lineRule="atLeast" w:line="180" w:before="0" w:after="283"/>
              <w:jc w:val="left"/>
              <w:rPr/>
            </w:pPr>
            <w:r>
              <w:rPr/>
              <w:t> </w:t>
            </w:r>
          </w:p>
        </w:tc>
        <w:tc>
          <w:tcPr>
            <w:tcW w:w="23" w:type="dxa"/>
            <w:vMerge w:val="continue"/>
            <w:tcBorders/>
            <w:shd w:fill="auto" w:val="clear"/>
            <w:vAlign w:val="bottom"/>
          </w:tcPr>
          <w:p>
            <w:pPr>
              <w:pStyle w:val="Normal"/>
              <w:rPr/>
            </w:pPr>
            <w:r>
              <w:rPr/>
            </w:r>
          </w:p>
        </w:tc>
        <w:tc>
          <w:tcPr>
            <w:tcW w:w="2258" w:type="dxa"/>
            <w:gridSpan w:val="14"/>
            <w:vMerge w:val="continue"/>
            <w:tcBorders>
              <w:bottom w:val="single" w:sz="8" w:space="0" w:color="000000"/>
            </w:tcBorders>
            <w:shd w:fill="auto" w:val="clear"/>
            <w:tcMar>
              <w:bottom w:w="28" w:type="dxa"/>
            </w:tcMar>
            <w:vAlign w:val="bottom"/>
          </w:tcPr>
          <w:p>
            <w:pPr>
              <w:pStyle w:val="Normal"/>
              <w:rPr/>
            </w:pPr>
            <w:r>
              <w:rPr/>
            </w:r>
          </w:p>
        </w:tc>
        <w:tc>
          <w:tcPr>
            <w:tcW w:w="24" w:type="dxa"/>
            <w:vMerge w:val="continue"/>
            <w:tcBorders/>
            <w:shd w:fill="auto" w:val="clear"/>
            <w:vAlign w:val="bottom"/>
          </w:tcPr>
          <w:p>
            <w:pPr>
              <w:pStyle w:val="Normal"/>
              <w:rPr/>
            </w:pPr>
            <w:r>
              <w:rPr/>
            </w:r>
          </w:p>
        </w:tc>
        <w:tc>
          <w:tcPr>
            <w:tcW w:w="2351" w:type="dxa"/>
            <w:gridSpan w:val="12"/>
            <w:vMerge w:val="continue"/>
            <w:tcBorders>
              <w:bottom w:val="single" w:sz="8" w:space="0" w:color="000000"/>
            </w:tcBorders>
            <w:shd w:fill="auto" w:val="clear"/>
            <w:tcMar>
              <w:bottom w:w="28" w:type="dxa"/>
            </w:tcMar>
            <w:vAlign w:val="bottom"/>
          </w:tcPr>
          <w:p>
            <w:pPr>
              <w:pStyle w:val="Normal"/>
              <w:rPr/>
            </w:pPr>
            <w:r>
              <w:rPr/>
            </w:r>
          </w:p>
        </w:tc>
        <w:tc>
          <w:tcPr>
            <w:tcW w:w="23" w:type="dxa"/>
            <w:vMerge w:val="continue"/>
            <w:tcBorders/>
            <w:shd w:fill="auto" w:val="clear"/>
            <w:vAlign w:val="bottom"/>
          </w:tcPr>
          <w:p>
            <w:pPr>
              <w:pStyle w:val="Normal"/>
              <w:rPr/>
            </w:pPr>
            <w:r>
              <w:rPr/>
            </w:r>
          </w:p>
        </w:tc>
        <w:tc>
          <w:tcPr>
            <w:tcW w:w="856" w:type="dxa"/>
            <w:gridSpan w:val="4"/>
            <w:vMerge w:val="continue"/>
            <w:tcBorders>
              <w:bottom w:val="single" w:sz="8" w:space="0" w:color="000000"/>
            </w:tcBorders>
            <w:shd w:fill="auto" w:val="clear"/>
            <w:tcMar>
              <w:bottom w:w="28" w:type="dxa"/>
            </w:tcMar>
            <w:vAlign w:val="bottom"/>
          </w:tcPr>
          <w:p>
            <w:pPr>
              <w:pStyle w:val="Normal"/>
              <w:rPr/>
            </w:pPr>
            <w:r>
              <w:rPr/>
            </w:r>
          </w:p>
        </w:tc>
        <w:tc>
          <w:tcPr>
            <w:tcW w:w="23" w:type="dxa"/>
            <w:vMerge w:val="continue"/>
            <w:tcBorders/>
            <w:shd w:fill="auto" w:val="clear"/>
            <w:vAlign w:val="bottom"/>
          </w:tcPr>
          <w:p>
            <w:pPr>
              <w:pStyle w:val="Normal"/>
              <w:rPr/>
            </w:pPr>
            <w:r>
              <w:rPr/>
            </w:r>
          </w:p>
        </w:tc>
        <w:tc>
          <w:tcPr>
            <w:tcW w:w="890" w:type="dxa"/>
            <w:gridSpan w:val="4"/>
            <w:vMerge w:val="continue"/>
            <w:tcBorders>
              <w:bottom w:val="single" w:sz="8" w:space="0" w:color="000000"/>
            </w:tcBorders>
            <w:shd w:fill="auto" w:val="clear"/>
            <w:tcMar>
              <w:bottom w:w="28" w:type="dxa"/>
            </w:tcMar>
            <w:vAlign w:val="bottom"/>
          </w:tcPr>
          <w:p>
            <w:pPr>
              <w:pStyle w:val="Normal"/>
              <w:rPr/>
            </w:pPr>
            <w:r>
              <w:rPr/>
            </w:r>
          </w:p>
        </w:tc>
        <w:tc>
          <w:tcPr>
            <w:tcW w:w="23" w:type="dxa"/>
            <w:vMerge w:val="restart"/>
            <w:tcBorders/>
            <w:shd w:fill="auto" w:val="clear"/>
            <w:vAlign w:val="bottom"/>
          </w:tcPr>
          <w:p>
            <w:pPr>
              <w:pStyle w:val="TableHeading"/>
              <w:spacing w:lineRule="atLeast" w:line="180" w:before="0" w:after="283"/>
              <w:rPr/>
            </w:pPr>
            <w:r>
              <w:rPr/>
              <w:t>​</w:t>
            </w:r>
          </w:p>
        </w:tc>
        <w:tc>
          <w:tcPr>
            <w:tcW w:w="680" w:type="dxa"/>
            <w:gridSpan w:val="4"/>
            <w:vMerge w:val="restart"/>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Exercise or</w:t>
              <w:br/>
              <w:t>Base Price</w:t>
              <w:br/>
              <w:t>of Option</w:t>
              <w:br/>
              <w:t xml:space="preserve">Awards </w:t>
            </w:r>
          </w:p>
        </w:tc>
        <w:tc>
          <w:tcPr>
            <w:tcW w:w="23" w:type="dxa"/>
            <w:vMerge w:val="continue"/>
            <w:tcBorders/>
            <w:shd w:fill="auto" w:val="clear"/>
            <w:vAlign w:val="bottom"/>
          </w:tcPr>
          <w:p>
            <w:pPr>
              <w:pStyle w:val="Normal"/>
              <w:rPr/>
            </w:pPr>
            <w:r>
              <w:rPr/>
            </w:r>
          </w:p>
        </w:tc>
        <w:tc>
          <w:tcPr>
            <w:tcW w:w="1005" w:type="dxa"/>
            <w:gridSpan w:val="4"/>
            <w:vMerge w:val="continue"/>
            <w:tcBorders>
              <w:bottom w:val="single" w:sz="8" w:space="0" w:color="000000"/>
            </w:tcBorders>
            <w:shd w:fill="auto" w:val="clear"/>
            <w:tcMar>
              <w:bottom w:w="28" w:type="dxa"/>
            </w:tcMar>
            <w:vAlign w:val="bottom"/>
          </w:tcPr>
          <w:p>
            <w:pPr>
              <w:pStyle w:val="Normal"/>
              <w:rPr/>
            </w:pPr>
            <w:r>
              <w:rPr/>
            </w:r>
          </w:p>
        </w:tc>
        <w:tc>
          <w:tcPr>
            <w:tcW w:w="24" w:type="dxa"/>
            <w:tcBorders/>
            <w:shd w:fill="auto" w:val="clear"/>
            <w:vAlign w:val="bottom"/>
          </w:tcPr>
          <w:p>
            <w:pPr>
              <w:pStyle w:val="TableHeading"/>
              <w:spacing w:lineRule="atLeast" w:line="180" w:before="0" w:after="283"/>
              <w:rPr/>
            </w:pPr>
            <w:r>
              <w:rPr/>
              <w:t>​</w:t>
            </w:r>
          </w:p>
        </w:tc>
      </w:tr>
      <w:tr>
        <w:trPr/>
        <w:tc>
          <w:tcPr>
            <w:tcW w:w="1508" w:type="dxa"/>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 xml:space="preserve">Name </w:t>
            </w:r>
          </w:p>
        </w:tc>
        <w:tc>
          <w:tcPr>
            <w:tcW w:w="23" w:type="dxa"/>
            <w:tcBorders/>
            <w:shd w:fill="auto" w:val="clear"/>
            <w:vAlign w:val="bottom"/>
          </w:tcPr>
          <w:p>
            <w:pPr>
              <w:pStyle w:val="TableHeading"/>
              <w:spacing w:lineRule="atLeast" w:line="180" w:before="0" w:after="283"/>
              <w:rPr/>
            </w:pPr>
            <w:r>
              <w:rPr/>
              <w:t>​</w:t>
            </w:r>
          </w:p>
        </w:tc>
        <w:tc>
          <w:tcPr>
            <w:tcW w:w="471" w:type="dxa"/>
            <w:gridSpan w:val="4"/>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 xml:space="preserve">Grant Date </w:t>
            </w:r>
          </w:p>
        </w:tc>
        <w:tc>
          <w:tcPr>
            <w:tcW w:w="23" w:type="dxa"/>
            <w:tcBorders/>
            <w:shd w:fill="auto" w:val="clear"/>
            <w:vAlign w:val="bottom"/>
          </w:tcPr>
          <w:p>
            <w:pPr>
              <w:pStyle w:val="TableHeading"/>
              <w:spacing w:lineRule="atLeast" w:line="180" w:before="0" w:after="283"/>
              <w:rPr/>
            </w:pPr>
            <w:r>
              <w:rPr/>
              <w:t>​</w:t>
            </w:r>
          </w:p>
        </w:tc>
        <w:tc>
          <w:tcPr>
            <w:tcW w:w="830" w:type="dxa"/>
            <w:gridSpan w:val="4"/>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 xml:space="preserve">Threshold </w:t>
            </w:r>
          </w:p>
        </w:tc>
        <w:tc>
          <w:tcPr>
            <w:tcW w:w="90" w:type="dxa"/>
            <w:tcBorders/>
            <w:shd w:fill="auto" w:val="clear"/>
            <w:vAlign w:val="bottom"/>
          </w:tcPr>
          <w:p>
            <w:pPr>
              <w:pStyle w:val="TableHeading"/>
              <w:spacing w:lineRule="atLeast" w:line="180" w:before="0" w:after="283"/>
              <w:rPr/>
            </w:pPr>
            <w:r>
              <w:rPr/>
              <w:t>​</w:t>
            </w:r>
          </w:p>
        </w:tc>
        <w:tc>
          <w:tcPr>
            <w:tcW w:w="530" w:type="dxa"/>
            <w:gridSpan w:val="4"/>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 xml:space="preserve">Target </w:t>
            </w:r>
          </w:p>
        </w:tc>
        <w:tc>
          <w:tcPr>
            <w:tcW w:w="23" w:type="dxa"/>
            <w:tcBorders/>
            <w:shd w:fill="auto" w:val="clear"/>
            <w:vAlign w:val="bottom"/>
          </w:tcPr>
          <w:p>
            <w:pPr>
              <w:pStyle w:val="TableHeading"/>
              <w:spacing w:lineRule="atLeast" w:line="180" w:before="0" w:after="283"/>
              <w:rPr/>
            </w:pPr>
            <w:r>
              <w:rPr/>
              <w:t>​</w:t>
            </w:r>
          </w:p>
        </w:tc>
        <w:tc>
          <w:tcPr>
            <w:tcW w:w="785" w:type="dxa"/>
            <w:gridSpan w:val="4"/>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 xml:space="preserve">Maximum </w:t>
            </w:r>
          </w:p>
        </w:tc>
        <w:tc>
          <w:tcPr>
            <w:tcW w:w="24" w:type="dxa"/>
            <w:tcBorders/>
            <w:shd w:fill="auto" w:val="clear"/>
            <w:vAlign w:val="bottom"/>
          </w:tcPr>
          <w:p>
            <w:pPr>
              <w:pStyle w:val="TableHeading"/>
              <w:spacing w:lineRule="atLeast" w:line="180" w:before="0" w:after="283"/>
              <w:rPr/>
            </w:pPr>
            <w:r>
              <w:rPr/>
              <w:t>​</w:t>
            </w:r>
          </w:p>
        </w:tc>
        <w:tc>
          <w:tcPr>
            <w:tcW w:w="830" w:type="dxa"/>
            <w:gridSpan w:val="4"/>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 xml:space="preserve">Threshold </w:t>
            </w:r>
          </w:p>
        </w:tc>
        <w:tc>
          <w:tcPr>
            <w:tcW w:w="60" w:type="dxa"/>
            <w:tcBorders/>
            <w:shd w:fill="auto" w:val="clear"/>
            <w:vAlign w:val="bottom"/>
          </w:tcPr>
          <w:p>
            <w:pPr>
              <w:pStyle w:val="TableHeading"/>
              <w:spacing w:lineRule="atLeast" w:line="180" w:before="0" w:after="283"/>
              <w:rPr/>
            </w:pPr>
            <w:r>
              <w:rPr/>
              <w:t>​</w:t>
            </w:r>
          </w:p>
        </w:tc>
        <w:tc>
          <w:tcPr>
            <w:tcW w:w="530" w:type="dxa"/>
            <w:gridSpan w:val="2"/>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 xml:space="preserve">Target </w:t>
            </w:r>
          </w:p>
        </w:tc>
        <w:tc>
          <w:tcPr>
            <w:tcW w:w="23" w:type="dxa"/>
            <w:tcBorders/>
            <w:shd w:fill="auto" w:val="clear"/>
            <w:vAlign w:val="bottom"/>
          </w:tcPr>
          <w:p>
            <w:pPr>
              <w:pStyle w:val="TableHeading"/>
              <w:spacing w:lineRule="atLeast" w:line="180" w:before="0" w:after="283"/>
              <w:rPr/>
            </w:pPr>
            <w:r>
              <w:rPr/>
              <w:t>​</w:t>
            </w:r>
          </w:p>
        </w:tc>
        <w:tc>
          <w:tcPr>
            <w:tcW w:w="908" w:type="dxa"/>
            <w:gridSpan w:val="4"/>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 xml:space="preserve">Maximum </w:t>
            </w:r>
          </w:p>
        </w:tc>
        <w:tc>
          <w:tcPr>
            <w:tcW w:w="23" w:type="dxa"/>
            <w:vMerge w:val="continue"/>
            <w:tcBorders/>
            <w:shd w:fill="auto" w:val="clear"/>
            <w:vAlign w:val="bottom"/>
          </w:tcPr>
          <w:p>
            <w:pPr>
              <w:pStyle w:val="Normal"/>
              <w:rPr/>
            </w:pPr>
            <w:r>
              <w:rPr/>
            </w:r>
          </w:p>
        </w:tc>
        <w:tc>
          <w:tcPr>
            <w:tcW w:w="856" w:type="dxa"/>
            <w:gridSpan w:val="4"/>
            <w:vMerge w:val="continue"/>
            <w:tcBorders>
              <w:bottom w:val="single" w:sz="8" w:space="0" w:color="000000"/>
            </w:tcBorders>
            <w:shd w:fill="auto" w:val="clear"/>
            <w:tcMar>
              <w:bottom w:w="28" w:type="dxa"/>
            </w:tcMar>
            <w:vAlign w:val="bottom"/>
          </w:tcPr>
          <w:p>
            <w:pPr>
              <w:pStyle w:val="Normal"/>
              <w:rPr/>
            </w:pPr>
            <w:r>
              <w:rPr/>
            </w:r>
          </w:p>
        </w:tc>
        <w:tc>
          <w:tcPr>
            <w:tcW w:w="23" w:type="dxa"/>
            <w:vMerge w:val="continue"/>
            <w:tcBorders/>
            <w:shd w:fill="auto" w:val="clear"/>
            <w:vAlign w:val="bottom"/>
          </w:tcPr>
          <w:p>
            <w:pPr>
              <w:pStyle w:val="Normal"/>
              <w:rPr/>
            </w:pPr>
            <w:r>
              <w:rPr/>
            </w:r>
          </w:p>
        </w:tc>
        <w:tc>
          <w:tcPr>
            <w:tcW w:w="890" w:type="dxa"/>
            <w:gridSpan w:val="4"/>
            <w:vMerge w:val="continue"/>
            <w:tcBorders>
              <w:bottom w:val="single" w:sz="8" w:space="0" w:color="000000"/>
            </w:tcBorders>
            <w:shd w:fill="auto" w:val="clear"/>
            <w:tcMar>
              <w:bottom w:w="28" w:type="dxa"/>
            </w:tcMar>
            <w:vAlign w:val="bottom"/>
          </w:tcPr>
          <w:p>
            <w:pPr>
              <w:pStyle w:val="Normal"/>
              <w:rPr/>
            </w:pPr>
            <w:r>
              <w:rPr/>
            </w:r>
          </w:p>
        </w:tc>
        <w:tc>
          <w:tcPr>
            <w:tcW w:w="23" w:type="dxa"/>
            <w:vMerge w:val="continue"/>
            <w:tcBorders/>
            <w:shd w:fill="auto" w:val="clear"/>
            <w:vAlign w:val="bottom"/>
          </w:tcPr>
          <w:p>
            <w:pPr>
              <w:pStyle w:val="Normal"/>
              <w:rPr/>
            </w:pPr>
            <w:r>
              <w:rPr/>
            </w:r>
          </w:p>
        </w:tc>
        <w:tc>
          <w:tcPr>
            <w:tcW w:w="680" w:type="dxa"/>
            <w:gridSpan w:val="4"/>
            <w:vMerge w:val="continue"/>
            <w:tcBorders>
              <w:bottom w:val="single" w:sz="8" w:space="0" w:color="000000"/>
            </w:tcBorders>
            <w:shd w:fill="auto" w:val="clear"/>
            <w:tcMar>
              <w:bottom w:w="28" w:type="dxa"/>
            </w:tcMar>
            <w:vAlign w:val="bottom"/>
          </w:tcPr>
          <w:p>
            <w:pPr>
              <w:pStyle w:val="Normal"/>
              <w:rPr/>
            </w:pPr>
            <w:r>
              <w:rPr/>
            </w:r>
          </w:p>
        </w:tc>
        <w:tc>
          <w:tcPr>
            <w:tcW w:w="23" w:type="dxa"/>
            <w:vMerge w:val="continue"/>
            <w:tcBorders/>
            <w:shd w:fill="auto" w:val="clear"/>
            <w:vAlign w:val="bottom"/>
          </w:tcPr>
          <w:p>
            <w:pPr>
              <w:pStyle w:val="Normal"/>
              <w:rPr/>
            </w:pPr>
            <w:r>
              <w:rPr/>
            </w:r>
          </w:p>
        </w:tc>
        <w:tc>
          <w:tcPr>
            <w:tcW w:w="1005" w:type="dxa"/>
            <w:gridSpan w:val="4"/>
            <w:vMerge w:val="continue"/>
            <w:tcBorders>
              <w:bottom w:val="single" w:sz="8" w:space="0" w:color="000000"/>
            </w:tcBorders>
            <w:shd w:fill="auto" w:val="clear"/>
            <w:tcMar>
              <w:bottom w:w="28" w:type="dxa"/>
            </w:tcMar>
            <w:vAlign w:val="bottom"/>
          </w:tcPr>
          <w:p>
            <w:pPr>
              <w:pStyle w:val="Normal"/>
              <w:rPr/>
            </w:pPr>
            <w:r>
              <w:rPr/>
            </w:r>
          </w:p>
        </w:tc>
        <w:tc>
          <w:tcPr>
            <w:tcW w:w="24" w:type="dxa"/>
            <w:tcBorders/>
            <w:shd w:fill="auto" w:val="clear"/>
            <w:vAlign w:val="bottom"/>
          </w:tcPr>
          <w:p>
            <w:pPr>
              <w:pStyle w:val="TableHeading"/>
              <w:spacing w:lineRule="atLeast" w:line="180" w:before="0" w:after="283"/>
              <w:rPr/>
            </w:pPr>
            <w:r>
              <w:rPr/>
              <w:t>​</w:t>
            </w:r>
          </w:p>
        </w:tc>
      </w:tr>
      <w:tr>
        <w:trPr/>
        <w:tc>
          <w:tcPr>
            <w:tcW w:w="1508" w:type="dxa"/>
            <w:tcBorders/>
            <w:shd w:fill="CCEEFF" w:val="clear"/>
            <w:vAlign w:val="bottom"/>
          </w:tcPr>
          <w:p>
            <w:pPr>
              <w:pStyle w:val="TableContents"/>
              <w:spacing w:lineRule="atLeast" w:line="180" w:before="0" w:after="283"/>
              <w:ind w:left="140" w:right="0" w:hanging="140"/>
              <w:rPr>
                <w:rFonts w:ascii="arial" w:hAnsi="arial"/>
                <w:sz w:val="16"/>
              </w:rPr>
            </w:pPr>
            <w:r>
              <w:rPr>
                <w:rFonts w:ascii="arial" w:hAnsi="arial"/>
                <w:sz w:val="16"/>
              </w:rPr>
              <w:t>William B. Shepro</w:t>
            </w:r>
          </w:p>
        </w:tc>
        <w:tc>
          <w:tcPr>
            <w:tcW w:w="23" w:type="dxa"/>
            <w:tcBorders/>
            <w:shd w:fill="CCEEFF" w:val="clear"/>
            <w:vAlign w:val="bottom"/>
          </w:tcPr>
          <w:p>
            <w:pPr>
              <w:pStyle w:val="TableContents"/>
              <w:spacing w:lineRule="atLeast" w:line="180" w:before="0" w:after="283"/>
              <w:rPr/>
            </w:pPr>
            <w:r>
              <w:rPr/>
              <w:t>​</w:t>
            </w:r>
          </w:p>
        </w:tc>
        <w:tc>
          <w:tcPr>
            <w:tcW w:w="31" w:type="dxa"/>
            <w:tcBorders/>
            <w:shd w:fill="CCEEFF" w:val="clear"/>
            <w:vAlign w:val="bottom"/>
          </w:tcPr>
          <w:p>
            <w:pPr>
              <w:pStyle w:val="TableContents"/>
              <w:spacing w:lineRule="atLeast" w:line="180" w:before="0" w:after="283"/>
              <w:rPr/>
            </w:pPr>
            <w:r>
              <w:rPr/>
              <w:t>​</w:t>
            </w:r>
          </w:p>
        </w:tc>
        <w:tc>
          <w:tcPr>
            <w:tcW w:w="3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2/26/20</w:t>
            </w:r>
          </w:p>
        </w:tc>
        <w:tc>
          <w:tcPr>
            <w:tcW w:w="125" w:type="dxa"/>
            <w:tcBorders/>
            <w:shd w:fill="CCEEFF" w:val="clear"/>
            <w:vAlign w:val="bottom"/>
          </w:tcPr>
          <w:p>
            <w:pPr>
              <w:pStyle w:val="TableContents"/>
              <w:spacing w:lineRule="atLeast" w:line="180" w:before="0" w:after="283"/>
              <w:rPr>
                <w:rFonts w:ascii="arial" w:hAnsi="arial"/>
                <w:sz w:val="12"/>
              </w:rPr>
            </w:pPr>
            <w:r>
              <w:rPr>
                <w:rFonts w:ascii="arial" w:hAnsi="arial"/>
                <w:sz w:val="12"/>
              </w:rPr>
              <w:t>(2)</w:t>
            </w:r>
          </w:p>
        </w:tc>
        <w:tc>
          <w:tcPr>
            <w:tcW w:w="23" w:type="dxa"/>
            <w:tcBorders/>
            <w:shd w:fill="CCEEFF" w:val="clear"/>
            <w:vAlign w:val="bottom"/>
          </w:tcPr>
          <w:p>
            <w:pPr>
              <w:pStyle w:val="TableContents"/>
              <w:spacing w:lineRule="atLeast" w:line="180" w:before="0" w:after="283"/>
              <w:rPr/>
            </w:pPr>
            <w:r>
              <w:rPr/>
              <w:t>​</w:t>
            </w:r>
          </w:p>
        </w:tc>
        <w:tc>
          <w:tcPr>
            <w:tcW w:w="353" w:type="dxa"/>
            <w:tcBorders/>
            <w:shd w:fill="CCEEFF" w:val="clear"/>
            <w:vAlign w:val="bottom"/>
          </w:tcPr>
          <w:p>
            <w:pPr>
              <w:pStyle w:val="TableContents"/>
              <w:spacing w:lineRule="atLeast" w:line="180" w:before="0" w:after="283"/>
              <w:rPr/>
            </w:pPr>
            <w:r>
              <w:rPr/>
              <w:t>​</w:t>
            </w:r>
          </w:p>
        </w:tc>
        <w:tc>
          <w:tcPr>
            <w:tcW w:w="122"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355"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216" w:type="dxa"/>
            <w:tcBorders/>
            <w:shd w:fill="CCEEFF" w:val="clear"/>
            <w:vAlign w:val="bottom"/>
          </w:tcPr>
          <w:p>
            <w:pPr>
              <w:pStyle w:val="TableContents"/>
              <w:spacing w:lineRule="atLeast" w:line="180" w:before="0" w:after="283"/>
              <w:rPr/>
            </w:pPr>
            <w:r>
              <w:rPr/>
              <w:t>​</w:t>
            </w:r>
          </w:p>
        </w:tc>
        <w:tc>
          <w:tcPr>
            <w:tcW w:w="139"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7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96" w:type="dxa"/>
            <w:tcBorders/>
            <w:shd w:fill="CCEEFF" w:val="clear"/>
            <w:vAlign w:val="bottom"/>
          </w:tcPr>
          <w:p>
            <w:pPr>
              <w:pStyle w:val="TableContents"/>
              <w:spacing w:lineRule="atLeast" w:line="180" w:before="0" w:after="283"/>
              <w:rPr/>
            </w:pPr>
            <w:r>
              <w:rPr/>
              <w:t>​</w:t>
            </w:r>
          </w:p>
        </w:tc>
        <w:tc>
          <w:tcPr>
            <w:tcW w:w="392"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97" w:type="dxa"/>
            <w:tcBorders/>
            <w:shd w:fill="CCEEFF" w:val="clear"/>
            <w:vAlign w:val="bottom"/>
          </w:tcPr>
          <w:p>
            <w:pPr>
              <w:pStyle w:val="TableContents"/>
              <w:spacing w:lineRule="atLeast" w:line="180" w:before="0" w:after="283"/>
              <w:rPr/>
            </w:pPr>
            <w:r>
              <w:rPr/>
              <w:t>​</w:t>
            </w:r>
          </w:p>
        </w:tc>
        <w:tc>
          <w:tcPr>
            <w:tcW w:w="24" w:type="dxa"/>
            <w:tcBorders/>
            <w:shd w:fill="CCEEFF" w:val="clear"/>
            <w:vAlign w:val="bottom"/>
          </w:tcPr>
          <w:p>
            <w:pPr>
              <w:pStyle w:val="TableContents"/>
              <w:spacing w:lineRule="atLeast" w:line="180" w:before="0" w:after="283"/>
              <w:rPr/>
            </w:pPr>
            <w:r>
              <w:rPr/>
              <w:t>​</w:t>
            </w:r>
          </w:p>
        </w:tc>
        <w:tc>
          <w:tcPr>
            <w:tcW w:w="122" w:type="dxa"/>
            <w:tcBorders/>
            <w:shd w:fill="CCEEFF" w:val="clear"/>
            <w:vAlign w:val="bottom"/>
          </w:tcPr>
          <w:p>
            <w:pPr>
              <w:pStyle w:val="TableContents"/>
              <w:spacing w:lineRule="atLeast" w:line="180" w:before="0" w:after="283"/>
              <w:rPr/>
            </w:pPr>
            <w:r>
              <w:rPr/>
              <w:t>​</w:t>
            </w:r>
          </w:p>
        </w:tc>
        <w:tc>
          <w:tcPr>
            <w:tcW w:w="583"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25" w:type="dxa"/>
            <w:tcBorders/>
            <w:shd w:fill="CCEEFF" w:val="clear"/>
            <w:vAlign w:val="bottom"/>
          </w:tcPr>
          <w:p>
            <w:pPr>
              <w:pStyle w:val="TableContents"/>
              <w:spacing w:lineRule="atLeast" w:line="180" w:before="0" w:after="283"/>
              <w:rPr/>
            </w:pPr>
            <w:r>
              <w:rPr/>
              <w:t>​</w:t>
            </w:r>
          </w:p>
        </w:tc>
        <w:tc>
          <w:tcPr>
            <w:tcW w:w="60" w:type="dxa"/>
            <w:tcBorders/>
            <w:shd w:fill="CCEEFF" w:val="clear"/>
            <w:vAlign w:val="bottom"/>
          </w:tcPr>
          <w:p>
            <w:pPr>
              <w:pStyle w:val="TableContents"/>
              <w:spacing w:lineRule="atLeast" w:line="180" w:before="0" w:after="283"/>
              <w:rPr/>
            </w:pPr>
            <w:r>
              <w:rPr/>
              <w:t>​</w:t>
            </w:r>
          </w:p>
        </w:tc>
        <w:tc>
          <w:tcPr>
            <w:tcW w:w="5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3" w:type="dxa"/>
            <w:tcBorders/>
            <w:shd w:fill="CCEEFF" w:val="clear"/>
            <w:vAlign w:val="bottom"/>
          </w:tcPr>
          <w:p>
            <w:pPr>
              <w:pStyle w:val="TableContents"/>
              <w:spacing w:lineRule="atLeast" w:line="180" w:before="0" w:after="283"/>
              <w:rPr/>
            </w:pPr>
            <w:r>
              <w:rPr/>
              <w:t>​</w:t>
            </w:r>
          </w:p>
        </w:tc>
        <w:tc>
          <w:tcPr>
            <w:tcW w:w="196"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97"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70" w:type="dxa"/>
            <w:tcBorders/>
            <w:shd w:fill="CCEEFF" w:val="clear"/>
            <w:vAlign w:val="bottom"/>
          </w:tcPr>
          <w:p>
            <w:pPr>
              <w:pStyle w:val="TableContents"/>
              <w:spacing w:lineRule="atLeast" w:line="180" w:before="0" w:after="283"/>
              <w:rPr/>
            </w:pPr>
            <w:r>
              <w:rPr/>
              <w:t>​</w:t>
            </w:r>
          </w:p>
        </w:tc>
        <w:tc>
          <w:tcPr>
            <w:tcW w:w="516"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17,527</w:t>
            </w:r>
          </w:p>
        </w:tc>
        <w:tc>
          <w:tcPr>
            <w:tcW w:w="17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22" w:type="dxa"/>
            <w:tcBorders/>
            <w:shd w:fill="CCEEFF" w:val="clear"/>
            <w:vAlign w:val="bottom"/>
          </w:tcPr>
          <w:p>
            <w:pPr>
              <w:pStyle w:val="TableContents"/>
              <w:spacing w:lineRule="atLeast" w:line="180" w:before="0" w:after="283"/>
              <w:rPr/>
            </w:pPr>
            <w:r>
              <w:rPr/>
              <w:t>​</w:t>
            </w:r>
          </w:p>
        </w:tc>
        <w:tc>
          <w:tcPr>
            <w:tcW w:w="444" w:type="dxa"/>
            <w:gridSpan w:val="2"/>
            <w:tcBorders/>
            <w:shd w:fill="CCEEFF" w:val="clear"/>
            <w:vAlign w:val="bottom"/>
          </w:tcPr>
          <w:p>
            <w:pPr>
              <w:pStyle w:val="TableContents"/>
              <w:spacing w:lineRule="atLeast" w:line="180" w:before="0" w:after="283"/>
              <w:jc w:val="right"/>
              <w:rPr/>
            </w:pPr>
            <w:r>
              <w:rPr/>
              <w:t> </w:t>
            </w:r>
          </w:p>
        </w:tc>
        <w:tc>
          <w:tcPr>
            <w:tcW w:w="224"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70" w:type="dxa"/>
            <w:tcBorders/>
            <w:shd w:fill="CCEEFF" w:val="clear"/>
            <w:vAlign w:val="bottom"/>
          </w:tcPr>
          <w:p>
            <w:pPr>
              <w:pStyle w:val="TableContents"/>
              <w:spacing w:lineRule="atLeast" w:line="180" w:before="0" w:after="283"/>
              <w:rPr/>
            </w:pPr>
            <w:r>
              <w:rPr/>
              <w:t>​</w:t>
            </w:r>
          </w:p>
        </w:tc>
        <w:tc>
          <w:tcPr>
            <w:tcW w:w="340" w:type="dxa"/>
            <w:gridSpan w:val="2"/>
            <w:tcBorders/>
            <w:shd w:fill="CCEEFF" w:val="clear"/>
            <w:vAlign w:val="bottom"/>
          </w:tcPr>
          <w:p>
            <w:pPr>
              <w:pStyle w:val="TableContents"/>
              <w:spacing w:lineRule="atLeast" w:line="180" w:before="0" w:after="283"/>
              <w:jc w:val="right"/>
              <w:rPr/>
            </w:pPr>
            <w:r>
              <w:rPr/>
              <w:t> </w:t>
            </w:r>
          </w:p>
        </w:tc>
        <w:tc>
          <w:tcPr>
            <w:tcW w:w="17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55" w:type="dxa"/>
            <w:tcBorders/>
            <w:shd w:fill="CCEEFF" w:val="clear"/>
            <w:vAlign w:val="bottom"/>
          </w:tcPr>
          <w:p>
            <w:pPr>
              <w:pStyle w:val="TableContents"/>
              <w:spacing w:lineRule="atLeast" w:line="180" w:before="0" w:after="283"/>
              <w:rPr/>
            </w:pPr>
            <w:r>
              <w:rPr/>
              <w:t>​</w:t>
            </w:r>
          </w:p>
        </w:tc>
        <w:tc>
          <w:tcPr>
            <w:tcW w:w="69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$320,656</w:t>
            </w:r>
          </w:p>
        </w:tc>
        <w:tc>
          <w:tcPr>
            <w:tcW w:w="155" w:type="dxa"/>
            <w:tcBorders/>
            <w:shd w:fill="CCEEFF" w:val="clear"/>
            <w:vAlign w:val="bottom"/>
          </w:tcPr>
          <w:p>
            <w:pPr>
              <w:pStyle w:val="TableContents"/>
              <w:spacing w:lineRule="atLeast" w:line="180" w:before="0" w:after="283"/>
              <w:rPr/>
            </w:pPr>
            <w:r>
              <w:rPr/>
              <w:t>​</w:t>
            </w:r>
          </w:p>
        </w:tc>
        <w:tc>
          <w:tcPr>
            <w:tcW w:w="24" w:type="dxa"/>
            <w:tcBorders/>
            <w:shd w:fill="CCEEFF" w:val="clear"/>
            <w:vAlign w:val="bottom"/>
          </w:tcPr>
          <w:p>
            <w:pPr>
              <w:pStyle w:val="TableContents"/>
              <w:spacing w:lineRule="atLeast" w:line="180" w:before="0" w:after="283"/>
              <w:rPr/>
            </w:pPr>
            <w:r>
              <w:rPr/>
              <w:t>​</w:t>
            </w:r>
          </w:p>
        </w:tc>
      </w:tr>
      <w:tr>
        <w:trPr/>
        <w:tc>
          <w:tcPr>
            <w:tcW w:w="1508" w:type="dxa"/>
            <w:tcBorders/>
            <w:shd w:fill="CCEEFF" w:val="clear"/>
            <w:vAlign w:val="bottom"/>
          </w:tcPr>
          <w:p>
            <w:pPr>
              <w:pStyle w:val="TableContents"/>
              <w:spacing w:before="0" w:after="283"/>
              <w:ind w:left="140" w:right="0" w:hanging="140"/>
              <w:rPr>
                <w:sz w:val="4"/>
                <w:szCs w:val="4"/>
              </w:rPr>
            </w:pPr>
            <w:r>
              <w:rPr>
                <w:sz w:val="4"/>
                <w:szCs w:val="4"/>
              </w:rPr>
            </w:r>
          </w:p>
        </w:tc>
        <w:tc>
          <w:tcPr>
            <w:tcW w:w="23" w:type="dxa"/>
            <w:tcBorders/>
            <w:shd w:fill="CCEEFF" w:val="clear"/>
            <w:vAlign w:val="bottom"/>
          </w:tcPr>
          <w:p>
            <w:pPr>
              <w:pStyle w:val="TableContents"/>
              <w:spacing w:lineRule="atLeast" w:line="180" w:before="0" w:after="283"/>
              <w:rPr/>
            </w:pPr>
            <w:r>
              <w:rPr/>
              <w:t>​</w:t>
            </w:r>
          </w:p>
        </w:tc>
        <w:tc>
          <w:tcPr>
            <w:tcW w:w="31" w:type="dxa"/>
            <w:tcBorders/>
            <w:shd w:fill="CCEEFF" w:val="clear"/>
            <w:vAlign w:val="bottom"/>
          </w:tcPr>
          <w:p>
            <w:pPr>
              <w:pStyle w:val="TableContents"/>
              <w:spacing w:lineRule="atLeast" w:line="180" w:before="0" w:after="283"/>
              <w:rPr/>
            </w:pPr>
            <w:r>
              <w:rPr/>
              <w:t>​</w:t>
            </w:r>
          </w:p>
        </w:tc>
        <w:tc>
          <w:tcPr>
            <w:tcW w:w="3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2/27/20</w:t>
            </w:r>
          </w:p>
        </w:tc>
        <w:tc>
          <w:tcPr>
            <w:tcW w:w="125" w:type="dxa"/>
            <w:tcBorders/>
            <w:shd w:fill="CCEEFF" w:val="clear"/>
            <w:vAlign w:val="bottom"/>
          </w:tcPr>
          <w:p>
            <w:pPr>
              <w:pStyle w:val="TableContents"/>
              <w:spacing w:lineRule="atLeast" w:line="180" w:before="0" w:after="283"/>
              <w:rPr>
                <w:rFonts w:ascii="arial" w:hAnsi="arial"/>
                <w:sz w:val="12"/>
              </w:rPr>
            </w:pPr>
            <w:r>
              <w:rPr>
                <w:rFonts w:ascii="arial" w:hAnsi="arial"/>
                <w:sz w:val="12"/>
              </w:rPr>
              <w:t>(3)</w:t>
            </w:r>
          </w:p>
        </w:tc>
        <w:tc>
          <w:tcPr>
            <w:tcW w:w="23" w:type="dxa"/>
            <w:tcBorders/>
            <w:shd w:fill="CCEEFF" w:val="clear"/>
            <w:vAlign w:val="bottom"/>
          </w:tcPr>
          <w:p>
            <w:pPr>
              <w:pStyle w:val="TableContents"/>
              <w:spacing w:lineRule="atLeast" w:line="180" w:before="0" w:after="283"/>
              <w:rPr/>
            </w:pPr>
            <w:r>
              <w:rPr/>
              <w:t>​</w:t>
            </w:r>
          </w:p>
        </w:tc>
        <w:tc>
          <w:tcPr>
            <w:tcW w:w="353" w:type="dxa"/>
            <w:tcBorders/>
            <w:shd w:fill="CCEEFF" w:val="clear"/>
            <w:vAlign w:val="bottom"/>
          </w:tcPr>
          <w:p>
            <w:pPr>
              <w:pStyle w:val="TableContents"/>
              <w:spacing w:lineRule="atLeast" w:line="180" w:before="0" w:after="283"/>
              <w:rPr/>
            </w:pPr>
            <w:r>
              <w:rPr/>
              <w:t>​</w:t>
            </w:r>
          </w:p>
        </w:tc>
        <w:tc>
          <w:tcPr>
            <w:tcW w:w="122"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355"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216" w:type="dxa"/>
            <w:tcBorders/>
            <w:shd w:fill="CCEEFF" w:val="clear"/>
            <w:vAlign w:val="bottom"/>
          </w:tcPr>
          <w:p>
            <w:pPr>
              <w:pStyle w:val="TableContents"/>
              <w:spacing w:lineRule="atLeast" w:line="180" w:before="0" w:after="283"/>
              <w:rPr/>
            </w:pPr>
            <w:r>
              <w:rPr/>
              <w:t>​</w:t>
            </w:r>
          </w:p>
        </w:tc>
        <w:tc>
          <w:tcPr>
            <w:tcW w:w="139"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7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96" w:type="dxa"/>
            <w:tcBorders/>
            <w:shd w:fill="CCEEFF" w:val="clear"/>
            <w:vAlign w:val="bottom"/>
          </w:tcPr>
          <w:p>
            <w:pPr>
              <w:pStyle w:val="TableContents"/>
              <w:spacing w:lineRule="atLeast" w:line="180" w:before="0" w:after="283"/>
              <w:rPr/>
            </w:pPr>
            <w:r>
              <w:rPr/>
              <w:t>​</w:t>
            </w:r>
          </w:p>
        </w:tc>
        <w:tc>
          <w:tcPr>
            <w:tcW w:w="392"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97" w:type="dxa"/>
            <w:tcBorders/>
            <w:shd w:fill="CCEEFF" w:val="clear"/>
            <w:vAlign w:val="bottom"/>
          </w:tcPr>
          <w:p>
            <w:pPr>
              <w:pStyle w:val="TableContents"/>
              <w:spacing w:lineRule="atLeast" w:line="180" w:before="0" w:after="283"/>
              <w:rPr/>
            </w:pPr>
            <w:r>
              <w:rPr/>
              <w:t>​</w:t>
            </w:r>
          </w:p>
        </w:tc>
        <w:tc>
          <w:tcPr>
            <w:tcW w:w="24" w:type="dxa"/>
            <w:tcBorders/>
            <w:shd w:fill="CCEEFF" w:val="clear"/>
            <w:vAlign w:val="bottom"/>
          </w:tcPr>
          <w:p>
            <w:pPr>
              <w:pStyle w:val="TableContents"/>
              <w:spacing w:lineRule="atLeast" w:line="180" w:before="0" w:after="283"/>
              <w:rPr/>
            </w:pPr>
            <w:r>
              <w:rPr/>
              <w:t>​</w:t>
            </w:r>
          </w:p>
        </w:tc>
        <w:tc>
          <w:tcPr>
            <w:tcW w:w="122" w:type="dxa"/>
            <w:tcBorders/>
            <w:shd w:fill="CCEEFF" w:val="clear"/>
            <w:vAlign w:val="bottom"/>
          </w:tcPr>
          <w:p>
            <w:pPr>
              <w:pStyle w:val="TableContents"/>
              <w:spacing w:lineRule="atLeast" w:line="180" w:before="0" w:after="283"/>
              <w:rPr/>
            </w:pPr>
            <w:r>
              <w:rPr/>
              <w:t>​</w:t>
            </w:r>
          </w:p>
        </w:tc>
        <w:tc>
          <w:tcPr>
            <w:tcW w:w="583"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25" w:type="dxa"/>
            <w:tcBorders/>
            <w:shd w:fill="CCEEFF" w:val="clear"/>
            <w:vAlign w:val="bottom"/>
          </w:tcPr>
          <w:p>
            <w:pPr>
              <w:pStyle w:val="TableContents"/>
              <w:spacing w:lineRule="atLeast" w:line="180" w:before="0" w:after="283"/>
              <w:rPr/>
            </w:pPr>
            <w:r>
              <w:rPr/>
              <w:t>​</w:t>
            </w:r>
          </w:p>
        </w:tc>
        <w:tc>
          <w:tcPr>
            <w:tcW w:w="60" w:type="dxa"/>
            <w:tcBorders/>
            <w:shd w:fill="CCEEFF" w:val="clear"/>
            <w:vAlign w:val="bottom"/>
          </w:tcPr>
          <w:p>
            <w:pPr>
              <w:pStyle w:val="TableContents"/>
              <w:spacing w:lineRule="atLeast" w:line="180" w:before="0" w:after="283"/>
              <w:rPr/>
            </w:pPr>
            <w:r>
              <w:rPr/>
              <w:t>​</w:t>
            </w:r>
          </w:p>
        </w:tc>
        <w:tc>
          <w:tcPr>
            <w:tcW w:w="5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3" w:type="dxa"/>
            <w:tcBorders/>
            <w:shd w:fill="CCEEFF" w:val="clear"/>
            <w:vAlign w:val="bottom"/>
          </w:tcPr>
          <w:p>
            <w:pPr>
              <w:pStyle w:val="TableContents"/>
              <w:spacing w:lineRule="atLeast" w:line="180" w:before="0" w:after="283"/>
              <w:rPr/>
            </w:pPr>
            <w:r>
              <w:rPr/>
              <w:t>​</w:t>
            </w:r>
          </w:p>
        </w:tc>
        <w:tc>
          <w:tcPr>
            <w:tcW w:w="196"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97"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70" w:type="dxa"/>
            <w:tcBorders/>
            <w:shd w:fill="CCEEFF" w:val="clear"/>
            <w:vAlign w:val="bottom"/>
          </w:tcPr>
          <w:p>
            <w:pPr>
              <w:pStyle w:val="TableContents"/>
              <w:spacing w:lineRule="atLeast" w:line="180" w:before="0" w:after="283"/>
              <w:rPr/>
            </w:pPr>
            <w:r>
              <w:rPr/>
              <w:t>​</w:t>
            </w:r>
          </w:p>
        </w:tc>
        <w:tc>
          <w:tcPr>
            <w:tcW w:w="516"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2,880</w:t>
            </w:r>
          </w:p>
        </w:tc>
        <w:tc>
          <w:tcPr>
            <w:tcW w:w="17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22" w:type="dxa"/>
            <w:tcBorders/>
            <w:shd w:fill="CCEEFF" w:val="clear"/>
            <w:vAlign w:val="bottom"/>
          </w:tcPr>
          <w:p>
            <w:pPr>
              <w:pStyle w:val="TableContents"/>
              <w:spacing w:lineRule="atLeast" w:line="180" w:before="0" w:after="283"/>
              <w:rPr/>
            </w:pPr>
            <w:r>
              <w:rPr/>
              <w:t>​</w:t>
            </w:r>
          </w:p>
        </w:tc>
        <w:tc>
          <w:tcPr>
            <w:tcW w:w="444" w:type="dxa"/>
            <w:gridSpan w:val="2"/>
            <w:tcBorders/>
            <w:shd w:fill="CCEEFF" w:val="clear"/>
            <w:vAlign w:val="bottom"/>
          </w:tcPr>
          <w:p>
            <w:pPr>
              <w:pStyle w:val="TableContents"/>
              <w:spacing w:lineRule="atLeast" w:line="180" w:before="0" w:after="283"/>
              <w:jc w:val="right"/>
              <w:rPr/>
            </w:pPr>
            <w:r>
              <w:rPr/>
              <w:t> </w:t>
            </w:r>
          </w:p>
        </w:tc>
        <w:tc>
          <w:tcPr>
            <w:tcW w:w="224"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70" w:type="dxa"/>
            <w:tcBorders/>
            <w:shd w:fill="CCEEFF" w:val="clear"/>
            <w:vAlign w:val="bottom"/>
          </w:tcPr>
          <w:p>
            <w:pPr>
              <w:pStyle w:val="TableContents"/>
              <w:spacing w:lineRule="atLeast" w:line="180" w:before="0" w:after="283"/>
              <w:rPr/>
            </w:pPr>
            <w:r>
              <w:rPr/>
              <w:t>​</w:t>
            </w:r>
          </w:p>
        </w:tc>
        <w:tc>
          <w:tcPr>
            <w:tcW w:w="340" w:type="dxa"/>
            <w:gridSpan w:val="2"/>
            <w:tcBorders/>
            <w:shd w:fill="CCEEFF" w:val="clear"/>
            <w:vAlign w:val="bottom"/>
          </w:tcPr>
          <w:p>
            <w:pPr>
              <w:pStyle w:val="TableContents"/>
              <w:spacing w:lineRule="atLeast" w:line="180" w:before="0" w:after="283"/>
              <w:jc w:val="right"/>
              <w:rPr/>
            </w:pPr>
            <w:r>
              <w:rPr/>
              <w:t> </w:t>
            </w:r>
          </w:p>
        </w:tc>
        <w:tc>
          <w:tcPr>
            <w:tcW w:w="17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55" w:type="dxa"/>
            <w:tcBorders/>
            <w:shd w:fill="CCEEFF" w:val="clear"/>
            <w:vAlign w:val="bottom"/>
          </w:tcPr>
          <w:p>
            <w:pPr>
              <w:pStyle w:val="TableContents"/>
              <w:spacing w:lineRule="atLeast" w:line="180" w:before="0" w:after="283"/>
              <w:rPr/>
            </w:pPr>
            <w:r>
              <w:rPr/>
              <w:t>​</w:t>
            </w:r>
          </w:p>
        </w:tc>
        <w:tc>
          <w:tcPr>
            <w:tcW w:w="69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$565,372</w:t>
            </w:r>
          </w:p>
        </w:tc>
        <w:tc>
          <w:tcPr>
            <w:tcW w:w="155" w:type="dxa"/>
            <w:tcBorders/>
            <w:shd w:fill="CCEEFF" w:val="clear"/>
            <w:vAlign w:val="bottom"/>
          </w:tcPr>
          <w:p>
            <w:pPr>
              <w:pStyle w:val="TableContents"/>
              <w:spacing w:lineRule="atLeast" w:line="180" w:before="0" w:after="283"/>
              <w:rPr/>
            </w:pPr>
            <w:r>
              <w:rPr/>
              <w:t>​</w:t>
            </w:r>
          </w:p>
        </w:tc>
        <w:tc>
          <w:tcPr>
            <w:tcW w:w="24" w:type="dxa"/>
            <w:tcBorders/>
            <w:shd w:fill="CCEEFF" w:val="clear"/>
            <w:vAlign w:val="bottom"/>
          </w:tcPr>
          <w:p>
            <w:pPr>
              <w:pStyle w:val="TableContents"/>
              <w:spacing w:lineRule="atLeast" w:line="180" w:before="0" w:after="283"/>
              <w:rPr/>
            </w:pPr>
            <w:r>
              <w:rPr/>
              <w:t>​</w:t>
            </w:r>
          </w:p>
        </w:tc>
      </w:tr>
      <w:tr>
        <w:trPr/>
        <w:tc>
          <w:tcPr>
            <w:tcW w:w="1508" w:type="dxa"/>
            <w:tcBorders/>
            <w:shd w:fill="CCEEFF" w:val="clear"/>
            <w:vAlign w:val="bottom"/>
          </w:tcPr>
          <w:p>
            <w:pPr>
              <w:pStyle w:val="TableContents"/>
              <w:spacing w:before="0" w:after="283"/>
              <w:ind w:left="140" w:right="0" w:hanging="140"/>
              <w:rPr>
                <w:sz w:val="4"/>
                <w:szCs w:val="4"/>
              </w:rPr>
            </w:pPr>
            <w:r>
              <w:rPr>
                <w:sz w:val="4"/>
                <w:szCs w:val="4"/>
              </w:rPr>
            </w:r>
          </w:p>
        </w:tc>
        <w:tc>
          <w:tcPr>
            <w:tcW w:w="23" w:type="dxa"/>
            <w:tcBorders/>
            <w:shd w:fill="CCEEFF" w:val="clear"/>
            <w:vAlign w:val="bottom"/>
          </w:tcPr>
          <w:p>
            <w:pPr>
              <w:pStyle w:val="TableContents"/>
              <w:spacing w:lineRule="atLeast" w:line="180" w:before="0" w:after="283"/>
              <w:rPr/>
            </w:pPr>
            <w:r>
              <w:rPr/>
              <w:t>​</w:t>
            </w:r>
          </w:p>
        </w:tc>
        <w:tc>
          <w:tcPr>
            <w:tcW w:w="31" w:type="dxa"/>
            <w:tcBorders/>
            <w:shd w:fill="CCEEFF" w:val="clear"/>
            <w:vAlign w:val="bottom"/>
          </w:tcPr>
          <w:p>
            <w:pPr>
              <w:pStyle w:val="TableContents"/>
              <w:spacing w:lineRule="atLeast" w:line="180" w:before="0" w:after="283"/>
              <w:rPr/>
            </w:pPr>
            <w:r>
              <w:rPr/>
              <w:t>​</w:t>
            </w:r>
          </w:p>
        </w:tc>
        <w:tc>
          <w:tcPr>
            <w:tcW w:w="3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2/27/20</w:t>
            </w:r>
          </w:p>
        </w:tc>
        <w:tc>
          <w:tcPr>
            <w:tcW w:w="125" w:type="dxa"/>
            <w:tcBorders/>
            <w:shd w:fill="CCEEFF" w:val="clear"/>
            <w:vAlign w:val="bottom"/>
          </w:tcPr>
          <w:p>
            <w:pPr>
              <w:pStyle w:val="TableContents"/>
              <w:spacing w:lineRule="atLeast" w:line="180" w:before="0" w:after="283"/>
              <w:rPr>
                <w:rFonts w:ascii="arial" w:hAnsi="arial"/>
                <w:sz w:val="12"/>
              </w:rPr>
            </w:pPr>
            <w:r>
              <w:rPr>
                <w:rFonts w:ascii="arial" w:hAnsi="arial"/>
                <w:sz w:val="12"/>
              </w:rPr>
              <w:t>(4)</w:t>
            </w:r>
          </w:p>
        </w:tc>
        <w:tc>
          <w:tcPr>
            <w:tcW w:w="23" w:type="dxa"/>
            <w:tcBorders/>
            <w:shd w:fill="CCEEFF" w:val="clear"/>
            <w:vAlign w:val="bottom"/>
          </w:tcPr>
          <w:p>
            <w:pPr>
              <w:pStyle w:val="TableContents"/>
              <w:spacing w:lineRule="atLeast" w:line="180" w:before="0" w:after="283"/>
              <w:rPr/>
            </w:pPr>
            <w:r>
              <w:rPr/>
              <w:t>​</w:t>
            </w:r>
          </w:p>
        </w:tc>
        <w:tc>
          <w:tcPr>
            <w:tcW w:w="353" w:type="dxa"/>
            <w:tcBorders/>
            <w:shd w:fill="CCEEFF" w:val="clear"/>
            <w:vAlign w:val="bottom"/>
          </w:tcPr>
          <w:p>
            <w:pPr>
              <w:pStyle w:val="TableContents"/>
              <w:spacing w:lineRule="atLeast" w:line="180" w:before="0" w:after="283"/>
              <w:rPr/>
            </w:pPr>
            <w:r>
              <w:rPr/>
              <w:t>​</w:t>
            </w:r>
          </w:p>
        </w:tc>
        <w:tc>
          <w:tcPr>
            <w:tcW w:w="122"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355"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216" w:type="dxa"/>
            <w:tcBorders/>
            <w:shd w:fill="CCEEFF" w:val="clear"/>
            <w:vAlign w:val="bottom"/>
          </w:tcPr>
          <w:p>
            <w:pPr>
              <w:pStyle w:val="TableContents"/>
              <w:spacing w:lineRule="atLeast" w:line="180" w:before="0" w:after="283"/>
              <w:rPr/>
            </w:pPr>
            <w:r>
              <w:rPr/>
              <w:t>​</w:t>
            </w:r>
          </w:p>
        </w:tc>
        <w:tc>
          <w:tcPr>
            <w:tcW w:w="139"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7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96" w:type="dxa"/>
            <w:tcBorders/>
            <w:shd w:fill="CCEEFF" w:val="clear"/>
            <w:vAlign w:val="bottom"/>
          </w:tcPr>
          <w:p>
            <w:pPr>
              <w:pStyle w:val="TableContents"/>
              <w:spacing w:lineRule="atLeast" w:line="180" w:before="0" w:after="283"/>
              <w:rPr/>
            </w:pPr>
            <w:r>
              <w:rPr/>
              <w:t>​</w:t>
            </w:r>
          </w:p>
        </w:tc>
        <w:tc>
          <w:tcPr>
            <w:tcW w:w="392"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97" w:type="dxa"/>
            <w:tcBorders/>
            <w:shd w:fill="CCEEFF" w:val="clear"/>
            <w:vAlign w:val="bottom"/>
          </w:tcPr>
          <w:p>
            <w:pPr>
              <w:pStyle w:val="TableContents"/>
              <w:spacing w:lineRule="atLeast" w:line="180" w:before="0" w:after="283"/>
              <w:rPr/>
            </w:pPr>
            <w:r>
              <w:rPr/>
              <w:t>​</w:t>
            </w:r>
          </w:p>
        </w:tc>
        <w:tc>
          <w:tcPr>
            <w:tcW w:w="24" w:type="dxa"/>
            <w:tcBorders/>
            <w:shd w:fill="CCEEFF" w:val="clear"/>
            <w:vAlign w:val="bottom"/>
          </w:tcPr>
          <w:p>
            <w:pPr>
              <w:pStyle w:val="TableContents"/>
              <w:spacing w:lineRule="atLeast" w:line="180" w:before="0" w:after="283"/>
              <w:rPr/>
            </w:pPr>
            <w:r>
              <w:rPr/>
              <w:t>​</w:t>
            </w:r>
          </w:p>
        </w:tc>
        <w:tc>
          <w:tcPr>
            <w:tcW w:w="122" w:type="dxa"/>
            <w:tcBorders/>
            <w:shd w:fill="CCEEFF" w:val="clear"/>
            <w:vAlign w:val="bottom"/>
          </w:tcPr>
          <w:p>
            <w:pPr>
              <w:pStyle w:val="TableContents"/>
              <w:spacing w:lineRule="atLeast" w:line="180" w:before="0" w:after="283"/>
              <w:rPr/>
            </w:pPr>
            <w:r>
              <w:rPr/>
              <w:t>​</w:t>
            </w:r>
          </w:p>
        </w:tc>
        <w:tc>
          <w:tcPr>
            <w:tcW w:w="583"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16,440</w:t>
            </w:r>
          </w:p>
        </w:tc>
        <w:tc>
          <w:tcPr>
            <w:tcW w:w="125" w:type="dxa"/>
            <w:tcBorders/>
            <w:shd w:fill="CCEEFF" w:val="clear"/>
            <w:vAlign w:val="bottom"/>
          </w:tcPr>
          <w:p>
            <w:pPr>
              <w:pStyle w:val="TableContents"/>
              <w:spacing w:lineRule="atLeast" w:line="180" w:before="0" w:after="283"/>
              <w:rPr/>
            </w:pPr>
            <w:r>
              <w:rPr/>
              <w:t>​</w:t>
            </w:r>
          </w:p>
        </w:tc>
        <w:tc>
          <w:tcPr>
            <w:tcW w:w="60" w:type="dxa"/>
            <w:tcBorders/>
            <w:shd w:fill="CCEEFF" w:val="clear"/>
            <w:vAlign w:val="bottom"/>
          </w:tcPr>
          <w:p>
            <w:pPr>
              <w:pStyle w:val="TableContents"/>
              <w:spacing w:lineRule="atLeast" w:line="180" w:before="0" w:after="283"/>
              <w:rPr/>
            </w:pPr>
            <w:r>
              <w:rPr/>
              <w:t>​</w:t>
            </w:r>
          </w:p>
        </w:tc>
        <w:tc>
          <w:tcPr>
            <w:tcW w:w="5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32,880</w:t>
            </w:r>
          </w:p>
        </w:tc>
        <w:tc>
          <w:tcPr>
            <w:tcW w:w="23" w:type="dxa"/>
            <w:tcBorders/>
            <w:shd w:fill="CCEEFF" w:val="clear"/>
            <w:vAlign w:val="bottom"/>
          </w:tcPr>
          <w:p>
            <w:pPr>
              <w:pStyle w:val="TableContents"/>
              <w:spacing w:lineRule="atLeast" w:line="180" w:before="0" w:after="283"/>
              <w:rPr/>
            </w:pPr>
            <w:r>
              <w:rPr/>
              <w:t>​</w:t>
            </w:r>
          </w:p>
        </w:tc>
        <w:tc>
          <w:tcPr>
            <w:tcW w:w="196"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62,472</w:t>
            </w:r>
          </w:p>
        </w:tc>
        <w:tc>
          <w:tcPr>
            <w:tcW w:w="197"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70" w:type="dxa"/>
            <w:tcBorders/>
            <w:shd w:fill="CCEEFF" w:val="clear"/>
            <w:vAlign w:val="bottom"/>
          </w:tcPr>
          <w:p>
            <w:pPr>
              <w:pStyle w:val="TableContents"/>
              <w:spacing w:lineRule="atLeast" w:line="180" w:before="0" w:after="283"/>
              <w:rPr/>
            </w:pPr>
            <w:r>
              <w:rPr/>
              <w:t>​</w:t>
            </w:r>
          </w:p>
        </w:tc>
        <w:tc>
          <w:tcPr>
            <w:tcW w:w="516"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7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22" w:type="dxa"/>
            <w:tcBorders/>
            <w:shd w:fill="CCEEFF" w:val="clear"/>
            <w:vAlign w:val="bottom"/>
          </w:tcPr>
          <w:p>
            <w:pPr>
              <w:pStyle w:val="TableContents"/>
              <w:spacing w:lineRule="atLeast" w:line="180" w:before="0" w:after="283"/>
              <w:rPr/>
            </w:pPr>
            <w:r>
              <w:rPr/>
              <w:t>​</w:t>
            </w:r>
          </w:p>
        </w:tc>
        <w:tc>
          <w:tcPr>
            <w:tcW w:w="444" w:type="dxa"/>
            <w:gridSpan w:val="2"/>
            <w:tcBorders/>
            <w:shd w:fill="CCEEFF" w:val="clear"/>
            <w:vAlign w:val="bottom"/>
          </w:tcPr>
          <w:p>
            <w:pPr>
              <w:pStyle w:val="TableContents"/>
              <w:spacing w:lineRule="atLeast" w:line="180" w:before="0" w:after="283"/>
              <w:jc w:val="right"/>
              <w:rPr/>
            </w:pPr>
            <w:r>
              <w:rPr/>
              <w:t> </w:t>
            </w:r>
          </w:p>
        </w:tc>
        <w:tc>
          <w:tcPr>
            <w:tcW w:w="224"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70" w:type="dxa"/>
            <w:tcBorders/>
            <w:shd w:fill="CCEEFF" w:val="clear"/>
            <w:vAlign w:val="bottom"/>
          </w:tcPr>
          <w:p>
            <w:pPr>
              <w:pStyle w:val="TableContents"/>
              <w:spacing w:lineRule="atLeast" w:line="180" w:before="0" w:after="283"/>
              <w:rPr/>
            </w:pPr>
            <w:r>
              <w:rPr/>
              <w:t>​</w:t>
            </w:r>
          </w:p>
        </w:tc>
        <w:tc>
          <w:tcPr>
            <w:tcW w:w="340" w:type="dxa"/>
            <w:gridSpan w:val="2"/>
            <w:tcBorders/>
            <w:shd w:fill="CCEEFF" w:val="clear"/>
            <w:vAlign w:val="bottom"/>
          </w:tcPr>
          <w:p>
            <w:pPr>
              <w:pStyle w:val="TableContents"/>
              <w:spacing w:lineRule="atLeast" w:line="180" w:before="0" w:after="283"/>
              <w:jc w:val="right"/>
              <w:rPr/>
            </w:pPr>
            <w:r>
              <w:rPr/>
              <w:t> </w:t>
            </w:r>
          </w:p>
        </w:tc>
        <w:tc>
          <w:tcPr>
            <w:tcW w:w="17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55" w:type="dxa"/>
            <w:tcBorders/>
            <w:shd w:fill="CCEEFF" w:val="clear"/>
            <w:vAlign w:val="bottom"/>
          </w:tcPr>
          <w:p>
            <w:pPr>
              <w:pStyle w:val="TableContents"/>
              <w:spacing w:lineRule="atLeast" w:line="180" w:before="0" w:after="283"/>
              <w:rPr/>
            </w:pPr>
            <w:r>
              <w:rPr/>
              <w:t>​</w:t>
            </w:r>
          </w:p>
        </w:tc>
        <w:tc>
          <w:tcPr>
            <w:tcW w:w="69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282,686</w:t>
            </w:r>
          </w:p>
        </w:tc>
        <w:tc>
          <w:tcPr>
            <w:tcW w:w="155" w:type="dxa"/>
            <w:tcBorders/>
            <w:shd w:fill="CCEEFF" w:val="clear"/>
            <w:vAlign w:val="bottom"/>
          </w:tcPr>
          <w:p>
            <w:pPr>
              <w:pStyle w:val="TableContents"/>
              <w:spacing w:lineRule="atLeast" w:line="180" w:before="0" w:after="283"/>
              <w:rPr/>
            </w:pPr>
            <w:r>
              <w:rPr/>
              <w:t>​</w:t>
            </w:r>
          </w:p>
        </w:tc>
        <w:tc>
          <w:tcPr>
            <w:tcW w:w="24" w:type="dxa"/>
            <w:tcBorders/>
            <w:shd w:fill="CCEEFF" w:val="clear"/>
            <w:vAlign w:val="bottom"/>
          </w:tcPr>
          <w:p>
            <w:pPr>
              <w:pStyle w:val="TableContents"/>
              <w:spacing w:lineRule="atLeast" w:line="180" w:before="0" w:after="283"/>
              <w:rPr/>
            </w:pPr>
            <w:r>
              <w:rPr/>
              <w:t>​</w:t>
            </w:r>
          </w:p>
        </w:tc>
      </w:tr>
      <w:tr>
        <w:trPr/>
        <w:tc>
          <w:tcPr>
            <w:tcW w:w="1508" w:type="dxa"/>
            <w:tcBorders/>
            <w:shd w:fill="CCEEFF" w:val="clear"/>
            <w:vAlign w:val="bottom"/>
          </w:tcPr>
          <w:p>
            <w:pPr>
              <w:pStyle w:val="TableContents"/>
              <w:spacing w:before="0" w:after="283"/>
              <w:ind w:left="140" w:right="0" w:hanging="140"/>
              <w:rPr>
                <w:sz w:val="4"/>
                <w:szCs w:val="4"/>
              </w:rPr>
            </w:pPr>
            <w:r>
              <w:rPr>
                <w:sz w:val="4"/>
                <w:szCs w:val="4"/>
              </w:rPr>
            </w:r>
          </w:p>
        </w:tc>
        <w:tc>
          <w:tcPr>
            <w:tcW w:w="23" w:type="dxa"/>
            <w:tcBorders/>
            <w:shd w:fill="CCEEFF" w:val="clear"/>
            <w:vAlign w:val="bottom"/>
          </w:tcPr>
          <w:p>
            <w:pPr>
              <w:pStyle w:val="TableContents"/>
              <w:spacing w:lineRule="atLeast" w:line="180" w:before="0" w:after="283"/>
              <w:rPr/>
            </w:pPr>
            <w:r>
              <w:rPr/>
              <w:t>​</w:t>
            </w:r>
          </w:p>
        </w:tc>
        <w:tc>
          <w:tcPr>
            <w:tcW w:w="31" w:type="dxa"/>
            <w:tcBorders/>
            <w:shd w:fill="CCEEFF" w:val="clear"/>
            <w:vAlign w:val="bottom"/>
          </w:tcPr>
          <w:p>
            <w:pPr>
              <w:pStyle w:val="TableContents"/>
              <w:spacing w:lineRule="atLeast" w:line="180" w:before="0" w:after="283"/>
              <w:rPr/>
            </w:pPr>
            <w:r>
              <w:rPr/>
              <w:t>​</w:t>
            </w:r>
          </w:p>
        </w:tc>
        <w:tc>
          <w:tcPr>
            <w:tcW w:w="3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10/01/20</w:t>
            </w:r>
          </w:p>
        </w:tc>
        <w:tc>
          <w:tcPr>
            <w:tcW w:w="125" w:type="dxa"/>
            <w:tcBorders/>
            <w:shd w:fill="CCEEFF" w:val="clear"/>
            <w:vAlign w:val="bottom"/>
          </w:tcPr>
          <w:p>
            <w:pPr>
              <w:pStyle w:val="TableContents"/>
              <w:spacing w:lineRule="atLeast" w:line="180" w:before="0" w:after="283"/>
              <w:rPr>
                <w:rFonts w:ascii="arial" w:hAnsi="arial"/>
                <w:sz w:val="12"/>
              </w:rPr>
            </w:pPr>
            <w:r>
              <w:rPr>
                <w:rFonts w:ascii="arial" w:hAnsi="arial"/>
                <w:sz w:val="12"/>
              </w:rPr>
              <w:t>(5)</w:t>
            </w:r>
          </w:p>
        </w:tc>
        <w:tc>
          <w:tcPr>
            <w:tcW w:w="23" w:type="dxa"/>
            <w:tcBorders/>
            <w:shd w:fill="CCEEFF" w:val="clear"/>
            <w:vAlign w:val="bottom"/>
          </w:tcPr>
          <w:p>
            <w:pPr>
              <w:pStyle w:val="TableContents"/>
              <w:spacing w:lineRule="atLeast" w:line="180" w:before="0" w:after="283"/>
              <w:rPr/>
            </w:pPr>
            <w:r>
              <w:rPr/>
              <w:t>​</w:t>
            </w:r>
          </w:p>
        </w:tc>
        <w:tc>
          <w:tcPr>
            <w:tcW w:w="353" w:type="dxa"/>
            <w:tcBorders/>
            <w:shd w:fill="CCEEFF" w:val="clear"/>
            <w:vAlign w:val="bottom"/>
          </w:tcPr>
          <w:p>
            <w:pPr>
              <w:pStyle w:val="TableContents"/>
              <w:spacing w:lineRule="atLeast" w:line="180" w:before="0" w:after="283"/>
              <w:rPr/>
            </w:pPr>
            <w:r>
              <w:rPr/>
              <w:t>​</w:t>
            </w:r>
          </w:p>
        </w:tc>
        <w:tc>
          <w:tcPr>
            <w:tcW w:w="122"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355"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216" w:type="dxa"/>
            <w:tcBorders/>
            <w:shd w:fill="CCEEFF" w:val="clear"/>
            <w:vAlign w:val="bottom"/>
          </w:tcPr>
          <w:p>
            <w:pPr>
              <w:pStyle w:val="TableContents"/>
              <w:spacing w:lineRule="atLeast" w:line="180" w:before="0" w:after="283"/>
              <w:rPr/>
            </w:pPr>
            <w:r>
              <w:rPr/>
              <w:t>​</w:t>
            </w:r>
          </w:p>
        </w:tc>
        <w:tc>
          <w:tcPr>
            <w:tcW w:w="139"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7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96" w:type="dxa"/>
            <w:tcBorders/>
            <w:shd w:fill="CCEEFF" w:val="clear"/>
            <w:vAlign w:val="bottom"/>
          </w:tcPr>
          <w:p>
            <w:pPr>
              <w:pStyle w:val="TableContents"/>
              <w:spacing w:lineRule="atLeast" w:line="180" w:before="0" w:after="283"/>
              <w:rPr/>
            </w:pPr>
            <w:r>
              <w:rPr/>
              <w:t>​</w:t>
            </w:r>
          </w:p>
        </w:tc>
        <w:tc>
          <w:tcPr>
            <w:tcW w:w="392"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97" w:type="dxa"/>
            <w:tcBorders/>
            <w:shd w:fill="CCEEFF" w:val="clear"/>
            <w:vAlign w:val="bottom"/>
          </w:tcPr>
          <w:p>
            <w:pPr>
              <w:pStyle w:val="TableContents"/>
              <w:spacing w:lineRule="atLeast" w:line="180" w:before="0" w:after="283"/>
              <w:rPr/>
            </w:pPr>
            <w:r>
              <w:rPr/>
              <w:t>​</w:t>
            </w:r>
          </w:p>
        </w:tc>
        <w:tc>
          <w:tcPr>
            <w:tcW w:w="24" w:type="dxa"/>
            <w:tcBorders/>
            <w:shd w:fill="CCEEFF" w:val="clear"/>
            <w:vAlign w:val="bottom"/>
          </w:tcPr>
          <w:p>
            <w:pPr>
              <w:pStyle w:val="TableContents"/>
              <w:spacing w:lineRule="atLeast" w:line="180" w:before="0" w:after="283"/>
              <w:rPr/>
            </w:pPr>
            <w:r>
              <w:rPr/>
              <w:t>​</w:t>
            </w:r>
          </w:p>
        </w:tc>
        <w:tc>
          <w:tcPr>
            <w:tcW w:w="122" w:type="dxa"/>
            <w:tcBorders/>
            <w:shd w:fill="CCEEFF" w:val="clear"/>
            <w:vAlign w:val="bottom"/>
          </w:tcPr>
          <w:p>
            <w:pPr>
              <w:pStyle w:val="TableContents"/>
              <w:spacing w:lineRule="atLeast" w:line="180" w:before="0" w:after="283"/>
              <w:rPr/>
            </w:pPr>
            <w:r>
              <w:rPr/>
              <w:t>​</w:t>
            </w:r>
          </w:p>
        </w:tc>
        <w:tc>
          <w:tcPr>
            <w:tcW w:w="583"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25" w:type="dxa"/>
            <w:tcBorders/>
            <w:shd w:fill="CCEEFF" w:val="clear"/>
            <w:vAlign w:val="bottom"/>
          </w:tcPr>
          <w:p>
            <w:pPr>
              <w:pStyle w:val="TableContents"/>
              <w:spacing w:lineRule="atLeast" w:line="180" w:before="0" w:after="283"/>
              <w:rPr/>
            </w:pPr>
            <w:r>
              <w:rPr/>
              <w:t>​</w:t>
            </w:r>
          </w:p>
        </w:tc>
        <w:tc>
          <w:tcPr>
            <w:tcW w:w="60" w:type="dxa"/>
            <w:tcBorders/>
            <w:shd w:fill="CCEEFF" w:val="clear"/>
            <w:vAlign w:val="bottom"/>
          </w:tcPr>
          <w:p>
            <w:pPr>
              <w:pStyle w:val="TableContents"/>
              <w:spacing w:lineRule="atLeast" w:line="180" w:before="0" w:after="283"/>
              <w:rPr/>
            </w:pPr>
            <w:r>
              <w:rPr/>
              <w:t>​</w:t>
            </w:r>
          </w:p>
        </w:tc>
        <w:tc>
          <w:tcPr>
            <w:tcW w:w="5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3" w:type="dxa"/>
            <w:tcBorders/>
            <w:shd w:fill="CCEEFF" w:val="clear"/>
            <w:vAlign w:val="bottom"/>
          </w:tcPr>
          <w:p>
            <w:pPr>
              <w:pStyle w:val="TableContents"/>
              <w:spacing w:lineRule="atLeast" w:line="180" w:before="0" w:after="283"/>
              <w:rPr/>
            </w:pPr>
            <w:r>
              <w:rPr/>
              <w:t>​</w:t>
            </w:r>
          </w:p>
        </w:tc>
        <w:tc>
          <w:tcPr>
            <w:tcW w:w="196"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97"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70" w:type="dxa"/>
            <w:tcBorders/>
            <w:shd w:fill="CCEEFF" w:val="clear"/>
            <w:vAlign w:val="bottom"/>
          </w:tcPr>
          <w:p>
            <w:pPr>
              <w:pStyle w:val="TableContents"/>
              <w:spacing w:lineRule="atLeast" w:line="180" w:before="0" w:after="283"/>
              <w:rPr/>
            </w:pPr>
            <w:r>
              <w:rPr/>
              <w:t>​</w:t>
            </w:r>
          </w:p>
        </w:tc>
        <w:tc>
          <w:tcPr>
            <w:tcW w:w="516"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10,000</w:t>
            </w:r>
          </w:p>
        </w:tc>
        <w:tc>
          <w:tcPr>
            <w:tcW w:w="17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22" w:type="dxa"/>
            <w:tcBorders/>
            <w:shd w:fill="CCEEFF" w:val="clear"/>
            <w:vAlign w:val="bottom"/>
          </w:tcPr>
          <w:p>
            <w:pPr>
              <w:pStyle w:val="TableContents"/>
              <w:spacing w:lineRule="atLeast" w:line="180" w:before="0" w:after="283"/>
              <w:rPr/>
            </w:pPr>
            <w:r>
              <w:rPr/>
              <w:t>​</w:t>
            </w:r>
          </w:p>
        </w:tc>
        <w:tc>
          <w:tcPr>
            <w:tcW w:w="444" w:type="dxa"/>
            <w:gridSpan w:val="2"/>
            <w:tcBorders/>
            <w:shd w:fill="CCEEFF" w:val="clear"/>
            <w:vAlign w:val="bottom"/>
          </w:tcPr>
          <w:p>
            <w:pPr>
              <w:pStyle w:val="TableContents"/>
              <w:spacing w:lineRule="atLeast" w:line="180" w:before="0" w:after="283"/>
              <w:jc w:val="right"/>
              <w:rPr/>
            </w:pPr>
            <w:r>
              <w:rPr/>
              <w:t> </w:t>
            </w:r>
          </w:p>
        </w:tc>
        <w:tc>
          <w:tcPr>
            <w:tcW w:w="224"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70" w:type="dxa"/>
            <w:tcBorders/>
            <w:shd w:fill="CCEEFF" w:val="clear"/>
            <w:vAlign w:val="bottom"/>
          </w:tcPr>
          <w:p>
            <w:pPr>
              <w:pStyle w:val="TableContents"/>
              <w:spacing w:lineRule="atLeast" w:line="180" w:before="0" w:after="283"/>
              <w:rPr/>
            </w:pPr>
            <w:r>
              <w:rPr/>
              <w:t>​</w:t>
            </w:r>
          </w:p>
        </w:tc>
        <w:tc>
          <w:tcPr>
            <w:tcW w:w="340" w:type="dxa"/>
            <w:gridSpan w:val="2"/>
            <w:tcBorders/>
            <w:shd w:fill="CCEEFF" w:val="clear"/>
            <w:vAlign w:val="bottom"/>
          </w:tcPr>
          <w:p>
            <w:pPr>
              <w:pStyle w:val="TableContents"/>
              <w:spacing w:lineRule="atLeast" w:line="180" w:before="0" w:after="283"/>
              <w:jc w:val="right"/>
              <w:rPr/>
            </w:pPr>
            <w:r>
              <w:rPr/>
              <w:t> </w:t>
            </w:r>
          </w:p>
        </w:tc>
        <w:tc>
          <w:tcPr>
            <w:tcW w:w="17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55" w:type="dxa"/>
            <w:tcBorders/>
            <w:shd w:fill="CCEEFF" w:val="clear"/>
            <w:vAlign w:val="bottom"/>
          </w:tcPr>
          <w:p>
            <w:pPr>
              <w:pStyle w:val="TableContents"/>
              <w:spacing w:lineRule="atLeast" w:line="180" w:before="0" w:after="283"/>
              <w:rPr/>
            </w:pPr>
            <w:r>
              <w:rPr/>
              <w:t>​</w:t>
            </w:r>
          </w:p>
        </w:tc>
        <w:tc>
          <w:tcPr>
            <w:tcW w:w="69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$125,900</w:t>
            </w:r>
          </w:p>
        </w:tc>
        <w:tc>
          <w:tcPr>
            <w:tcW w:w="155" w:type="dxa"/>
            <w:tcBorders/>
            <w:shd w:fill="CCEEFF" w:val="clear"/>
            <w:vAlign w:val="bottom"/>
          </w:tcPr>
          <w:p>
            <w:pPr>
              <w:pStyle w:val="TableContents"/>
              <w:spacing w:lineRule="atLeast" w:line="180" w:before="0" w:after="283"/>
              <w:rPr/>
            </w:pPr>
            <w:r>
              <w:rPr/>
              <w:t>​</w:t>
            </w:r>
          </w:p>
        </w:tc>
        <w:tc>
          <w:tcPr>
            <w:tcW w:w="24" w:type="dxa"/>
            <w:tcBorders/>
            <w:shd w:fill="CCEEFF" w:val="clear"/>
            <w:vAlign w:val="bottom"/>
          </w:tcPr>
          <w:p>
            <w:pPr>
              <w:pStyle w:val="TableContents"/>
              <w:spacing w:lineRule="atLeast" w:line="180" w:before="0" w:after="283"/>
              <w:rPr/>
            </w:pPr>
            <w:r>
              <w:rPr/>
              <w:t>​</w:t>
            </w:r>
          </w:p>
        </w:tc>
      </w:tr>
      <w:tr>
        <w:trPr/>
        <w:tc>
          <w:tcPr>
            <w:tcW w:w="1508" w:type="dxa"/>
            <w:tcBorders/>
            <w:shd w:fill="CCEEFF" w:val="clear"/>
            <w:vAlign w:val="bottom"/>
          </w:tcPr>
          <w:p>
            <w:pPr>
              <w:pStyle w:val="TableContents"/>
              <w:spacing w:before="0" w:after="283"/>
              <w:ind w:left="140" w:right="0" w:hanging="140"/>
              <w:rPr>
                <w:sz w:val="4"/>
                <w:szCs w:val="4"/>
              </w:rPr>
            </w:pPr>
            <w:r>
              <w:rPr>
                <w:sz w:val="4"/>
                <w:szCs w:val="4"/>
              </w:rPr>
            </w:r>
          </w:p>
        </w:tc>
        <w:tc>
          <w:tcPr>
            <w:tcW w:w="23" w:type="dxa"/>
            <w:tcBorders/>
            <w:shd w:fill="CCEEFF" w:val="clear"/>
            <w:vAlign w:val="bottom"/>
          </w:tcPr>
          <w:p>
            <w:pPr>
              <w:pStyle w:val="TableContents"/>
              <w:spacing w:lineRule="atLeast" w:line="180" w:before="0" w:after="283"/>
              <w:rPr/>
            </w:pPr>
            <w:r>
              <w:rPr/>
              <w:t>​</w:t>
            </w:r>
          </w:p>
        </w:tc>
        <w:tc>
          <w:tcPr>
            <w:tcW w:w="31" w:type="dxa"/>
            <w:tcBorders/>
            <w:shd w:fill="CCEEFF" w:val="clear"/>
            <w:vAlign w:val="bottom"/>
          </w:tcPr>
          <w:p>
            <w:pPr>
              <w:pStyle w:val="TableContents"/>
              <w:spacing w:lineRule="atLeast" w:line="180" w:before="0" w:after="283"/>
              <w:rPr/>
            </w:pPr>
            <w:r>
              <w:rPr/>
              <w:t>​</w:t>
            </w:r>
          </w:p>
        </w:tc>
        <w:tc>
          <w:tcPr>
            <w:tcW w:w="3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10/01/20</w:t>
            </w:r>
          </w:p>
        </w:tc>
        <w:tc>
          <w:tcPr>
            <w:tcW w:w="125" w:type="dxa"/>
            <w:tcBorders/>
            <w:shd w:fill="CCEEFF" w:val="clear"/>
            <w:vAlign w:val="bottom"/>
          </w:tcPr>
          <w:p>
            <w:pPr>
              <w:pStyle w:val="TableContents"/>
              <w:spacing w:lineRule="atLeast" w:line="180" w:before="0" w:after="283"/>
              <w:rPr>
                <w:rFonts w:ascii="arial" w:hAnsi="arial"/>
                <w:sz w:val="12"/>
              </w:rPr>
            </w:pPr>
            <w:r>
              <w:rPr>
                <w:rFonts w:ascii="arial" w:hAnsi="arial"/>
                <w:sz w:val="12"/>
              </w:rPr>
              <w:t>(6)</w:t>
            </w:r>
          </w:p>
        </w:tc>
        <w:tc>
          <w:tcPr>
            <w:tcW w:w="23" w:type="dxa"/>
            <w:tcBorders/>
            <w:shd w:fill="CCEEFF" w:val="clear"/>
            <w:vAlign w:val="bottom"/>
          </w:tcPr>
          <w:p>
            <w:pPr>
              <w:pStyle w:val="TableContents"/>
              <w:spacing w:lineRule="atLeast" w:line="180" w:before="0" w:after="283"/>
              <w:rPr/>
            </w:pPr>
            <w:r>
              <w:rPr/>
              <w:t>​</w:t>
            </w:r>
          </w:p>
        </w:tc>
        <w:tc>
          <w:tcPr>
            <w:tcW w:w="353" w:type="dxa"/>
            <w:tcBorders/>
            <w:shd w:fill="CCEEFF" w:val="clear"/>
            <w:vAlign w:val="bottom"/>
          </w:tcPr>
          <w:p>
            <w:pPr>
              <w:pStyle w:val="TableContents"/>
              <w:spacing w:lineRule="atLeast" w:line="180" w:before="0" w:after="283"/>
              <w:rPr/>
            </w:pPr>
            <w:r>
              <w:rPr/>
              <w:t>​</w:t>
            </w:r>
          </w:p>
        </w:tc>
        <w:tc>
          <w:tcPr>
            <w:tcW w:w="122"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355"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216" w:type="dxa"/>
            <w:tcBorders/>
            <w:shd w:fill="CCEEFF" w:val="clear"/>
            <w:vAlign w:val="bottom"/>
          </w:tcPr>
          <w:p>
            <w:pPr>
              <w:pStyle w:val="TableContents"/>
              <w:spacing w:lineRule="atLeast" w:line="180" w:before="0" w:after="283"/>
              <w:rPr/>
            </w:pPr>
            <w:r>
              <w:rPr/>
              <w:t>​</w:t>
            </w:r>
          </w:p>
        </w:tc>
        <w:tc>
          <w:tcPr>
            <w:tcW w:w="139"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7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96" w:type="dxa"/>
            <w:tcBorders/>
            <w:shd w:fill="CCEEFF" w:val="clear"/>
            <w:vAlign w:val="bottom"/>
          </w:tcPr>
          <w:p>
            <w:pPr>
              <w:pStyle w:val="TableContents"/>
              <w:spacing w:lineRule="atLeast" w:line="180" w:before="0" w:after="283"/>
              <w:rPr/>
            </w:pPr>
            <w:r>
              <w:rPr/>
              <w:t>​</w:t>
            </w:r>
          </w:p>
        </w:tc>
        <w:tc>
          <w:tcPr>
            <w:tcW w:w="392"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97" w:type="dxa"/>
            <w:tcBorders/>
            <w:shd w:fill="CCEEFF" w:val="clear"/>
            <w:vAlign w:val="bottom"/>
          </w:tcPr>
          <w:p>
            <w:pPr>
              <w:pStyle w:val="TableContents"/>
              <w:spacing w:lineRule="atLeast" w:line="180" w:before="0" w:after="283"/>
              <w:rPr/>
            </w:pPr>
            <w:r>
              <w:rPr/>
              <w:t>​</w:t>
            </w:r>
          </w:p>
        </w:tc>
        <w:tc>
          <w:tcPr>
            <w:tcW w:w="24" w:type="dxa"/>
            <w:tcBorders/>
            <w:shd w:fill="CCEEFF" w:val="clear"/>
            <w:vAlign w:val="bottom"/>
          </w:tcPr>
          <w:p>
            <w:pPr>
              <w:pStyle w:val="TableContents"/>
              <w:spacing w:lineRule="atLeast" w:line="180" w:before="0" w:after="283"/>
              <w:rPr/>
            </w:pPr>
            <w:r>
              <w:rPr/>
              <w:t>​</w:t>
            </w:r>
          </w:p>
        </w:tc>
        <w:tc>
          <w:tcPr>
            <w:tcW w:w="122" w:type="dxa"/>
            <w:tcBorders/>
            <w:shd w:fill="CCEEFF" w:val="clear"/>
            <w:vAlign w:val="bottom"/>
          </w:tcPr>
          <w:p>
            <w:pPr>
              <w:pStyle w:val="TableContents"/>
              <w:spacing w:lineRule="atLeast" w:line="180" w:before="0" w:after="283"/>
              <w:rPr/>
            </w:pPr>
            <w:r>
              <w:rPr/>
              <w:t>​</w:t>
            </w:r>
          </w:p>
        </w:tc>
        <w:tc>
          <w:tcPr>
            <w:tcW w:w="583"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25" w:type="dxa"/>
            <w:tcBorders/>
            <w:shd w:fill="CCEEFF" w:val="clear"/>
            <w:vAlign w:val="bottom"/>
          </w:tcPr>
          <w:p>
            <w:pPr>
              <w:pStyle w:val="TableContents"/>
              <w:spacing w:lineRule="atLeast" w:line="180" w:before="0" w:after="283"/>
              <w:rPr/>
            </w:pPr>
            <w:r>
              <w:rPr/>
              <w:t>​</w:t>
            </w:r>
          </w:p>
        </w:tc>
        <w:tc>
          <w:tcPr>
            <w:tcW w:w="60" w:type="dxa"/>
            <w:tcBorders/>
            <w:shd w:fill="CCEEFF" w:val="clear"/>
            <w:vAlign w:val="bottom"/>
          </w:tcPr>
          <w:p>
            <w:pPr>
              <w:pStyle w:val="TableContents"/>
              <w:spacing w:lineRule="atLeast" w:line="180" w:before="0" w:after="283"/>
              <w:rPr/>
            </w:pPr>
            <w:r>
              <w:rPr/>
              <w:t>​</w:t>
            </w:r>
          </w:p>
        </w:tc>
        <w:tc>
          <w:tcPr>
            <w:tcW w:w="5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3" w:type="dxa"/>
            <w:tcBorders/>
            <w:shd w:fill="CCEEFF" w:val="clear"/>
            <w:vAlign w:val="bottom"/>
          </w:tcPr>
          <w:p>
            <w:pPr>
              <w:pStyle w:val="TableContents"/>
              <w:spacing w:lineRule="atLeast" w:line="180" w:before="0" w:after="283"/>
              <w:rPr/>
            </w:pPr>
            <w:r>
              <w:rPr/>
              <w:t>​</w:t>
            </w:r>
          </w:p>
        </w:tc>
        <w:tc>
          <w:tcPr>
            <w:tcW w:w="196"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97"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70" w:type="dxa"/>
            <w:tcBorders/>
            <w:shd w:fill="CCEEFF" w:val="clear"/>
            <w:vAlign w:val="bottom"/>
          </w:tcPr>
          <w:p>
            <w:pPr>
              <w:pStyle w:val="TableContents"/>
              <w:spacing w:lineRule="atLeast" w:line="180" w:before="0" w:after="283"/>
              <w:rPr/>
            </w:pPr>
            <w:r>
              <w:rPr/>
              <w:t>​</w:t>
            </w:r>
          </w:p>
        </w:tc>
        <w:tc>
          <w:tcPr>
            <w:tcW w:w="516"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40,000</w:t>
            </w:r>
          </w:p>
        </w:tc>
        <w:tc>
          <w:tcPr>
            <w:tcW w:w="17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22" w:type="dxa"/>
            <w:tcBorders/>
            <w:shd w:fill="CCEEFF" w:val="clear"/>
            <w:vAlign w:val="bottom"/>
          </w:tcPr>
          <w:p>
            <w:pPr>
              <w:pStyle w:val="TableContents"/>
              <w:spacing w:lineRule="atLeast" w:line="180" w:before="0" w:after="283"/>
              <w:rPr/>
            </w:pPr>
            <w:r>
              <w:rPr/>
              <w:t>​</w:t>
            </w:r>
          </w:p>
        </w:tc>
        <w:tc>
          <w:tcPr>
            <w:tcW w:w="444" w:type="dxa"/>
            <w:gridSpan w:val="2"/>
            <w:tcBorders/>
            <w:shd w:fill="CCEEFF" w:val="clear"/>
            <w:vAlign w:val="bottom"/>
          </w:tcPr>
          <w:p>
            <w:pPr>
              <w:pStyle w:val="TableContents"/>
              <w:spacing w:lineRule="atLeast" w:line="180" w:before="0" w:after="283"/>
              <w:jc w:val="right"/>
              <w:rPr/>
            </w:pPr>
            <w:r>
              <w:rPr/>
              <w:t> </w:t>
            </w:r>
          </w:p>
        </w:tc>
        <w:tc>
          <w:tcPr>
            <w:tcW w:w="224"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70" w:type="dxa"/>
            <w:tcBorders/>
            <w:shd w:fill="CCEEFF" w:val="clear"/>
            <w:vAlign w:val="bottom"/>
          </w:tcPr>
          <w:p>
            <w:pPr>
              <w:pStyle w:val="TableContents"/>
              <w:spacing w:lineRule="atLeast" w:line="180" w:before="0" w:after="283"/>
              <w:rPr/>
            </w:pPr>
            <w:r>
              <w:rPr/>
              <w:t>​</w:t>
            </w:r>
          </w:p>
        </w:tc>
        <w:tc>
          <w:tcPr>
            <w:tcW w:w="340" w:type="dxa"/>
            <w:gridSpan w:val="2"/>
            <w:tcBorders/>
            <w:shd w:fill="CCEEFF" w:val="clear"/>
            <w:vAlign w:val="bottom"/>
          </w:tcPr>
          <w:p>
            <w:pPr>
              <w:pStyle w:val="TableContents"/>
              <w:spacing w:lineRule="atLeast" w:line="180" w:before="0" w:after="283"/>
              <w:jc w:val="right"/>
              <w:rPr/>
            </w:pPr>
            <w:r>
              <w:rPr/>
              <w:t> </w:t>
            </w:r>
          </w:p>
        </w:tc>
        <w:tc>
          <w:tcPr>
            <w:tcW w:w="17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55" w:type="dxa"/>
            <w:tcBorders/>
            <w:shd w:fill="CCEEFF" w:val="clear"/>
            <w:vAlign w:val="bottom"/>
          </w:tcPr>
          <w:p>
            <w:pPr>
              <w:pStyle w:val="TableContents"/>
              <w:spacing w:lineRule="atLeast" w:line="180" w:before="0" w:after="283"/>
              <w:rPr/>
            </w:pPr>
            <w:r>
              <w:rPr/>
              <w:t>​</w:t>
            </w:r>
          </w:p>
        </w:tc>
        <w:tc>
          <w:tcPr>
            <w:tcW w:w="69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$503,200</w:t>
            </w:r>
          </w:p>
        </w:tc>
        <w:tc>
          <w:tcPr>
            <w:tcW w:w="155" w:type="dxa"/>
            <w:tcBorders/>
            <w:shd w:fill="CCEEFF" w:val="clear"/>
            <w:vAlign w:val="bottom"/>
          </w:tcPr>
          <w:p>
            <w:pPr>
              <w:pStyle w:val="TableContents"/>
              <w:spacing w:lineRule="atLeast" w:line="180" w:before="0" w:after="283"/>
              <w:rPr/>
            </w:pPr>
            <w:r>
              <w:rPr/>
              <w:t>​</w:t>
            </w:r>
          </w:p>
        </w:tc>
        <w:tc>
          <w:tcPr>
            <w:tcW w:w="24" w:type="dxa"/>
            <w:tcBorders/>
            <w:shd w:fill="CCEEFF" w:val="clear"/>
            <w:vAlign w:val="bottom"/>
          </w:tcPr>
          <w:p>
            <w:pPr>
              <w:pStyle w:val="TableContents"/>
              <w:spacing w:lineRule="atLeast" w:line="180" w:before="0" w:after="283"/>
              <w:rPr/>
            </w:pPr>
            <w:r>
              <w:rPr/>
              <w:t>​</w:t>
            </w:r>
          </w:p>
        </w:tc>
      </w:tr>
      <w:tr>
        <w:trPr/>
        <w:tc>
          <w:tcPr>
            <w:tcW w:w="1508" w:type="dxa"/>
            <w:tcBorders/>
            <w:shd w:fill="auto" w:val="clear"/>
            <w:vAlign w:val="bottom"/>
          </w:tcPr>
          <w:p>
            <w:pPr>
              <w:pStyle w:val="TableContents"/>
              <w:spacing w:lineRule="atLeast" w:line="180" w:before="160" w:after="283"/>
              <w:ind w:left="140" w:right="0" w:hanging="140"/>
              <w:rPr>
                <w:rFonts w:ascii="arial" w:hAnsi="arial"/>
                <w:sz w:val="16"/>
              </w:rPr>
            </w:pPr>
            <w:r>
              <w:rPr>
                <w:rFonts w:ascii="arial" w:hAnsi="arial"/>
                <w:sz w:val="16"/>
              </w:rPr>
              <w:t>Michelle D. Esterman</w:t>
            </w:r>
          </w:p>
        </w:tc>
        <w:tc>
          <w:tcPr>
            <w:tcW w:w="23" w:type="dxa"/>
            <w:tcBorders/>
            <w:shd w:fill="auto" w:val="clear"/>
            <w:vAlign w:val="bottom"/>
          </w:tcPr>
          <w:p>
            <w:pPr>
              <w:pStyle w:val="TableContents"/>
              <w:spacing w:lineRule="atLeast" w:line="180" w:before="0" w:after="283"/>
              <w:rPr/>
            </w:pPr>
            <w:r>
              <w:rPr/>
              <w:t>​</w:t>
            </w:r>
          </w:p>
        </w:tc>
        <w:tc>
          <w:tcPr>
            <w:tcW w:w="31" w:type="dxa"/>
            <w:tcBorders/>
            <w:shd w:fill="auto" w:val="clear"/>
            <w:vAlign w:val="bottom"/>
          </w:tcPr>
          <w:p>
            <w:pPr>
              <w:pStyle w:val="TableContents"/>
              <w:spacing w:lineRule="atLeast" w:line="180" w:before="0" w:after="283"/>
              <w:rPr/>
            </w:pPr>
            <w:r>
              <w:rPr/>
              <w:t>​</w:t>
            </w:r>
          </w:p>
        </w:tc>
        <w:tc>
          <w:tcPr>
            <w:tcW w:w="3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br/>
              <w:t>1/24/20</w:t>
            </w:r>
          </w:p>
        </w:tc>
        <w:tc>
          <w:tcPr>
            <w:tcW w:w="125" w:type="dxa"/>
            <w:tcBorders/>
            <w:shd w:fill="auto" w:val="clear"/>
            <w:vAlign w:val="bottom"/>
          </w:tcPr>
          <w:p>
            <w:pPr>
              <w:pStyle w:val="TableContents"/>
              <w:spacing w:lineRule="atLeast" w:line="180" w:before="0" w:after="283"/>
              <w:rPr>
                <w:rFonts w:ascii="arial" w:hAnsi="arial"/>
                <w:sz w:val="16"/>
              </w:rPr>
            </w:pPr>
            <w:r>
              <w:rPr>
                <w:rFonts w:ascii="arial" w:hAnsi="arial"/>
                <w:sz w:val="16"/>
              </w:rPr>
              <w:br/>
            </w:r>
            <w:r>
              <w:rPr>
                <w:rFonts w:ascii="arial" w:hAnsi="arial"/>
                <w:sz w:val="12"/>
              </w:rPr>
              <w:t>(3)</w:t>
            </w:r>
          </w:p>
        </w:tc>
        <w:tc>
          <w:tcPr>
            <w:tcW w:w="23" w:type="dxa"/>
            <w:tcBorders/>
            <w:shd w:fill="auto" w:val="clear"/>
            <w:vAlign w:val="bottom"/>
          </w:tcPr>
          <w:p>
            <w:pPr>
              <w:pStyle w:val="TableContents"/>
              <w:spacing w:lineRule="atLeast" w:line="180" w:before="0" w:after="283"/>
              <w:rPr>
                <w:rFonts w:ascii="arial" w:hAnsi="arial"/>
                <w:sz w:val="16"/>
              </w:rPr>
            </w:pPr>
            <w:r>
              <w:rPr>
                <w:rFonts w:ascii="arial" w:hAnsi="arial"/>
                <w:sz w:val="16"/>
              </w:rPr>
              <w:br/>
              <w:t>​</w:t>
            </w:r>
          </w:p>
        </w:tc>
        <w:tc>
          <w:tcPr>
            <w:tcW w:w="353" w:type="dxa"/>
            <w:tcBorders/>
            <w:shd w:fill="auto" w:val="clear"/>
            <w:vAlign w:val="bottom"/>
          </w:tcPr>
          <w:p>
            <w:pPr>
              <w:pStyle w:val="TableContents"/>
              <w:spacing w:lineRule="atLeast" w:line="180" w:before="0" w:after="283"/>
              <w:rPr/>
            </w:pPr>
            <w:r>
              <w:rPr/>
              <w:t>​</w:t>
            </w:r>
          </w:p>
        </w:tc>
        <w:tc>
          <w:tcPr>
            <w:tcW w:w="122"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br/>
              <w:t>-</w:t>
            </w:r>
          </w:p>
        </w:tc>
        <w:tc>
          <w:tcPr>
            <w:tcW w:w="355" w:type="dxa"/>
            <w:tcBorders/>
            <w:shd w:fill="auto" w:val="clear"/>
            <w:vAlign w:val="bottom"/>
          </w:tcPr>
          <w:p>
            <w:pPr>
              <w:pStyle w:val="TableContents"/>
              <w:spacing w:lineRule="atLeast" w:line="180" w:before="0" w:after="283"/>
              <w:rPr/>
            </w:pPr>
            <w:r>
              <w:rPr/>
              <w:t>​</w:t>
            </w:r>
          </w:p>
        </w:tc>
        <w:tc>
          <w:tcPr>
            <w:tcW w:w="90" w:type="dxa"/>
            <w:tcBorders/>
            <w:shd w:fill="auto" w:val="clear"/>
            <w:vAlign w:val="bottom"/>
          </w:tcPr>
          <w:p>
            <w:pPr>
              <w:pStyle w:val="TableContents"/>
              <w:spacing w:lineRule="atLeast" w:line="180" w:before="0" w:after="283"/>
              <w:rPr/>
            </w:pPr>
            <w:r>
              <w:rPr/>
              <w:t>​</w:t>
            </w:r>
          </w:p>
        </w:tc>
        <w:tc>
          <w:tcPr>
            <w:tcW w:w="216" w:type="dxa"/>
            <w:tcBorders/>
            <w:shd w:fill="auto" w:val="clear"/>
            <w:vAlign w:val="bottom"/>
          </w:tcPr>
          <w:p>
            <w:pPr>
              <w:pStyle w:val="TableContents"/>
              <w:spacing w:lineRule="atLeast" w:line="180" w:before="0" w:after="283"/>
              <w:rPr/>
            </w:pPr>
            <w:r>
              <w:rPr/>
              <w:t>​</w:t>
            </w:r>
          </w:p>
        </w:tc>
        <w:tc>
          <w:tcPr>
            <w:tcW w:w="139"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br/>
              <w:t>-</w:t>
            </w:r>
          </w:p>
        </w:tc>
        <w:tc>
          <w:tcPr>
            <w:tcW w:w="175"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96" w:type="dxa"/>
            <w:tcBorders/>
            <w:shd w:fill="auto" w:val="clear"/>
            <w:vAlign w:val="bottom"/>
          </w:tcPr>
          <w:p>
            <w:pPr>
              <w:pStyle w:val="TableContents"/>
              <w:spacing w:lineRule="atLeast" w:line="180" w:before="0" w:after="283"/>
              <w:rPr/>
            </w:pPr>
            <w:r>
              <w:rPr/>
              <w:t>​</w:t>
            </w:r>
          </w:p>
        </w:tc>
        <w:tc>
          <w:tcPr>
            <w:tcW w:w="392"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br/>
              <w:t>-</w:t>
            </w:r>
          </w:p>
        </w:tc>
        <w:tc>
          <w:tcPr>
            <w:tcW w:w="197" w:type="dxa"/>
            <w:tcBorders/>
            <w:shd w:fill="auto" w:val="clear"/>
            <w:vAlign w:val="bottom"/>
          </w:tcPr>
          <w:p>
            <w:pPr>
              <w:pStyle w:val="TableContents"/>
              <w:spacing w:lineRule="atLeast" w:line="180" w:before="0" w:after="283"/>
              <w:rPr/>
            </w:pPr>
            <w:r>
              <w:rPr/>
              <w:t>​</w:t>
            </w:r>
          </w:p>
        </w:tc>
        <w:tc>
          <w:tcPr>
            <w:tcW w:w="24" w:type="dxa"/>
            <w:tcBorders/>
            <w:shd w:fill="auto" w:val="clear"/>
            <w:vAlign w:val="bottom"/>
          </w:tcPr>
          <w:p>
            <w:pPr>
              <w:pStyle w:val="TableContents"/>
              <w:spacing w:lineRule="atLeast" w:line="180" w:before="0" w:after="283"/>
              <w:rPr/>
            </w:pPr>
            <w:r>
              <w:rPr/>
              <w:t>​</w:t>
            </w:r>
          </w:p>
        </w:tc>
        <w:tc>
          <w:tcPr>
            <w:tcW w:w="122" w:type="dxa"/>
            <w:tcBorders/>
            <w:shd w:fill="auto" w:val="clear"/>
            <w:vAlign w:val="bottom"/>
          </w:tcPr>
          <w:p>
            <w:pPr>
              <w:pStyle w:val="TableContents"/>
              <w:spacing w:lineRule="atLeast" w:line="180" w:before="0" w:after="283"/>
              <w:rPr/>
            </w:pPr>
            <w:r>
              <w:rPr/>
              <w:t>​</w:t>
            </w:r>
          </w:p>
        </w:tc>
        <w:tc>
          <w:tcPr>
            <w:tcW w:w="583"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br/>
              <w:t>-</w:t>
            </w:r>
          </w:p>
        </w:tc>
        <w:tc>
          <w:tcPr>
            <w:tcW w:w="125" w:type="dxa"/>
            <w:tcBorders/>
            <w:shd w:fill="auto" w:val="clear"/>
            <w:vAlign w:val="bottom"/>
          </w:tcPr>
          <w:p>
            <w:pPr>
              <w:pStyle w:val="TableContents"/>
              <w:spacing w:lineRule="atLeast" w:line="180" w:before="0" w:after="283"/>
              <w:rPr/>
            </w:pPr>
            <w:r>
              <w:rPr/>
              <w:t>​</w:t>
            </w:r>
          </w:p>
        </w:tc>
        <w:tc>
          <w:tcPr>
            <w:tcW w:w="60" w:type="dxa"/>
            <w:tcBorders/>
            <w:shd w:fill="auto" w:val="clear"/>
            <w:vAlign w:val="bottom"/>
          </w:tcPr>
          <w:p>
            <w:pPr>
              <w:pStyle w:val="TableContents"/>
              <w:spacing w:lineRule="atLeast" w:line="180" w:before="0" w:after="283"/>
              <w:rPr/>
            </w:pPr>
            <w:r>
              <w:rPr/>
              <w:t>​</w:t>
            </w:r>
          </w:p>
        </w:tc>
        <w:tc>
          <w:tcPr>
            <w:tcW w:w="530"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br/>
              <w:t>-</w:t>
            </w:r>
          </w:p>
        </w:tc>
        <w:tc>
          <w:tcPr>
            <w:tcW w:w="23" w:type="dxa"/>
            <w:tcBorders/>
            <w:shd w:fill="auto" w:val="clear"/>
            <w:vAlign w:val="bottom"/>
          </w:tcPr>
          <w:p>
            <w:pPr>
              <w:pStyle w:val="TableContents"/>
              <w:spacing w:lineRule="atLeast" w:line="180" w:before="0" w:after="283"/>
              <w:rPr/>
            </w:pPr>
            <w:r>
              <w:rPr/>
              <w:t>​</w:t>
            </w:r>
          </w:p>
        </w:tc>
        <w:tc>
          <w:tcPr>
            <w:tcW w:w="196"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br/>
              <w:t>-</w:t>
            </w:r>
          </w:p>
        </w:tc>
        <w:tc>
          <w:tcPr>
            <w:tcW w:w="197"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70" w:type="dxa"/>
            <w:tcBorders/>
            <w:shd w:fill="auto" w:val="clear"/>
            <w:vAlign w:val="bottom"/>
          </w:tcPr>
          <w:p>
            <w:pPr>
              <w:pStyle w:val="TableContents"/>
              <w:spacing w:lineRule="atLeast" w:line="180" w:before="0" w:after="283"/>
              <w:rPr/>
            </w:pPr>
            <w:r>
              <w:rPr/>
              <w:t>​</w:t>
            </w:r>
          </w:p>
        </w:tc>
        <w:tc>
          <w:tcPr>
            <w:tcW w:w="516"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br/>
              <w:t>7,369</w:t>
            </w:r>
          </w:p>
        </w:tc>
        <w:tc>
          <w:tcPr>
            <w:tcW w:w="170"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222" w:type="dxa"/>
            <w:tcBorders/>
            <w:shd w:fill="auto" w:val="clear"/>
            <w:vAlign w:val="bottom"/>
          </w:tcPr>
          <w:p>
            <w:pPr>
              <w:pStyle w:val="TableContents"/>
              <w:spacing w:lineRule="atLeast" w:line="180" w:before="0" w:after="283"/>
              <w:rPr/>
            </w:pPr>
            <w:r>
              <w:rPr/>
              <w:t>​</w:t>
            </w:r>
          </w:p>
        </w:tc>
        <w:tc>
          <w:tcPr>
            <w:tcW w:w="444" w:type="dxa"/>
            <w:gridSpan w:val="2"/>
            <w:tcBorders/>
            <w:shd w:fill="auto" w:val="clear"/>
            <w:vAlign w:val="bottom"/>
          </w:tcPr>
          <w:p>
            <w:pPr>
              <w:pStyle w:val="TableContents"/>
              <w:spacing w:lineRule="atLeast" w:line="180" w:before="0" w:after="283"/>
              <w:jc w:val="right"/>
              <w:rPr/>
            </w:pPr>
            <w:r>
              <w:rPr/>
              <w:t> </w:t>
            </w:r>
          </w:p>
        </w:tc>
        <w:tc>
          <w:tcPr>
            <w:tcW w:w="224"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70" w:type="dxa"/>
            <w:tcBorders/>
            <w:shd w:fill="auto" w:val="clear"/>
            <w:vAlign w:val="bottom"/>
          </w:tcPr>
          <w:p>
            <w:pPr>
              <w:pStyle w:val="TableContents"/>
              <w:spacing w:lineRule="atLeast" w:line="180" w:before="0" w:after="283"/>
              <w:rPr/>
            </w:pPr>
            <w:r>
              <w:rPr/>
              <w:t>​</w:t>
            </w:r>
          </w:p>
        </w:tc>
        <w:tc>
          <w:tcPr>
            <w:tcW w:w="340" w:type="dxa"/>
            <w:gridSpan w:val="2"/>
            <w:tcBorders/>
            <w:shd w:fill="auto" w:val="clear"/>
            <w:vAlign w:val="bottom"/>
          </w:tcPr>
          <w:p>
            <w:pPr>
              <w:pStyle w:val="TableContents"/>
              <w:spacing w:lineRule="atLeast" w:line="180" w:before="0" w:after="283"/>
              <w:jc w:val="right"/>
              <w:rPr/>
            </w:pPr>
            <w:r>
              <w:rPr/>
              <w:t> </w:t>
            </w:r>
          </w:p>
        </w:tc>
        <w:tc>
          <w:tcPr>
            <w:tcW w:w="170"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55" w:type="dxa"/>
            <w:tcBorders/>
            <w:shd w:fill="auto" w:val="clear"/>
            <w:vAlign w:val="bottom"/>
          </w:tcPr>
          <w:p>
            <w:pPr>
              <w:pStyle w:val="TableContents"/>
              <w:spacing w:lineRule="atLeast" w:line="180" w:before="0" w:after="283"/>
              <w:rPr/>
            </w:pPr>
            <w:r>
              <w:rPr/>
              <w:t>​</w:t>
            </w:r>
          </w:p>
        </w:tc>
        <w:tc>
          <w:tcPr>
            <w:tcW w:w="69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br/>
              <w:t>$142,959</w:t>
            </w:r>
          </w:p>
        </w:tc>
        <w:tc>
          <w:tcPr>
            <w:tcW w:w="155" w:type="dxa"/>
            <w:tcBorders/>
            <w:shd w:fill="auto" w:val="clear"/>
            <w:vAlign w:val="bottom"/>
          </w:tcPr>
          <w:p>
            <w:pPr>
              <w:pStyle w:val="TableContents"/>
              <w:spacing w:lineRule="atLeast" w:line="180" w:before="0" w:after="283"/>
              <w:rPr/>
            </w:pPr>
            <w:r>
              <w:rPr/>
              <w:t>​</w:t>
            </w:r>
          </w:p>
        </w:tc>
        <w:tc>
          <w:tcPr>
            <w:tcW w:w="24" w:type="dxa"/>
            <w:tcBorders/>
            <w:shd w:fill="auto" w:val="clear"/>
            <w:vAlign w:val="bottom"/>
          </w:tcPr>
          <w:p>
            <w:pPr>
              <w:pStyle w:val="TableContents"/>
              <w:spacing w:lineRule="atLeast" w:line="180" w:before="0" w:after="283"/>
              <w:rPr/>
            </w:pPr>
            <w:r>
              <w:rPr/>
              <w:t>​</w:t>
            </w:r>
          </w:p>
        </w:tc>
      </w:tr>
      <w:tr>
        <w:trPr/>
        <w:tc>
          <w:tcPr>
            <w:tcW w:w="1508" w:type="dxa"/>
            <w:tcBorders/>
            <w:shd w:fill="auto" w:val="clear"/>
            <w:vAlign w:val="bottom"/>
          </w:tcPr>
          <w:p>
            <w:pPr>
              <w:pStyle w:val="TableContents"/>
              <w:spacing w:before="0" w:after="283"/>
              <w:ind w:left="140" w:right="0" w:hanging="140"/>
              <w:rPr>
                <w:sz w:val="4"/>
                <w:szCs w:val="4"/>
              </w:rPr>
            </w:pPr>
            <w:r>
              <w:rPr>
                <w:sz w:val="4"/>
                <w:szCs w:val="4"/>
              </w:rPr>
            </w:r>
          </w:p>
        </w:tc>
        <w:tc>
          <w:tcPr>
            <w:tcW w:w="23" w:type="dxa"/>
            <w:tcBorders/>
            <w:shd w:fill="auto" w:val="clear"/>
            <w:vAlign w:val="bottom"/>
          </w:tcPr>
          <w:p>
            <w:pPr>
              <w:pStyle w:val="TableContents"/>
              <w:spacing w:lineRule="atLeast" w:line="180" w:before="0" w:after="283"/>
              <w:rPr/>
            </w:pPr>
            <w:r>
              <w:rPr/>
              <w:t>​</w:t>
            </w:r>
          </w:p>
        </w:tc>
        <w:tc>
          <w:tcPr>
            <w:tcW w:w="31" w:type="dxa"/>
            <w:tcBorders/>
            <w:shd w:fill="auto" w:val="clear"/>
            <w:vAlign w:val="bottom"/>
          </w:tcPr>
          <w:p>
            <w:pPr>
              <w:pStyle w:val="TableContents"/>
              <w:spacing w:lineRule="atLeast" w:line="180" w:before="0" w:after="283"/>
              <w:rPr/>
            </w:pPr>
            <w:r>
              <w:rPr/>
              <w:t>​</w:t>
            </w:r>
          </w:p>
        </w:tc>
        <w:tc>
          <w:tcPr>
            <w:tcW w:w="3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1/24/20</w:t>
            </w:r>
          </w:p>
        </w:tc>
        <w:tc>
          <w:tcPr>
            <w:tcW w:w="125" w:type="dxa"/>
            <w:tcBorders/>
            <w:shd w:fill="auto" w:val="clear"/>
            <w:vAlign w:val="bottom"/>
          </w:tcPr>
          <w:p>
            <w:pPr>
              <w:pStyle w:val="TableContents"/>
              <w:spacing w:lineRule="atLeast" w:line="180" w:before="0" w:after="283"/>
              <w:rPr>
                <w:rFonts w:ascii="arial" w:hAnsi="arial"/>
                <w:sz w:val="12"/>
              </w:rPr>
            </w:pPr>
            <w:r>
              <w:rPr>
                <w:rFonts w:ascii="arial" w:hAnsi="arial"/>
                <w:sz w:val="12"/>
              </w:rPr>
              <w:t>(4)</w:t>
            </w:r>
          </w:p>
        </w:tc>
        <w:tc>
          <w:tcPr>
            <w:tcW w:w="23" w:type="dxa"/>
            <w:tcBorders/>
            <w:shd w:fill="auto" w:val="clear"/>
            <w:vAlign w:val="bottom"/>
          </w:tcPr>
          <w:p>
            <w:pPr>
              <w:pStyle w:val="TableContents"/>
              <w:spacing w:lineRule="atLeast" w:line="180" w:before="0" w:after="283"/>
              <w:rPr/>
            </w:pPr>
            <w:r>
              <w:rPr/>
              <w:t>​</w:t>
            </w:r>
          </w:p>
        </w:tc>
        <w:tc>
          <w:tcPr>
            <w:tcW w:w="353" w:type="dxa"/>
            <w:tcBorders/>
            <w:shd w:fill="auto" w:val="clear"/>
            <w:vAlign w:val="bottom"/>
          </w:tcPr>
          <w:p>
            <w:pPr>
              <w:pStyle w:val="TableContents"/>
              <w:spacing w:lineRule="atLeast" w:line="180" w:before="0" w:after="283"/>
              <w:rPr/>
            </w:pPr>
            <w:r>
              <w:rPr/>
              <w:t>​</w:t>
            </w:r>
          </w:p>
        </w:tc>
        <w:tc>
          <w:tcPr>
            <w:tcW w:w="122"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355" w:type="dxa"/>
            <w:tcBorders/>
            <w:shd w:fill="auto" w:val="clear"/>
            <w:vAlign w:val="bottom"/>
          </w:tcPr>
          <w:p>
            <w:pPr>
              <w:pStyle w:val="TableContents"/>
              <w:spacing w:lineRule="atLeast" w:line="180" w:before="0" w:after="283"/>
              <w:rPr/>
            </w:pPr>
            <w:r>
              <w:rPr/>
              <w:t>​</w:t>
            </w:r>
          </w:p>
        </w:tc>
        <w:tc>
          <w:tcPr>
            <w:tcW w:w="90" w:type="dxa"/>
            <w:tcBorders/>
            <w:shd w:fill="auto" w:val="clear"/>
            <w:vAlign w:val="bottom"/>
          </w:tcPr>
          <w:p>
            <w:pPr>
              <w:pStyle w:val="TableContents"/>
              <w:spacing w:lineRule="atLeast" w:line="180" w:before="0" w:after="283"/>
              <w:rPr/>
            </w:pPr>
            <w:r>
              <w:rPr/>
              <w:t>​</w:t>
            </w:r>
          </w:p>
        </w:tc>
        <w:tc>
          <w:tcPr>
            <w:tcW w:w="216" w:type="dxa"/>
            <w:tcBorders/>
            <w:shd w:fill="auto" w:val="clear"/>
            <w:vAlign w:val="bottom"/>
          </w:tcPr>
          <w:p>
            <w:pPr>
              <w:pStyle w:val="TableContents"/>
              <w:spacing w:lineRule="atLeast" w:line="180" w:before="0" w:after="283"/>
              <w:rPr/>
            </w:pPr>
            <w:r>
              <w:rPr/>
              <w:t>​</w:t>
            </w:r>
          </w:p>
        </w:tc>
        <w:tc>
          <w:tcPr>
            <w:tcW w:w="139"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75"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96" w:type="dxa"/>
            <w:tcBorders/>
            <w:shd w:fill="auto" w:val="clear"/>
            <w:vAlign w:val="bottom"/>
          </w:tcPr>
          <w:p>
            <w:pPr>
              <w:pStyle w:val="TableContents"/>
              <w:spacing w:lineRule="atLeast" w:line="180" w:before="0" w:after="283"/>
              <w:rPr/>
            </w:pPr>
            <w:r>
              <w:rPr/>
              <w:t>​</w:t>
            </w:r>
          </w:p>
        </w:tc>
        <w:tc>
          <w:tcPr>
            <w:tcW w:w="392"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97" w:type="dxa"/>
            <w:tcBorders/>
            <w:shd w:fill="auto" w:val="clear"/>
            <w:vAlign w:val="bottom"/>
          </w:tcPr>
          <w:p>
            <w:pPr>
              <w:pStyle w:val="TableContents"/>
              <w:spacing w:lineRule="atLeast" w:line="180" w:before="0" w:after="283"/>
              <w:rPr/>
            </w:pPr>
            <w:r>
              <w:rPr/>
              <w:t>​</w:t>
            </w:r>
          </w:p>
        </w:tc>
        <w:tc>
          <w:tcPr>
            <w:tcW w:w="24" w:type="dxa"/>
            <w:tcBorders/>
            <w:shd w:fill="auto" w:val="clear"/>
            <w:vAlign w:val="bottom"/>
          </w:tcPr>
          <w:p>
            <w:pPr>
              <w:pStyle w:val="TableContents"/>
              <w:spacing w:lineRule="atLeast" w:line="180" w:before="0" w:after="283"/>
              <w:rPr/>
            </w:pPr>
            <w:r>
              <w:rPr/>
              <w:t>​</w:t>
            </w:r>
          </w:p>
        </w:tc>
        <w:tc>
          <w:tcPr>
            <w:tcW w:w="122" w:type="dxa"/>
            <w:tcBorders/>
            <w:shd w:fill="auto" w:val="clear"/>
            <w:vAlign w:val="bottom"/>
          </w:tcPr>
          <w:p>
            <w:pPr>
              <w:pStyle w:val="TableContents"/>
              <w:spacing w:lineRule="atLeast" w:line="180" w:before="0" w:after="283"/>
              <w:rPr/>
            </w:pPr>
            <w:r>
              <w:rPr/>
              <w:t>​</w:t>
            </w:r>
          </w:p>
        </w:tc>
        <w:tc>
          <w:tcPr>
            <w:tcW w:w="583"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3,685</w:t>
            </w:r>
          </w:p>
        </w:tc>
        <w:tc>
          <w:tcPr>
            <w:tcW w:w="125" w:type="dxa"/>
            <w:tcBorders/>
            <w:shd w:fill="auto" w:val="clear"/>
            <w:vAlign w:val="bottom"/>
          </w:tcPr>
          <w:p>
            <w:pPr>
              <w:pStyle w:val="TableContents"/>
              <w:spacing w:lineRule="atLeast" w:line="180" w:before="0" w:after="283"/>
              <w:rPr/>
            </w:pPr>
            <w:r>
              <w:rPr/>
              <w:t>​</w:t>
            </w:r>
          </w:p>
        </w:tc>
        <w:tc>
          <w:tcPr>
            <w:tcW w:w="60" w:type="dxa"/>
            <w:tcBorders/>
            <w:shd w:fill="auto" w:val="clear"/>
            <w:vAlign w:val="bottom"/>
          </w:tcPr>
          <w:p>
            <w:pPr>
              <w:pStyle w:val="TableContents"/>
              <w:spacing w:lineRule="atLeast" w:line="180" w:before="0" w:after="283"/>
              <w:rPr/>
            </w:pPr>
            <w:r>
              <w:rPr/>
              <w:t>​</w:t>
            </w:r>
          </w:p>
        </w:tc>
        <w:tc>
          <w:tcPr>
            <w:tcW w:w="530"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7,369</w:t>
            </w:r>
          </w:p>
        </w:tc>
        <w:tc>
          <w:tcPr>
            <w:tcW w:w="23" w:type="dxa"/>
            <w:tcBorders/>
            <w:shd w:fill="auto" w:val="clear"/>
            <w:vAlign w:val="bottom"/>
          </w:tcPr>
          <w:p>
            <w:pPr>
              <w:pStyle w:val="TableContents"/>
              <w:spacing w:lineRule="atLeast" w:line="180" w:before="0" w:after="283"/>
              <w:rPr/>
            </w:pPr>
            <w:r>
              <w:rPr/>
              <w:t>​</w:t>
            </w:r>
          </w:p>
        </w:tc>
        <w:tc>
          <w:tcPr>
            <w:tcW w:w="196"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14,001</w:t>
            </w:r>
          </w:p>
        </w:tc>
        <w:tc>
          <w:tcPr>
            <w:tcW w:w="197"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70" w:type="dxa"/>
            <w:tcBorders/>
            <w:shd w:fill="auto" w:val="clear"/>
            <w:vAlign w:val="bottom"/>
          </w:tcPr>
          <w:p>
            <w:pPr>
              <w:pStyle w:val="TableContents"/>
              <w:spacing w:lineRule="atLeast" w:line="180" w:before="0" w:after="283"/>
              <w:rPr/>
            </w:pPr>
            <w:r>
              <w:rPr/>
              <w:t>​</w:t>
            </w:r>
          </w:p>
        </w:tc>
        <w:tc>
          <w:tcPr>
            <w:tcW w:w="516"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70"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222" w:type="dxa"/>
            <w:tcBorders/>
            <w:shd w:fill="auto" w:val="clear"/>
            <w:vAlign w:val="bottom"/>
          </w:tcPr>
          <w:p>
            <w:pPr>
              <w:pStyle w:val="TableContents"/>
              <w:spacing w:lineRule="atLeast" w:line="180" w:before="0" w:after="283"/>
              <w:rPr/>
            </w:pPr>
            <w:r>
              <w:rPr/>
              <w:t>​</w:t>
            </w:r>
          </w:p>
        </w:tc>
        <w:tc>
          <w:tcPr>
            <w:tcW w:w="444" w:type="dxa"/>
            <w:gridSpan w:val="2"/>
            <w:tcBorders/>
            <w:shd w:fill="auto" w:val="clear"/>
            <w:vAlign w:val="bottom"/>
          </w:tcPr>
          <w:p>
            <w:pPr>
              <w:pStyle w:val="TableContents"/>
              <w:spacing w:lineRule="atLeast" w:line="180" w:before="0" w:after="283"/>
              <w:jc w:val="right"/>
              <w:rPr/>
            </w:pPr>
            <w:r>
              <w:rPr/>
              <w:t> </w:t>
            </w:r>
          </w:p>
        </w:tc>
        <w:tc>
          <w:tcPr>
            <w:tcW w:w="224"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70" w:type="dxa"/>
            <w:tcBorders/>
            <w:shd w:fill="auto" w:val="clear"/>
            <w:vAlign w:val="bottom"/>
          </w:tcPr>
          <w:p>
            <w:pPr>
              <w:pStyle w:val="TableContents"/>
              <w:spacing w:lineRule="atLeast" w:line="180" w:before="0" w:after="283"/>
              <w:rPr/>
            </w:pPr>
            <w:r>
              <w:rPr/>
              <w:t>​</w:t>
            </w:r>
          </w:p>
        </w:tc>
        <w:tc>
          <w:tcPr>
            <w:tcW w:w="340" w:type="dxa"/>
            <w:gridSpan w:val="2"/>
            <w:tcBorders/>
            <w:shd w:fill="auto" w:val="clear"/>
            <w:vAlign w:val="bottom"/>
          </w:tcPr>
          <w:p>
            <w:pPr>
              <w:pStyle w:val="TableContents"/>
              <w:spacing w:lineRule="atLeast" w:line="180" w:before="0" w:after="283"/>
              <w:jc w:val="right"/>
              <w:rPr/>
            </w:pPr>
            <w:r>
              <w:rPr/>
              <w:t> </w:t>
            </w:r>
          </w:p>
        </w:tc>
        <w:tc>
          <w:tcPr>
            <w:tcW w:w="170"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55" w:type="dxa"/>
            <w:tcBorders/>
            <w:shd w:fill="auto" w:val="clear"/>
            <w:vAlign w:val="bottom"/>
          </w:tcPr>
          <w:p>
            <w:pPr>
              <w:pStyle w:val="TableContents"/>
              <w:spacing w:lineRule="atLeast" w:line="180" w:before="0" w:after="283"/>
              <w:rPr/>
            </w:pPr>
            <w:r>
              <w:rPr/>
              <w:t>​</w:t>
            </w:r>
          </w:p>
        </w:tc>
        <w:tc>
          <w:tcPr>
            <w:tcW w:w="69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$71,479</w:t>
            </w:r>
          </w:p>
        </w:tc>
        <w:tc>
          <w:tcPr>
            <w:tcW w:w="155" w:type="dxa"/>
            <w:tcBorders/>
            <w:shd w:fill="auto" w:val="clear"/>
            <w:vAlign w:val="bottom"/>
          </w:tcPr>
          <w:p>
            <w:pPr>
              <w:pStyle w:val="TableContents"/>
              <w:spacing w:lineRule="atLeast" w:line="180" w:before="0" w:after="283"/>
              <w:rPr/>
            </w:pPr>
            <w:r>
              <w:rPr/>
              <w:t>​</w:t>
            </w:r>
          </w:p>
        </w:tc>
        <w:tc>
          <w:tcPr>
            <w:tcW w:w="24" w:type="dxa"/>
            <w:tcBorders/>
            <w:shd w:fill="auto" w:val="clear"/>
            <w:vAlign w:val="bottom"/>
          </w:tcPr>
          <w:p>
            <w:pPr>
              <w:pStyle w:val="TableContents"/>
              <w:spacing w:lineRule="atLeast" w:line="180" w:before="0" w:after="283"/>
              <w:rPr/>
            </w:pPr>
            <w:r>
              <w:rPr/>
              <w:t>​</w:t>
            </w:r>
          </w:p>
        </w:tc>
      </w:tr>
      <w:tr>
        <w:trPr/>
        <w:tc>
          <w:tcPr>
            <w:tcW w:w="1508" w:type="dxa"/>
            <w:tcBorders/>
            <w:shd w:fill="auto" w:val="clear"/>
            <w:vAlign w:val="bottom"/>
          </w:tcPr>
          <w:p>
            <w:pPr>
              <w:pStyle w:val="TableContents"/>
              <w:spacing w:before="0" w:after="283"/>
              <w:ind w:left="140" w:right="0" w:hanging="140"/>
              <w:rPr>
                <w:sz w:val="4"/>
                <w:szCs w:val="4"/>
              </w:rPr>
            </w:pPr>
            <w:r>
              <w:rPr>
                <w:sz w:val="4"/>
                <w:szCs w:val="4"/>
              </w:rPr>
            </w:r>
          </w:p>
        </w:tc>
        <w:tc>
          <w:tcPr>
            <w:tcW w:w="23" w:type="dxa"/>
            <w:tcBorders/>
            <w:shd w:fill="auto" w:val="clear"/>
            <w:vAlign w:val="bottom"/>
          </w:tcPr>
          <w:p>
            <w:pPr>
              <w:pStyle w:val="TableContents"/>
              <w:spacing w:lineRule="atLeast" w:line="180" w:before="0" w:after="283"/>
              <w:rPr/>
            </w:pPr>
            <w:r>
              <w:rPr/>
              <w:t>​</w:t>
            </w:r>
          </w:p>
        </w:tc>
        <w:tc>
          <w:tcPr>
            <w:tcW w:w="31" w:type="dxa"/>
            <w:tcBorders/>
            <w:shd w:fill="auto" w:val="clear"/>
            <w:vAlign w:val="bottom"/>
          </w:tcPr>
          <w:p>
            <w:pPr>
              <w:pStyle w:val="TableContents"/>
              <w:spacing w:lineRule="atLeast" w:line="180" w:before="0" w:after="283"/>
              <w:rPr/>
            </w:pPr>
            <w:r>
              <w:rPr/>
              <w:t>​</w:t>
            </w:r>
          </w:p>
        </w:tc>
        <w:tc>
          <w:tcPr>
            <w:tcW w:w="3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2/26/20</w:t>
            </w:r>
          </w:p>
        </w:tc>
        <w:tc>
          <w:tcPr>
            <w:tcW w:w="125" w:type="dxa"/>
            <w:tcBorders/>
            <w:shd w:fill="auto" w:val="clear"/>
            <w:vAlign w:val="bottom"/>
          </w:tcPr>
          <w:p>
            <w:pPr>
              <w:pStyle w:val="TableContents"/>
              <w:spacing w:lineRule="atLeast" w:line="180" w:before="0" w:after="283"/>
              <w:rPr>
                <w:rFonts w:ascii="arial" w:hAnsi="arial"/>
                <w:sz w:val="12"/>
              </w:rPr>
            </w:pPr>
            <w:r>
              <w:rPr>
                <w:rFonts w:ascii="arial" w:hAnsi="arial"/>
                <w:sz w:val="12"/>
              </w:rPr>
              <w:t>(5)</w:t>
            </w:r>
          </w:p>
        </w:tc>
        <w:tc>
          <w:tcPr>
            <w:tcW w:w="23" w:type="dxa"/>
            <w:tcBorders/>
            <w:shd w:fill="auto" w:val="clear"/>
            <w:vAlign w:val="bottom"/>
          </w:tcPr>
          <w:p>
            <w:pPr>
              <w:pStyle w:val="TableContents"/>
              <w:spacing w:lineRule="atLeast" w:line="180" w:before="0" w:after="283"/>
              <w:rPr/>
            </w:pPr>
            <w:r>
              <w:rPr/>
              <w:t>​</w:t>
            </w:r>
          </w:p>
        </w:tc>
        <w:tc>
          <w:tcPr>
            <w:tcW w:w="353" w:type="dxa"/>
            <w:tcBorders/>
            <w:shd w:fill="auto" w:val="clear"/>
            <w:vAlign w:val="bottom"/>
          </w:tcPr>
          <w:p>
            <w:pPr>
              <w:pStyle w:val="TableContents"/>
              <w:spacing w:lineRule="atLeast" w:line="180" w:before="0" w:after="283"/>
              <w:rPr/>
            </w:pPr>
            <w:r>
              <w:rPr/>
              <w:t>​</w:t>
            </w:r>
          </w:p>
        </w:tc>
        <w:tc>
          <w:tcPr>
            <w:tcW w:w="122"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355" w:type="dxa"/>
            <w:tcBorders/>
            <w:shd w:fill="auto" w:val="clear"/>
            <w:vAlign w:val="bottom"/>
          </w:tcPr>
          <w:p>
            <w:pPr>
              <w:pStyle w:val="TableContents"/>
              <w:spacing w:lineRule="atLeast" w:line="180" w:before="0" w:after="283"/>
              <w:rPr/>
            </w:pPr>
            <w:r>
              <w:rPr/>
              <w:t>​</w:t>
            </w:r>
          </w:p>
        </w:tc>
        <w:tc>
          <w:tcPr>
            <w:tcW w:w="90" w:type="dxa"/>
            <w:tcBorders/>
            <w:shd w:fill="auto" w:val="clear"/>
            <w:vAlign w:val="bottom"/>
          </w:tcPr>
          <w:p>
            <w:pPr>
              <w:pStyle w:val="TableContents"/>
              <w:spacing w:lineRule="atLeast" w:line="180" w:before="0" w:after="283"/>
              <w:rPr/>
            </w:pPr>
            <w:r>
              <w:rPr/>
              <w:t>​</w:t>
            </w:r>
          </w:p>
        </w:tc>
        <w:tc>
          <w:tcPr>
            <w:tcW w:w="216" w:type="dxa"/>
            <w:tcBorders/>
            <w:shd w:fill="auto" w:val="clear"/>
            <w:vAlign w:val="bottom"/>
          </w:tcPr>
          <w:p>
            <w:pPr>
              <w:pStyle w:val="TableContents"/>
              <w:spacing w:lineRule="atLeast" w:line="180" w:before="0" w:after="283"/>
              <w:rPr/>
            </w:pPr>
            <w:r>
              <w:rPr/>
              <w:t>​</w:t>
            </w:r>
          </w:p>
        </w:tc>
        <w:tc>
          <w:tcPr>
            <w:tcW w:w="139"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75"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96" w:type="dxa"/>
            <w:tcBorders/>
            <w:shd w:fill="auto" w:val="clear"/>
            <w:vAlign w:val="bottom"/>
          </w:tcPr>
          <w:p>
            <w:pPr>
              <w:pStyle w:val="TableContents"/>
              <w:spacing w:lineRule="atLeast" w:line="180" w:before="0" w:after="283"/>
              <w:rPr/>
            </w:pPr>
            <w:r>
              <w:rPr/>
              <w:t>​</w:t>
            </w:r>
          </w:p>
        </w:tc>
        <w:tc>
          <w:tcPr>
            <w:tcW w:w="392"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97" w:type="dxa"/>
            <w:tcBorders/>
            <w:shd w:fill="auto" w:val="clear"/>
            <w:vAlign w:val="bottom"/>
          </w:tcPr>
          <w:p>
            <w:pPr>
              <w:pStyle w:val="TableContents"/>
              <w:spacing w:lineRule="atLeast" w:line="180" w:before="0" w:after="283"/>
              <w:rPr/>
            </w:pPr>
            <w:r>
              <w:rPr/>
              <w:t>​</w:t>
            </w:r>
          </w:p>
        </w:tc>
        <w:tc>
          <w:tcPr>
            <w:tcW w:w="24" w:type="dxa"/>
            <w:tcBorders/>
            <w:shd w:fill="auto" w:val="clear"/>
            <w:vAlign w:val="bottom"/>
          </w:tcPr>
          <w:p>
            <w:pPr>
              <w:pStyle w:val="TableContents"/>
              <w:spacing w:lineRule="atLeast" w:line="180" w:before="0" w:after="283"/>
              <w:rPr/>
            </w:pPr>
            <w:r>
              <w:rPr/>
              <w:t>​</w:t>
            </w:r>
          </w:p>
        </w:tc>
        <w:tc>
          <w:tcPr>
            <w:tcW w:w="122" w:type="dxa"/>
            <w:tcBorders/>
            <w:shd w:fill="auto" w:val="clear"/>
            <w:vAlign w:val="bottom"/>
          </w:tcPr>
          <w:p>
            <w:pPr>
              <w:pStyle w:val="TableContents"/>
              <w:spacing w:lineRule="atLeast" w:line="180" w:before="0" w:after="283"/>
              <w:rPr/>
            </w:pPr>
            <w:r>
              <w:rPr/>
              <w:t>​</w:t>
            </w:r>
          </w:p>
        </w:tc>
        <w:tc>
          <w:tcPr>
            <w:tcW w:w="583"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25" w:type="dxa"/>
            <w:tcBorders/>
            <w:shd w:fill="auto" w:val="clear"/>
            <w:vAlign w:val="bottom"/>
          </w:tcPr>
          <w:p>
            <w:pPr>
              <w:pStyle w:val="TableContents"/>
              <w:spacing w:lineRule="atLeast" w:line="180" w:before="0" w:after="283"/>
              <w:rPr/>
            </w:pPr>
            <w:r>
              <w:rPr/>
              <w:t>​</w:t>
            </w:r>
          </w:p>
        </w:tc>
        <w:tc>
          <w:tcPr>
            <w:tcW w:w="60" w:type="dxa"/>
            <w:tcBorders/>
            <w:shd w:fill="auto" w:val="clear"/>
            <w:vAlign w:val="bottom"/>
          </w:tcPr>
          <w:p>
            <w:pPr>
              <w:pStyle w:val="TableContents"/>
              <w:spacing w:lineRule="atLeast" w:line="180" w:before="0" w:after="283"/>
              <w:rPr/>
            </w:pPr>
            <w:r>
              <w:rPr/>
              <w:t>​</w:t>
            </w:r>
          </w:p>
        </w:tc>
        <w:tc>
          <w:tcPr>
            <w:tcW w:w="530"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3" w:type="dxa"/>
            <w:tcBorders/>
            <w:shd w:fill="auto" w:val="clear"/>
            <w:vAlign w:val="bottom"/>
          </w:tcPr>
          <w:p>
            <w:pPr>
              <w:pStyle w:val="TableContents"/>
              <w:spacing w:lineRule="atLeast" w:line="180" w:before="0" w:after="283"/>
              <w:rPr/>
            </w:pPr>
            <w:r>
              <w:rPr/>
              <w:t>​</w:t>
            </w:r>
          </w:p>
        </w:tc>
        <w:tc>
          <w:tcPr>
            <w:tcW w:w="196"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97"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70" w:type="dxa"/>
            <w:tcBorders/>
            <w:shd w:fill="auto" w:val="clear"/>
            <w:vAlign w:val="bottom"/>
          </w:tcPr>
          <w:p>
            <w:pPr>
              <w:pStyle w:val="TableContents"/>
              <w:spacing w:lineRule="atLeast" w:line="180" w:before="0" w:after="283"/>
              <w:rPr/>
            </w:pPr>
            <w:r>
              <w:rPr/>
              <w:t>​</w:t>
            </w:r>
          </w:p>
        </w:tc>
        <w:tc>
          <w:tcPr>
            <w:tcW w:w="516"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6,000</w:t>
            </w:r>
          </w:p>
        </w:tc>
        <w:tc>
          <w:tcPr>
            <w:tcW w:w="170"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222" w:type="dxa"/>
            <w:tcBorders/>
            <w:shd w:fill="auto" w:val="clear"/>
            <w:vAlign w:val="bottom"/>
          </w:tcPr>
          <w:p>
            <w:pPr>
              <w:pStyle w:val="TableContents"/>
              <w:spacing w:lineRule="atLeast" w:line="180" w:before="0" w:after="283"/>
              <w:rPr/>
            </w:pPr>
            <w:r>
              <w:rPr/>
              <w:t>​</w:t>
            </w:r>
          </w:p>
        </w:tc>
        <w:tc>
          <w:tcPr>
            <w:tcW w:w="444" w:type="dxa"/>
            <w:gridSpan w:val="2"/>
            <w:tcBorders/>
            <w:shd w:fill="auto" w:val="clear"/>
            <w:vAlign w:val="bottom"/>
          </w:tcPr>
          <w:p>
            <w:pPr>
              <w:pStyle w:val="TableContents"/>
              <w:spacing w:lineRule="atLeast" w:line="180" w:before="0" w:after="283"/>
              <w:jc w:val="right"/>
              <w:rPr/>
            </w:pPr>
            <w:r>
              <w:rPr/>
              <w:t> </w:t>
            </w:r>
          </w:p>
        </w:tc>
        <w:tc>
          <w:tcPr>
            <w:tcW w:w="224"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70" w:type="dxa"/>
            <w:tcBorders/>
            <w:shd w:fill="auto" w:val="clear"/>
            <w:vAlign w:val="bottom"/>
          </w:tcPr>
          <w:p>
            <w:pPr>
              <w:pStyle w:val="TableContents"/>
              <w:spacing w:lineRule="atLeast" w:line="180" w:before="0" w:after="283"/>
              <w:rPr/>
            </w:pPr>
            <w:r>
              <w:rPr/>
              <w:t>​</w:t>
            </w:r>
          </w:p>
        </w:tc>
        <w:tc>
          <w:tcPr>
            <w:tcW w:w="340" w:type="dxa"/>
            <w:gridSpan w:val="2"/>
            <w:tcBorders/>
            <w:shd w:fill="auto" w:val="clear"/>
            <w:vAlign w:val="bottom"/>
          </w:tcPr>
          <w:p>
            <w:pPr>
              <w:pStyle w:val="TableContents"/>
              <w:spacing w:lineRule="atLeast" w:line="180" w:before="0" w:after="283"/>
              <w:jc w:val="right"/>
              <w:rPr/>
            </w:pPr>
            <w:r>
              <w:rPr/>
              <w:t> </w:t>
            </w:r>
          </w:p>
        </w:tc>
        <w:tc>
          <w:tcPr>
            <w:tcW w:w="170"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55" w:type="dxa"/>
            <w:tcBorders/>
            <w:shd w:fill="auto" w:val="clear"/>
            <w:vAlign w:val="bottom"/>
          </w:tcPr>
          <w:p>
            <w:pPr>
              <w:pStyle w:val="TableContents"/>
              <w:spacing w:lineRule="atLeast" w:line="180" w:before="0" w:after="283"/>
              <w:rPr/>
            </w:pPr>
            <w:r>
              <w:rPr/>
              <w:t>​</w:t>
            </w:r>
          </w:p>
        </w:tc>
        <w:tc>
          <w:tcPr>
            <w:tcW w:w="69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$109,800</w:t>
            </w:r>
          </w:p>
        </w:tc>
        <w:tc>
          <w:tcPr>
            <w:tcW w:w="155" w:type="dxa"/>
            <w:tcBorders/>
            <w:shd w:fill="auto" w:val="clear"/>
            <w:vAlign w:val="bottom"/>
          </w:tcPr>
          <w:p>
            <w:pPr>
              <w:pStyle w:val="TableContents"/>
              <w:spacing w:lineRule="atLeast" w:line="180" w:before="0" w:after="283"/>
              <w:rPr/>
            </w:pPr>
            <w:r>
              <w:rPr/>
              <w:t>​</w:t>
            </w:r>
          </w:p>
        </w:tc>
        <w:tc>
          <w:tcPr>
            <w:tcW w:w="24" w:type="dxa"/>
            <w:tcBorders/>
            <w:shd w:fill="auto" w:val="clear"/>
            <w:vAlign w:val="bottom"/>
          </w:tcPr>
          <w:p>
            <w:pPr>
              <w:pStyle w:val="TableContents"/>
              <w:spacing w:lineRule="atLeast" w:line="180" w:before="0" w:after="283"/>
              <w:rPr/>
            </w:pPr>
            <w:r>
              <w:rPr/>
              <w:t>​</w:t>
            </w:r>
          </w:p>
        </w:tc>
      </w:tr>
      <w:tr>
        <w:trPr/>
        <w:tc>
          <w:tcPr>
            <w:tcW w:w="1508" w:type="dxa"/>
            <w:tcBorders/>
            <w:shd w:fill="auto" w:val="clear"/>
            <w:vAlign w:val="bottom"/>
          </w:tcPr>
          <w:p>
            <w:pPr>
              <w:pStyle w:val="TableContents"/>
              <w:spacing w:before="0" w:after="283"/>
              <w:ind w:left="140" w:right="0" w:hanging="140"/>
              <w:rPr>
                <w:sz w:val="4"/>
                <w:szCs w:val="4"/>
              </w:rPr>
            </w:pPr>
            <w:r>
              <w:rPr>
                <w:sz w:val="4"/>
                <w:szCs w:val="4"/>
              </w:rPr>
            </w:r>
          </w:p>
        </w:tc>
        <w:tc>
          <w:tcPr>
            <w:tcW w:w="23" w:type="dxa"/>
            <w:tcBorders/>
            <w:shd w:fill="auto" w:val="clear"/>
            <w:vAlign w:val="bottom"/>
          </w:tcPr>
          <w:p>
            <w:pPr>
              <w:pStyle w:val="TableContents"/>
              <w:spacing w:lineRule="atLeast" w:line="180" w:before="0" w:after="283"/>
              <w:rPr/>
            </w:pPr>
            <w:r>
              <w:rPr/>
              <w:t>​</w:t>
            </w:r>
          </w:p>
        </w:tc>
        <w:tc>
          <w:tcPr>
            <w:tcW w:w="31" w:type="dxa"/>
            <w:tcBorders/>
            <w:shd w:fill="auto" w:val="clear"/>
            <w:vAlign w:val="bottom"/>
          </w:tcPr>
          <w:p>
            <w:pPr>
              <w:pStyle w:val="TableContents"/>
              <w:spacing w:lineRule="atLeast" w:line="180" w:before="0" w:after="283"/>
              <w:rPr/>
            </w:pPr>
            <w:r>
              <w:rPr/>
              <w:t>​</w:t>
            </w:r>
          </w:p>
        </w:tc>
        <w:tc>
          <w:tcPr>
            <w:tcW w:w="3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2/26/20</w:t>
            </w:r>
          </w:p>
        </w:tc>
        <w:tc>
          <w:tcPr>
            <w:tcW w:w="125" w:type="dxa"/>
            <w:tcBorders/>
            <w:shd w:fill="auto" w:val="clear"/>
            <w:vAlign w:val="bottom"/>
          </w:tcPr>
          <w:p>
            <w:pPr>
              <w:pStyle w:val="TableContents"/>
              <w:spacing w:lineRule="atLeast" w:line="180" w:before="0" w:after="283"/>
              <w:rPr>
                <w:rFonts w:ascii="arial" w:hAnsi="arial"/>
                <w:sz w:val="12"/>
              </w:rPr>
            </w:pPr>
            <w:r>
              <w:rPr>
                <w:rFonts w:ascii="arial" w:hAnsi="arial"/>
                <w:sz w:val="12"/>
              </w:rPr>
              <w:t>(2)</w:t>
            </w:r>
          </w:p>
        </w:tc>
        <w:tc>
          <w:tcPr>
            <w:tcW w:w="23" w:type="dxa"/>
            <w:tcBorders/>
            <w:shd w:fill="auto" w:val="clear"/>
            <w:vAlign w:val="bottom"/>
          </w:tcPr>
          <w:p>
            <w:pPr>
              <w:pStyle w:val="TableContents"/>
              <w:spacing w:lineRule="atLeast" w:line="180" w:before="0" w:after="283"/>
              <w:rPr/>
            </w:pPr>
            <w:r>
              <w:rPr/>
              <w:t>​</w:t>
            </w:r>
          </w:p>
        </w:tc>
        <w:tc>
          <w:tcPr>
            <w:tcW w:w="353" w:type="dxa"/>
            <w:tcBorders/>
            <w:shd w:fill="auto" w:val="clear"/>
            <w:vAlign w:val="bottom"/>
          </w:tcPr>
          <w:p>
            <w:pPr>
              <w:pStyle w:val="TableContents"/>
              <w:spacing w:lineRule="atLeast" w:line="180" w:before="0" w:after="283"/>
              <w:rPr/>
            </w:pPr>
            <w:r>
              <w:rPr/>
              <w:t>​</w:t>
            </w:r>
          </w:p>
        </w:tc>
        <w:tc>
          <w:tcPr>
            <w:tcW w:w="122"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355" w:type="dxa"/>
            <w:tcBorders/>
            <w:shd w:fill="auto" w:val="clear"/>
            <w:vAlign w:val="bottom"/>
          </w:tcPr>
          <w:p>
            <w:pPr>
              <w:pStyle w:val="TableContents"/>
              <w:spacing w:lineRule="atLeast" w:line="180" w:before="0" w:after="283"/>
              <w:rPr/>
            </w:pPr>
            <w:r>
              <w:rPr/>
              <w:t>​</w:t>
            </w:r>
          </w:p>
        </w:tc>
        <w:tc>
          <w:tcPr>
            <w:tcW w:w="90" w:type="dxa"/>
            <w:tcBorders/>
            <w:shd w:fill="auto" w:val="clear"/>
            <w:vAlign w:val="bottom"/>
          </w:tcPr>
          <w:p>
            <w:pPr>
              <w:pStyle w:val="TableContents"/>
              <w:spacing w:lineRule="atLeast" w:line="180" w:before="0" w:after="283"/>
              <w:rPr/>
            </w:pPr>
            <w:r>
              <w:rPr/>
              <w:t>​</w:t>
            </w:r>
          </w:p>
        </w:tc>
        <w:tc>
          <w:tcPr>
            <w:tcW w:w="216" w:type="dxa"/>
            <w:tcBorders/>
            <w:shd w:fill="auto" w:val="clear"/>
            <w:vAlign w:val="bottom"/>
          </w:tcPr>
          <w:p>
            <w:pPr>
              <w:pStyle w:val="TableContents"/>
              <w:spacing w:lineRule="atLeast" w:line="180" w:before="0" w:after="283"/>
              <w:rPr/>
            </w:pPr>
            <w:r>
              <w:rPr/>
              <w:t>​</w:t>
            </w:r>
          </w:p>
        </w:tc>
        <w:tc>
          <w:tcPr>
            <w:tcW w:w="139"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75"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96" w:type="dxa"/>
            <w:tcBorders/>
            <w:shd w:fill="auto" w:val="clear"/>
            <w:vAlign w:val="bottom"/>
          </w:tcPr>
          <w:p>
            <w:pPr>
              <w:pStyle w:val="TableContents"/>
              <w:spacing w:lineRule="atLeast" w:line="180" w:before="0" w:after="283"/>
              <w:rPr/>
            </w:pPr>
            <w:r>
              <w:rPr/>
              <w:t>​</w:t>
            </w:r>
          </w:p>
        </w:tc>
        <w:tc>
          <w:tcPr>
            <w:tcW w:w="392"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97" w:type="dxa"/>
            <w:tcBorders/>
            <w:shd w:fill="auto" w:val="clear"/>
            <w:vAlign w:val="bottom"/>
          </w:tcPr>
          <w:p>
            <w:pPr>
              <w:pStyle w:val="TableContents"/>
              <w:spacing w:lineRule="atLeast" w:line="180" w:before="0" w:after="283"/>
              <w:rPr/>
            </w:pPr>
            <w:r>
              <w:rPr/>
              <w:t>​</w:t>
            </w:r>
          </w:p>
        </w:tc>
        <w:tc>
          <w:tcPr>
            <w:tcW w:w="24" w:type="dxa"/>
            <w:tcBorders/>
            <w:shd w:fill="auto" w:val="clear"/>
            <w:vAlign w:val="bottom"/>
          </w:tcPr>
          <w:p>
            <w:pPr>
              <w:pStyle w:val="TableContents"/>
              <w:spacing w:lineRule="atLeast" w:line="180" w:before="0" w:after="283"/>
              <w:rPr/>
            </w:pPr>
            <w:r>
              <w:rPr/>
              <w:t>​</w:t>
            </w:r>
          </w:p>
        </w:tc>
        <w:tc>
          <w:tcPr>
            <w:tcW w:w="122" w:type="dxa"/>
            <w:tcBorders/>
            <w:shd w:fill="auto" w:val="clear"/>
            <w:vAlign w:val="bottom"/>
          </w:tcPr>
          <w:p>
            <w:pPr>
              <w:pStyle w:val="TableContents"/>
              <w:spacing w:lineRule="atLeast" w:line="180" w:before="0" w:after="283"/>
              <w:rPr/>
            </w:pPr>
            <w:r>
              <w:rPr/>
              <w:t>​</w:t>
            </w:r>
          </w:p>
        </w:tc>
        <w:tc>
          <w:tcPr>
            <w:tcW w:w="583"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25" w:type="dxa"/>
            <w:tcBorders/>
            <w:shd w:fill="auto" w:val="clear"/>
            <w:vAlign w:val="bottom"/>
          </w:tcPr>
          <w:p>
            <w:pPr>
              <w:pStyle w:val="TableContents"/>
              <w:spacing w:lineRule="atLeast" w:line="180" w:before="0" w:after="283"/>
              <w:rPr/>
            </w:pPr>
            <w:r>
              <w:rPr/>
              <w:t>​</w:t>
            </w:r>
          </w:p>
        </w:tc>
        <w:tc>
          <w:tcPr>
            <w:tcW w:w="60" w:type="dxa"/>
            <w:tcBorders/>
            <w:shd w:fill="auto" w:val="clear"/>
            <w:vAlign w:val="bottom"/>
          </w:tcPr>
          <w:p>
            <w:pPr>
              <w:pStyle w:val="TableContents"/>
              <w:spacing w:lineRule="atLeast" w:line="180" w:before="0" w:after="283"/>
              <w:rPr/>
            </w:pPr>
            <w:r>
              <w:rPr/>
              <w:t>​</w:t>
            </w:r>
          </w:p>
        </w:tc>
        <w:tc>
          <w:tcPr>
            <w:tcW w:w="530"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3" w:type="dxa"/>
            <w:tcBorders/>
            <w:shd w:fill="auto" w:val="clear"/>
            <w:vAlign w:val="bottom"/>
          </w:tcPr>
          <w:p>
            <w:pPr>
              <w:pStyle w:val="TableContents"/>
              <w:spacing w:lineRule="atLeast" w:line="180" w:before="0" w:after="283"/>
              <w:rPr/>
            </w:pPr>
            <w:r>
              <w:rPr/>
              <w:t>​</w:t>
            </w:r>
          </w:p>
        </w:tc>
        <w:tc>
          <w:tcPr>
            <w:tcW w:w="196"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97"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70" w:type="dxa"/>
            <w:tcBorders/>
            <w:shd w:fill="auto" w:val="clear"/>
            <w:vAlign w:val="bottom"/>
          </w:tcPr>
          <w:p>
            <w:pPr>
              <w:pStyle w:val="TableContents"/>
              <w:spacing w:lineRule="atLeast" w:line="180" w:before="0" w:after="283"/>
              <w:rPr/>
            </w:pPr>
            <w:r>
              <w:rPr/>
              <w:t>​</w:t>
            </w:r>
          </w:p>
        </w:tc>
        <w:tc>
          <w:tcPr>
            <w:tcW w:w="516"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3,498</w:t>
            </w:r>
          </w:p>
        </w:tc>
        <w:tc>
          <w:tcPr>
            <w:tcW w:w="170"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222" w:type="dxa"/>
            <w:tcBorders/>
            <w:shd w:fill="auto" w:val="clear"/>
            <w:vAlign w:val="bottom"/>
          </w:tcPr>
          <w:p>
            <w:pPr>
              <w:pStyle w:val="TableContents"/>
              <w:spacing w:lineRule="atLeast" w:line="180" w:before="0" w:after="283"/>
              <w:rPr/>
            </w:pPr>
            <w:r>
              <w:rPr/>
              <w:t>​</w:t>
            </w:r>
          </w:p>
        </w:tc>
        <w:tc>
          <w:tcPr>
            <w:tcW w:w="444" w:type="dxa"/>
            <w:gridSpan w:val="2"/>
            <w:tcBorders/>
            <w:shd w:fill="auto" w:val="clear"/>
            <w:vAlign w:val="bottom"/>
          </w:tcPr>
          <w:p>
            <w:pPr>
              <w:pStyle w:val="TableContents"/>
              <w:spacing w:lineRule="atLeast" w:line="180" w:before="0" w:after="283"/>
              <w:jc w:val="right"/>
              <w:rPr/>
            </w:pPr>
            <w:r>
              <w:rPr/>
              <w:t> </w:t>
            </w:r>
          </w:p>
        </w:tc>
        <w:tc>
          <w:tcPr>
            <w:tcW w:w="224"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70" w:type="dxa"/>
            <w:tcBorders/>
            <w:shd w:fill="auto" w:val="clear"/>
            <w:vAlign w:val="bottom"/>
          </w:tcPr>
          <w:p>
            <w:pPr>
              <w:pStyle w:val="TableContents"/>
              <w:spacing w:lineRule="atLeast" w:line="180" w:before="0" w:after="283"/>
              <w:rPr/>
            </w:pPr>
            <w:r>
              <w:rPr/>
              <w:t>​</w:t>
            </w:r>
          </w:p>
        </w:tc>
        <w:tc>
          <w:tcPr>
            <w:tcW w:w="340" w:type="dxa"/>
            <w:gridSpan w:val="2"/>
            <w:tcBorders/>
            <w:shd w:fill="auto" w:val="clear"/>
            <w:vAlign w:val="bottom"/>
          </w:tcPr>
          <w:p>
            <w:pPr>
              <w:pStyle w:val="TableContents"/>
              <w:spacing w:lineRule="atLeast" w:line="180" w:before="0" w:after="283"/>
              <w:jc w:val="right"/>
              <w:rPr/>
            </w:pPr>
            <w:r>
              <w:rPr/>
              <w:t> </w:t>
            </w:r>
          </w:p>
        </w:tc>
        <w:tc>
          <w:tcPr>
            <w:tcW w:w="170"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55" w:type="dxa"/>
            <w:tcBorders/>
            <w:shd w:fill="auto" w:val="clear"/>
            <w:vAlign w:val="bottom"/>
          </w:tcPr>
          <w:p>
            <w:pPr>
              <w:pStyle w:val="TableContents"/>
              <w:spacing w:lineRule="atLeast" w:line="180" w:before="0" w:after="283"/>
              <w:rPr/>
            </w:pPr>
            <w:r>
              <w:rPr/>
              <w:t>​</w:t>
            </w:r>
          </w:p>
        </w:tc>
        <w:tc>
          <w:tcPr>
            <w:tcW w:w="69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$63,996</w:t>
            </w:r>
          </w:p>
        </w:tc>
        <w:tc>
          <w:tcPr>
            <w:tcW w:w="155" w:type="dxa"/>
            <w:tcBorders/>
            <w:shd w:fill="auto" w:val="clear"/>
            <w:vAlign w:val="bottom"/>
          </w:tcPr>
          <w:p>
            <w:pPr>
              <w:pStyle w:val="TableContents"/>
              <w:spacing w:lineRule="atLeast" w:line="180" w:before="0" w:after="283"/>
              <w:rPr/>
            </w:pPr>
            <w:r>
              <w:rPr/>
              <w:t>​</w:t>
            </w:r>
          </w:p>
        </w:tc>
        <w:tc>
          <w:tcPr>
            <w:tcW w:w="24" w:type="dxa"/>
            <w:tcBorders/>
            <w:shd w:fill="auto" w:val="clear"/>
            <w:vAlign w:val="bottom"/>
          </w:tcPr>
          <w:p>
            <w:pPr>
              <w:pStyle w:val="TableContents"/>
              <w:spacing w:lineRule="atLeast" w:line="180" w:before="0" w:after="283"/>
              <w:rPr/>
            </w:pPr>
            <w:r>
              <w:rPr/>
              <w:t>​</w:t>
            </w:r>
          </w:p>
        </w:tc>
      </w:tr>
      <w:tr>
        <w:trPr/>
        <w:tc>
          <w:tcPr>
            <w:tcW w:w="1508" w:type="dxa"/>
            <w:tcBorders/>
            <w:shd w:fill="auto" w:val="clear"/>
            <w:vAlign w:val="bottom"/>
          </w:tcPr>
          <w:p>
            <w:pPr>
              <w:pStyle w:val="TableContents"/>
              <w:spacing w:before="0" w:after="283"/>
              <w:ind w:left="140" w:right="0" w:hanging="140"/>
              <w:rPr>
                <w:sz w:val="4"/>
                <w:szCs w:val="4"/>
              </w:rPr>
            </w:pPr>
            <w:r>
              <w:rPr>
                <w:sz w:val="4"/>
                <w:szCs w:val="4"/>
              </w:rPr>
            </w:r>
          </w:p>
        </w:tc>
        <w:tc>
          <w:tcPr>
            <w:tcW w:w="23" w:type="dxa"/>
            <w:tcBorders/>
            <w:shd w:fill="auto" w:val="clear"/>
            <w:vAlign w:val="bottom"/>
          </w:tcPr>
          <w:p>
            <w:pPr>
              <w:pStyle w:val="TableContents"/>
              <w:spacing w:lineRule="atLeast" w:line="180" w:before="0" w:after="283"/>
              <w:rPr/>
            </w:pPr>
            <w:r>
              <w:rPr/>
              <w:t>​</w:t>
            </w:r>
          </w:p>
        </w:tc>
        <w:tc>
          <w:tcPr>
            <w:tcW w:w="31" w:type="dxa"/>
            <w:tcBorders/>
            <w:shd w:fill="auto" w:val="clear"/>
            <w:vAlign w:val="bottom"/>
          </w:tcPr>
          <w:p>
            <w:pPr>
              <w:pStyle w:val="TableContents"/>
              <w:spacing w:lineRule="atLeast" w:line="180" w:before="0" w:after="283"/>
              <w:rPr/>
            </w:pPr>
            <w:r>
              <w:rPr/>
              <w:t>​</w:t>
            </w:r>
          </w:p>
        </w:tc>
        <w:tc>
          <w:tcPr>
            <w:tcW w:w="3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10/01/20</w:t>
            </w:r>
          </w:p>
        </w:tc>
        <w:tc>
          <w:tcPr>
            <w:tcW w:w="125" w:type="dxa"/>
            <w:tcBorders/>
            <w:shd w:fill="auto" w:val="clear"/>
            <w:vAlign w:val="bottom"/>
          </w:tcPr>
          <w:p>
            <w:pPr>
              <w:pStyle w:val="TableContents"/>
              <w:spacing w:lineRule="atLeast" w:line="180" w:before="0" w:after="283"/>
              <w:rPr>
                <w:rFonts w:ascii="arial" w:hAnsi="arial"/>
                <w:sz w:val="12"/>
              </w:rPr>
            </w:pPr>
            <w:r>
              <w:rPr>
                <w:rFonts w:ascii="arial" w:hAnsi="arial"/>
                <w:sz w:val="12"/>
              </w:rPr>
              <w:t>(5)</w:t>
            </w:r>
          </w:p>
        </w:tc>
        <w:tc>
          <w:tcPr>
            <w:tcW w:w="23" w:type="dxa"/>
            <w:tcBorders/>
            <w:shd w:fill="auto" w:val="clear"/>
            <w:vAlign w:val="bottom"/>
          </w:tcPr>
          <w:p>
            <w:pPr>
              <w:pStyle w:val="TableContents"/>
              <w:spacing w:lineRule="atLeast" w:line="180" w:before="0" w:after="283"/>
              <w:rPr/>
            </w:pPr>
            <w:r>
              <w:rPr/>
              <w:t>​</w:t>
            </w:r>
          </w:p>
        </w:tc>
        <w:tc>
          <w:tcPr>
            <w:tcW w:w="353" w:type="dxa"/>
            <w:tcBorders/>
            <w:shd w:fill="auto" w:val="clear"/>
            <w:vAlign w:val="bottom"/>
          </w:tcPr>
          <w:p>
            <w:pPr>
              <w:pStyle w:val="TableContents"/>
              <w:spacing w:lineRule="atLeast" w:line="180" w:before="0" w:after="283"/>
              <w:rPr/>
            </w:pPr>
            <w:r>
              <w:rPr/>
              <w:t>​</w:t>
            </w:r>
          </w:p>
        </w:tc>
        <w:tc>
          <w:tcPr>
            <w:tcW w:w="122"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355" w:type="dxa"/>
            <w:tcBorders/>
            <w:shd w:fill="auto" w:val="clear"/>
            <w:vAlign w:val="bottom"/>
          </w:tcPr>
          <w:p>
            <w:pPr>
              <w:pStyle w:val="TableContents"/>
              <w:spacing w:lineRule="atLeast" w:line="180" w:before="0" w:after="283"/>
              <w:rPr/>
            </w:pPr>
            <w:r>
              <w:rPr/>
              <w:t>​</w:t>
            </w:r>
          </w:p>
        </w:tc>
        <w:tc>
          <w:tcPr>
            <w:tcW w:w="90" w:type="dxa"/>
            <w:tcBorders/>
            <w:shd w:fill="auto" w:val="clear"/>
            <w:vAlign w:val="bottom"/>
          </w:tcPr>
          <w:p>
            <w:pPr>
              <w:pStyle w:val="TableContents"/>
              <w:spacing w:lineRule="atLeast" w:line="180" w:before="0" w:after="283"/>
              <w:rPr/>
            </w:pPr>
            <w:r>
              <w:rPr/>
              <w:t>​</w:t>
            </w:r>
          </w:p>
        </w:tc>
        <w:tc>
          <w:tcPr>
            <w:tcW w:w="216" w:type="dxa"/>
            <w:tcBorders/>
            <w:shd w:fill="auto" w:val="clear"/>
            <w:vAlign w:val="bottom"/>
          </w:tcPr>
          <w:p>
            <w:pPr>
              <w:pStyle w:val="TableContents"/>
              <w:spacing w:lineRule="atLeast" w:line="180" w:before="0" w:after="283"/>
              <w:rPr/>
            </w:pPr>
            <w:r>
              <w:rPr/>
              <w:t>​</w:t>
            </w:r>
          </w:p>
        </w:tc>
        <w:tc>
          <w:tcPr>
            <w:tcW w:w="139"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75"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96" w:type="dxa"/>
            <w:tcBorders/>
            <w:shd w:fill="auto" w:val="clear"/>
            <w:vAlign w:val="bottom"/>
          </w:tcPr>
          <w:p>
            <w:pPr>
              <w:pStyle w:val="TableContents"/>
              <w:spacing w:lineRule="atLeast" w:line="180" w:before="0" w:after="283"/>
              <w:rPr/>
            </w:pPr>
            <w:r>
              <w:rPr/>
              <w:t>​</w:t>
            </w:r>
          </w:p>
        </w:tc>
        <w:tc>
          <w:tcPr>
            <w:tcW w:w="392"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97" w:type="dxa"/>
            <w:tcBorders/>
            <w:shd w:fill="auto" w:val="clear"/>
            <w:vAlign w:val="bottom"/>
          </w:tcPr>
          <w:p>
            <w:pPr>
              <w:pStyle w:val="TableContents"/>
              <w:spacing w:lineRule="atLeast" w:line="180" w:before="0" w:after="283"/>
              <w:rPr/>
            </w:pPr>
            <w:r>
              <w:rPr/>
              <w:t>​</w:t>
            </w:r>
          </w:p>
        </w:tc>
        <w:tc>
          <w:tcPr>
            <w:tcW w:w="24" w:type="dxa"/>
            <w:tcBorders/>
            <w:shd w:fill="auto" w:val="clear"/>
            <w:vAlign w:val="bottom"/>
          </w:tcPr>
          <w:p>
            <w:pPr>
              <w:pStyle w:val="TableContents"/>
              <w:spacing w:lineRule="atLeast" w:line="180" w:before="0" w:after="283"/>
              <w:rPr/>
            </w:pPr>
            <w:r>
              <w:rPr/>
              <w:t>​</w:t>
            </w:r>
          </w:p>
        </w:tc>
        <w:tc>
          <w:tcPr>
            <w:tcW w:w="122" w:type="dxa"/>
            <w:tcBorders/>
            <w:shd w:fill="auto" w:val="clear"/>
            <w:vAlign w:val="bottom"/>
          </w:tcPr>
          <w:p>
            <w:pPr>
              <w:pStyle w:val="TableContents"/>
              <w:spacing w:lineRule="atLeast" w:line="180" w:before="0" w:after="283"/>
              <w:rPr/>
            </w:pPr>
            <w:r>
              <w:rPr/>
              <w:t>​</w:t>
            </w:r>
          </w:p>
        </w:tc>
        <w:tc>
          <w:tcPr>
            <w:tcW w:w="583"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25" w:type="dxa"/>
            <w:tcBorders/>
            <w:shd w:fill="auto" w:val="clear"/>
            <w:vAlign w:val="bottom"/>
          </w:tcPr>
          <w:p>
            <w:pPr>
              <w:pStyle w:val="TableContents"/>
              <w:spacing w:lineRule="atLeast" w:line="180" w:before="0" w:after="283"/>
              <w:rPr/>
            </w:pPr>
            <w:r>
              <w:rPr/>
              <w:t>​</w:t>
            </w:r>
          </w:p>
        </w:tc>
        <w:tc>
          <w:tcPr>
            <w:tcW w:w="60" w:type="dxa"/>
            <w:tcBorders/>
            <w:shd w:fill="auto" w:val="clear"/>
            <w:vAlign w:val="bottom"/>
          </w:tcPr>
          <w:p>
            <w:pPr>
              <w:pStyle w:val="TableContents"/>
              <w:spacing w:lineRule="atLeast" w:line="180" w:before="0" w:after="283"/>
              <w:rPr/>
            </w:pPr>
            <w:r>
              <w:rPr/>
              <w:t>​</w:t>
            </w:r>
          </w:p>
        </w:tc>
        <w:tc>
          <w:tcPr>
            <w:tcW w:w="530"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3" w:type="dxa"/>
            <w:tcBorders/>
            <w:shd w:fill="auto" w:val="clear"/>
            <w:vAlign w:val="bottom"/>
          </w:tcPr>
          <w:p>
            <w:pPr>
              <w:pStyle w:val="TableContents"/>
              <w:spacing w:lineRule="atLeast" w:line="180" w:before="0" w:after="283"/>
              <w:rPr/>
            </w:pPr>
            <w:r>
              <w:rPr/>
              <w:t>​</w:t>
            </w:r>
          </w:p>
        </w:tc>
        <w:tc>
          <w:tcPr>
            <w:tcW w:w="196"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97"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70" w:type="dxa"/>
            <w:tcBorders/>
            <w:shd w:fill="auto" w:val="clear"/>
            <w:vAlign w:val="bottom"/>
          </w:tcPr>
          <w:p>
            <w:pPr>
              <w:pStyle w:val="TableContents"/>
              <w:spacing w:lineRule="atLeast" w:line="180" w:before="0" w:after="283"/>
              <w:rPr/>
            </w:pPr>
            <w:r>
              <w:rPr/>
              <w:t>​</w:t>
            </w:r>
          </w:p>
        </w:tc>
        <w:tc>
          <w:tcPr>
            <w:tcW w:w="516"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4,750</w:t>
            </w:r>
          </w:p>
        </w:tc>
        <w:tc>
          <w:tcPr>
            <w:tcW w:w="170"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222" w:type="dxa"/>
            <w:tcBorders/>
            <w:shd w:fill="auto" w:val="clear"/>
            <w:vAlign w:val="bottom"/>
          </w:tcPr>
          <w:p>
            <w:pPr>
              <w:pStyle w:val="TableContents"/>
              <w:spacing w:lineRule="atLeast" w:line="180" w:before="0" w:after="283"/>
              <w:rPr/>
            </w:pPr>
            <w:r>
              <w:rPr/>
              <w:t>​</w:t>
            </w:r>
          </w:p>
        </w:tc>
        <w:tc>
          <w:tcPr>
            <w:tcW w:w="444" w:type="dxa"/>
            <w:gridSpan w:val="2"/>
            <w:tcBorders/>
            <w:shd w:fill="auto" w:val="clear"/>
            <w:vAlign w:val="bottom"/>
          </w:tcPr>
          <w:p>
            <w:pPr>
              <w:pStyle w:val="TableContents"/>
              <w:spacing w:lineRule="atLeast" w:line="180" w:before="0" w:after="283"/>
              <w:jc w:val="right"/>
              <w:rPr/>
            </w:pPr>
            <w:r>
              <w:rPr/>
              <w:t> </w:t>
            </w:r>
          </w:p>
        </w:tc>
        <w:tc>
          <w:tcPr>
            <w:tcW w:w="224"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70" w:type="dxa"/>
            <w:tcBorders/>
            <w:shd w:fill="auto" w:val="clear"/>
            <w:vAlign w:val="bottom"/>
          </w:tcPr>
          <w:p>
            <w:pPr>
              <w:pStyle w:val="TableContents"/>
              <w:spacing w:lineRule="atLeast" w:line="180" w:before="0" w:after="283"/>
              <w:rPr/>
            </w:pPr>
            <w:r>
              <w:rPr/>
              <w:t>​</w:t>
            </w:r>
          </w:p>
        </w:tc>
        <w:tc>
          <w:tcPr>
            <w:tcW w:w="340" w:type="dxa"/>
            <w:gridSpan w:val="2"/>
            <w:tcBorders/>
            <w:shd w:fill="auto" w:val="clear"/>
            <w:vAlign w:val="bottom"/>
          </w:tcPr>
          <w:p>
            <w:pPr>
              <w:pStyle w:val="TableContents"/>
              <w:spacing w:lineRule="atLeast" w:line="180" w:before="0" w:after="283"/>
              <w:jc w:val="right"/>
              <w:rPr/>
            </w:pPr>
            <w:r>
              <w:rPr/>
              <w:t> </w:t>
            </w:r>
          </w:p>
        </w:tc>
        <w:tc>
          <w:tcPr>
            <w:tcW w:w="170"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55" w:type="dxa"/>
            <w:tcBorders/>
            <w:shd w:fill="auto" w:val="clear"/>
            <w:vAlign w:val="bottom"/>
          </w:tcPr>
          <w:p>
            <w:pPr>
              <w:pStyle w:val="TableContents"/>
              <w:spacing w:lineRule="atLeast" w:line="180" w:before="0" w:after="283"/>
              <w:rPr/>
            </w:pPr>
            <w:r>
              <w:rPr/>
              <w:t>​</w:t>
            </w:r>
          </w:p>
        </w:tc>
        <w:tc>
          <w:tcPr>
            <w:tcW w:w="69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$59,803</w:t>
            </w:r>
          </w:p>
        </w:tc>
        <w:tc>
          <w:tcPr>
            <w:tcW w:w="155" w:type="dxa"/>
            <w:tcBorders/>
            <w:shd w:fill="auto" w:val="clear"/>
            <w:vAlign w:val="bottom"/>
          </w:tcPr>
          <w:p>
            <w:pPr>
              <w:pStyle w:val="TableContents"/>
              <w:spacing w:lineRule="atLeast" w:line="180" w:before="0" w:after="283"/>
              <w:rPr/>
            </w:pPr>
            <w:r>
              <w:rPr/>
              <w:t>​</w:t>
            </w:r>
          </w:p>
        </w:tc>
        <w:tc>
          <w:tcPr>
            <w:tcW w:w="24" w:type="dxa"/>
            <w:tcBorders/>
            <w:shd w:fill="auto" w:val="clear"/>
            <w:vAlign w:val="bottom"/>
          </w:tcPr>
          <w:p>
            <w:pPr>
              <w:pStyle w:val="TableContents"/>
              <w:spacing w:lineRule="atLeast" w:line="180" w:before="0" w:after="283"/>
              <w:rPr/>
            </w:pPr>
            <w:r>
              <w:rPr/>
              <w:t>​</w:t>
            </w:r>
          </w:p>
        </w:tc>
      </w:tr>
      <w:tr>
        <w:trPr/>
        <w:tc>
          <w:tcPr>
            <w:tcW w:w="1508" w:type="dxa"/>
            <w:tcBorders/>
            <w:shd w:fill="auto" w:val="clear"/>
            <w:vAlign w:val="bottom"/>
          </w:tcPr>
          <w:p>
            <w:pPr>
              <w:pStyle w:val="TableContents"/>
              <w:spacing w:before="0" w:after="283"/>
              <w:ind w:left="140" w:right="0" w:hanging="140"/>
              <w:rPr>
                <w:sz w:val="4"/>
                <w:szCs w:val="4"/>
              </w:rPr>
            </w:pPr>
            <w:r>
              <w:rPr>
                <w:sz w:val="4"/>
                <w:szCs w:val="4"/>
              </w:rPr>
            </w:r>
          </w:p>
        </w:tc>
        <w:tc>
          <w:tcPr>
            <w:tcW w:w="23" w:type="dxa"/>
            <w:tcBorders/>
            <w:shd w:fill="auto" w:val="clear"/>
            <w:vAlign w:val="bottom"/>
          </w:tcPr>
          <w:p>
            <w:pPr>
              <w:pStyle w:val="TableContents"/>
              <w:spacing w:lineRule="atLeast" w:line="180" w:before="0" w:after="283"/>
              <w:rPr/>
            </w:pPr>
            <w:r>
              <w:rPr/>
              <w:t>​</w:t>
            </w:r>
          </w:p>
        </w:tc>
        <w:tc>
          <w:tcPr>
            <w:tcW w:w="31" w:type="dxa"/>
            <w:tcBorders/>
            <w:shd w:fill="auto" w:val="clear"/>
            <w:vAlign w:val="bottom"/>
          </w:tcPr>
          <w:p>
            <w:pPr>
              <w:pStyle w:val="TableContents"/>
              <w:spacing w:lineRule="atLeast" w:line="180" w:before="0" w:after="283"/>
              <w:rPr/>
            </w:pPr>
            <w:r>
              <w:rPr/>
              <w:t>​</w:t>
            </w:r>
          </w:p>
        </w:tc>
        <w:tc>
          <w:tcPr>
            <w:tcW w:w="3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10/01/20</w:t>
            </w:r>
          </w:p>
        </w:tc>
        <w:tc>
          <w:tcPr>
            <w:tcW w:w="125" w:type="dxa"/>
            <w:tcBorders/>
            <w:shd w:fill="auto" w:val="clear"/>
            <w:vAlign w:val="bottom"/>
          </w:tcPr>
          <w:p>
            <w:pPr>
              <w:pStyle w:val="TableContents"/>
              <w:spacing w:lineRule="atLeast" w:line="180" w:before="0" w:after="283"/>
              <w:rPr>
                <w:rFonts w:ascii="arial" w:hAnsi="arial"/>
                <w:sz w:val="12"/>
              </w:rPr>
            </w:pPr>
            <w:r>
              <w:rPr>
                <w:rFonts w:ascii="arial" w:hAnsi="arial"/>
                <w:sz w:val="12"/>
              </w:rPr>
              <w:t>(6)</w:t>
            </w:r>
          </w:p>
        </w:tc>
        <w:tc>
          <w:tcPr>
            <w:tcW w:w="23" w:type="dxa"/>
            <w:tcBorders/>
            <w:shd w:fill="auto" w:val="clear"/>
            <w:vAlign w:val="bottom"/>
          </w:tcPr>
          <w:p>
            <w:pPr>
              <w:pStyle w:val="TableContents"/>
              <w:spacing w:lineRule="atLeast" w:line="180" w:before="0" w:after="283"/>
              <w:rPr/>
            </w:pPr>
            <w:r>
              <w:rPr/>
              <w:t>​</w:t>
            </w:r>
          </w:p>
        </w:tc>
        <w:tc>
          <w:tcPr>
            <w:tcW w:w="353" w:type="dxa"/>
            <w:tcBorders/>
            <w:shd w:fill="auto" w:val="clear"/>
            <w:vAlign w:val="bottom"/>
          </w:tcPr>
          <w:p>
            <w:pPr>
              <w:pStyle w:val="TableContents"/>
              <w:spacing w:lineRule="atLeast" w:line="180" w:before="0" w:after="283"/>
              <w:rPr/>
            </w:pPr>
            <w:r>
              <w:rPr/>
              <w:t>​</w:t>
            </w:r>
          </w:p>
        </w:tc>
        <w:tc>
          <w:tcPr>
            <w:tcW w:w="122"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355" w:type="dxa"/>
            <w:tcBorders/>
            <w:shd w:fill="auto" w:val="clear"/>
            <w:vAlign w:val="bottom"/>
          </w:tcPr>
          <w:p>
            <w:pPr>
              <w:pStyle w:val="TableContents"/>
              <w:spacing w:lineRule="atLeast" w:line="180" w:before="0" w:after="283"/>
              <w:rPr/>
            </w:pPr>
            <w:r>
              <w:rPr/>
              <w:t>​</w:t>
            </w:r>
          </w:p>
        </w:tc>
        <w:tc>
          <w:tcPr>
            <w:tcW w:w="90" w:type="dxa"/>
            <w:tcBorders/>
            <w:shd w:fill="auto" w:val="clear"/>
            <w:vAlign w:val="bottom"/>
          </w:tcPr>
          <w:p>
            <w:pPr>
              <w:pStyle w:val="TableContents"/>
              <w:spacing w:lineRule="atLeast" w:line="180" w:before="0" w:after="283"/>
              <w:rPr/>
            </w:pPr>
            <w:r>
              <w:rPr/>
              <w:t>​</w:t>
            </w:r>
          </w:p>
        </w:tc>
        <w:tc>
          <w:tcPr>
            <w:tcW w:w="216" w:type="dxa"/>
            <w:tcBorders/>
            <w:shd w:fill="auto" w:val="clear"/>
            <w:vAlign w:val="bottom"/>
          </w:tcPr>
          <w:p>
            <w:pPr>
              <w:pStyle w:val="TableContents"/>
              <w:spacing w:lineRule="atLeast" w:line="180" w:before="0" w:after="283"/>
              <w:rPr/>
            </w:pPr>
            <w:r>
              <w:rPr/>
              <w:t>​</w:t>
            </w:r>
          </w:p>
        </w:tc>
        <w:tc>
          <w:tcPr>
            <w:tcW w:w="139"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75"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96" w:type="dxa"/>
            <w:tcBorders/>
            <w:shd w:fill="auto" w:val="clear"/>
            <w:vAlign w:val="bottom"/>
          </w:tcPr>
          <w:p>
            <w:pPr>
              <w:pStyle w:val="TableContents"/>
              <w:spacing w:lineRule="atLeast" w:line="180" w:before="0" w:after="283"/>
              <w:rPr/>
            </w:pPr>
            <w:r>
              <w:rPr/>
              <w:t>​</w:t>
            </w:r>
          </w:p>
        </w:tc>
        <w:tc>
          <w:tcPr>
            <w:tcW w:w="392"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97" w:type="dxa"/>
            <w:tcBorders/>
            <w:shd w:fill="auto" w:val="clear"/>
            <w:vAlign w:val="bottom"/>
          </w:tcPr>
          <w:p>
            <w:pPr>
              <w:pStyle w:val="TableContents"/>
              <w:spacing w:lineRule="atLeast" w:line="180" w:before="0" w:after="283"/>
              <w:rPr/>
            </w:pPr>
            <w:r>
              <w:rPr/>
              <w:t>​</w:t>
            </w:r>
          </w:p>
        </w:tc>
        <w:tc>
          <w:tcPr>
            <w:tcW w:w="24" w:type="dxa"/>
            <w:tcBorders/>
            <w:shd w:fill="auto" w:val="clear"/>
            <w:vAlign w:val="bottom"/>
          </w:tcPr>
          <w:p>
            <w:pPr>
              <w:pStyle w:val="TableContents"/>
              <w:spacing w:lineRule="atLeast" w:line="180" w:before="0" w:after="283"/>
              <w:rPr/>
            </w:pPr>
            <w:r>
              <w:rPr/>
              <w:t>​</w:t>
            </w:r>
          </w:p>
        </w:tc>
        <w:tc>
          <w:tcPr>
            <w:tcW w:w="122" w:type="dxa"/>
            <w:tcBorders/>
            <w:shd w:fill="auto" w:val="clear"/>
            <w:vAlign w:val="bottom"/>
          </w:tcPr>
          <w:p>
            <w:pPr>
              <w:pStyle w:val="TableContents"/>
              <w:spacing w:lineRule="atLeast" w:line="180" w:before="0" w:after="283"/>
              <w:rPr/>
            </w:pPr>
            <w:r>
              <w:rPr/>
              <w:t>​</w:t>
            </w:r>
          </w:p>
        </w:tc>
        <w:tc>
          <w:tcPr>
            <w:tcW w:w="583"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25" w:type="dxa"/>
            <w:tcBorders/>
            <w:shd w:fill="auto" w:val="clear"/>
            <w:vAlign w:val="bottom"/>
          </w:tcPr>
          <w:p>
            <w:pPr>
              <w:pStyle w:val="TableContents"/>
              <w:spacing w:lineRule="atLeast" w:line="180" w:before="0" w:after="283"/>
              <w:rPr/>
            </w:pPr>
            <w:r>
              <w:rPr/>
              <w:t>​</w:t>
            </w:r>
          </w:p>
        </w:tc>
        <w:tc>
          <w:tcPr>
            <w:tcW w:w="60" w:type="dxa"/>
            <w:tcBorders/>
            <w:shd w:fill="auto" w:val="clear"/>
            <w:vAlign w:val="bottom"/>
          </w:tcPr>
          <w:p>
            <w:pPr>
              <w:pStyle w:val="TableContents"/>
              <w:spacing w:lineRule="atLeast" w:line="180" w:before="0" w:after="283"/>
              <w:rPr/>
            </w:pPr>
            <w:r>
              <w:rPr/>
              <w:t>​</w:t>
            </w:r>
          </w:p>
        </w:tc>
        <w:tc>
          <w:tcPr>
            <w:tcW w:w="530"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3" w:type="dxa"/>
            <w:tcBorders/>
            <w:shd w:fill="auto" w:val="clear"/>
            <w:vAlign w:val="bottom"/>
          </w:tcPr>
          <w:p>
            <w:pPr>
              <w:pStyle w:val="TableContents"/>
              <w:spacing w:lineRule="atLeast" w:line="180" w:before="0" w:after="283"/>
              <w:rPr/>
            </w:pPr>
            <w:r>
              <w:rPr/>
              <w:t>​</w:t>
            </w:r>
          </w:p>
        </w:tc>
        <w:tc>
          <w:tcPr>
            <w:tcW w:w="196"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97"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70" w:type="dxa"/>
            <w:tcBorders/>
            <w:shd w:fill="auto" w:val="clear"/>
            <w:vAlign w:val="bottom"/>
          </w:tcPr>
          <w:p>
            <w:pPr>
              <w:pStyle w:val="TableContents"/>
              <w:spacing w:lineRule="atLeast" w:line="180" w:before="0" w:after="283"/>
              <w:rPr/>
            </w:pPr>
            <w:r>
              <w:rPr/>
              <w:t>​</w:t>
            </w:r>
          </w:p>
        </w:tc>
        <w:tc>
          <w:tcPr>
            <w:tcW w:w="516"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19,000</w:t>
            </w:r>
          </w:p>
        </w:tc>
        <w:tc>
          <w:tcPr>
            <w:tcW w:w="170"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222" w:type="dxa"/>
            <w:tcBorders/>
            <w:shd w:fill="auto" w:val="clear"/>
            <w:vAlign w:val="bottom"/>
          </w:tcPr>
          <w:p>
            <w:pPr>
              <w:pStyle w:val="TableContents"/>
              <w:spacing w:lineRule="atLeast" w:line="180" w:before="0" w:after="283"/>
              <w:rPr/>
            </w:pPr>
            <w:r>
              <w:rPr/>
              <w:t>​</w:t>
            </w:r>
          </w:p>
        </w:tc>
        <w:tc>
          <w:tcPr>
            <w:tcW w:w="444" w:type="dxa"/>
            <w:gridSpan w:val="2"/>
            <w:tcBorders/>
            <w:shd w:fill="auto" w:val="clear"/>
            <w:vAlign w:val="bottom"/>
          </w:tcPr>
          <w:p>
            <w:pPr>
              <w:pStyle w:val="TableContents"/>
              <w:spacing w:lineRule="atLeast" w:line="180" w:before="0" w:after="283"/>
              <w:jc w:val="right"/>
              <w:rPr/>
            </w:pPr>
            <w:r>
              <w:rPr/>
              <w:t> </w:t>
            </w:r>
          </w:p>
        </w:tc>
        <w:tc>
          <w:tcPr>
            <w:tcW w:w="224"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70" w:type="dxa"/>
            <w:tcBorders/>
            <w:shd w:fill="auto" w:val="clear"/>
            <w:vAlign w:val="bottom"/>
          </w:tcPr>
          <w:p>
            <w:pPr>
              <w:pStyle w:val="TableContents"/>
              <w:spacing w:lineRule="atLeast" w:line="180" w:before="0" w:after="283"/>
              <w:rPr/>
            </w:pPr>
            <w:r>
              <w:rPr/>
              <w:t>​</w:t>
            </w:r>
          </w:p>
        </w:tc>
        <w:tc>
          <w:tcPr>
            <w:tcW w:w="340" w:type="dxa"/>
            <w:gridSpan w:val="2"/>
            <w:tcBorders/>
            <w:shd w:fill="auto" w:val="clear"/>
            <w:vAlign w:val="bottom"/>
          </w:tcPr>
          <w:p>
            <w:pPr>
              <w:pStyle w:val="TableContents"/>
              <w:spacing w:lineRule="atLeast" w:line="180" w:before="0" w:after="283"/>
              <w:jc w:val="right"/>
              <w:rPr/>
            </w:pPr>
            <w:r>
              <w:rPr/>
              <w:t> </w:t>
            </w:r>
          </w:p>
        </w:tc>
        <w:tc>
          <w:tcPr>
            <w:tcW w:w="170"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55" w:type="dxa"/>
            <w:tcBorders/>
            <w:shd w:fill="auto" w:val="clear"/>
            <w:vAlign w:val="bottom"/>
          </w:tcPr>
          <w:p>
            <w:pPr>
              <w:pStyle w:val="TableContents"/>
              <w:spacing w:lineRule="atLeast" w:line="180" w:before="0" w:after="283"/>
              <w:rPr/>
            </w:pPr>
            <w:r>
              <w:rPr/>
              <w:t>​</w:t>
            </w:r>
          </w:p>
        </w:tc>
        <w:tc>
          <w:tcPr>
            <w:tcW w:w="69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$239,020</w:t>
            </w:r>
          </w:p>
        </w:tc>
        <w:tc>
          <w:tcPr>
            <w:tcW w:w="155" w:type="dxa"/>
            <w:tcBorders/>
            <w:shd w:fill="auto" w:val="clear"/>
            <w:vAlign w:val="bottom"/>
          </w:tcPr>
          <w:p>
            <w:pPr>
              <w:pStyle w:val="TableContents"/>
              <w:spacing w:lineRule="atLeast" w:line="180" w:before="0" w:after="283"/>
              <w:rPr/>
            </w:pPr>
            <w:r>
              <w:rPr/>
              <w:t>​</w:t>
            </w:r>
          </w:p>
        </w:tc>
        <w:tc>
          <w:tcPr>
            <w:tcW w:w="24" w:type="dxa"/>
            <w:tcBorders/>
            <w:shd w:fill="auto" w:val="clear"/>
            <w:vAlign w:val="bottom"/>
          </w:tcPr>
          <w:p>
            <w:pPr>
              <w:pStyle w:val="TableContents"/>
              <w:spacing w:lineRule="atLeast" w:line="180" w:before="0" w:after="283"/>
              <w:rPr/>
            </w:pPr>
            <w:r>
              <w:rPr/>
              <w:t>​</w:t>
            </w:r>
          </w:p>
        </w:tc>
      </w:tr>
      <w:tr>
        <w:trPr/>
        <w:tc>
          <w:tcPr>
            <w:tcW w:w="1508" w:type="dxa"/>
            <w:tcBorders/>
            <w:shd w:fill="CCEEFF" w:val="clear"/>
            <w:vAlign w:val="bottom"/>
          </w:tcPr>
          <w:p>
            <w:pPr>
              <w:pStyle w:val="TableContents"/>
              <w:spacing w:lineRule="atLeast" w:line="180" w:before="160" w:after="283"/>
              <w:ind w:left="140" w:right="0" w:hanging="140"/>
              <w:rPr>
                <w:rFonts w:ascii="arial" w:hAnsi="arial"/>
                <w:sz w:val="16"/>
              </w:rPr>
            </w:pPr>
            <w:r>
              <w:rPr>
                <w:rFonts w:ascii="arial" w:hAnsi="arial"/>
                <w:sz w:val="16"/>
              </w:rPr>
              <w:t>Marcello Mastioni</w:t>
            </w:r>
          </w:p>
        </w:tc>
        <w:tc>
          <w:tcPr>
            <w:tcW w:w="23" w:type="dxa"/>
            <w:tcBorders/>
            <w:shd w:fill="CCEEFF" w:val="clear"/>
            <w:vAlign w:val="bottom"/>
          </w:tcPr>
          <w:p>
            <w:pPr>
              <w:pStyle w:val="TableContents"/>
              <w:spacing w:lineRule="atLeast" w:line="180" w:before="0" w:after="283"/>
              <w:rPr/>
            </w:pPr>
            <w:r>
              <w:rPr/>
              <w:t>​</w:t>
            </w:r>
          </w:p>
        </w:tc>
        <w:tc>
          <w:tcPr>
            <w:tcW w:w="31" w:type="dxa"/>
            <w:tcBorders/>
            <w:shd w:fill="CCEEFF" w:val="clear"/>
            <w:vAlign w:val="bottom"/>
          </w:tcPr>
          <w:p>
            <w:pPr>
              <w:pStyle w:val="TableContents"/>
              <w:spacing w:lineRule="atLeast" w:line="180" w:before="0" w:after="283"/>
              <w:rPr/>
            </w:pPr>
            <w:r>
              <w:rPr/>
              <w:t>​</w:t>
            </w:r>
          </w:p>
        </w:tc>
        <w:tc>
          <w:tcPr>
            <w:tcW w:w="3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br/>
              <w:t>1/24/20</w:t>
            </w:r>
          </w:p>
        </w:tc>
        <w:tc>
          <w:tcPr>
            <w:tcW w:w="125" w:type="dxa"/>
            <w:tcBorders/>
            <w:shd w:fill="CCEEFF" w:val="clear"/>
            <w:vAlign w:val="bottom"/>
          </w:tcPr>
          <w:p>
            <w:pPr>
              <w:pStyle w:val="TableContents"/>
              <w:spacing w:lineRule="atLeast" w:line="180" w:before="0" w:after="283"/>
              <w:rPr>
                <w:rFonts w:ascii="arial" w:hAnsi="arial"/>
                <w:sz w:val="16"/>
              </w:rPr>
            </w:pPr>
            <w:r>
              <w:rPr>
                <w:rFonts w:ascii="arial" w:hAnsi="arial"/>
                <w:sz w:val="16"/>
              </w:rPr>
              <w:br/>
            </w:r>
            <w:r>
              <w:rPr>
                <w:rFonts w:ascii="arial" w:hAnsi="arial"/>
                <w:sz w:val="12"/>
              </w:rPr>
              <w:t>(3)</w:t>
            </w:r>
          </w:p>
        </w:tc>
        <w:tc>
          <w:tcPr>
            <w:tcW w:w="23" w:type="dxa"/>
            <w:tcBorders/>
            <w:shd w:fill="CCEEFF" w:val="clear"/>
            <w:vAlign w:val="bottom"/>
          </w:tcPr>
          <w:p>
            <w:pPr>
              <w:pStyle w:val="TableContents"/>
              <w:spacing w:lineRule="atLeast" w:line="180" w:before="0" w:after="283"/>
              <w:rPr>
                <w:rFonts w:ascii="arial" w:hAnsi="arial"/>
                <w:sz w:val="16"/>
              </w:rPr>
            </w:pPr>
            <w:r>
              <w:rPr>
                <w:rFonts w:ascii="arial" w:hAnsi="arial"/>
                <w:sz w:val="16"/>
              </w:rPr>
              <w:br/>
              <w:t>​</w:t>
            </w:r>
          </w:p>
        </w:tc>
        <w:tc>
          <w:tcPr>
            <w:tcW w:w="353" w:type="dxa"/>
            <w:tcBorders/>
            <w:shd w:fill="CCEEFF" w:val="clear"/>
            <w:vAlign w:val="bottom"/>
          </w:tcPr>
          <w:p>
            <w:pPr>
              <w:pStyle w:val="TableContents"/>
              <w:spacing w:lineRule="atLeast" w:line="180" w:before="0" w:after="283"/>
              <w:rPr/>
            </w:pPr>
            <w:r>
              <w:rPr/>
              <w:t>​</w:t>
            </w:r>
          </w:p>
        </w:tc>
        <w:tc>
          <w:tcPr>
            <w:tcW w:w="122"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br/>
              <w:t>-</w:t>
            </w:r>
          </w:p>
        </w:tc>
        <w:tc>
          <w:tcPr>
            <w:tcW w:w="355"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216" w:type="dxa"/>
            <w:tcBorders/>
            <w:shd w:fill="CCEEFF" w:val="clear"/>
            <w:vAlign w:val="bottom"/>
          </w:tcPr>
          <w:p>
            <w:pPr>
              <w:pStyle w:val="TableContents"/>
              <w:spacing w:lineRule="atLeast" w:line="180" w:before="0" w:after="283"/>
              <w:rPr/>
            </w:pPr>
            <w:r>
              <w:rPr/>
              <w:t>​</w:t>
            </w:r>
          </w:p>
        </w:tc>
        <w:tc>
          <w:tcPr>
            <w:tcW w:w="139"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br/>
              <w:t>-</w:t>
            </w:r>
          </w:p>
        </w:tc>
        <w:tc>
          <w:tcPr>
            <w:tcW w:w="17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96" w:type="dxa"/>
            <w:tcBorders/>
            <w:shd w:fill="CCEEFF" w:val="clear"/>
            <w:vAlign w:val="bottom"/>
          </w:tcPr>
          <w:p>
            <w:pPr>
              <w:pStyle w:val="TableContents"/>
              <w:spacing w:lineRule="atLeast" w:line="180" w:before="0" w:after="283"/>
              <w:rPr/>
            </w:pPr>
            <w:r>
              <w:rPr/>
              <w:t>​</w:t>
            </w:r>
          </w:p>
        </w:tc>
        <w:tc>
          <w:tcPr>
            <w:tcW w:w="392"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br/>
              <w:t>-</w:t>
            </w:r>
          </w:p>
        </w:tc>
        <w:tc>
          <w:tcPr>
            <w:tcW w:w="197" w:type="dxa"/>
            <w:tcBorders/>
            <w:shd w:fill="CCEEFF" w:val="clear"/>
            <w:vAlign w:val="bottom"/>
          </w:tcPr>
          <w:p>
            <w:pPr>
              <w:pStyle w:val="TableContents"/>
              <w:spacing w:lineRule="atLeast" w:line="180" w:before="0" w:after="283"/>
              <w:rPr/>
            </w:pPr>
            <w:r>
              <w:rPr/>
              <w:t>​</w:t>
            </w:r>
          </w:p>
        </w:tc>
        <w:tc>
          <w:tcPr>
            <w:tcW w:w="24" w:type="dxa"/>
            <w:tcBorders/>
            <w:shd w:fill="CCEEFF" w:val="clear"/>
            <w:vAlign w:val="bottom"/>
          </w:tcPr>
          <w:p>
            <w:pPr>
              <w:pStyle w:val="TableContents"/>
              <w:spacing w:lineRule="atLeast" w:line="180" w:before="0" w:after="283"/>
              <w:rPr/>
            </w:pPr>
            <w:r>
              <w:rPr/>
              <w:t>​</w:t>
            </w:r>
          </w:p>
        </w:tc>
        <w:tc>
          <w:tcPr>
            <w:tcW w:w="122" w:type="dxa"/>
            <w:tcBorders/>
            <w:shd w:fill="CCEEFF" w:val="clear"/>
            <w:vAlign w:val="bottom"/>
          </w:tcPr>
          <w:p>
            <w:pPr>
              <w:pStyle w:val="TableContents"/>
              <w:spacing w:lineRule="atLeast" w:line="180" w:before="0" w:after="283"/>
              <w:rPr/>
            </w:pPr>
            <w:r>
              <w:rPr/>
              <w:t>​</w:t>
            </w:r>
          </w:p>
        </w:tc>
        <w:tc>
          <w:tcPr>
            <w:tcW w:w="583"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br/>
              <w:t>-</w:t>
            </w:r>
          </w:p>
        </w:tc>
        <w:tc>
          <w:tcPr>
            <w:tcW w:w="125" w:type="dxa"/>
            <w:tcBorders/>
            <w:shd w:fill="CCEEFF" w:val="clear"/>
            <w:vAlign w:val="bottom"/>
          </w:tcPr>
          <w:p>
            <w:pPr>
              <w:pStyle w:val="TableContents"/>
              <w:spacing w:lineRule="atLeast" w:line="180" w:before="0" w:after="283"/>
              <w:rPr/>
            </w:pPr>
            <w:r>
              <w:rPr/>
              <w:t>​</w:t>
            </w:r>
          </w:p>
        </w:tc>
        <w:tc>
          <w:tcPr>
            <w:tcW w:w="60" w:type="dxa"/>
            <w:tcBorders/>
            <w:shd w:fill="CCEEFF" w:val="clear"/>
            <w:vAlign w:val="bottom"/>
          </w:tcPr>
          <w:p>
            <w:pPr>
              <w:pStyle w:val="TableContents"/>
              <w:spacing w:lineRule="atLeast" w:line="180" w:before="0" w:after="283"/>
              <w:rPr/>
            </w:pPr>
            <w:r>
              <w:rPr/>
              <w:t>​</w:t>
            </w:r>
          </w:p>
        </w:tc>
        <w:tc>
          <w:tcPr>
            <w:tcW w:w="5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br/>
              <w:t>-</w:t>
            </w:r>
          </w:p>
        </w:tc>
        <w:tc>
          <w:tcPr>
            <w:tcW w:w="23" w:type="dxa"/>
            <w:tcBorders/>
            <w:shd w:fill="CCEEFF" w:val="clear"/>
            <w:vAlign w:val="bottom"/>
          </w:tcPr>
          <w:p>
            <w:pPr>
              <w:pStyle w:val="TableContents"/>
              <w:spacing w:lineRule="atLeast" w:line="180" w:before="0" w:after="283"/>
              <w:rPr/>
            </w:pPr>
            <w:r>
              <w:rPr/>
              <w:t>​</w:t>
            </w:r>
          </w:p>
        </w:tc>
        <w:tc>
          <w:tcPr>
            <w:tcW w:w="196"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br/>
              <w:t>-</w:t>
            </w:r>
          </w:p>
        </w:tc>
        <w:tc>
          <w:tcPr>
            <w:tcW w:w="197"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70" w:type="dxa"/>
            <w:tcBorders/>
            <w:shd w:fill="CCEEFF" w:val="clear"/>
            <w:vAlign w:val="bottom"/>
          </w:tcPr>
          <w:p>
            <w:pPr>
              <w:pStyle w:val="TableContents"/>
              <w:spacing w:lineRule="atLeast" w:line="180" w:before="0" w:after="283"/>
              <w:rPr/>
            </w:pPr>
            <w:r>
              <w:rPr/>
              <w:t>​</w:t>
            </w:r>
          </w:p>
        </w:tc>
        <w:tc>
          <w:tcPr>
            <w:tcW w:w="516"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br/>
              <w:t>9,638</w:t>
            </w:r>
          </w:p>
        </w:tc>
        <w:tc>
          <w:tcPr>
            <w:tcW w:w="17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22" w:type="dxa"/>
            <w:tcBorders/>
            <w:shd w:fill="CCEEFF" w:val="clear"/>
            <w:vAlign w:val="bottom"/>
          </w:tcPr>
          <w:p>
            <w:pPr>
              <w:pStyle w:val="TableContents"/>
              <w:spacing w:lineRule="atLeast" w:line="180" w:before="0" w:after="283"/>
              <w:rPr/>
            </w:pPr>
            <w:r>
              <w:rPr/>
              <w:t>​</w:t>
            </w:r>
          </w:p>
        </w:tc>
        <w:tc>
          <w:tcPr>
            <w:tcW w:w="444" w:type="dxa"/>
            <w:gridSpan w:val="2"/>
            <w:tcBorders/>
            <w:shd w:fill="CCEEFF" w:val="clear"/>
            <w:vAlign w:val="bottom"/>
          </w:tcPr>
          <w:p>
            <w:pPr>
              <w:pStyle w:val="TableContents"/>
              <w:spacing w:lineRule="atLeast" w:line="180" w:before="0" w:after="283"/>
              <w:jc w:val="right"/>
              <w:rPr/>
            </w:pPr>
            <w:r>
              <w:rPr/>
              <w:t> </w:t>
            </w:r>
          </w:p>
        </w:tc>
        <w:tc>
          <w:tcPr>
            <w:tcW w:w="224"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70" w:type="dxa"/>
            <w:tcBorders/>
            <w:shd w:fill="CCEEFF" w:val="clear"/>
            <w:vAlign w:val="bottom"/>
          </w:tcPr>
          <w:p>
            <w:pPr>
              <w:pStyle w:val="TableContents"/>
              <w:spacing w:lineRule="atLeast" w:line="180" w:before="0" w:after="283"/>
              <w:rPr/>
            </w:pPr>
            <w:r>
              <w:rPr/>
              <w:t>​</w:t>
            </w:r>
          </w:p>
        </w:tc>
        <w:tc>
          <w:tcPr>
            <w:tcW w:w="340" w:type="dxa"/>
            <w:gridSpan w:val="2"/>
            <w:tcBorders/>
            <w:shd w:fill="CCEEFF" w:val="clear"/>
            <w:vAlign w:val="bottom"/>
          </w:tcPr>
          <w:p>
            <w:pPr>
              <w:pStyle w:val="TableContents"/>
              <w:spacing w:lineRule="atLeast" w:line="180" w:before="0" w:after="283"/>
              <w:jc w:val="right"/>
              <w:rPr/>
            </w:pPr>
            <w:r>
              <w:rPr/>
              <w:t> </w:t>
            </w:r>
          </w:p>
        </w:tc>
        <w:tc>
          <w:tcPr>
            <w:tcW w:w="17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55" w:type="dxa"/>
            <w:tcBorders/>
            <w:shd w:fill="CCEEFF" w:val="clear"/>
            <w:vAlign w:val="bottom"/>
          </w:tcPr>
          <w:p>
            <w:pPr>
              <w:pStyle w:val="TableContents"/>
              <w:spacing w:lineRule="atLeast" w:line="180" w:before="0" w:after="283"/>
              <w:rPr/>
            </w:pPr>
            <w:r>
              <w:rPr/>
              <w:t>​</w:t>
            </w:r>
          </w:p>
        </w:tc>
        <w:tc>
          <w:tcPr>
            <w:tcW w:w="69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br/>
              <w:t>$186,977</w:t>
            </w:r>
          </w:p>
        </w:tc>
        <w:tc>
          <w:tcPr>
            <w:tcW w:w="155" w:type="dxa"/>
            <w:tcBorders/>
            <w:shd w:fill="CCEEFF" w:val="clear"/>
            <w:vAlign w:val="bottom"/>
          </w:tcPr>
          <w:p>
            <w:pPr>
              <w:pStyle w:val="TableContents"/>
              <w:spacing w:lineRule="atLeast" w:line="180" w:before="0" w:after="283"/>
              <w:rPr/>
            </w:pPr>
            <w:r>
              <w:rPr/>
              <w:t>​</w:t>
            </w:r>
          </w:p>
        </w:tc>
        <w:tc>
          <w:tcPr>
            <w:tcW w:w="24" w:type="dxa"/>
            <w:tcBorders/>
            <w:shd w:fill="CCEEFF" w:val="clear"/>
            <w:vAlign w:val="bottom"/>
          </w:tcPr>
          <w:p>
            <w:pPr>
              <w:pStyle w:val="TableContents"/>
              <w:spacing w:lineRule="atLeast" w:line="180" w:before="0" w:after="283"/>
              <w:rPr/>
            </w:pPr>
            <w:r>
              <w:rPr/>
              <w:t>​</w:t>
            </w:r>
          </w:p>
        </w:tc>
      </w:tr>
      <w:tr>
        <w:trPr/>
        <w:tc>
          <w:tcPr>
            <w:tcW w:w="1508" w:type="dxa"/>
            <w:tcBorders/>
            <w:shd w:fill="CCEEFF" w:val="clear"/>
            <w:vAlign w:val="bottom"/>
          </w:tcPr>
          <w:p>
            <w:pPr>
              <w:pStyle w:val="TableContents"/>
              <w:spacing w:before="0" w:after="283"/>
              <w:ind w:left="140" w:right="0" w:hanging="140"/>
              <w:rPr>
                <w:sz w:val="4"/>
                <w:szCs w:val="4"/>
              </w:rPr>
            </w:pPr>
            <w:r>
              <w:rPr>
                <w:sz w:val="4"/>
                <w:szCs w:val="4"/>
              </w:rPr>
            </w:r>
          </w:p>
        </w:tc>
        <w:tc>
          <w:tcPr>
            <w:tcW w:w="23" w:type="dxa"/>
            <w:tcBorders/>
            <w:shd w:fill="CCEEFF" w:val="clear"/>
            <w:vAlign w:val="bottom"/>
          </w:tcPr>
          <w:p>
            <w:pPr>
              <w:pStyle w:val="TableContents"/>
              <w:spacing w:lineRule="atLeast" w:line="180" w:before="0" w:after="283"/>
              <w:rPr/>
            </w:pPr>
            <w:r>
              <w:rPr/>
              <w:t>​</w:t>
            </w:r>
          </w:p>
        </w:tc>
        <w:tc>
          <w:tcPr>
            <w:tcW w:w="31" w:type="dxa"/>
            <w:tcBorders/>
            <w:shd w:fill="CCEEFF" w:val="clear"/>
            <w:vAlign w:val="bottom"/>
          </w:tcPr>
          <w:p>
            <w:pPr>
              <w:pStyle w:val="TableContents"/>
              <w:spacing w:lineRule="atLeast" w:line="180" w:before="0" w:after="283"/>
              <w:rPr/>
            </w:pPr>
            <w:r>
              <w:rPr/>
              <w:t>​</w:t>
            </w:r>
          </w:p>
        </w:tc>
        <w:tc>
          <w:tcPr>
            <w:tcW w:w="3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1/24/20</w:t>
            </w:r>
          </w:p>
        </w:tc>
        <w:tc>
          <w:tcPr>
            <w:tcW w:w="125" w:type="dxa"/>
            <w:tcBorders/>
            <w:shd w:fill="CCEEFF" w:val="clear"/>
            <w:vAlign w:val="bottom"/>
          </w:tcPr>
          <w:p>
            <w:pPr>
              <w:pStyle w:val="TableContents"/>
              <w:spacing w:lineRule="atLeast" w:line="180" w:before="0" w:after="283"/>
              <w:rPr>
                <w:rFonts w:ascii="arial" w:hAnsi="arial"/>
                <w:sz w:val="12"/>
              </w:rPr>
            </w:pPr>
            <w:r>
              <w:rPr>
                <w:rFonts w:ascii="arial" w:hAnsi="arial"/>
                <w:sz w:val="12"/>
              </w:rPr>
              <w:t>(4)</w:t>
            </w:r>
          </w:p>
        </w:tc>
        <w:tc>
          <w:tcPr>
            <w:tcW w:w="23" w:type="dxa"/>
            <w:tcBorders/>
            <w:shd w:fill="CCEEFF" w:val="clear"/>
            <w:vAlign w:val="bottom"/>
          </w:tcPr>
          <w:p>
            <w:pPr>
              <w:pStyle w:val="TableContents"/>
              <w:spacing w:lineRule="atLeast" w:line="180" w:before="0" w:after="283"/>
              <w:rPr/>
            </w:pPr>
            <w:r>
              <w:rPr/>
              <w:t>​</w:t>
            </w:r>
          </w:p>
        </w:tc>
        <w:tc>
          <w:tcPr>
            <w:tcW w:w="353" w:type="dxa"/>
            <w:tcBorders/>
            <w:shd w:fill="CCEEFF" w:val="clear"/>
            <w:vAlign w:val="bottom"/>
          </w:tcPr>
          <w:p>
            <w:pPr>
              <w:pStyle w:val="TableContents"/>
              <w:spacing w:lineRule="atLeast" w:line="180" w:before="0" w:after="283"/>
              <w:rPr/>
            </w:pPr>
            <w:r>
              <w:rPr/>
              <w:t>​</w:t>
            </w:r>
          </w:p>
        </w:tc>
        <w:tc>
          <w:tcPr>
            <w:tcW w:w="122"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355"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216" w:type="dxa"/>
            <w:tcBorders/>
            <w:shd w:fill="CCEEFF" w:val="clear"/>
            <w:vAlign w:val="bottom"/>
          </w:tcPr>
          <w:p>
            <w:pPr>
              <w:pStyle w:val="TableContents"/>
              <w:spacing w:lineRule="atLeast" w:line="180" w:before="0" w:after="283"/>
              <w:rPr/>
            </w:pPr>
            <w:r>
              <w:rPr/>
              <w:t>​</w:t>
            </w:r>
          </w:p>
        </w:tc>
        <w:tc>
          <w:tcPr>
            <w:tcW w:w="139"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7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96" w:type="dxa"/>
            <w:tcBorders/>
            <w:shd w:fill="CCEEFF" w:val="clear"/>
            <w:vAlign w:val="bottom"/>
          </w:tcPr>
          <w:p>
            <w:pPr>
              <w:pStyle w:val="TableContents"/>
              <w:spacing w:lineRule="atLeast" w:line="180" w:before="0" w:after="283"/>
              <w:rPr/>
            </w:pPr>
            <w:r>
              <w:rPr/>
              <w:t>​</w:t>
            </w:r>
          </w:p>
        </w:tc>
        <w:tc>
          <w:tcPr>
            <w:tcW w:w="392"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97" w:type="dxa"/>
            <w:tcBorders/>
            <w:shd w:fill="CCEEFF" w:val="clear"/>
            <w:vAlign w:val="bottom"/>
          </w:tcPr>
          <w:p>
            <w:pPr>
              <w:pStyle w:val="TableContents"/>
              <w:spacing w:lineRule="atLeast" w:line="180" w:before="0" w:after="283"/>
              <w:rPr/>
            </w:pPr>
            <w:r>
              <w:rPr/>
              <w:t>​</w:t>
            </w:r>
          </w:p>
        </w:tc>
        <w:tc>
          <w:tcPr>
            <w:tcW w:w="24" w:type="dxa"/>
            <w:tcBorders/>
            <w:shd w:fill="CCEEFF" w:val="clear"/>
            <w:vAlign w:val="bottom"/>
          </w:tcPr>
          <w:p>
            <w:pPr>
              <w:pStyle w:val="TableContents"/>
              <w:spacing w:lineRule="atLeast" w:line="180" w:before="0" w:after="283"/>
              <w:rPr/>
            </w:pPr>
            <w:r>
              <w:rPr/>
              <w:t>​</w:t>
            </w:r>
          </w:p>
        </w:tc>
        <w:tc>
          <w:tcPr>
            <w:tcW w:w="122" w:type="dxa"/>
            <w:tcBorders/>
            <w:shd w:fill="CCEEFF" w:val="clear"/>
            <w:vAlign w:val="bottom"/>
          </w:tcPr>
          <w:p>
            <w:pPr>
              <w:pStyle w:val="TableContents"/>
              <w:spacing w:lineRule="atLeast" w:line="180" w:before="0" w:after="283"/>
              <w:rPr/>
            </w:pPr>
            <w:r>
              <w:rPr/>
              <w:t>​</w:t>
            </w:r>
          </w:p>
        </w:tc>
        <w:tc>
          <w:tcPr>
            <w:tcW w:w="583"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4,819</w:t>
            </w:r>
          </w:p>
        </w:tc>
        <w:tc>
          <w:tcPr>
            <w:tcW w:w="125" w:type="dxa"/>
            <w:tcBorders/>
            <w:shd w:fill="CCEEFF" w:val="clear"/>
            <w:vAlign w:val="bottom"/>
          </w:tcPr>
          <w:p>
            <w:pPr>
              <w:pStyle w:val="TableContents"/>
              <w:spacing w:lineRule="atLeast" w:line="180" w:before="0" w:after="283"/>
              <w:rPr/>
            </w:pPr>
            <w:r>
              <w:rPr/>
              <w:t>​</w:t>
            </w:r>
          </w:p>
        </w:tc>
        <w:tc>
          <w:tcPr>
            <w:tcW w:w="60" w:type="dxa"/>
            <w:tcBorders/>
            <w:shd w:fill="CCEEFF" w:val="clear"/>
            <w:vAlign w:val="bottom"/>
          </w:tcPr>
          <w:p>
            <w:pPr>
              <w:pStyle w:val="TableContents"/>
              <w:spacing w:lineRule="atLeast" w:line="180" w:before="0" w:after="283"/>
              <w:rPr/>
            </w:pPr>
            <w:r>
              <w:rPr/>
              <w:t>​</w:t>
            </w:r>
          </w:p>
        </w:tc>
        <w:tc>
          <w:tcPr>
            <w:tcW w:w="5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9,638</w:t>
            </w:r>
          </w:p>
        </w:tc>
        <w:tc>
          <w:tcPr>
            <w:tcW w:w="23" w:type="dxa"/>
            <w:tcBorders/>
            <w:shd w:fill="CCEEFF" w:val="clear"/>
            <w:vAlign w:val="bottom"/>
          </w:tcPr>
          <w:p>
            <w:pPr>
              <w:pStyle w:val="TableContents"/>
              <w:spacing w:lineRule="atLeast" w:line="180" w:before="0" w:after="283"/>
              <w:rPr/>
            </w:pPr>
            <w:r>
              <w:rPr/>
              <w:t>​</w:t>
            </w:r>
          </w:p>
        </w:tc>
        <w:tc>
          <w:tcPr>
            <w:tcW w:w="196"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18,312</w:t>
            </w:r>
          </w:p>
        </w:tc>
        <w:tc>
          <w:tcPr>
            <w:tcW w:w="197"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70" w:type="dxa"/>
            <w:tcBorders/>
            <w:shd w:fill="CCEEFF" w:val="clear"/>
            <w:vAlign w:val="bottom"/>
          </w:tcPr>
          <w:p>
            <w:pPr>
              <w:pStyle w:val="TableContents"/>
              <w:spacing w:lineRule="atLeast" w:line="180" w:before="0" w:after="283"/>
              <w:rPr/>
            </w:pPr>
            <w:r>
              <w:rPr/>
              <w:t>​</w:t>
            </w:r>
          </w:p>
        </w:tc>
        <w:tc>
          <w:tcPr>
            <w:tcW w:w="516"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7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22" w:type="dxa"/>
            <w:tcBorders/>
            <w:shd w:fill="CCEEFF" w:val="clear"/>
            <w:vAlign w:val="bottom"/>
          </w:tcPr>
          <w:p>
            <w:pPr>
              <w:pStyle w:val="TableContents"/>
              <w:spacing w:lineRule="atLeast" w:line="180" w:before="0" w:after="283"/>
              <w:rPr/>
            </w:pPr>
            <w:r>
              <w:rPr/>
              <w:t>​</w:t>
            </w:r>
          </w:p>
        </w:tc>
        <w:tc>
          <w:tcPr>
            <w:tcW w:w="444" w:type="dxa"/>
            <w:gridSpan w:val="2"/>
            <w:tcBorders/>
            <w:shd w:fill="CCEEFF" w:val="clear"/>
            <w:vAlign w:val="bottom"/>
          </w:tcPr>
          <w:p>
            <w:pPr>
              <w:pStyle w:val="TableContents"/>
              <w:spacing w:lineRule="atLeast" w:line="180" w:before="0" w:after="283"/>
              <w:jc w:val="right"/>
              <w:rPr/>
            </w:pPr>
            <w:r>
              <w:rPr/>
              <w:t> </w:t>
            </w:r>
          </w:p>
        </w:tc>
        <w:tc>
          <w:tcPr>
            <w:tcW w:w="224"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70" w:type="dxa"/>
            <w:tcBorders/>
            <w:shd w:fill="CCEEFF" w:val="clear"/>
            <w:vAlign w:val="bottom"/>
          </w:tcPr>
          <w:p>
            <w:pPr>
              <w:pStyle w:val="TableContents"/>
              <w:spacing w:lineRule="atLeast" w:line="180" w:before="0" w:after="283"/>
              <w:rPr/>
            </w:pPr>
            <w:r>
              <w:rPr/>
              <w:t>​</w:t>
            </w:r>
          </w:p>
        </w:tc>
        <w:tc>
          <w:tcPr>
            <w:tcW w:w="340" w:type="dxa"/>
            <w:gridSpan w:val="2"/>
            <w:tcBorders/>
            <w:shd w:fill="CCEEFF" w:val="clear"/>
            <w:vAlign w:val="bottom"/>
          </w:tcPr>
          <w:p>
            <w:pPr>
              <w:pStyle w:val="TableContents"/>
              <w:spacing w:lineRule="atLeast" w:line="180" w:before="0" w:after="283"/>
              <w:jc w:val="right"/>
              <w:rPr/>
            </w:pPr>
            <w:r>
              <w:rPr/>
              <w:t> </w:t>
            </w:r>
          </w:p>
        </w:tc>
        <w:tc>
          <w:tcPr>
            <w:tcW w:w="17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55" w:type="dxa"/>
            <w:tcBorders/>
            <w:shd w:fill="CCEEFF" w:val="clear"/>
            <w:vAlign w:val="bottom"/>
          </w:tcPr>
          <w:p>
            <w:pPr>
              <w:pStyle w:val="TableContents"/>
              <w:spacing w:lineRule="atLeast" w:line="180" w:before="0" w:after="283"/>
              <w:rPr/>
            </w:pPr>
            <w:r>
              <w:rPr/>
              <w:t>​</w:t>
            </w:r>
          </w:p>
        </w:tc>
        <w:tc>
          <w:tcPr>
            <w:tcW w:w="69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$93,489</w:t>
            </w:r>
          </w:p>
        </w:tc>
        <w:tc>
          <w:tcPr>
            <w:tcW w:w="155" w:type="dxa"/>
            <w:tcBorders/>
            <w:shd w:fill="CCEEFF" w:val="clear"/>
            <w:vAlign w:val="bottom"/>
          </w:tcPr>
          <w:p>
            <w:pPr>
              <w:pStyle w:val="TableContents"/>
              <w:spacing w:lineRule="atLeast" w:line="180" w:before="0" w:after="283"/>
              <w:rPr/>
            </w:pPr>
            <w:r>
              <w:rPr/>
              <w:t>​</w:t>
            </w:r>
          </w:p>
        </w:tc>
        <w:tc>
          <w:tcPr>
            <w:tcW w:w="24" w:type="dxa"/>
            <w:tcBorders/>
            <w:shd w:fill="CCEEFF" w:val="clear"/>
            <w:vAlign w:val="bottom"/>
          </w:tcPr>
          <w:p>
            <w:pPr>
              <w:pStyle w:val="TableContents"/>
              <w:spacing w:lineRule="atLeast" w:line="180" w:before="0" w:after="283"/>
              <w:rPr/>
            </w:pPr>
            <w:r>
              <w:rPr/>
              <w:t>​</w:t>
            </w:r>
          </w:p>
        </w:tc>
      </w:tr>
      <w:tr>
        <w:trPr/>
        <w:tc>
          <w:tcPr>
            <w:tcW w:w="1508" w:type="dxa"/>
            <w:tcBorders/>
            <w:shd w:fill="CCEEFF" w:val="clear"/>
            <w:vAlign w:val="bottom"/>
          </w:tcPr>
          <w:p>
            <w:pPr>
              <w:pStyle w:val="TableContents"/>
              <w:spacing w:before="0" w:after="283"/>
              <w:ind w:left="140" w:right="0" w:hanging="140"/>
              <w:rPr>
                <w:sz w:val="4"/>
                <w:szCs w:val="4"/>
              </w:rPr>
            </w:pPr>
            <w:r>
              <w:rPr>
                <w:sz w:val="4"/>
                <w:szCs w:val="4"/>
              </w:rPr>
            </w:r>
          </w:p>
        </w:tc>
        <w:tc>
          <w:tcPr>
            <w:tcW w:w="23" w:type="dxa"/>
            <w:tcBorders/>
            <w:shd w:fill="CCEEFF" w:val="clear"/>
            <w:vAlign w:val="bottom"/>
          </w:tcPr>
          <w:p>
            <w:pPr>
              <w:pStyle w:val="TableContents"/>
              <w:spacing w:lineRule="atLeast" w:line="180" w:before="0" w:after="283"/>
              <w:rPr/>
            </w:pPr>
            <w:r>
              <w:rPr/>
              <w:t>​</w:t>
            </w:r>
          </w:p>
        </w:tc>
        <w:tc>
          <w:tcPr>
            <w:tcW w:w="31" w:type="dxa"/>
            <w:tcBorders/>
            <w:shd w:fill="CCEEFF" w:val="clear"/>
            <w:vAlign w:val="bottom"/>
          </w:tcPr>
          <w:p>
            <w:pPr>
              <w:pStyle w:val="TableContents"/>
              <w:spacing w:lineRule="atLeast" w:line="180" w:before="0" w:after="283"/>
              <w:rPr/>
            </w:pPr>
            <w:r>
              <w:rPr/>
              <w:t>​</w:t>
            </w:r>
          </w:p>
        </w:tc>
        <w:tc>
          <w:tcPr>
            <w:tcW w:w="3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2/26/20</w:t>
            </w:r>
          </w:p>
        </w:tc>
        <w:tc>
          <w:tcPr>
            <w:tcW w:w="125" w:type="dxa"/>
            <w:tcBorders/>
            <w:shd w:fill="CCEEFF" w:val="clear"/>
            <w:vAlign w:val="bottom"/>
          </w:tcPr>
          <w:p>
            <w:pPr>
              <w:pStyle w:val="TableContents"/>
              <w:spacing w:lineRule="atLeast" w:line="180" w:before="0" w:after="283"/>
              <w:rPr>
                <w:rFonts w:ascii="arial" w:hAnsi="arial"/>
                <w:sz w:val="12"/>
              </w:rPr>
            </w:pPr>
            <w:r>
              <w:rPr>
                <w:rFonts w:ascii="arial" w:hAnsi="arial"/>
                <w:sz w:val="12"/>
              </w:rPr>
              <w:t>(5)</w:t>
            </w:r>
          </w:p>
        </w:tc>
        <w:tc>
          <w:tcPr>
            <w:tcW w:w="23" w:type="dxa"/>
            <w:tcBorders/>
            <w:shd w:fill="CCEEFF" w:val="clear"/>
            <w:vAlign w:val="bottom"/>
          </w:tcPr>
          <w:p>
            <w:pPr>
              <w:pStyle w:val="TableContents"/>
              <w:spacing w:lineRule="atLeast" w:line="180" w:before="0" w:after="283"/>
              <w:rPr/>
            </w:pPr>
            <w:r>
              <w:rPr/>
              <w:t>​</w:t>
            </w:r>
          </w:p>
        </w:tc>
        <w:tc>
          <w:tcPr>
            <w:tcW w:w="353" w:type="dxa"/>
            <w:tcBorders/>
            <w:shd w:fill="CCEEFF" w:val="clear"/>
            <w:vAlign w:val="bottom"/>
          </w:tcPr>
          <w:p>
            <w:pPr>
              <w:pStyle w:val="TableContents"/>
              <w:spacing w:lineRule="atLeast" w:line="180" w:before="0" w:after="283"/>
              <w:rPr/>
            </w:pPr>
            <w:r>
              <w:rPr/>
              <w:t>​</w:t>
            </w:r>
          </w:p>
        </w:tc>
        <w:tc>
          <w:tcPr>
            <w:tcW w:w="122"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355"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216" w:type="dxa"/>
            <w:tcBorders/>
            <w:shd w:fill="CCEEFF" w:val="clear"/>
            <w:vAlign w:val="bottom"/>
          </w:tcPr>
          <w:p>
            <w:pPr>
              <w:pStyle w:val="TableContents"/>
              <w:spacing w:lineRule="atLeast" w:line="180" w:before="0" w:after="283"/>
              <w:rPr/>
            </w:pPr>
            <w:r>
              <w:rPr/>
              <w:t>​</w:t>
            </w:r>
          </w:p>
        </w:tc>
        <w:tc>
          <w:tcPr>
            <w:tcW w:w="139"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7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96" w:type="dxa"/>
            <w:tcBorders/>
            <w:shd w:fill="CCEEFF" w:val="clear"/>
            <w:vAlign w:val="bottom"/>
          </w:tcPr>
          <w:p>
            <w:pPr>
              <w:pStyle w:val="TableContents"/>
              <w:spacing w:lineRule="atLeast" w:line="180" w:before="0" w:after="283"/>
              <w:rPr/>
            </w:pPr>
            <w:r>
              <w:rPr/>
              <w:t>​</w:t>
            </w:r>
          </w:p>
        </w:tc>
        <w:tc>
          <w:tcPr>
            <w:tcW w:w="392"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97" w:type="dxa"/>
            <w:tcBorders/>
            <w:shd w:fill="CCEEFF" w:val="clear"/>
            <w:vAlign w:val="bottom"/>
          </w:tcPr>
          <w:p>
            <w:pPr>
              <w:pStyle w:val="TableContents"/>
              <w:spacing w:lineRule="atLeast" w:line="180" w:before="0" w:after="283"/>
              <w:rPr/>
            </w:pPr>
            <w:r>
              <w:rPr/>
              <w:t>​</w:t>
            </w:r>
          </w:p>
        </w:tc>
        <w:tc>
          <w:tcPr>
            <w:tcW w:w="24" w:type="dxa"/>
            <w:tcBorders/>
            <w:shd w:fill="CCEEFF" w:val="clear"/>
            <w:vAlign w:val="bottom"/>
          </w:tcPr>
          <w:p>
            <w:pPr>
              <w:pStyle w:val="TableContents"/>
              <w:spacing w:lineRule="atLeast" w:line="180" w:before="0" w:after="283"/>
              <w:rPr/>
            </w:pPr>
            <w:r>
              <w:rPr/>
              <w:t>​</w:t>
            </w:r>
          </w:p>
        </w:tc>
        <w:tc>
          <w:tcPr>
            <w:tcW w:w="122" w:type="dxa"/>
            <w:tcBorders/>
            <w:shd w:fill="CCEEFF" w:val="clear"/>
            <w:vAlign w:val="bottom"/>
          </w:tcPr>
          <w:p>
            <w:pPr>
              <w:pStyle w:val="TableContents"/>
              <w:spacing w:lineRule="atLeast" w:line="180" w:before="0" w:after="283"/>
              <w:rPr/>
            </w:pPr>
            <w:r>
              <w:rPr/>
              <w:t>​</w:t>
            </w:r>
          </w:p>
        </w:tc>
        <w:tc>
          <w:tcPr>
            <w:tcW w:w="583"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25" w:type="dxa"/>
            <w:tcBorders/>
            <w:shd w:fill="CCEEFF" w:val="clear"/>
            <w:vAlign w:val="bottom"/>
          </w:tcPr>
          <w:p>
            <w:pPr>
              <w:pStyle w:val="TableContents"/>
              <w:spacing w:lineRule="atLeast" w:line="180" w:before="0" w:after="283"/>
              <w:rPr/>
            </w:pPr>
            <w:r>
              <w:rPr/>
              <w:t>​</w:t>
            </w:r>
          </w:p>
        </w:tc>
        <w:tc>
          <w:tcPr>
            <w:tcW w:w="60" w:type="dxa"/>
            <w:tcBorders/>
            <w:shd w:fill="CCEEFF" w:val="clear"/>
            <w:vAlign w:val="bottom"/>
          </w:tcPr>
          <w:p>
            <w:pPr>
              <w:pStyle w:val="TableContents"/>
              <w:spacing w:lineRule="atLeast" w:line="180" w:before="0" w:after="283"/>
              <w:rPr/>
            </w:pPr>
            <w:r>
              <w:rPr/>
              <w:t>​</w:t>
            </w:r>
          </w:p>
        </w:tc>
        <w:tc>
          <w:tcPr>
            <w:tcW w:w="5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3" w:type="dxa"/>
            <w:tcBorders/>
            <w:shd w:fill="CCEEFF" w:val="clear"/>
            <w:vAlign w:val="bottom"/>
          </w:tcPr>
          <w:p>
            <w:pPr>
              <w:pStyle w:val="TableContents"/>
              <w:spacing w:lineRule="atLeast" w:line="180" w:before="0" w:after="283"/>
              <w:rPr/>
            </w:pPr>
            <w:r>
              <w:rPr/>
              <w:t>​</w:t>
            </w:r>
          </w:p>
        </w:tc>
        <w:tc>
          <w:tcPr>
            <w:tcW w:w="196"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97"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70" w:type="dxa"/>
            <w:tcBorders/>
            <w:shd w:fill="CCEEFF" w:val="clear"/>
            <w:vAlign w:val="bottom"/>
          </w:tcPr>
          <w:p>
            <w:pPr>
              <w:pStyle w:val="TableContents"/>
              <w:spacing w:lineRule="atLeast" w:line="180" w:before="0" w:after="283"/>
              <w:rPr/>
            </w:pPr>
            <w:r>
              <w:rPr/>
              <w:t>​</w:t>
            </w:r>
          </w:p>
        </w:tc>
        <w:tc>
          <w:tcPr>
            <w:tcW w:w="516"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3,000</w:t>
            </w:r>
          </w:p>
        </w:tc>
        <w:tc>
          <w:tcPr>
            <w:tcW w:w="17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22" w:type="dxa"/>
            <w:tcBorders/>
            <w:shd w:fill="CCEEFF" w:val="clear"/>
            <w:vAlign w:val="bottom"/>
          </w:tcPr>
          <w:p>
            <w:pPr>
              <w:pStyle w:val="TableContents"/>
              <w:spacing w:lineRule="atLeast" w:line="180" w:before="0" w:after="283"/>
              <w:rPr/>
            </w:pPr>
            <w:r>
              <w:rPr/>
              <w:t>​</w:t>
            </w:r>
          </w:p>
        </w:tc>
        <w:tc>
          <w:tcPr>
            <w:tcW w:w="444" w:type="dxa"/>
            <w:gridSpan w:val="2"/>
            <w:tcBorders/>
            <w:shd w:fill="CCEEFF" w:val="clear"/>
            <w:vAlign w:val="bottom"/>
          </w:tcPr>
          <w:p>
            <w:pPr>
              <w:pStyle w:val="TableContents"/>
              <w:spacing w:lineRule="atLeast" w:line="180" w:before="0" w:after="283"/>
              <w:jc w:val="right"/>
              <w:rPr/>
            </w:pPr>
            <w:r>
              <w:rPr/>
              <w:t> </w:t>
            </w:r>
          </w:p>
        </w:tc>
        <w:tc>
          <w:tcPr>
            <w:tcW w:w="224"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70" w:type="dxa"/>
            <w:tcBorders/>
            <w:shd w:fill="CCEEFF" w:val="clear"/>
            <w:vAlign w:val="bottom"/>
          </w:tcPr>
          <w:p>
            <w:pPr>
              <w:pStyle w:val="TableContents"/>
              <w:spacing w:lineRule="atLeast" w:line="180" w:before="0" w:after="283"/>
              <w:rPr/>
            </w:pPr>
            <w:r>
              <w:rPr/>
              <w:t>​</w:t>
            </w:r>
          </w:p>
        </w:tc>
        <w:tc>
          <w:tcPr>
            <w:tcW w:w="340" w:type="dxa"/>
            <w:gridSpan w:val="2"/>
            <w:tcBorders/>
            <w:shd w:fill="CCEEFF" w:val="clear"/>
            <w:vAlign w:val="bottom"/>
          </w:tcPr>
          <w:p>
            <w:pPr>
              <w:pStyle w:val="TableContents"/>
              <w:spacing w:lineRule="atLeast" w:line="180" w:before="0" w:after="283"/>
              <w:jc w:val="right"/>
              <w:rPr/>
            </w:pPr>
            <w:r>
              <w:rPr/>
              <w:t> </w:t>
            </w:r>
          </w:p>
        </w:tc>
        <w:tc>
          <w:tcPr>
            <w:tcW w:w="17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55" w:type="dxa"/>
            <w:tcBorders/>
            <w:shd w:fill="CCEEFF" w:val="clear"/>
            <w:vAlign w:val="bottom"/>
          </w:tcPr>
          <w:p>
            <w:pPr>
              <w:pStyle w:val="TableContents"/>
              <w:spacing w:lineRule="atLeast" w:line="180" w:before="0" w:after="283"/>
              <w:rPr/>
            </w:pPr>
            <w:r>
              <w:rPr/>
              <w:t>​</w:t>
            </w:r>
          </w:p>
        </w:tc>
        <w:tc>
          <w:tcPr>
            <w:tcW w:w="69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$54,900</w:t>
            </w:r>
          </w:p>
        </w:tc>
        <w:tc>
          <w:tcPr>
            <w:tcW w:w="155" w:type="dxa"/>
            <w:tcBorders/>
            <w:shd w:fill="CCEEFF" w:val="clear"/>
            <w:vAlign w:val="bottom"/>
          </w:tcPr>
          <w:p>
            <w:pPr>
              <w:pStyle w:val="TableContents"/>
              <w:spacing w:lineRule="atLeast" w:line="180" w:before="0" w:after="283"/>
              <w:rPr/>
            </w:pPr>
            <w:r>
              <w:rPr/>
              <w:t>​</w:t>
            </w:r>
          </w:p>
        </w:tc>
        <w:tc>
          <w:tcPr>
            <w:tcW w:w="24" w:type="dxa"/>
            <w:tcBorders/>
            <w:shd w:fill="CCEEFF" w:val="clear"/>
            <w:vAlign w:val="bottom"/>
          </w:tcPr>
          <w:p>
            <w:pPr>
              <w:pStyle w:val="TableContents"/>
              <w:spacing w:lineRule="atLeast" w:line="180" w:before="0" w:after="283"/>
              <w:rPr/>
            </w:pPr>
            <w:r>
              <w:rPr/>
              <w:t>​</w:t>
            </w:r>
          </w:p>
        </w:tc>
      </w:tr>
      <w:tr>
        <w:trPr/>
        <w:tc>
          <w:tcPr>
            <w:tcW w:w="1508" w:type="dxa"/>
            <w:tcBorders/>
            <w:shd w:fill="CCEEFF" w:val="clear"/>
            <w:vAlign w:val="bottom"/>
          </w:tcPr>
          <w:p>
            <w:pPr>
              <w:pStyle w:val="TableContents"/>
              <w:spacing w:before="0" w:after="283"/>
              <w:ind w:left="140" w:right="0" w:hanging="140"/>
              <w:rPr>
                <w:sz w:val="4"/>
                <w:szCs w:val="4"/>
              </w:rPr>
            </w:pPr>
            <w:r>
              <w:rPr>
                <w:sz w:val="4"/>
                <w:szCs w:val="4"/>
              </w:rPr>
            </w:r>
          </w:p>
        </w:tc>
        <w:tc>
          <w:tcPr>
            <w:tcW w:w="23" w:type="dxa"/>
            <w:tcBorders/>
            <w:shd w:fill="CCEEFF" w:val="clear"/>
            <w:vAlign w:val="bottom"/>
          </w:tcPr>
          <w:p>
            <w:pPr>
              <w:pStyle w:val="TableContents"/>
              <w:spacing w:lineRule="atLeast" w:line="180" w:before="0" w:after="283"/>
              <w:rPr/>
            </w:pPr>
            <w:r>
              <w:rPr/>
              <w:t>​</w:t>
            </w:r>
          </w:p>
        </w:tc>
        <w:tc>
          <w:tcPr>
            <w:tcW w:w="31" w:type="dxa"/>
            <w:tcBorders/>
            <w:shd w:fill="CCEEFF" w:val="clear"/>
            <w:vAlign w:val="bottom"/>
          </w:tcPr>
          <w:p>
            <w:pPr>
              <w:pStyle w:val="TableContents"/>
              <w:spacing w:lineRule="atLeast" w:line="180" w:before="0" w:after="283"/>
              <w:rPr/>
            </w:pPr>
            <w:r>
              <w:rPr/>
              <w:t>​</w:t>
            </w:r>
          </w:p>
        </w:tc>
        <w:tc>
          <w:tcPr>
            <w:tcW w:w="3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2/26/20</w:t>
            </w:r>
          </w:p>
        </w:tc>
        <w:tc>
          <w:tcPr>
            <w:tcW w:w="125" w:type="dxa"/>
            <w:tcBorders/>
            <w:shd w:fill="CCEEFF" w:val="clear"/>
            <w:vAlign w:val="bottom"/>
          </w:tcPr>
          <w:p>
            <w:pPr>
              <w:pStyle w:val="TableContents"/>
              <w:spacing w:lineRule="atLeast" w:line="180" w:before="0" w:after="283"/>
              <w:rPr>
                <w:rFonts w:ascii="arial" w:hAnsi="arial"/>
                <w:sz w:val="12"/>
              </w:rPr>
            </w:pPr>
            <w:r>
              <w:rPr>
                <w:rFonts w:ascii="arial" w:hAnsi="arial"/>
                <w:sz w:val="12"/>
              </w:rPr>
              <w:t>(2)</w:t>
            </w:r>
          </w:p>
        </w:tc>
        <w:tc>
          <w:tcPr>
            <w:tcW w:w="23" w:type="dxa"/>
            <w:tcBorders/>
            <w:shd w:fill="CCEEFF" w:val="clear"/>
            <w:vAlign w:val="bottom"/>
          </w:tcPr>
          <w:p>
            <w:pPr>
              <w:pStyle w:val="TableContents"/>
              <w:spacing w:lineRule="atLeast" w:line="180" w:before="0" w:after="283"/>
              <w:rPr/>
            </w:pPr>
            <w:r>
              <w:rPr/>
              <w:t>​</w:t>
            </w:r>
          </w:p>
        </w:tc>
        <w:tc>
          <w:tcPr>
            <w:tcW w:w="353" w:type="dxa"/>
            <w:tcBorders/>
            <w:shd w:fill="CCEEFF" w:val="clear"/>
            <w:vAlign w:val="bottom"/>
          </w:tcPr>
          <w:p>
            <w:pPr>
              <w:pStyle w:val="TableContents"/>
              <w:spacing w:lineRule="atLeast" w:line="180" w:before="0" w:after="283"/>
              <w:rPr/>
            </w:pPr>
            <w:r>
              <w:rPr/>
              <w:t>​</w:t>
            </w:r>
          </w:p>
        </w:tc>
        <w:tc>
          <w:tcPr>
            <w:tcW w:w="122"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355"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216" w:type="dxa"/>
            <w:tcBorders/>
            <w:shd w:fill="CCEEFF" w:val="clear"/>
            <w:vAlign w:val="bottom"/>
          </w:tcPr>
          <w:p>
            <w:pPr>
              <w:pStyle w:val="TableContents"/>
              <w:spacing w:lineRule="atLeast" w:line="180" w:before="0" w:after="283"/>
              <w:rPr/>
            </w:pPr>
            <w:r>
              <w:rPr/>
              <w:t>​</w:t>
            </w:r>
          </w:p>
        </w:tc>
        <w:tc>
          <w:tcPr>
            <w:tcW w:w="139"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7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96" w:type="dxa"/>
            <w:tcBorders/>
            <w:shd w:fill="CCEEFF" w:val="clear"/>
            <w:vAlign w:val="bottom"/>
          </w:tcPr>
          <w:p>
            <w:pPr>
              <w:pStyle w:val="TableContents"/>
              <w:spacing w:lineRule="atLeast" w:line="180" w:before="0" w:after="283"/>
              <w:rPr/>
            </w:pPr>
            <w:r>
              <w:rPr/>
              <w:t>​</w:t>
            </w:r>
          </w:p>
        </w:tc>
        <w:tc>
          <w:tcPr>
            <w:tcW w:w="392"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97" w:type="dxa"/>
            <w:tcBorders/>
            <w:shd w:fill="CCEEFF" w:val="clear"/>
            <w:vAlign w:val="bottom"/>
          </w:tcPr>
          <w:p>
            <w:pPr>
              <w:pStyle w:val="TableContents"/>
              <w:spacing w:lineRule="atLeast" w:line="180" w:before="0" w:after="283"/>
              <w:rPr/>
            </w:pPr>
            <w:r>
              <w:rPr/>
              <w:t>​</w:t>
            </w:r>
          </w:p>
        </w:tc>
        <w:tc>
          <w:tcPr>
            <w:tcW w:w="24" w:type="dxa"/>
            <w:tcBorders/>
            <w:shd w:fill="CCEEFF" w:val="clear"/>
            <w:vAlign w:val="bottom"/>
          </w:tcPr>
          <w:p>
            <w:pPr>
              <w:pStyle w:val="TableContents"/>
              <w:spacing w:lineRule="atLeast" w:line="180" w:before="0" w:after="283"/>
              <w:rPr/>
            </w:pPr>
            <w:r>
              <w:rPr/>
              <w:t>​</w:t>
            </w:r>
          </w:p>
        </w:tc>
        <w:tc>
          <w:tcPr>
            <w:tcW w:w="122" w:type="dxa"/>
            <w:tcBorders/>
            <w:shd w:fill="CCEEFF" w:val="clear"/>
            <w:vAlign w:val="bottom"/>
          </w:tcPr>
          <w:p>
            <w:pPr>
              <w:pStyle w:val="TableContents"/>
              <w:spacing w:lineRule="atLeast" w:line="180" w:before="0" w:after="283"/>
              <w:rPr/>
            </w:pPr>
            <w:r>
              <w:rPr/>
              <w:t>​</w:t>
            </w:r>
          </w:p>
        </w:tc>
        <w:tc>
          <w:tcPr>
            <w:tcW w:w="583"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25" w:type="dxa"/>
            <w:tcBorders/>
            <w:shd w:fill="CCEEFF" w:val="clear"/>
            <w:vAlign w:val="bottom"/>
          </w:tcPr>
          <w:p>
            <w:pPr>
              <w:pStyle w:val="TableContents"/>
              <w:spacing w:lineRule="atLeast" w:line="180" w:before="0" w:after="283"/>
              <w:rPr/>
            </w:pPr>
            <w:r>
              <w:rPr/>
              <w:t>​</w:t>
            </w:r>
          </w:p>
        </w:tc>
        <w:tc>
          <w:tcPr>
            <w:tcW w:w="60" w:type="dxa"/>
            <w:tcBorders/>
            <w:shd w:fill="CCEEFF" w:val="clear"/>
            <w:vAlign w:val="bottom"/>
          </w:tcPr>
          <w:p>
            <w:pPr>
              <w:pStyle w:val="TableContents"/>
              <w:spacing w:lineRule="atLeast" w:line="180" w:before="0" w:after="283"/>
              <w:rPr/>
            </w:pPr>
            <w:r>
              <w:rPr/>
              <w:t>​</w:t>
            </w:r>
          </w:p>
        </w:tc>
        <w:tc>
          <w:tcPr>
            <w:tcW w:w="5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3" w:type="dxa"/>
            <w:tcBorders/>
            <w:shd w:fill="CCEEFF" w:val="clear"/>
            <w:vAlign w:val="bottom"/>
          </w:tcPr>
          <w:p>
            <w:pPr>
              <w:pStyle w:val="TableContents"/>
              <w:spacing w:lineRule="atLeast" w:line="180" w:before="0" w:after="283"/>
              <w:rPr/>
            </w:pPr>
            <w:r>
              <w:rPr/>
              <w:t>​</w:t>
            </w:r>
          </w:p>
        </w:tc>
        <w:tc>
          <w:tcPr>
            <w:tcW w:w="196"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97"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70" w:type="dxa"/>
            <w:tcBorders/>
            <w:shd w:fill="CCEEFF" w:val="clear"/>
            <w:vAlign w:val="bottom"/>
          </w:tcPr>
          <w:p>
            <w:pPr>
              <w:pStyle w:val="TableContents"/>
              <w:spacing w:lineRule="atLeast" w:line="180" w:before="0" w:after="283"/>
              <w:rPr/>
            </w:pPr>
            <w:r>
              <w:rPr/>
              <w:t>​</w:t>
            </w:r>
          </w:p>
        </w:tc>
        <w:tc>
          <w:tcPr>
            <w:tcW w:w="516"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5,119</w:t>
            </w:r>
          </w:p>
        </w:tc>
        <w:tc>
          <w:tcPr>
            <w:tcW w:w="17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22" w:type="dxa"/>
            <w:tcBorders/>
            <w:shd w:fill="CCEEFF" w:val="clear"/>
            <w:vAlign w:val="bottom"/>
          </w:tcPr>
          <w:p>
            <w:pPr>
              <w:pStyle w:val="TableContents"/>
              <w:spacing w:lineRule="atLeast" w:line="180" w:before="0" w:after="283"/>
              <w:rPr/>
            </w:pPr>
            <w:r>
              <w:rPr/>
              <w:t>​</w:t>
            </w:r>
          </w:p>
        </w:tc>
        <w:tc>
          <w:tcPr>
            <w:tcW w:w="444" w:type="dxa"/>
            <w:gridSpan w:val="2"/>
            <w:tcBorders/>
            <w:shd w:fill="CCEEFF" w:val="clear"/>
            <w:vAlign w:val="bottom"/>
          </w:tcPr>
          <w:p>
            <w:pPr>
              <w:pStyle w:val="TableContents"/>
              <w:spacing w:lineRule="atLeast" w:line="180" w:before="0" w:after="283"/>
              <w:jc w:val="right"/>
              <w:rPr/>
            </w:pPr>
            <w:r>
              <w:rPr/>
              <w:t> </w:t>
            </w:r>
          </w:p>
        </w:tc>
        <w:tc>
          <w:tcPr>
            <w:tcW w:w="224"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70" w:type="dxa"/>
            <w:tcBorders/>
            <w:shd w:fill="CCEEFF" w:val="clear"/>
            <w:vAlign w:val="bottom"/>
          </w:tcPr>
          <w:p>
            <w:pPr>
              <w:pStyle w:val="TableContents"/>
              <w:spacing w:lineRule="atLeast" w:line="180" w:before="0" w:after="283"/>
              <w:rPr/>
            </w:pPr>
            <w:r>
              <w:rPr/>
              <w:t>​</w:t>
            </w:r>
          </w:p>
        </w:tc>
        <w:tc>
          <w:tcPr>
            <w:tcW w:w="340" w:type="dxa"/>
            <w:gridSpan w:val="2"/>
            <w:tcBorders/>
            <w:shd w:fill="CCEEFF" w:val="clear"/>
            <w:vAlign w:val="bottom"/>
          </w:tcPr>
          <w:p>
            <w:pPr>
              <w:pStyle w:val="TableContents"/>
              <w:spacing w:lineRule="atLeast" w:line="180" w:before="0" w:after="283"/>
              <w:jc w:val="right"/>
              <w:rPr/>
            </w:pPr>
            <w:r>
              <w:rPr/>
              <w:t> </w:t>
            </w:r>
          </w:p>
        </w:tc>
        <w:tc>
          <w:tcPr>
            <w:tcW w:w="17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55" w:type="dxa"/>
            <w:tcBorders/>
            <w:shd w:fill="CCEEFF" w:val="clear"/>
            <w:vAlign w:val="bottom"/>
          </w:tcPr>
          <w:p>
            <w:pPr>
              <w:pStyle w:val="TableContents"/>
              <w:spacing w:lineRule="atLeast" w:line="180" w:before="0" w:after="283"/>
              <w:rPr/>
            </w:pPr>
            <w:r>
              <w:rPr/>
              <w:t>​</w:t>
            </w:r>
          </w:p>
        </w:tc>
        <w:tc>
          <w:tcPr>
            <w:tcW w:w="69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$93,652</w:t>
            </w:r>
          </w:p>
        </w:tc>
        <w:tc>
          <w:tcPr>
            <w:tcW w:w="155" w:type="dxa"/>
            <w:tcBorders/>
            <w:shd w:fill="CCEEFF" w:val="clear"/>
            <w:vAlign w:val="bottom"/>
          </w:tcPr>
          <w:p>
            <w:pPr>
              <w:pStyle w:val="TableContents"/>
              <w:spacing w:lineRule="atLeast" w:line="180" w:before="0" w:after="283"/>
              <w:rPr/>
            </w:pPr>
            <w:r>
              <w:rPr/>
              <w:t>​</w:t>
            </w:r>
          </w:p>
        </w:tc>
        <w:tc>
          <w:tcPr>
            <w:tcW w:w="24" w:type="dxa"/>
            <w:tcBorders/>
            <w:shd w:fill="CCEEFF" w:val="clear"/>
            <w:vAlign w:val="bottom"/>
          </w:tcPr>
          <w:p>
            <w:pPr>
              <w:pStyle w:val="TableContents"/>
              <w:spacing w:lineRule="atLeast" w:line="180" w:before="0" w:after="283"/>
              <w:rPr/>
            </w:pPr>
            <w:r>
              <w:rPr/>
              <w:t>​</w:t>
            </w:r>
          </w:p>
        </w:tc>
      </w:tr>
      <w:tr>
        <w:trPr/>
        <w:tc>
          <w:tcPr>
            <w:tcW w:w="1508" w:type="dxa"/>
            <w:tcBorders/>
            <w:shd w:fill="CCEEFF" w:val="clear"/>
            <w:vAlign w:val="bottom"/>
          </w:tcPr>
          <w:p>
            <w:pPr>
              <w:pStyle w:val="TableContents"/>
              <w:spacing w:before="0" w:after="283"/>
              <w:ind w:left="140" w:right="0" w:hanging="140"/>
              <w:rPr>
                <w:sz w:val="4"/>
                <w:szCs w:val="4"/>
              </w:rPr>
            </w:pPr>
            <w:r>
              <w:rPr>
                <w:sz w:val="4"/>
                <w:szCs w:val="4"/>
              </w:rPr>
            </w:r>
          </w:p>
        </w:tc>
        <w:tc>
          <w:tcPr>
            <w:tcW w:w="23" w:type="dxa"/>
            <w:tcBorders/>
            <w:shd w:fill="CCEEFF" w:val="clear"/>
            <w:vAlign w:val="bottom"/>
          </w:tcPr>
          <w:p>
            <w:pPr>
              <w:pStyle w:val="TableContents"/>
              <w:spacing w:lineRule="atLeast" w:line="180" w:before="0" w:after="283"/>
              <w:rPr/>
            </w:pPr>
            <w:r>
              <w:rPr/>
              <w:t>​</w:t>
            </w:r>
          </w:p>
        </w:tc>
        <w:tc>
          <w:tcPr>
            <w:tcW w:w="31" w:type="dxa"/>
            <w:tcBorders/>
            <w:shd w:fill="CCEEFF" w:val="clear"/>
            <w:vAlign w:val="bottom"/>
          </w:tcPr>
          <w:p>
            <w:pPr>
              <w:pStyle w:val="TableContents"/>
              <w:spacing w:lineRule="atLeast" w:line="180" w:before="0" w:after="283"/>
              <w:rPr/>
            </w:pPr>
            <w:r>
              <w:rPr/>
              <w:t>​</w:t>
            </w:r>
          </w:p>
        </w:tc>
        <w:tc>
          <w:tcPr>
            <w:tcW w:w="3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10/01/20</w:t>
            </w:r>
          </w:p>
        </w:tc>
        <w:tc>
          <w:tcPr>
            <w:tcW w:w="125" w:type="dxa"/>
            <w:tcBorders/>
            <w:shd w:fill="CCEEFF" w:val="clear"/>
            <w:vAlign w:val="bottom"/>
          </w:tcPr>
          <w:p>
            <w:pPr>
              <w:pStyle w:val="TableContents"/>
              <w:spacing w:lineRule="atLeast" w:line="180" w:before="0" w:after="283"/>
              <w:rPr>
                <w:rFonts w:ascii="arial" w:hAnsi="arial"/>
                <w:sz w:val="12"/>
              </w:rPr>
            </w:pPr>
            <w:r>
              <w:rPr>
                <w:rFonts w:ascii="arial" w:hAnsi="arial"/>
                <w:sz w:val="12"/>
              </w:rPr>
              <w:t>(5)</w:t>
            </w:r>
          </w:p>
        </w:tc>
        <w:tc>
          <w:tcPr>
            <w:tcW w:w="23" w:type="dxa"/>
            <w:tcBorders/>
            <w:shd w:fill="CCEEFF" w:val="clear"/>
            <w:vAlign w:val="bottom"/>
          </w:tcPr>
          <w:p>
            <w:pPr>
              <w:pStyle w:val="TableContents"/>
              <w:spacing w:lineRule="atLeast" w:line="180" w:before="0" w:after="283"/>
              <w:rPr/>
            </w:pPr>
            <w:r>
              <w:rPr/>
              <w:t>​</w:t>
            </w:r>
          </w:p>
        </w:tc>
        <w:tc>
          <w:tcPr>
            <w:tcW w:w="353" w:type="dxa"/>
            <w:tcBorders/>
            <w:shd w:fill="CCEEFF" w:val="clear"/>
            <w:vAlign w:val="bottom"/>
          </w:tcPr>
          <w:p>
            <w:pPr>
              <w:pStyle w:val="TableContents"/>
              <w:spacing w:lineRule="atLeast" w:line="180" w:before="0" w:after="283"/>
              <w:rPr/>
            </w:pPr>
            <w:r>
              <w:rPr/>
              <w:t>​</w:t>
            </w:r>
          </w:p>
        </w:tc>
        <w:tc>
          <w:tcPr>
            <w:tcW w:w="122"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355"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216" w:type="dxa"/>
            <w:tcBorders/>
            <w:shd w:fill="CCEEFF" w:val="clear"/>
            <w:vAlign w:val="bottom"/>
          </w:tcPr>
          <w:p>
            <w:pPr>
              <w:pStyle w:val="TableContents"/>
              <w:spacing w:lineRule="atLeast" w:line="180" w:before="0" w:after="283"/>
              <w:rPr/>
            </w:pPr>
            <w:r>
              <w:rPr/>
              <w:t>​</w:t>
            </w:r>
          </w:p>
        </w:tc>
        <w:tc>
          <w:tcPr>
            <w:tcW w:w="139"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7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96" w:type="dxa"/>
            <w:tcBorders/>
            <w:shd w:fill="CCEEFF" w:val="clear"/>
            <w:vAlign w:val="bottom"/>
          </w:tcPr>
          <w:p>
            <w:pPr>
              <w:pStyle w:val="TableContents"/>
              <w:spacing w:lineRule="atLeast" w:line="180" w:before="0" w:after="283"/>
              <w:rPr/>
            </w:pPr>
            <w:r>
              <w:rPr/>
              <w:t>​</w:t>
            </w:r>
          </w:p>
        </w:tc>
        <w:tc>
          <w:tcPr>
            <w:tcW w:w="392"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97" w:type="dxa"/>
            <w:tcBorders/>
            <w:shd w:fill="CCEEFF" w:val="clear"/>
            <w:vAlign w:val="bottom"/>
          </w:tcPr>
          <w:p>
            <w:pPr>
              <w:pStyle w:val="TableContents"/>
              <w:spacing w:lineRule="atLeast" w:line="180" w:before="0" w:after="283"/>
              <w:rPr/>
            </w:pPr>
            <w:r>
              <w:rPr/>
              <w:t>​</w:t>
            </w:r>
          </w:p>
        </w:tc>
        <w:tc>
          <w:tcPr>
            <w:tcW w:w="24" w:type="dxa"/>
            <w:tcBorders/>
            <w:shd w:fill="CCEEFF" w:val="clear"/>
            <w:vAlign w:val="bottom"/>
          </w:tcPr>
          <w:p>
            <w:pPr>
              <w:pStyle w:val="TableContents"/>
              <w:spacing w:lineRule="atLeast" w:line="180" w:before="0" w:after="283"/>
              <w:rPr/>
            </w:pPr>
            <w:r>
              <w:rPr/>
              <w:t>​</w:t>
            </w:r>
          </w:p>
        </w:tc>
        <w:tc>
          <w:tcPr>
            <w:tcW w:w="122" w:type="dxa"/>
            <w:tcBorders/>
            <w:shd w:fill="CCEEFF" w:val="clear"/>
            <w:vAlign w:val="bottom"/>
          </w:tcPr>
          <w:p>
            <w:pPr>
              <w:pStyle w:val="TableContents"/>
              <w:spacing w:lineRule="atLeast" w:line="180" w:before="0" w:after="283"/>
              <w:rPr/>
            </w:pPr>
            <w:r>
              <w:rPr/>
              <w:t>​</w:t>
            </w:r>
          </w:p>
        </w:tc>
        <w:tc>
          <w:tcPr>
            <w:tcW w:w="583"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25" w:type="dxa"/>
            <w:tcBorders/>
            <w:shd w:fill="CCEEFF" w:val="clear"/>
            <w:vAlign w:val="bottom"/>
          </w:tcPr>
          <w:p>
            <w:pPr>
              <w:pStyle w:val="TableContents"/>
              <w:spacing w:lineRule="atLeast" w:line="180" w:before="0" w:after="283"/>
              <w:rPr/>
            </w:pPr>
            <w:r>
              <w:rPr/>
              <w:t>​</w:t>
            </w:r>
          </w:p>
        </w:tc>
        <w:tc>
          <w:tcPr>
            <w:tcW w:w="60" w:type="dxa"/>
            <w:tcBorders/>
            <w:shd w:fill="CCEEFF" w:val="clear"/>
            <w:vAlign w:val="bottom"/>
          </w:tcPr>
          <w:p>
            <w:pPr>
              <w:pStyle w:val="TableContents"/>
              <w:spacing w:lineRule="atLeast" w:line="180" w:before="0" w:after="283"/>
              <w:rPr/>
            </w:pPr>
            <w:r>
              <w:rPr/>
              <w:t>​</w:t>
            </w:r>
          </w:p>
        </w:tc>
        <w:tc>
          <w:tcPr>
            <w:tcW w:w="5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3" w:type="dxa"/>
            <w:tcBorders/>
            <w:shd w:fill="CCEEFF" w:val="clear"/>
            <w:vAlign w:val="bottom"/>
          </w:tcPr>
          <w:p>
            <w:pPr>
              <w:pStyle w:val="TableContents"/>
              <w:spacing w:lineRule="atLeast" w:line="180" w:before="0" w:after="283"/>
              <w:rPr/>
            </w:pPr>
            <w:r>
              <w:rPr/>
              <w:t>​</w:t>
            </w:r>
          </w:p>
        </w:tc>
        <w:tc>
          <w:tcPr>
            <w:tcW w:w="196"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97"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70" w:type="dxa"/>
            <w:tcBorders/>
            <w:shd w:fill="CCEEFF" w:val="clear"/>
            <w:vAlign w:val="bottom"/>
          </w:tcPr>
          <w:p>
            <w:pPr>
              <w:pStyle w:val="TableContents"/>
              <w:spacing w:lineRule="atLeast" w:line="180" w:before="0" w:after="283"/>
              <w:rPr/>
            </w:pPr>
            <w:r>
              <w:rPr/>
              <w:t>​</w:t>
            </w:r>
          </w:p>
        </w:tc>
        <w:tc>
          <w:tcPr>
            <w:tcW w:w="516"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6,250</w:t>
            </w:r>
          </w:p>
        </w:tc>
        <w:tc>
          <w:tcPr>
            <w:tcW w:w="17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22" w:type="dxa"/>
            <w:tcBorders/>
            <w:shd w:fill="CCEEFF" w:val="clear"/>
            <w:vAlign w:val="bottom"/>
          </w:tcPr>
          <w:p>
            <w:pPr>
              <w:pStyle w:val="TableContents"/>
              <w:spacing w:lineRule="atLeast" w:line="180" w:before="0" w:after="283"/>
              <w:rPr/>
            </w:pPr>
            <w:r>
              <w:rPr/>
              <w:t>​</w:t>
            </w:r>
          </w:p>
        </w:tc>
        <w:tc>
          <w:tcPr>
            <w:tcW w:w="444" w:type="dxa"/>
            <w:gridSpan w:val="2"/>
            <w:tcBorders/>
            <w:shd w:fill="CCEEFF" w:val="clear"/>
            <w:vAlign w:val="bottom"/>
          </w:tcPr>
          <w:p>
            <w:pPr>
              <w:pStyle w:val="TableContents"/>
              <w:spacing w:lineRule="atLeast" w:line="180" w:before="0" w:after="283"/>
              <w:jc w:val="right"/>
              <w:rPr/>
            </w:pPr>
            <w:r>
              <w:rPr/>
              <w:t> </w:t>
            </w:r>
          </w:p>
        </w:tc>
        <w:tc>
          <w:tcPr>
            <w:tcW w:w="224"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70" w:type="dxa"/>
            <w:tcBorders/>
            <w:shd w:fill="CCEEFF" w:val="clear"/>
            <w:vAlign w:val="bottom"/>
          </w:tcPr>
          <w:p>
            <w:pPr>
              <w:pStyle w:val="TableContents"/>
              <w:spacing w:lineRule="atLeast" w:line="180" w:before="0" w:after="283"/>
              <w:rPr/>
            </w:pPr>
            <w:r>
              <w:rPr/>
              <w:t>​</w:t>
            </w:r>
          </w:p>
        </w:tc>
        <w:tc>
          <w:tcPr>
            <w:tcW w:w="340" w:type="dxa"/>
            <w:gridSpan w:val="2"/>
            <w:tcBorders/>
            <w:shd w:fill="CCEEFF" w:val="clear"/>
            <w:vAlign w:val="bottom"/>
          </w:tcPr>
          <w:p>
            <w:pPr>
              <w:pStyle w:val="TableContents"/>
              <w:spacing w:lineRule="atLeast" w:line="180" w:before="0" w:after="283"/>
              <w:jc w:val="right"/>
              <w:rPr/>
            </w:pPr>
            <w:r>
              <w:rPr/>
              <w:t> </w:t>
            </w:r>
          </w:p>
        </w:tc>
        <w:tc>
          <w:tcPr>
            <w:tcW w:w="17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55" w:type="dxa"/>
            <w:tcBorders/>
            <w:shd w:fill="CCEEFF" w:val="clear"/>
            <w:vAlign w:val="bottom"/>
          </w:tcPr>
          <w:p>
            <w:pPr>
              <w:pStyle w:val="TableContents"/>
              <w:spacing w:lineRule="atLeast" w:line="180" w:before="0" w:after="283"/>
              <w:rPr/>
            </w:pPr>
            <w:r>
              <w:rPr/>
              <w:t>​</w:t>
            </w:r>
          </w:p>
        </w:tc>
        <w:tc>
          <w:tcPr>
            <w:tcW w:w="69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$78,688</w:t>
            </w:r>
          </w:p>
        </w:tc>
        <w:tc>
          <w:tcPr>
            <w:tcW w:w="155" w:type="dxa"/>
            <w:tcBorders/>
            <w:shd w:fill="CCEEFF" w:val="clear"/>
            <w:vAlign w:val="bottom"/>
          </w:tcPr>
          <w:p>
            <w:pPr>
              <w:pStyle w:val="TableContents"/>
              <w:spacing w:lineRule="atLeast" w:line="180" w:before="0" w:after="283"/>
              <w:rPr/>
            </w:pPr>
            <w:r>
              <w:rPr/>
              <w:t>​</w:t>
            </w:r>
          </w:p>
        </w:tc>
        <w:tc>
          <w:tcPr>
            <w:tcW w:w="24" w:type="dxa"/>
            <w:tcBorders/>
            <w:shd w:fill="CCEEFF" w:val="clear"/>
            <w:vAlign w:val="bottom"/>
          </w:tcPr>
          <w:p>
            <w:pPr>
              <w:pStyle w:val="TableContents"/>
              <w:spacing w:lineRule="atLeast" w:line="180" w:before="0" w:after="283"/>
              <w:rPr/>
            </w:pPr>
            <w:r>
              <w:rPr/>
              <w:t>​</w:t>
            </w:r>
          </w:p>
        </w:tc>
      </w:tr>
      <w:tr>
        <w:trPr/>
        <w:tc>
          <w:tcPr>
            <w:tcW w:w="1508" w:type="dxa"/>
            <w:tcBorders/>
            <w:shd w:fill="CCEEFF" w:val="clear"/>
            <w:vAlign w:val="bottom"/>
          </w:tcPr>
          <w:p>
            <w:pPr>
              <w:pStyle w:val="TableContents"/>
              <w:spacing w:before="0" w:after="283"/>
              <w:ind w:left="140" w:right="0" w:hanging="140"/>
              <w:rPr>
                <w:sz w:val="4"/>
                <w:szCs w:val="4"/>
              </w:rPr>
            </w:pPr>
            <w:r>
              <w:rPr>
                <w:sz w:val="4"/>
                <w:szCs w:val="4"/>
              </w:rPr>
            </w:r>
          </w:p>
        </w:tc>
        <w:tc>
          <w:tcPr>
            <w:tcW w:w="23" w:type="dxa"/>
            <w:tcBorders/>
            <w:shd w:fill="CCEEFF" w:val="clear"/>
            <w:vAlign w:val="bottom"/>
          </w:tcPr>
          <w:p>
            <w:pPr>
              <w:pStyle w:val="TableContents"/>
              <w:spacing w:lineRule="atLeast" w:line="180" w:before="0" w:after="283"/>
              <w:rPr/>
            </w:pPr>
            <w:r>
              <w:rPr/>
              <w:t>​</w:t>
            </w:r>
          </w:p>
        </w:tc>
        <w:tc>
          <w:tcPr>
            <w:tcW w:w="31" w:type="dxa"/>
            <w:tcBorders/>
            <w:shd w:fill="CCEEFF" w:val="clear"/>
            <w:vAlign w:val="bottom"/>
          </w:tcPr>
          <w:p>
            <w:pPr>
              <w:pStyle w:val="TableContents"/>
              <w:spacing w:lineRule="atLeast" w:line="180" w:before="0" w:after="283"/>
              <w:rPr/>
            </w:pPr>
            <w:r>
              <w:rPr/>
              <w:t>​</w:t>
            </w:r>
          </w:p>
        </w:tc>
        <w:tc>
          <w:tcPr>
            <w:tcW w:w="3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10/01/20</w:t>
            </w:r>
          </w:p>
        </w:tc>
        <w:tc>
          <w:tcPr>
            <w:tcW w:w="125" w:type="dxa"/>
            <w:tcBorders/>
            <w:shd w:fill="CCEEFF" w:val="clear"/>
            <w:vAlign w:val="bottom"/>
          </w:tcPr>
          <w:p>
            <w:pPr>
              <w:pStyle w:val="TableContents"/>
              <w:spacing w:lineRule="atLeast" w:line="180" w:before="0" w:after="283"/>
              <w:rPr>
                <w:rFonts w:ascii="arial" w:hAnsi="arial"/>
                <w:sz w:val="12"/>
              </w:rPr>
            </w:pPr>
            <w:r>
              <w:rPr>
                <w:rFonts w:ascii="arial" w:hAnsi="arial"/>
                <w:sz w:val="12"/>
              </w:rPr>
              <w:t>(6)</w:t>
            </w:r>
          </w:p>
        </w:tc>
        <w:tc>
          <w:tcPr>
            <w:tcW w:w="23" w:type="dxa"/>
            <w:tcBorders/>
            <w:shd w:fill="CCEEFF" w:val="clear"/>
            <w:vAlign w:val="bottom"/>
          </w:tcPr>
          <w:p>
            <w:pPr>
              <w:pStyle w:val="TableContents"/>
              <w:spacing w:lineRule="atLeast" w:line="180" w:before="0" w:after="283"/>
              <w:rPr/>
            </w:pPr>
            <w:r>
              <w:rPr/>
              <w:t>​</w:t>
            </w:r>
          </w:p>
        </w:tc>
        <w:tc>
          <w:tcPr>
            <w:tcW w:w="353" w:type="dxa"/>
            <w:tcBorders/>
            <w:shd w:fill="CCEEFF" w:val="clear"/>
            <w:vAlign w:val="bottom"/>
          </w:tcPr>
          <w:p>
            <w:pPr>
              <w:pStyle w:val="TableContents"/>
              <w:spacing w:lineRule="atLeast" w:line="180" w:before="0" w:after="283"/>
              <w:rPr/>
            </w:pPr>
            <w:r>
              <w:rPr/>
              <w:t>​</w:t>
            </w:r>
          </w:p>
        </w:tc>
        <w:tc>
          <w:tcPr>
            <w:tcW w:w="122"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355"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216" w:type="dxa"/>
            <w:tcBorders/>
            <w:shd w:fill="CCEEFF" w:val="clear"/>
            <w:vAlign w:val="bottom"/>
          </w:tcPr>
          <w:p>
            <w:pPr>
              <w:pStyle w:val="TableContents"/>
              <w:spacing w:lineRule="atLeast" w:line="180" w:before="0" w:after="283"/>
              <w:rPr/>
            </w:pPr>
            <w:r>
              <w:rPr/>
              <w:t>​</w:t>
            </w:r>
          </w:p>
        </w:tc>
        <w:tc>
          <w:tcPr>
            <w:tcW w:w="139"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7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96" w:type="dxa"/>
            <w:tcBorders/>
            <w:shd w:fill="CCEEFF" w:val="clear"/>
            <w:vAlign w:val="bottom"/>
          </w:tcPr>
          <w:p>
            <w:pPr>
              <w:pStyle w:val="TableContents"/>
              <w:spacing w:lineRule="atLeast" w:line="180" w:before="0" w:after="283"/>
              <w:rPr/>
            </w:pPr>
            <w:r>
              <w:rPr/>
              <w:t>​</w:t>
            </w:r>
          </w:p>
        </w:tc>
        <w:tc>
          <w:tcPr>
            <w:tcW w:w="392"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97" w:type="dxa"/>
            <w:tcBorders/>
            <w:shd w:fill="CCEEFF" w:val="clear"/>
            <w:vAlign w:val="bottom"/>
          </w:tcPr>
          <w:p>
            <w:pPr>
              <w:pStyle w:val="TableContents"/>
              <w:spacing w:lineRule="atLeast" w:line="180" w:before="0" w:after="283"/>
              <w:rPr/>
            </w:pPr>
            <w:r>
              <w:rPr/>
              <w:t>​</w:t>
            </w:r>
          </w:p>
        </w:tc>
        <w:tc>
          <w:tcPr>
            <w:tcW w:w="24" w:type="dxa"/>
            <w:tcBorders/>
            <w:shd w:fill="CCEEFF" w:val="clear"/>
            <w:vAlign w:val="bottom"/>
          </w:tcPr>
          <w:p>
            <w:pPr>
              <w:pStyle w:val="TableContents"/>
              <w:spacing w:lineRule="atLeast" w:line="180" w:before="0" w:after="283"/>
              <w:rPr/>
            </w:pPr>
            <w:r>
              <w:rPr/>
              <w:t>​</w:t>
            </w:r>
          </w:p>
        </w:tc>
        <w:tc>
          <w:tcPr>
            <w:tcW w:w="122" w:type="dxa"/>
            <w:tcBorders/>
            <w:shd w:fill="CCEEFF" w:val="clear"/>
            <w:vAlign w:val="bottom"/>
          </w:tcPr>
          <w:p>
            <w:pPr>
              <w:pStyle w:val="TableContents"/>
              <w:spacing w:lineRule="atLeast" w:line="180" w:before="0" w:after="283"/>
              <w:rPr/>
            </w:pPr>
            <w:r>
              <w:rPr/>
              <w:t>​</w:t>
            </w:r>
          </w:p>
        </w:tc>
        <w:tc>
          <w:tcPr>
            <w:tcW w:w="583"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25" w:type="dxa"/>
            <w:tcBorders/>
            <w:shd w:fill="CCEEFF" w:val="clear"/>
            <w:vAlign w:val="bottom"/>
          </w:tcPr>
          <w:p>
            <w:pPr>
              <w:pStyle w:val="TableContents"/>
              <w:spacing w:lineRule="atLeast" w:line="180" w:before="0" w:after="283"/>
              <w:rPr/>
            </w:pPr>
            <w:r>
              <w:rPr/>
              <w:t>​</w:t>
            </w:r>
          </w:p>
        </w:tc>
        <w:tc>
          <w:tcPr>
            <w:tcW w:w="60" w:type="dxa"/>
            <w:tcBorders/>
            <w:shd w:fill="CCEEFF" w:val="clear"/>
            <w:vAlign w:val="bottom"/>
          </w:tcPr>
          <w:p>
            <w:pPr>
              <w:pStyle w:val="TableContents"/>
              <w:spacing w:lineRule="atLeast" w:line="180" w:before="0" w:after="283"/>
              <w:rPr/>
            </w:pPr>
            <w:r>
              <w:rPr/>
              <w:t>​</w:t>
            </w:r>
          </w:p>
        </w:tc>
        <w:tc>
          <w:tcPr>
            <w:tcW w:w="5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3" w:type="dxa"/>
            <w:tcBorders/>
            <w:shd w:fill="CCEEFF" w:val="clear"/>
            <w:vAlign w:val="bottom"/>
          </w:tcPr>
          <w:p>
            <w:pPr>
              <w:pStyle w:val="TableContents"/>
              <w:spacing w:lineRule="atLeast" w:line="180" w:before="0" w:after="283"/>
              <w:rPr/>
            </w:pPr>
            <w:r>
              <w:rPr/>
              <w:t>​</w:t>
            </w:r>
          </w:p>
        </w:tc>
        <w:tc>
          <w:tcPr>
            <w:tcW w:w="196"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97"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70" w:type="dxa"/>
            <w:tcBorders/>
            <w:shd w:fill="CCEEFF" w:val="clear"/>
            <w:vAlign w:val="bottom"/>
          </w:tcPr>
          <w:p>
            <w:pPr>
              <w:pStyle w:val="TableContents"/>
              <w:spacing w:lineRule="atLeast" w:line="180" w:before="0" w:after="283"/>
              <w:rPr/>
            </w:pPr>
            <w:r>
              <w:rPr/>
              <w:t>​</w:t>
            </w:r>
          </w:p>
        </w:tc>
        <w:tc>
          <w:tcPr>
            <w:tcW w:w="516"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25,000</w:t>
            </w:r>
          </w:p>
        </w:tc>
        <w:tc>
          <w:tcPr>
            <w:tcW w:w="17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22" w:type="dxa"/>
            <w:tcBorders/>
            <w:shd w:fill="CCEEFF" w:val="clear"/>
            <w:vAlign w:val="bottom"/>
          </w:tcPr>
          <w:p>
            <w:pPr>
              <w:pStyle w:val="TableContents"/>
              <w:spacing w:lineRule="atLeast" w:line="180" w:before="0" w:after="283"/>
              <w:rPr/>
            </w:pPr>
            <w:r>
              <w:rPr/>
              <w:t>​</w:t>
            </w:r>
          </w:p>
        </w:tc>
        <w:tc>
          <w:tcPr>
            <w:tcW w:w="444" w:type="dxa"/>
            <w:gridSpan w:val="2"/>
            <w:tcBorders/>
            <w:shd w:fill="CCEEFF" w:val="clear"/>
            <w:vAlign w:val="bottom"/>
          </w:tcPr>
          <w:p>
            <w:pPr>
              <w:pStyle w:val="TableContents"/>
              <w:spacing w:lineRule="atLeast" w:line="180" w:before="0" w:after="283"/>
              <w:jc w:val="right"/>
              <w:rPr/>
            </w:pPr>
            <w:r>
              <w:rPr/>
              <w:t> </w:t>
            </w:r>
          </w:p>
        </w:tc>
        <w:tc>
          <w:tcPr>
            <w:tcW w:w="224"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70" w:type="dxa"/>
            <w:tcBorders/>
            <w:shd w:fill="CCEEFF" w:val="clear"/>
            <w:vAlign w:val="bottom"/>
          </w:tcPr>
          <w:p>
            <w:pPr>
              <w:pStyle w:val="TableContents"/>
              <w:spacing w:lineRule="atLeast" w:line="180" w:before="0" w:after="283"/>
              <w:rPr/>
            </w:pPr>
            <w:r>
              <w:rPr/>
              <w:t>​</w:t>
            </w:r>
          </w:p>
        </w:tc>
        <w:tc>
          <w:tcPr>
            <w:tcW w:w="340" w:type="dxa"/>
            <w:gridSpan w:val="2"/>
            <w:tcBorders/>
            <w:shd w:fill="CCEEFF" w:val="clear"/>
            <w:vAlign w:val="bottom"/>
          </w:tcPr>
          <w:p>
            <w:pPr>
              <w:pStyle w:val="TableContents"/>
              <w:spacing w:lineRule="atLeast" w:line="180" w:before="0" w:after="283"/>
              <w:jc w:val="right"/>
              <w:rPr/>
            </w:pPr>
            <w:r>
              <w:rPr/>
              <w:t> </w:t>
            </w:r>
          </w:p>
        </w:tc>
        <w:tc>
          <w:tcPr>
            <w:tcW w:w="17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55" w:type="dxa"/>
            <w:tcBorders/>
            <w:shd w:fill="CCEEFF" w:val="clear"/>
            <w:vAlign w:val="bottom"/>
          </w:tcPr>
          <w:p>
            <w:pPr>
              <w:pStyle w:val="TableContents"/>
              <w:spacing w:lineRule="atLeast" w:line="180" w:before="0" w:after="283"/>
              <w:rPr/>
            </w:pPr>
            <w:r>
              <w:rPr/>
              <w:t>​</w:t>
            </w:r>
          </w:p>
        </w:tc>
        <w:tc>
          <w:tcPr>
            <w:tcW w:w="69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$314,500</w:t>
            </w:r>
          </w:p>
        </w:tc>
        <w:tc>
          <w:tcPr>
            <w:tcW w:w="155" w:type="dxa"/>
            <w:tcBorders/>
            <w:shd w:fill="CCEEFF" w:val="clear"/>
            <w:vAlign w:val="bottom"/>
          </w:tcPr>
          <w:p>
            <w:pPr>
              <w:pStyle w:val="TableContents"/>
              <w:spacing w:lineRule="atLeast" w:line="180" w:before="0" w:after="283"/>
              <w:rPr/>
            </w:pPr>
            <w:r>
              <w:rPr/>
              <w:t>​</w:t>
            </w:r>
          </w:p>
        </w:tc>
        <w:tc>
          <w:tcPr>
            <w:tcW w:w="24" w:type="dxa"/>
            <w:tcBorders/>
            <w:shd w:fill="CCEEFF" w:val="clear"/>
            <w:vAlign w:val="bottom"/>
          </w:tcPr>
          <w:p>
            <w:pPr>
              <w:pStyle w:val="TableContents"/>
              <w:spacing w:lineRule="atLeast" w:line="180" w:before="0" w:after="283"/>
              <w:rPr/>
            </w:pPr>
            <w:r>
              <w:rPr/>
              <w:t>​</w:t>
            </w:r>
          </w:p>
        </w:tc>
      </w:tr>
      <w:tr>
        <w:trPr/>
        <w:tc>
          <w:tcPr>
            <w:tcW w:w="1508" w:type="dxa"/>
            <w:tcBorders/>
            <w:shd w:fill="auto" w:val="clear"/>
            <w:vAlign w:val="bottom"/>
          </w:tcPr>
          <w:p>
            <w:pPr>
              <w:pStyle w:val="TableContents"/>
              <w:spacing w:lineRule="atLeast" w:line="180" w:before="160" w:after="283"/>
              <w:ind w:left="140" w:right="0" w:hanging="140"/>
              <w:rPr>
                <w:rFonts w:ascii="arial" w:hAnsi="arial"/>
                <w:sz w:val="16"/>
              </w:rPr>
            </w:pPr>
            <w:r>
              <w:rPr>
                <w:rFonts w:ascii="arial" w:hAnsi="arial"/>
                <w:sz w:val="16"/>
              </w:rPr>
              <w:t>Gregory J. Ritts</w:t>
            </w:r>
          </w:p>
        </w:tc>
        <w:tc>
          <w:tcPr>
            <w:tcW w:w="23" w:type="dxa"/>
            <w:tcBorders/>
            <w:shd w:fill="auto" w:val="clear"/>
            <w:vAlign w:val="bottom"/>
          </w:tcPr>
          <w:p>
            <w:pPr>
              <w:pStyle w:val="TableContents"/>
              <w:spacing w:lineRule="atLeast" w:line="180" w:before="0" w:after="283"/>
              <w:rPr/>
            </w:pPr>
            <w:r>
              <w:rPr/>
              <w:t>​</w:t>
            </w:r>
          </w:p>
        </w:tc>
        <w:tc>
          <w:tcPr>
            <w:tcW w:w="31" w:type="dxa"/>
            <w:tcBorders/>
            <w:shd w:fill="auto" w:val="clear"/>
            <w:vAlign w:val="bottom"/>
          </w:tcPr>
          <w:p>
            <w:pPr>
              <w:pStyle w:val="TableContents"/>
              <w:spacing w:lineRule="atLeast" w:line="180" w:before="0" w:after="283"/>
              <w:rPr/>
            </w:pPr>
            <w:r>
              <w:rPr/>
              <w:t>​</w:t>
            </w:r>
          </w:p>
        </w:tc>
        <w:tc>
          <w:tcPr>
            <w:tcW w:w="3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br/>
              <w:t>1/24/20</w:t>
            </w:r>
          </w:p>
        </w:tc>
        <w:tc>
          <w:tcPr>
            <w:tcW w:w="125" w:type="dxa"/>
            <w:tcBorders/>
            <w:shd w:fill="auto" w:val="clear"/>
            <w:vAlign w:val="bottom"/>
          </w:tcPr>
          <w:p>
            <w:pPr>
              <w:pStyle w:val="TableContents"/>
              <w:spacing w:lineRule="atLeast" w:line="180" w:before="0" w:after="283"/>
              <w:rPr>
                <w:rFonts w:ascii="arial" w:hAnsi="arial"/>
                <w:sz w:val="16"/>
              </w:rPr>
            </w:pPr>
            <w:r>
              <w:rPr>
                <w:rFonts w:ascii="arial" w:hAnsi="arial"/>
                <w:sz w:val="16"/>
              </w:rPr>
              <w:br/>
            </w:r>
            <w:r>
              <w:rPr>
                <w:rFonts w:ascii="arial" w:hAnsi="arial"/>
                <w:sz w:val="12"/>
              </w:rPr>
              <w:t>(3)</w:t>
            </w:r>
          </w:p>
        </w:tc>
        <w:tc>
          <w:tcPr>
            <w:tcW w:w="23" w:type="dxa"/>
            <w:tcBorders/>
            <w:shd w:fill="auto" w:val="clear"/>
            <w:vAlign w:val="bottom"/>
          </w:tcPr>
          <w:p>
            <w:pPr>
              <w:pStyle w:val="TableContents"/>
              <w:spacing w:lineRule="atLeast" w:line="180" w:before="0" w:after="283"/>
              <w:rPr>
                <w:rFonts w:ascii="arial" w:hAnsi="arial"/>
                <w:sz w:val="16"/>
              </w:rPr>
            </w:pPr>
            <w:r>
              <w:rPr>
                <w:rFonts w:ascii="arial" w:hAnsi="arial"/>
                <w:sz w:val="16"/>
              </w:rPr>
              <w:br/>
              <w:t>​</w:t>
            </w:r>
          </w:p>
        </w:tc>
        <w:tc>
          <w:tcPr>
            <w:tcW w:w="353" w:type="dxa"/>
            <w:tcBorders/>
            <w:shd w:fill="auto" w:val="clear"/>
            <w:vAlign w:val="bottom"/>
          </w:tcPr>
          <w:p>
            <w:pPr>
              <w:pStyle w:val="TableContents"/>
              <w:spacing w:lineRule="atLeast" w:line="180" w:before="0" w:after="283"/>
              <w:rPr/>
            </w:pPr>
            <w:r>
              <w:rPr/>
              <w:t>​</w:t>
            </w:r>
          </w:p>
        </w:tc>
        <w:tc>
          <w:tcPr>
            <w:tcW w:w="122"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br/>
              <w:t>-</w:t>
            </w:r>
          </w:p>
        </w:tc>
        <w:tc>
          <w:tcPr>
            <w:tcW w:w="355" w:type="dxa"/>
            <w:tcBorders/>
            <w:shd w:fill="auto" w:val="clear"/>
            <w:vAlign w:val="bottom"/>
          </w:tcPr>
          <w:p>
            <w:pPr>
              <w:pStyle w:val="TableContents"/>
              <w:spacing w:lineRule="atLeast" w:line="180" w:before="0" w:after="283"/>
              <w:rPr/>
            </w:pPr>
            <w:r>
              <w:rPr/>
              <w:t>​</w:t>
            </w:r>
          </w:p>
        </w:tc>
        <w:tc>
          <w:tcPr>
            <w:tcW w:w="90" w:type="dxa"/>
            <w:tcBorders/>
            <w:shd w:fill="auto" w:val="clear"/>
            <w:vAlign w:val="bottom"/>
          </w:tcPr>
          <w:p>
            <w:pPr>
              <w:pStyle w:val="TableContents"/>
              <w:spacing w:lineRule="atLeast" w:line="180" w:before="0" w:after="283"/>
              <w:rPr/>
            </w:pPr>
            <w:r>
              <w:rPr/>
              <w:t>​</w:t>
            </w:r>
          </w:p>
        </w:tc>
        <w:tc>
          <w:tcPr>
            <w:tcW w:w="216" w:type="dxa"/>
            <w:tcBorders/>
            <w:shd w:fill="auto" w:val="clear"/>
            <w:vAlign w:val="bottom"/>
          </w:tcPr>
          <w:p>
            <w:pPr>
              <w:pStyle w:val="TableContents"/>
              <w:spacing w:lineRule="atLeast" w:line="180" w:before="0" w:after="283"/>
              <w:rPr/>
            </w:pPr>
            <w:r>
              <w:rPr/>
              <w:t>​</w:t>
            </w:r>
          </w:p>
        </w:tc>
        <w:tc>
          <w:tcPr>
            <w:tcW w:w="139"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br/>
              <w:t>-</w:t>
            </w:r>
          </w:p>
        </w:tc>
        <w:tc>
          <w:tcPr>
            <w:tcW w:w="175"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96" w:type="dxa"/>
            <w:tcBorders/>
            <w:shd w:fill="auto" w:val="clear"/>
            <w:vAlign w:val="bottom"/>
          </w:tcPr>
          <w:p>
            <w:pPr>
              <w:pStyle w:val="TableContents"/>
              <w:spacing w:lineRule="atLeast" w:line="180" w:before="0" w:after="283"/>
              <w:rPr/>
            </w:pPr>
            <w:r>
              <w:rPr/>
              <w:t>​</w:t>
            </w:r>
          </w:p>
        </w:tc>
        <w:tc>
          <w:tcPr>
            <w:tcW w:w="392"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br/>
              <w:t>-</w:t>
            </w:r>
          </w:p>
        </w:tc>
        <w:tc>
          <w:tcPr>
            <w:tcW w:w="197" w:type="dxa"/>
            <w:tcBorders/>
            <w:shd w:fill="auto" w:val="clear"/>
            <w:vAlign w:val="bottom"/>
          </w:tcPr>
          <w:p>
            <w:pPr>
              <w:pStyle w:val="TableContents"/>
              <w:spacing w:lineRule="atLeast" w:line="180" w:before="0" w:after="283"/>
              <w:rPr/>
            </w:pPr>
            <w:r>
              <w:rPr/>
              <w:t>​</w:t>
            </w:r>
          </w:p>
        </w:tc>
        <w:tc>
          <w:tcPr>
            <w:tcW w:w="24" w:type="dxa"/>
            <w:tcBorders/>
            <w:shd w:fill="auto" w:val="clear"/>
            <w:vAlign w:val="bottom"/>
          </w:tcPr>
          <w:p>
            <w:pPr>
              <w:pStyle w:val="TableContents"/>
              <w:spacing w:lineRule="atLeast" w:line="180" w:before="0" w:after="283"/>
              <w:rPr/>
            </w:pPr>
            <w:r>
              <w:rPr/>
              <w:t>​</w:t>
            </w:r>
          </w:p>
        </w:tc>
        <w:tc>
          <w:tcPr>
            <w:tcW w:w="122" w:type="dxa"/>
            <w:tcBorders/>
            <w:shd w:fill="auto" w:val="clear"/>
            <w:vAlign w:val="bottom"/>
          </w:tcPr>
          <w:p>
            <w:pPr>
              <w:pStyle w:val="TableContents"/>
              <w:spacing w:lineRule="atLeast" w:line="180" w:before="0" w:after="283"/>
              <w:rPr/>
            </w:pPr>
            <w:r>
              <w:rPr/>
              <w:t>​</w:t>
            </w:r>
          </w:p>
        </w:tc>
        <w:tc>
          <w:tcPr>
            <w:tcW w:w="583"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br/>
              <w:t>-</w:t>
            </w:r>
          </w:p>
        </w:tc>
        <w:tc>
          <w:tcPr>
            <w:tcW w:w="125" w:type="dxa"/>
            <w:tcBorders/>
            <w:shd w:fill="auto" w:val="clear"/>
            <w:vAlign w:val="bottom"/>
          </w:tcPr>
          <w:p>
            <w:pPr>
              <w:pStyle w:val="TableContents"/>
              <w:spacing w:lineRule="atLeast" w:line="180" w:before="0" w:after="283"/>
              <w:rPr/>
            </w:pPr>
            <w:r>
              <w:rPr/>
              <w:t>​</w:t>
            </w:r>
          </w:p>
        </w:tc>
        <w:tc>
          <w:tcPr>
            <w:tcW w:w="60" w:type="dxa"/>
            <w:tcBorders/>
            <w:shd w:fill="auto" w:val="clear"/>
            <w:vAlign w:val="bottom"/>
          </w:tcPr>
          <w:p>
            <w:pPr>
              <w:pStyle w:val="TableContents"/>
              <w:spacing w:lineRule="atLeast" w:line="180" w:before="0" w:after="283"/>
              <w:rPr/>
            </w:pPr>
            <w:r>
              <w:rPr/>
              <w:t>​</w:t>
            </w:r>
          </w:p>
        </w:tc>
        <w:tc>
          <w:tcPr>
            <w:tcW w:w="530"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br/>
              <w:t>-</w:t>
            </w:r>
          </w:p>
        </w:tc>
        <w:tc>
          <w:tcPr>
            <w:tcW w:w="23" w:type="dxa"/>
            <w:tcBorders/>
            <w:shd w:fill="auto" w:val="clear"/>
            <w:vAlign w:val="bottom"/>
          </w:tcPr>
          <w:p>
            <w:pPr>
              <w:pStyle w:val="TableContents"/>
              <w:spacing w:lineRule="atLeast" w:line="180" w:before="0" w:after="283"/>
              <w:rPr/>
            </w:pPr>
            <w:r>
              <w:rPr/>
              <w:t>​</w:t>
            </w:r>
          </w:p>
        </w:tc>
        <w:tc>
          <w:tcPr>
            <w:tcW w:w="196"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br/>
              <w:t>-</w:t>
            </w:r>
          </w:p>
        </w:tc>
        <w:tc>
          <w:tcPr>
            <w:tcW w:w="197"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70" w:type="dxa"/>
            <w:tcBorders/>
            <w:shd w:fill="auto" w:val="clear"/>
            <w:vAlign w:val="bottom"/>
          </w:tcPr>
          <w:p>
            <w:pPr>
              <w:pStyle w:val="TableContents"/>
              <w:spacing w:lineRule="atLeast" w:line="180" w:before="0" w:after="283"/>
              <w:rPr/>
            </w:pPr>
            <w:r>
              <w:rPr/>
              <w:t>​</w:t>
            </w:r>
          </w:p>
        </w:tc>
        <w:tc>
          <w:tcPr>
            <w:tcW w:w="516"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br/>
              <w:t>6,316</w:t>
            </w:r>
          </w:p>
        </w:tc>
        <w:tc>
          <w:tcPr>
            <w:tcW w:w="170"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222" w:type="dxa"/>
            <w:tcBorders/>
            <w:shd w:fill="auto" w:val="clear"/>
            <w:vAlign w:val="bottom"/>
          </w:tcPr>
          <w:p>
            <w:pPr>
              <w:pStyle w:val="TableContents"/>
              <w:spacing w:lineRule="atLeast" w:line="180" w:before="0" w:after="283"/>
              <w:rPr/>
            </w:pPr>
            <w:r>
              <w:rPr/>
              <w:t>​</w:t>
            </w:r>
          </w:p>
        </w:tc>
        <w:tc>
          <w:tcPr>
            <w:tcW w:w="444" w:type="dxa"/>
            <w:gridSpan w:val="2"/>
            <w:tcBorders/>
            <w:shd w:fill="auto" w:val="clear"/>
            <w:vAlign w:val="bottom"/>
          </w:tcPr>
          <w:p>
            <w:pPr>
              <w:pStyle w:val="TableContents"/>
              <w:spacing w:lineRule="atLeast" w:line="180" w:before="0" w:after="283"/>
              <w:jc w:val="right"/>
              <w:rPr/>
            </w:pPr>
            <w:r>
              <w:rPr/>
              <w:t> </w:t>
            </w:r>
          </w:p>
        </w:tc>
        <w:tc>
          <w:tcPr>
            <w:tcW w:w="224"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70" w:type="dxa"/>
            <w:tcBorders/>
            <w:shd w:fill="auto" w:val="clear"/>
            <w:vAlign w:val="bottom"/>
          </w:tcPr>
          <w:p>
            <w:pPr>
              <w:pStyle w:val="TableContents"/>
              <w:spacing w:lineRule="atLeast" w:line="180" w:before="0" w:after="283"/>
              <w:rPr/>
            </w:pPr>
            <w:r>
              <w:rPr/>
              <w:t>​</w:t>
            </w:r>
          </w:p>
        </w:tc>
        <w:tc>
          <w:tcPr>
            <w:tcW w:w="340" w:type="dxa"/>
            <w:gridSpan w:val="2"/>
            <w:tcBorders/>
            <w:shd w:fill="auto" w:val="clear"/>
            <w:vAlign w:val="bottom"/>
          </w:tcPr>
          <w:p>
            <w:pPr>
              <w:pStyle w:val="TableContents"/>
              <w:spacing w:lineRule="atLeast" w:line="180" w:before="0" w:after="283"/>
              <w:jc w:val="right"/>
              <w:rPr/>
            </w:pPr>
            <w:r>
              <w:rPr/>
              <w:t> </w:t>
            </w:r>
          </w:p>
        </w:tc>
        <w:tc>
          <w:tcPr>
            <w:tcW w:w="170"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55" w:type="dxa"/>
            <w:tcBorders/>
            <w:shd w:fill="auto" w:val="clear"/>
            <w:vAlign w:val="bottom"/>
          </w:tcPr>
          <w:p>
            <w:pPr>
              <w:pStyle w:val="TableContents"/>
              <w:spacing w:lineRule="atLeast" w:line="180" w:before="0" w:after="283"/>
              <w:rPr/>
            </w:pPr>
            <w:r>
              <w:rPr/>
              <w:t>​</w:t>
            </w:r>
          </w:p>
        </w:tc>
        <w:tc>
          <w:tcPr>
            <w:tcW w:w="69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br/>
              <w:t>$122,530</w:t>
            </w:r>
          </w:p>
        </w:tc>
        <w:tc>
          <w:tcPr>
            <w:tcW w:w="155" w:type="dxa"/>
            <w:tcBorders/>
            <w:shd w:fill="auto" w:val="clear"/>
            <w:vAlign w:val="bottom"/>
          </w:tcPr>
          <w:p>
            <w:pPr>
              <w:pStyle w:val="TableContents"/>
              <w:spacing w:lineRule="atLeast" w:line="180" w:before="0" w:after="283"/>
              <w:rPr/>
            </w:pPr>
            <w:r>
              <w:rPr/>
              <w:t>​</w:t>
            </w:r>
          </w:p>
        </w:tc>
        <w:tc>
          <w:tcPr>
            <w:tcW w:w="24" w:type="dxa"/>
            <w:tcBorders/>
            <w:shd w:fill="auto" w:val="clear"/>
            <w:vAlign w:val="bottom"/>
          </w:tcPr>
          <w:p>
            <w:pPr>
              <w:pStyle w:val="TableContents"/>
              <w:spacing w:lineRule="atLeast" w:line="180" w:before="0" w:after="283"/>
              <w:rPr/>
            </w:pPr>
            <w:r>
              <w:rPr/>
              <w:t>​</w:t>
            </w:r>
          </w:p>
        </w:tc>
      </w:tr>
      <w:tr>
        <w:trPr/>
        <w:tc>
          <w:tcPr>
            <w:tcW w:w="1508" w:type="dxa"/>
            <w:tcBorders/>
            <w:shd w:fill="auto" w:val="clear"/>
            <w:vAlign w:val="bottom"/>
          </w:tcPr>
          <w:p>
            <w:pPr>
              <w:pStyle w:val="TableContents"/>
              <w:spacing w:before="0" w:after="283"/>
              <w:ind w:left="140" w:right="0" w:hanging="140"/>
              <w:rPr>
                <w:sz w:val="4"/>
                <w:szCs w:val="4"/>
              </w:rPr>
            </w:pPr>
            <w:r>
              <w:rPr>
                <w:sz w:val="4"/>
                <w:szCs w:val="4"/>
              </w:rPr>
            </w:r>
          </w:p>
        </w:tc>
        <w:tc>
          <w:tcPr>
            <w:tcW w:w="23" w:type="dxa"/>
            <w:tcBorders/>
            <w:shd w:fill="auto" w:val="clear"/>
            <w:vAlign w:val="bottom"/>
          </w:tcPr>
          <w:p>
            <w:pPr>
              <w:pStyle w:val="TableContents"/>
              <w:spacing w:lineRule="atLeast" w:line="180" w:before="0" w:after="283"/>
              <w:rPr/>
            </w:pPr>
            <w:r>
              <w:rPr/>
              <w:t>​</w:t>
            </w:r>
          </w:p>
        </w:tc>
        <w:tc>
          <w:tcPr>
            <w:tcW w:w="31" w:type="dxa"/>
            <w:tcBorders/>
            <w:shd w:fill="auto" w:val="clear"/>
            <w:vAlign w:val="bottom"/>
          </w:tcPr>
          <w:p>
            <w:pPr>
              <w:pStyle w:val="TableContents"/>
              <w:spacing w:lineRule="atLeast" w:line="180" w:before="0" w:after="283"/>
              <w:rPr/>
            </w:pPr>
            <w:r>
              <w:rPr/>
              <w:t>​</w:t>
            </w:r>
          </w:p>
        </w:tc>
        <w:tc>
          <w:tcPr>
            <w:tcW w:w="3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1/24/20</w:t>
            </w:r>
          </w:p>
        </w:tc>
        <w:tc>
          <w:tcPr>
            <w:tcW w:w="125" w:type="dxa"/>
            <w:tcBorders/>
            <w:shd w:fill="auto" w:val="clear"/>
            <w:vAlign w:val="bottom"/>
          </w:tcPr>
          <w:p>
            <w:pPr>
              <w:pStyle w:val="TableContents"/>
              <w:spacing w:lineRule="atLeast" w:line="180" w:before="0" w:after="283"/>
              <w:rPr>
                <w:rFonts w:ascii="arial" w:hAnsi="arial"/>
                <w:sz w:val="12"/>
              </w:rPr>
            </w:pPr>
            <w:r>
              <w:rPr>
                <w:rFonts w:ascii="arial" w:hAnsi="arial"/>
                <w:sz w:val="12"/>
              </w:rPr>
              <w:t>(4)</w:t>
            </w:r>
          </w:p>
        </w:tc>
        <w:tc>
          <w:tcPr>
            <w:tcW w:w="23" w:type="dxa"/>
            <w:tcBorders/>
            <w:shd w:fill="auto" w:val="clear"/>
            <w:vAlign w:val="bottom"/>
          </w:tcPr>
          <w:p>
            <w:pPr>
              <w:pStyle w:val="TableContents"/>
              <w:spacing w:lineRule="atLeast" w:line="180" w:before="0" w:after="283"/>
              <w:rPr/>
            </w:pPr>
            <w:r>
              <w:rPr/>
              <w:t>​</w:t>
            </w:r>
          </w:p>
        </w:tc>
        <w:tc>
          <w:tcPr>
            <w:tcW w:w="353" w:type="dxa"/>
            <w:tcBorders/>
            <w:shd w:fill="auto" w:val="clear"/>
            <w:vAlign w:val="bottom"/>
          </w:tcPr>
          <w:p>
            <w:pPr>
              <w:pStyle w:val="TableContents"/>
              <w:spacing w:lineRule="atLeast" w:line="180" w:before="0" w:after="283"/>
              <w:rPr/>
            </w:pPr>
            <w:r>
              <w:rPr/>
              <w:t>​</w:t>
            </w:r>
          </w:p>
        </w:tc>
        <w:tc>
          <w:tcPr>
            <w:tcW w:w="122"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355" w:type="dxa"/>
            <w:tcBorders/>
            <w:shd w:fill="auto" w:val="clear"/>
            <w:vAlign w:val="bottom"/>
          </w:tcPr>
          <w:p>
            <w:pPr>
              <w:pStyle w:val="TableContents"/>
              <w:spacing w:lineRule="atLeast" w:line="180" w:before="0" w:after="283"/>
              <w:rPr/>
            </w:pPr>
            <w:r>
              <w:rPr/>
              <w:t>​</w:t>
            </w:r>
          </w:p>
        </w:tc>
        <w:tc>
          <w:tcPr>
            <w:tcW w:w="90" w:type="dxa"/>
            <w:tcBorders/>
            <w:shd w:fill="auto" w:val="clear"/>
            <w:vAlign w:val="bottom"/>
          </w:tcPr>
          <w:p>
            <w:pPr>
              <w:pStyle w:val="TableContents"/>
              <w:spacing w:lineRule="atLeast" w:line="180" w:before="0" w:after="283"/>
              <w:rPr/>
            </w:pPr>
            <w:r>
              <w:rPr/>
              <w:t>​</w:t>
            </w:r>
          </w:p>
        </w:tc>
        <w:tc>
          <w:tcPr>
            <w:tcW w:w="216" w:type="dxa"/>
            <w:tcBorders/>
            <w:shd w:fill="auto" w:val="clear"/>
            <w:vAlign w:val="bottom"/>
          </w:tcPr>
          <w:p>
            <w:pPr>
              <w:pStyle w:val="TableContents"/>
              <w:spacing w:lineRule="atLeast" w:line="180" w:before="0" w:after="283"/>
              <w:rPr/>
            </w:pPr>
            <w:r>
              <w:rPr/>
              <w:t>​</w:t>
            </w:r>
          </w:p>
        </w:tc>
        <w:tc>
          <w:tcPr>
            <w:tcW w:w="139"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75"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96" w:type="dxa"/>
            <w:tcBorders/>
            <w:shd w:fill="auto" w:val="clear"/>
            <w:vAlign w:val="bottom"/>
          </w:tcPr>
          <w:p>
            <w:pPr>
              <w:pStyle w:val="TableContents"/>
              <w:spacing w:lineRule="atLeast" w:line="180" w:before="0" w:after="283"/>
              <w:rPr/>
            </w:pPr>
            <w:r>
              <w:rPr/>
              <w:t>​</w:t>
            </w:r>
          </w:p>
        </w:tc>
        <w:tc>
          <w:tcPr>
            <w:tcW w:w="392"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97" w:type="dxa"/>
            <w:tcBorders/>
            <w:shd w:fill="auto" w:val="clear"/>
            <w:vAlign w:val="bottom"/>
          </w:tcPr>
          <w:p>
            <w:pPr>
              <w:pStyle w:val="TableContents"/>
              <w:spacing w:lineRule="atLeast" w:line="180" w:before="0" w:after="283"/>
              <w:rPr/>
            </w:pPr>
            <w:r>
              <w:rPr/>
              <w:t>​</w:t>
            </w:r>
          </w:p>
        </w:tc>
        <w:tc>
          <w:tcPr>
            <w:tcW w:w="24" w:type="dxa"/>
            <w:tcBorders/>
            <w:shd w:fill="auto" w:val="clear"/>
            <w:vAlign w:val="bottom"/>
          </w:tcPr>
          <w:p>
            <w:pPr>
              <w:pStyle w:val="TableContents"/>
              <w:spacing w:lineRule="atLeast" w:line="180" w:before="0" w:after="283"/>
              <w:rPr/>
            </w:pPr>
            <w:r>
              <w:rPr/>
              <w:t>​</w:t>
            </w:r>
          </w:p>
        </w:tc>
        <w:tc>
          <w:tcPr>
            <w:tcW w:w="122" w:type="dxa"/>
            <w:tcBorders/>
            <w:shd w:fill="auto" w:val="clear"/>
            <w:vAlign w:val="bottom"/>
          </w:tcPr>
          <w:p>
            <w:pPr>
              <w:pStyle w:val="TableContents"/>
              <w:spacing w:lineRule="atLeast" w:line="180" w:before="0" w:after="283"/>
              <w:rPr/>
            </w:pPr>
            <w:r>
              <w:rPr/>
              <w:t>​</w:t>
            </w:r>
          </w:p>
        </w:tc>
        <w:tc>
          <w:tcPr>
            <w:tcW w:w="583"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3,158</w:t>
            </w:r>
          </w:p>
        </w:tc>
        <w:tc>
          <w:tcPr>
            <w:tcW w:w="125" w:type="dxa"/>
            <w:tcBorders/>
            <w:shd w:fill="auto" w:val="clear"/>
            <w:vAlign w:val="bottom"/>
          </w:tcPr>
          <w:p>
            <w:pPr>
              <w:pStyle w:val="TableContents"/>
              <w:spacing w:lineRule="atLeast" w:line="180" w:before="0" w:after="283"/>
              <w:rPr/>
            </w:pPr>
            <w:r>
              <w:rPr/>
              <w:t>​</w:t>
            </w:r>
          </w:p>
        </w:tc>
        <w:tc>
          <w:tcPr>
            <w:tcW w:w="60" w:type="dxa"/>
            <w:tcBorders/>
            <w:shd w:fill="auto" w:val="clear"/>
            <w:vAlign w:val="bottom"/>
          </w:tcPr>
          <w:p>
            <w:pPr>
              <w:pStyle w:val="TableContents"/>
              <w:spacing w:lineRule="atLeast" w:line="180" w:before="0" w:after="283"/>
              <w:rPr/>
            </w:pPr>
            <w:r>
              <w:rPr/>
              <w:t>​</w:t>
            </w:r>
          </w:p>
        </w:tc>
        <w:tc>
          <w:tcPr>
            <w:tcW w:w="530"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6,316</w:t>
            </w:r>
          </w:p>
        </w:tc>
        <w:tc>
          <w:tcPr>
            <w:tcW w:w="23" w:type="dxa"/>
            <w:tcBorders/>
            <w:shd w:fill="auto" w:val="clear"/>
            <w:vAlign w:val="bottom"/>
          </w:tcPr>
          <w:p>
            <w:pPr>
              <w:pStyle w:val="TableContents"/>
              <w:spacing w:lineRule="atLeast" w:line="180" w:before="0" w:after="283"/>
              <w:rPr/>
            </w:pPr>
            <w:r>
              <w:rPr/>
              <w:t>​</w:t>
            </w:r>
          </w:p>
        </w:tc>
        <w:tc>
          <w:tcPr>
            <w:tcW w:w="196"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12,000</w:t>
            </w:r>
          </w:p>
        </w:tc>
        <w:tc>
          <w:tcPr>
            <w:tcW w:w="197"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70" w:type="dxa"/>
            <w:tcBorders/>
            <w:shd w:fill="auto" w:val="clear"/>
            <w:vAlign w:val="bottom"/>
          </w:tcPr>
          <w:p>
            <w:pPr>
              <w:pStyle w:val="TableContents"/>
              <w:spacing w:lineRule="atLeast" w:line="180" w:before="0" w:after="283"/>
              <w:rPr/>
            </w:pPr>
            <w:r>
              <w:rPr/>
              <w:t>​</w:t>
            </w:r>
          </w:p>
        </w:tc>
        <w:tc>
          <w:tcPr>
            <w:tcW w:w="516"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70"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222" w:type="dxa"/>
            <w:tcBorders/>
            <w:shd w:fill="auto" w:val="clear"/>
            <w:vAlign w:val="bottom"/>
          </w:tcPr>
          <w:p>
            <w:pPr>
              <w:pStyle w:val="TableContents"/>
              <w:spacing w:lineRule="atLeast" w:line="180" w:before="0" w:after="283"/>
              <w:rPr/>
            </w:pPr>
            <w:r>
              <w:rPr/>
              <w:t>​</w:t>
            </w:r>
          </w:p>
        </w:tc>
        <w:tc>
          <w:tcPr>
            <w:tcW w:w="444" w:type="dxa"/>
            <w:gridSpan w:val="2"/>
            <w:tcBorders/>
            <w:shd w:fill="auto" w:val="clear"/>
            <w:vAlign w:val="bottom"/>
          </w:tcPr>
          <w:p>
            <w:pPr>
              <w:pStyle w:val="TableContents"/>
              <w:spacing w:lineRule="atLeast" w:line="180" w:before="0" w:after="283"/>
              <w:jc w:val="right"/>
              <w:rPr/>
            </w:pPr>
            <w:r>
              <w:rPr/>
              <w:t> </w:t>
            </w:r>
          </w:p>
        </w:tc>
        <w:tc>
          <w:tcPr>
            <w:tcW w:w="224"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70" w:type="dxa"/>
            <w:tcBorders/>
            <w:shd w:fill="auto" w:val="clear"/>
            <w:vAlign w:val="bottom"/>
          </w:tcPr>
          <w:p>
            <w:pPr>
              <w:pStyle w:val="TableContents"/>
              <w:spacing w:lineRule="atLeast" w:line="180" w:before="0" w:after="283"/>
              <w:rPr/>
            </w:pPr>
            <w:r>
              <w:rPr/>
              <w:t>​</w:t>
            </w:r>
          </w:p>
        </w:tc>
        <w:tc>
          <w:tcPr>
            <w:tcW w:w="340" w:type="dxa"/>
            <w:gridSpan w:val="2"/>
            <w:tcBorders/>
            <w:shd w:fill="auto" w:val="clear"/>
            <w:vAlign w:val="bottom"/>
          </w:tcPr>
          <w:p>
            <w:pPr>
              <w:pStyle w:val="TableContents"/>
              <w:spacing w:lineRule="atLeast" w:line="180" w:before="0" w:after="283"/>
              <w:jc w:val="right"/>
              <w:rPr/>
            </w:pPr>
            <w:r>
              <w:rPr/>
              <w:t> </w:t>
            </w:r>
          </w:p>
        </w:tc>
        <w:tc>
          <w:tcPr>
            <w:tcW w:w="170"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55" w:type="dxa"/>
            <w:tcBorders/>
            <w:shd w:fill="auto" w:val="clear"/>
            <w:vAlign w:val="bottom"/>
          </w:tcPr>
          <w:p>
            <w:pPr>
              <w:pStyle w:val="TableContents"/>
              <w:spacing w:lineRule="atLeast" w:line="180" w:before="0" w:after="283"/>
              <w:rPr/>
            </w:pPr>
            <w:r>
              <w:rPr/>
              <w:t>​</w:t>
            </w:r>
          </w:p>
        </w:tc>
        <w:tc>
          <w:tcPr>
            <w:tcW w:w="69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$61,265</w:t>
            </w:r>
          </w:p>
        </w:tc>
        <w:tc>
          <w:tcPr>
            <w:tcW w:w="155" w:type="dxa"/>
            <w:tcBorders/>
            <w:shd w:fill="auto" w:val="clear"/>
            <w:vAlign w:val="bottom"/>
          </w:tcPr>
          <w:p>
            <w:pPr>
              <w:pStyle w:val="TableContents"/>
              <w:spacing w:lineRule="atLeast" w:line="180" w:before="0" w:after="283"/>
              <w:rPr/>
            </w:pPr>
            <w:r>
              <w:rPr/>
              <w:t>​</w:t>
            </w:r>
          </w:p>
        </w:tc>
        <w:tc>
          <w:tcPr>
            <w:tcW w:w="24" w:type="dxa"/>
            <w:tcBorders/>
            <w:shd w:fill="auto" w:val="clear"/>
            <w:vAlign w:val="bottom"/>
          </w:tcPr>
          <w:p>
            <w:pPr>
              <w:pStyle w:val="TableContents"/>
              <w:spacing w:lineRule="atLeast" w:line="180" w:before="0" w:after="283"/>
              <w:rPr/>
            </w:pPr>
            <w:r>
              <w:rPr/>
              <w:t>​</w:t>
            </w:r>
          </w:p>
        </w:tc>
      </w:tr>
      <w:tr>
        <w:trPr/>
        <w:tc>
          <w:tcPr>
            <w:tcW w:w="1508" w:type="dxa"/>
            <w:tcBorders/>
            <w:shd w:fill="auto" w:val="clear"/>
            <w:vAlign w:val="bottom"/>
          </w:tcPr>
          <w:p>
            <w:pPr>
              <w:pStyle w:val="TableContents"/>
              <w:spacing w:before="0" w:after="283"/>
              <w:ind w:left="140" w:right="0" w:hanging="140"/>
              <w:rPr>
                <w:sz w:val="4"/>
                <w:szCs w:val="4"/>
              </w:rPr>
            </w:pPr>
            <w:r>
              <w:rPr>
                <w:sz w:val="4"/>
                <w:szCs w:val="4"/>
              </w:rPr>
            </w:r>
          </w:p>
        </w:tc>
        <w:tc>
          <w:tcPr>
            <w:tcW w:w="23" w:type="dxa"/>
            <w:tcBorders/>
            <w:shd w:fill="auto" w:val="clear"/>
            <w:vAlign w:val="bottom"/>
          </w:tcPr>
          <w:p>
            <w:pPr>
              <w:pStyle w:val="TableContents"/>
              <w:spacing w:lineRule="atLeast" w:line="180" w:before="0" w:after="283"/>
              <w:rPr/>
            </w:pPr>
            <w:r>
              <w:rPr/>
              <w:t>​</w:t>
            </w:r>
          </w:p>
        </w:tc>
        <w:tc>
          <w:tcPr>
            <w:tcW w:w="31" w:type="dxa"/>
            <w:tcBorders/>
            <w:shd w:fill="auto" w:val="clear"/>
            <w:vAlign w:val="bottom"/>
          </w:tcPr>
          <w:p>
            <w:pPr>
              <w:pStyle w:val="TableContents"/>
              <w:spacing w:lineRule="atLeast" w:line="180" w:before="0" w:after="283"/>
              <w:rPr/>
            </w:pPr>
            <w:r>
              <w:rPr/>
              <w:t>​</w:t>
            </w:r>
          </w:p>
        </w:tc>
        <w:tc>
          <w:tcPr>
            <w:tcW w:w="3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2/26/20</w:t>
            </w:r>
          </w:p>
        </w:tc>
        <w:tc>
          <w:tcPr>
            <w:tcW w:w="125" w:type="dxa"/>
            <w:tcBorders/>
            <w:shd w:fill="auto" w:val="clear"/>
            <w:vAlign w:val="bottom"/>
          </w:tcPr>
          <w:p>
            <w:pPr>
              <w:pStyle w:val="TableContents"/>
              <w:spacing w:lineRule="atLeast" w:line="180" w:before="0" w:after="283"/>
              <w:rPr>
                <w:rFonts w:ascii="arial" w:hAnsi="arial"/>
                <w:sz w:val="12"/>
              </w:rPr>
            </w:pPr>
            <w:r>
              <w:rPr>
                <w:rFonts w:ascii="arial" w:hAnsi="arial"/>
                <w:sz w:val="12"/>
              </w:rPr>
              <w:t>(2)</w:t>
            </w:r>
          </w:p>
        </w:tc>
        <w:tc>
          <w:tcPr>
            <w:tcW w:w="23" w:type="dxa"/>
            <w:tcBorders/>
            <w:shd w:fill="auto" w:val="clear"/>
            <w:vAlign w:val="bottom"/>
          </w:tcPr>
          <w:p>
            <w:pPr>
              <w:pStyle w:val="TableContents"/>
              <w:spacing w:lineRule="atLeast" w:line="180" w:before="0" w:after="283"/>
              <w:rPr/>
            </w:pPr>
            <w:r>
              <w:rPr/>
              <w:t>​</w:t>
            </w:r>
          </w:p>
        </w:tc>
        <w:tc>
          <w:tcPr>
            <w:tcW w:w="353" w:type="dxa"/>
            <w:tcBorders/>
            <w:shd w:fill="auto" w:val="clear"/>
            <w:vAlign w:val="bottom"/>
          </w:tcPr>
          <w:p>
            <w:pPr>
              <w:pStyle w:val="TableContents"/>
              <w:spacing w:lineRule="atLeast" w:line="180" w:before="0" w:after="283"/>
              <w:rPr/>
            </w:pPr>
            <w:r>
              <w:rPr/>
              <w:t>​</w:t>
            </w:r>
          </w:p>
        </w:tc>
        <w:tc>
          <w:tcPr>
            <w:tcW w:w="122"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355" w:type="dxa"/>
            <w:tcBorders/>
            <w:shd w:fill="auto" w:val="clear"/>
            <w:vAlign w:val="bottom"/>
          </w:tcPr>
          <w:p>
            <w:pPr>
              <w:pStyle w:val="TableContents"/>
              <w:spacing w:lineRule="atLeast" w:line="180" w:before="0" w:after="283"/>
              <w:rPr/>
            </w:pPr>
            <w:r>
              <w:rPr/>
              <w:t>​</w:t>
            </w:r>
          </w:p>
        </w:tc>
        <w:tc>
          <w:tcPr>
            <w:tcW w:w="90" w:type="dxa"/>
            <w:tcBorders/>
            <w:shd w:fill="auto" w:val="clear"/>
            <w:vAlign w:val="bottom"/>
          </w:tcPr>
          <w:p>
            <w:pPr>
              <w:pStyle w:val="TableContents"/>
              <w:spacing w:lineRule="atLeast" w:line="180" w:before="0" w:after="283"/>
              <w:rPr/>
            </w:pPr>
            <w:r>
              <w:rPr/>
              <w:t>​</w:t>
            </w:r>
          </w:p>
        </w:tc>
        <w:tc>
          <w:tcPr>
            <w:tcW w:w="216" w:type="dxa"/>
            <w:tcBorders/>
            <w:shd w:fill="auto" w:val="clear"/>
            <w:vAlign w:val="bottom"/>
          </w:tcPr>
          <w:p>
            <w:pPr>
              <w:pStyle w:val="TableContents"/>
              <w:spacing w:lineRule="atLeast" w:line="180" w:before="0" w:after="283"/>
              <w:rPr/>
            </w:pPr>
            <w:r>
              <w:rPr/>
              <w:t>​</w:t>
            </w:r>
          </w:p>
        </w:tc>
        <w:tc>
          <w:tcPr>
            <w:tcW w:w="139"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75"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96" w:type="dxa"/>
            <w:tcBorders/>
            <w:shd w:fill="auto" w:val="clear"/>
            <w:vAlign w:val="bottom"/>
          </w:tcPr>
          <w:p>
            <w:pPr>
              <w:pStyle w:val="TableContents"/>
              <w:spacing w:lineRule="atLeast" w:line="180" w:before="0" w:after="283"/>
              <w:rPr/>
            </w:pPr>
            <w:r>
              <w:rPr/>
              <w:t>​</w:t>
            </w:r>
          </w:p>
        </w:tc>
        <w:tc>
          <w:tcPr>
            <w:tcW w:w="392"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97" w:type="dxa"/>
            <w:tcBorders/>
            <w:shd w:fill="auto" w:val="clear"/>
            <w:vAlign w:val="bottom"/>
          </w:tcPr>
          <w:p>
            <w:pPr>
              <w:pStyle w:val="TableContents"/>
              <w:spacing w:lineRule="atLeast" w:line="180" w:before="0" w:after="283"/>
              <w:rPr/>
            </w:pPr>
            <w:r>
              <w:rPr/>
              <w:t>​</w:t>
            </w:r>
          </w:p>
        </w:tc>
        <w:tc>
          <w:tcPr>
            <w:tcW w:w="24" w:type="dxa"/>
            <w:tcBorders/>
            <w:shd w:fill="auto" w:val="clear"/>
            <w:vAlign w:val="bottom"/>
          </w:tcPr>
          <w:p>
            <w:pPr>
              <w:pStyle w:val="TableContents"/>
              <w:spacing w:lineRule="atLeast" w:line="180" w:before="0" w:after="283"/>
              <w:rPr/>
            </w:pPr>
            <w:r>
              <w:rPr/>
              <w:t>​</w:t>
            </w:r>
          </w:p>
        </w:tc>
        <w:tc>
          <w:tcPr>
            <w:tcW w:w="122" w:type="dxa"/>
            <w:tcBorders/>
            <w:shd w:fill="auto" w:val="clear"/>
            <w:vAlign w:val="bottom"/>
          </w:tcPr>
          <w:p>
            <w:pPr>
              <w:pStyle w:val="TableContents"/>
              <w:spacing w:lineRule="atLeast" w:line="180" w:before="0" w:after="283"/>
              <w:rPr/>
            </w:pPr>
            <w:r>
              <w:rPr/>
              <w:t>​</w:t>
            </w:r>
          </w:p>
        </w:tc>
        <w:tc>
          <w:tcPr>
            <w:tcW w:w="583"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25" w:type="dxa"/>
            <w:tcBorders/>
            <w:shd w:fill="auto" w:val="clear"/>
            <w:vAlign w:val="bottom"/>
          </w:tcPr>
          <w:p>
            <w:pPr>
              <w:pStyle w:val="TableContents"/>
              <w:spacing w:lineRule="atLeast" w:line="180" w:before="0" w:after="283"/>
              <w:rPr/>
            </w:pPr>
            <w:r>
              <w:rPr/>
              <w:t>​</w:t>
            </w:r>
          </w:p>
        </w:tc>
        <w:tc>
          <w:tcPr>
            <w:tcW w:w="60" w:type="dxa"/>
            <w:tcBorders/>
            <w:shd w:fill="auto" w:val="clear"/>
            <w:vAlign w:val="bottom"/>
          </w:tcPr>
          <w:p>
            <w:pPr>
              <w:pStyle w:val="TableContents"/>
              <w:spacing w:lineRule="atLeast" w:line="180" w:before="0" w:after="283"/>
              <w:rPr/>
            </w:pPr>
            <w:r>
              <w:rPr/>
              <w:t>​</w:t>
            </w:r>
          </w:p>
        </w:tc>
        <w:tc>
          <w:tcPr>
            <w:tcW w:w="530"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3" w:type="dxa"/>
            <w:tcBorders/>
            <w:shd w:fill="auto" w:val="clear"/>
            <w:vAlign w:val="bottom"/>
          </w:tcPr>
          <w:p>
            <w:pPr>
              <w:pStyle w:val="TableContents"/>
              <w:spacing w:lineRule="atLeast" w:line="180" w:before="0" w:after="283"/>
              <w:rPr/>
            </w:pPr>
            <w:r>
              <w:rPr/>
              <w:t>​</w:t>
            </w:r>
          </w:p>
        </w:tc>
        <w:tc>
          <w:tcPr>
            <w:tcW w:w="196"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97"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70" w:type="dxa"/>
            <w:tcBorders/>
            <w:shd w:fill="auto" w:val="clear"/>
            <w:vAlign w:val="bottom"/>
          </w:tcPr>
          <w:p>
            <w:pPr>
              <w:pStyle w:val="TableContents"/>
              <w:spacing w:lineRule="atLeast" w:line="180" w:before="0" w:after="283"/>
              <w:rPr/>
            </w:pPr>
            <w:r>
              <w:rPr/>
              <w:t>​</w:t>
            </w:r>
          </w:p>
        </w:tc>
        <w:tc>
          <w:tcPr>
            <w:tcW w:w="516"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4,373</w:t>
            </w:r>
          </w:p>
        </w:tc>
        <w:tc>
          <w:tcPr>
            <w:tcW w:w="170"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222" w:type="dxa"/>
            <w:tcBorders/>
            <w:shd w:fill="auto" w:val="clear"/>
            <w:vAlign w:val="bottom"/>
          </w:tcPr>
          <w:p>
            <w:pPr>
              <w:pStyle w:val="TableContents"/>
              <w:spacing w:lineRule="atLeast" w:line="180" w:before="0" w:after="283"/>
              <w:rPr/>
            </w:pPr>
            <w:r>
              <w:rPr/>
              <w:t>​</w:t>
            </w:r>
          </w:p>
        </w:tc>
        <w:tc>
          <w:tcPr>
            <w:tcW w:w="444" w:type="dxa"/>
            <w:gridSpan w:val="2"/>
            <w:tcBorders/>
            <w:shd w:fill="auto" w:val="clear"/>
            <w:vAlign w:val="bottom"/>
          </w:tcPr>
          <w:p>
            <w:pPr>
              <w:pStyle w:val="TableContents"/>
              <w:spacing w:lineRule="atLeast" w:line="180" w:before="0" w:after="283"/>
              <w:jc w:val="right"/>
              <w:rPr/>
            </w:pPr>
            <w:r>
              <w:rPr/>
              <w:t> </w:t>
            </w:r>
          </w:p>
        </w:tc>
        <w:tc>
          <w:tcPr>
            <w:tcW w:w="224"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70" w:type="dxa"/>
            <w:tcBorders/>
            <w:shd w:fill="auto" w:val="clear"/>
            <w:vAlign w:val="bottom"/>
          </w:tcPr>
          <w:p>
            <w:pPr>
              <w:pStyle w:val="TableContents"/>
              <w:spacing w:lineRule="atLeast" w:line="180" w:before="0" w:after="283"/>
              <w:rPr/>
            </w:pPr>
            <w:r>
              <w:rPr/>
              <w:t>​</w:t>
            </w:r>
          </w:p>
        </w:tc>
        <w:tc>
          <w:tcPr>
            <w:tcW w:w="340" w:type="dxa"/>
            <w:gridSpan w:val="2"/>
            <w:tcBorders/>
            <w:shd w:fill="auto" w:val="clear"/>
            <w:vAlign w:val="bottom"/>
          </w:tcPr>
          <w:p>
            <w:pPr>
              <w:pStyle w:val="TableContents"/>
              <w:spacing w:lineRule="atLeast" w:line="180" w:before="0" w:after="283"/>
              <w:jc w:val="right"/>
              <w:rPr/>
            </w:pPr>
            <w:r>
              <w:rPr/>
              <w:t> </w:t>
            </w:r>
          </w:p>
        </w:tc>
        <w:tc>
          <w:tcPr>
            <w:tcW w:w="170"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55" w:type="dxa"/>
            <w:tcBorders/>
            <w:shd w:fill="auto" w:val="clear"/>
            <w:vAlign w:val="bottom"/>
          </w:tcPr>
          <w:p>
            <w:pPr>
              <w:pStyle w:val="TableContents"/>
              <w:spacing w:lineRule="atLeast" w:line="180" w:before="0" w:after="283"/>
              <w:rPr/>
            </w:pPr>
            <w:r>
              <w:rPr/>
              <w:t>​</w:t>
            </w:r>
          </w:p>
        </w:tc>
        <w:tc>
          <w:tcPr>
            <w:tcW w:w="69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$80,004</w:t>
            </w:r>
          </w:p>
        </w:tc>
        <w:tc>
          <w:tcPr>
            <w:tcW w:w="155" w:type="dxa"/>
            <w:tcBorders/>
            <w:shd w:fill="auto" w:val="clear"/>
            <w:vAlign w:val="bottom"/>
          </w:tcPr>
          <w:p>
            <w:pPr>
              <w:pStyle w:val="TableContents"/>
              <w:spacing w:lineRule="atLeast" w:line="180" w:before="0" w:after="283"/>
              <w:rPr/>
            </w:pPr>
            <w:r>
              <w:rPr/>
              <w:t>​</w:t>
            </w:r>
          </w:p>
        </w:tc>
        <w:tc>
          <w:tcPr>
            <w:tcW w:w="24" w:type="dxa"/>
            <w:tcBorders/>
            <w:shd w:fill="auto" w:val="clear"/>
            <w:vAlign w:val="bottom"/>
          </w:tcPr>
          <w:p>
            <w:pPr>
              <w:pStyle w:val="TableContents"/>
              <w:spacing w:lineRule="atLeast" w:line="180" w:before="0" w:after="283"/>
              <w:rPr/>
            </w:pPr>
            <w:r>
              <w:rPr/>
              <w:t>​</w:t>
            </w:r>
          </w:p>
        </w:tc>
      </w:tr>
      <w:tr>
        <w:trPr/>
        <w:tc>
          <w:tcPr>
            <w:tcW w:w="1508" w:type="dxa"/>
            <w:tcBorders/>
            <w:shd w:fill="auto" w:val="clear"/>
            <w:vAlign w:val="bottom"/>
          </w:tcPr>
          <w:p>
            <w:pPr>
              <w:pStyle w:val="TableContents"/>
              <w:spacing w:before="0" w:after="283"/>
              <w:ind w:left="140" w:right="0" w:hanging="140"/>
              <w:rPr>
                <w:sz w:val="4"/>
                <w:szCs w:val="4"/>
              </w:rPr>
            </w:pPr>
            <w:r>
              <w:rPr>
                <w:sz w:val="4"/>
                <w:szCs w:val="4"/>
              </w:rPr>
            </w:r>
          </w:p>
        </w:tc>
        <w:tc>
          <w:tcPr>
            <w:tcW w:w="23" w:type="dxa"/>
            <w:tcBorders/>
            <w:shd w:fill="auto" w:val="clear"/>
            <w:vAlign w:val="bottom"/>
          </w:tcPr>
          <w:p>
            <w:pPr>
              <w:pStyle w:val="TableContents"/>
              <w:spacing w:lineRule="atLeast" w:line="180" w:before="0" w:after="283"/>
              <w:rPr/>
            </w:pPr>
            <w:r>
              <w:rPr/>
              <w:t>​</w:t>
            </w:r>
          </w:p>
        </w:tc>
        <w:tc>
          <w:tcPr>
            <w:tcW w:w="31" w:type="dxa"/>
            <w:tcBorders/>
            <w:shd w:fill="auto" w:val="clear"/>
            <w:vAlign w:val="bottom"/>
          </w:tcPr>
          <w:p>
            <w:pPr>
              <w:pStyle w:val="TableContents"/>
              <w:spacing w:lineRule="atLeast" w:line="180" w:before="0" w:after="283"/>
              <w:rPr/>
            </w:pPr>
            <w:r>
              <w:rPr/>
              <w:t>​</w:t>
            </w:r>
          </w:p>
        </w:tc>
        <w:tc>
          <w:tcPr>
            <w:tcW w:w="3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10/01/20</w:t>
            </w:r>
          </w:p>
        </w:tc>
        <w:tc>
          <w:tcPr>
            <w:tcW w:w="125" w:type="dxa"/>
            <w:tcBorders/>
            <w:shd w:fill="auto" w:val="clear"/>
            <w:vAlign w:val="bottom"/>
          </w:tcPr>
          <w:p>
            <w:pPr>
              <w:pStyle w:val="TableContents"/>
              <w:spacing w:lineRule="atLeast" w:line="180" w:before="0" w:after="283"/>
              <w:rPr>
                <w:rFonts w:ascii="arial" w:hAnsi="arial"/>
                <w:sz w:val="12"/>
              </w:rPr>
            </w:pPr>
            <w:r>
              <w:rPr>
                <w:rFonts w:ascii="arial" w:hAnsi="arial"/>
                <w:sz w:val="12"/>
              </w:rPr>
              <w:t>(5)</w:t>
            </w:r>
          </w:p>
        </w:tc>
        <w:tc>
          <w:tcPr>
            <w:tcW w:w="23" w:type="dxa"/>
            <w:tcBorders/>
            <w:shd w:fill="auto" w:val="clear"/>
            <w:vAlign w:val="bottom"/>
          </w:tcPr>
          <w:p>
            <w:pPr>
              <w:pStyle w:val="TableContents"/>
              <w:spacing w:lineRule="atLeast" w:line="180" w:before="0" w:after="283"/>
              <w:rPr/>
            </w:pPr>
            <w:r>
              <w:rPr/>
              <w:t>​</w:t>
            </w:r>
          </w:p>
        </w:tc>
        <w:tc>
          <w:tcPr>
            <w:tcW w:w="353" w:type="dxa"/>
            <w:tcBorders/>
            <w:shd w:fill="auto" w:val="clear"/>
            <w:vAlign w:val="bottom"/>
          </w:tcPr>
          <w:p>
            <w:pPr>
              <w:pStyle w:val="TableContents"/>
              <w:spacing w:lineRule="atLeast" w:line="180" w:before="0" w:after="283"/>
              <w:rPr/>
            </w:pPr>
            <w:r>
              <w:rPr/>
              <w:t>​</w:t>
            </w:r>
          </w:p>
        </w:tc>
        <w:tc>
          <w:tcPr>
            <w:tcW w:w="122"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355" w:type="dxa"/>
            <w:tcBorders/>
            <w:shd w:fill="auto" w:val="clear"/>
            <w:vAlign w:val="bottom"/>
          </w:tcPr>
          <w:p>
            <w:pPr>
              <w:pStyle w:val="TableContents"/>
              <w:spacing w:lineRule="atLeast" w:line="180" w:before="0" w:after="283"/>
              <w:rPr/>
            </w:pPr>
            <w:r>
              <w:rPr/>
              <w:t>​</w:t>
            </w:r>
          </w:p>
        </w:tc>
        <w:tc>
          <w:tcPr>
            <w:tcW w:w="90" w:type="dxa"/>
            <w:tcBorders/>
            <w:shd w:fill="auto" w:val="clear"/>
            <w:vAlign w:val="bottom"/>
          </w:tcPr>
          <w:p>
            <w:pPr>
              <w:pStyle w:val="TableContents"/>
              <w:spacing w:lineRule="atLeast" w:line="180" w:before="0" w:after="283"/>
              <w:rPr/>
            </w:pPr>
            <w:r>
              <w:rPr/>
              <w:t>​</w:t>
            </w:r>
          </w:p>
        </w:tc>
        <w:tc>
          <w:tcPr>
            <w:tcW w:w="216" w:type="dxa"/>
            <w:tcBorders/>
            <w:shd w:fill="auto" w:val="clear"/>
            <w:vAlign w:val="bottom"/>
          </w:tcPr>
          <w:p>
            <w:pPr>
              <w:pStyle w:val="TableContents"/>
              <w:spacing w:lineRule="atLeast" w:line="180" w:before="0" w:after="283"/>
              <w:rPr/>
            </w:pPr>
            <w:r>
              <w:rPr/>
              <w:t>​</w:t>
            </w:r>
          </w:p>
        </w:tc>
        <w:tc>
          <w:tcPr>
            <w:tcW w:w="139"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75"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96" w:type="dxa"/>
            <w:tcBorders/>
            <w:shd w:fill="auto" w:val="clear"/>
            <w:vAlign w:val="bottom"/>
          </w:tcPr>
          <w:p>
            <w:pPr>
              <w:pStyle w:val="TableContents"/>
              <w:spacing w:lineRule="atLeast" w:line="180" w:before="0" w:after="283"/>
              <w:rPr/>
            </w:pPr>
            <w:r>
              <w:rPr/>
              <w:t>​</w:t>
            </w:r>
          </w:p>
        </w:tc>
        <w:tc>
          <w:tcPr>
            <w:tcW w:w="392"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97" w:type="dxa"/>
            <w:tcBorders/>
            <w:shd w:fill="auto" w:val="clear"/>
            <w:vAlign w:val="bottom"/>
          </w:tcPr>
          <w:p>
            <w:pPr>
              <w:pStyle w:val="TableContents"/>
              <w:spacing w:lineRule="atLeast" w:line="180" w:before="0" w:after="283"/>
              <w:rPr/>
            </w:pPr>
            <w:r>
              <w:rPr/>
              <w:t>​</w:t>
            </w:r>
          </w:p>
        </w:tc>
        <w:tc>
          <w:tcPr>
            <w:tcW w:w="24" w:type="dxa"/>
            <w:tcBorders/>
            <w:shd w:fill="auto" w:val="clear"/>
            <w:vAlign w:val="bottom"/>
          </w:tcPr>
          <w:p>
            <w:pPr>
              <w:pStyle w:val="TableContents"/>
              <w:spacing w:lineRule="atLeast" w:line="180" w:before="0" w:after="283"/>
              <w:rPr/>
            </w:pPr>
            <w:r>
              <w:rPr/>
              <w:t>​</w:t>
            </w:r>
          </w:p>
        </w:tc>
        <w:tc>
          <w:tcPr>
            <w:tcW w:w="122" w:type="dxa"/>
            <w:tcBorders/>
            <w:shd w:fill="auto" w:val="clear"/>
            <w:vAlign w:val="bottom"/>
          </w:tcPr>
          <w:p>
            <w:pPr>
              <w:pStyle w:val="TableContents"/>
              <w:spacing w:lineRule="atLeast" w:line="180" w:before="0" w:after="283"/>
              <w:rPr/>
            </w:pPr>
            <w:r>
              <w:rPr/>
              <w:t>​</w:t>
            </w:r>
          </w:p>
        </w:tc>
        <w:tc>
          <w:tcPr>
            <w:tcW w:w="583"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25" w:type="dxa"/>
            <w:tcBorders/>
            <w:shd w:fill="auto" w:val="clear"/>
            <w:vAlign w:val="bottom"/>
          </w:tcPr>
          <w:p>
            <w:pPr>
              <w:pStyle w:val="TableContents"/>
              <w:spacing w:lineRule="atLeast" w:line="180" w:before="0" w:after="283"/>
              <w:rPr/>
            </w:pPr>
            <w:r>
              <w:rPr/>
              <w:t>​</w:t>
            </w:r>
          </w:p>
        </w:tc>
        <w:tc>
          <w:tcPr>
            <w:tcW w:w="60" w:type="dxa"/>
            <w:tcBorders/>
            <w:shd w:fill="auto" w:val="clear"/>
            <w:vAlign w:val="bottom"/>
          </w:tcPr>
          <w:p>
            <w:pPr>
              <w:pStyle w:val="TableContents"/>
              <w:spacing w:lineRule="atLeast" w:line="180" w:before="0" w:after="283"/>
              <w:rPr/>
            </w:pPr>
            <w:r>
              <w:rPr/>
              <w:t>​</w:t>
            </w:r>
          </w:p>
        </w:tc>
        <w:tc>
          <w:tcPr>
            <w:tcW w:w="530"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3" w:type="dxa"/>
            <w:tcBorders/>
            <w:shd w:fill="auto" w:val="clear"/>
            <w:vAlign w:val="bottom"/>
          </w:tcPr>
          <w:p>
            <w:pPr>
              <w:pStyle w:val="TableContents"/>
              <w:spacing w:lineRule="atLeast" w:line="180" w:before="0" w:after="283"/>
              <w:rPr/>
            </w:pPr>
            <w:r>
              <w:rPr/>
              <w:t>​</w:t>
            </w:r>
          </w:p>
        </w:tc>
        <w:tc>
          <w:tcPr>
            <w:tcW w:w="196"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97"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70" w:type="dxa"/>
            <w:tcBorders/>
            <w:shd w:fill="auto" w:val="clear"/>
            <w:vAlign w:val="bottom"/>
          </w:tcPr>
          <w:p>
            <w:pPr>
              <w:pStyle w:val="TableContents"/>
              <w:spacing w:lineRule="atLeast" w:line="180" w:before="0" w:after="283"/>
              <w:rPr/>
            </w:pPr>
            <w:r>
              <w:rPr/>
              <w:t>​</w:t>
            </w:r>
          </w:p>
        </w:tc>
        <w:tc>
          <w:tcPr>
            <w:tcW w:w="516"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4,750</w:t>
            </w:r>
          </w:p>
        </w:tc>
        <w:tc>
          <w:tcPr>
            <w:tcW w:w="170"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222" w:type="dxa"/>
            <w:tcBorders/>
            <w:shd w:fill="auto" w:val="clear"/>
            <w:vAlign w:val="bottom"/>
          </w:tcPr>
          <w:p>
            <w:pPr>
              <w:pStyle w:val="TableContents"/>
              <w:spacing w:lineRule="atLeast" w:line="180" w:before="0" w:after="283"/>
              <w:rPr/>
            </w:pPr>
            <w:r>
              <w:rPr/>
              <w:t>​</w:t>
            </w:r>
          </w:p>
        </w:tc>
        <w:tc>
          <w:tcPr>
            <w:tcW w:w="444" w:type="dxa"/>
            <w:gridSpan w:val="2"/>
            <w:tcBorders/>
            <w:shd w:fill="auto" w:val="clear"/>
            <w:vAlign w:val="bottom"/>
          </w:tcPr>
          <w:p>
            <w:pPr>
              <w:pStyle w:val="TableContents"/>
              <w:spacing w:lineRule="atLeast" w:line="180" w:before="0" w:after="283"/>
              <w:jc w:val="right"/>
              <w:rPr/>
            </w:pPr>
            <w:r>
              <w:rPr/>
              <w:t> </w:t>
            </w:r>
          </w:p>
        </w:tc>
        <w:tc>
          <w:tcPr>
            <w:tcW w:w="224"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70" w:type="dxa"/>
            <w:tcBorders/>
            <w:shd w:fill="auto" w:val="clear"/>
            <w:vAlign w:val="bottom"/>
          </w:tcPr>
          <w:p>
            <w:pPr>
              <w:pStyle w:val="TableContents"/>
              <w:spacing w:lineRule="atLeast" w:line="180" w:before="0" w:after="283"/>
              <w:rPr/>
            </w:pPr>
            <w:r>
              <w:rPr/>
              <w:t>​</w:t>
            </w:r>
          </w:p>
        </w:tc>
        <w:tc>
          <w:tcPr>
            <w:tcW w:w="340" w:type="dxa"/>
            <w:gridSpan w:val="2"/>
            <w:tcBorders/>
            <w:shd w:fill="auto" w:val="clear"/>
            <w:vAlign w:val="bottom"/>
          </w:tcPr>
          <w:p>
            <w:pPr>
              <w:pStyle w:val="TableContents"/>
              <w:spacing w:lineRule="atLeast" w:line="180" w:before="0" w:after="283"/>
              <w:jc w:val="right"/>
              <w:rPr/>
            </w:pPr>
            <w:r>
              <w:rPr/>
              <w:t> </w:t>
            </w:r>
          </w:p>
        </w:tc>
        <w:tc>
          <w:tcPr>
            <w:tcW w:w="170"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55" w:type="dxa"/>
            <w:tcBorders/>
            <w:shd w:fill="auto" w:val="clear"/>
            <w:vAlign w:val="bottom"/>
          </w:tcPr>
          <w:p>
            <w:pPr>
              <w:pStyle w:val="TableContents"/>
              <w:spacing w:lineRule="atLeast" w:line="180" w:before="0" w:after="283"/>
              <w:rPr/>
            </w:pPr>
            <w:r>
              <w:rPr/>
              <w:t>​</w:t>
            </w:r>
          </w:p>
        </w:tc>
        <w:tc>
          <w:tcPr>
            <w:tcW w:w="69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$59,803</w:t>
            </w:r>
          </w:p>
        </w:tc>
        <w:tc>
          <w:tcPr>
            <w:tcW w:w="155" w:type="dxa"/>
            <w:tcBorders/>
            <w:shd w:fill="auto" w:val="clear"/>
            <w:vAlign w:val="bottom"/>
          </w:tcPr>
          <w:p>
            <w:pPr>
              <w:pStyle w:val="TableContents"/>
              <w:spacing w:lineRule="atLeast" w:line="180" w:before="0" w:after="283"/>
              <w:rPr/>
            </w:pPr>
            <w:r>
              <w:rPr/>
              <w:t>​</w:t>
            </w:r>
          </w:p>
        </w:tc>
        <w:tc>
          <w:tcPr>
            <w:tcW w:w="24" w:type="dxa"/>
            <w:tcBorders/>
            <w:shd w:fill="auto" w:val="clear"/>
            <w:vAlign w:val="bottom"/>
          </w:tcPr>
          <w:p>
            <w:pPr>
              <w:pStyle w:val="TableContents"/>
              <w:spacing w:lineRule="atLeast" w:line="180" w:before="0" w:after="283"/>
              <w:rPr/>
            </w:pPr>
            <w:r>
              <w:rPr/>
              <w:t>​</w:t>
            </w:r>
          </w:p>
        </w:tc>
      </w:tr>
      <w:tr>
        <w:trPr/>
        <w:tc>
          <w:tcPr>
            <w:tcW w:w="1508" w:type="dxa"/>
            <w:tcBorders/>
            <w:shd w:fill="auto" w:val="clear"/>
            <w:vAlign w:val="bottom"/>
          </w:tcPr>
          <w:p>
            <w:pPr>
              <w:pStyle w:val="TableContents"/>
              <w:spacing w:before="0" w:after="283"/>
              <w:ind w:left="140" w:right="0" w:hanging="140"/>
              <w:rPr>
                <w:sz w:val="4"/>
                <w:szCs w:val="4"/>
              </w:rPr>
            </w:pPr>
            <w:r>
              <w:rPr>
                <w:sz w:val="4"/>
                <w:szCs w:val="4"/>
              </w:rPr>
            </w:r>
          </w:p>
        </w:tc>
        <w:tc>
          <w:tcPr>
            <w:tcW w:w="23" w:type="dxa"/>
            <w:tcBorders/>
            <w:shd w:fill="auto" w:val="clear"/>
            <w:vAlign w:val="bottom"/>
          </w:tcPr>
          <w:p>
            <w:pPr>
              <w:pStyle w:val="TableContents"/>
              <w:spacing w:lineRule="atLeast" w:line="180" w:before="0" w:after="283"/>
              <w:rPr/>
            </w:pPr>
            <w:r>
              <w:rPr/>
              <w:t>​</w:t>
            </w:r>
          </w:p>
        </w:tc>
        <w:tc>
          <w:tcPr>
            <w:tcW w:w="31" w:type="dxa"/>
            <w:tcBorders/>
            <w:shd w:fill="auto" w:val="clear"/>
            <w:vAlign w:val="bottom"/>
          </w:tcPr>
          <w:p>
            <w:pPr>
              <w:pStyle w:val="TableContents"/>
              <w:spacing w:lineRule="atLeast" w:line="180" w:before="0" w:after="283"/>
              <w:rPr/>
            </w:pPr>
            <w:r>
              <w:rPr/>
              <w:t>​</w:t>
            </w:r>
          </w:p>
        </w:tc>
        <w:tc>
          <w:tcPr>
            <w:tcW w:w="3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10/01/20</w:t>
            </w:r>
          </w:p>
        </w:tc>
        <w:tc>
          <w:tcPr>
            <w:tcW w:w="125" w:type="dxa"/>
            <w:tcBorders/>
            <w:shd w:fill="auto" w:val="clear"/>
            <w:vAlign w:val="bottom"/>
          </w:tcPr>
          <w:p>
            <w:pPr>
              <w:pStyle w:val="TableContents"/>
              <w:spacing w:lineRule="atLeast" w:line="180" w:before="0" w:after="283"/>
              <w:rPr>
                <w:rFonts w:ascii="arial" w:hAnsi="arial"/>
                <w:sz w:val="12"/>
              </w:rPr>
            </w:pPr>
            <w:r>
              <w:rPr>
                <w:rFonts w:ascii="arial" w:hAnsi="arial"/>
                <w:sz w:val="12"/>
              </w:rPr>
              <w:t>(6)</w:t>
            </w:r>
          </w:p>
        </w:tc>
        <w:tc>
          <w:tcPr>
            <w:tcW w:w="23" w:type="dxa"/>
            <w:tcBorders/>
            <w:shd w:fill="auto" w:val="clear"/>
            <w:vAlign w:val="bottom"/>
          </w:tcPr>
          <w:p>
            <w:pPr>
              <w:pStyle w:val="TableContents"/>
              <w:spacing w:lineRule="atLeast" w:line="180" w:before="0" w:after="283"/>
              <w:rPr/>
            </w:pPr>
            <w:r>
              <w:rPr/>
              <w:t>​</w:t>
            </w:r>
          </w:p>
        </w:tc>
        <w:tc>
          <w:tcPr>
            <w:tcW w:w="353" w:type="dxa"/>
            <w:tcBorders/>
            <w:shd w:fill="auto" w:val="clear"/>
            <w:vAlign w:val="bottom"/>
          </w:tcPr>
          <w:p>
            <w:pPr>
              <w:pStyle w:val="TableContents"/>
              <w:spacing w:lineRule="atLeast" w:line="180" w:before="0" w:after="283"/>
              <w:rPr/>
            </w:pPr>
            <w:r>
              <w:rPr/>
              <w:t>​</w:t>
            </w:r>
          </w:p>
        </w:tc>
        <w:tc>
          <w:tcPr>
            <w:tcW w:w="122"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355" w:type="dxa"/>
            <w:tcBorders/>
            <w:shd w:fill="auto" w:val="clear"/>
            <w:vAlign w:val="bottom"/>
          </w:tcPr>
          <w:p>
            <w:pPr>
              <w:pStyle w:val="TableContents"/>
              <w:spacing w:lineRule="atLeast" w:line="180" w:before="0" w:after="283"/>
              <w:rPr/>
            </w:pPr>
            <w:r>
              <w:rPr/>
              <w:t>​</w:t>
            </w:r>
          </w:p>
        </w:tc>
        <w:tc>
          <w:tcPr>
            <w:tcW w:w="90" w:type="dxa"/>
            <w:tcBorders/>
            <w:shd w:fill="auto" w:val="clear"/>
            <w:vAlign w:val="bottom"/>
          </w:tcPr>
          <w:p>
            <w:pPr>
              <w:pStyle w:val="TableContents"/>
              <w:spacing w:lineRule="atLeast" w:line="180" w:before="0" w:after="283"/>
              <w:rPr/>
            </w:pPr>
            <w:r>
              <w:rPr/>
              <w:t>​</w:t>
            </w:r>
          </w:p>
        </w:tc>
        <w:tc>
          <w:tcPr>
            <w:tcW w:w="216" w:type="dxa"/>
            <w:tcBorders/>
            <w:shd w:fill="auto" w:val="clear"/>
            <w:vAlign w:val="bottom"/>
          </w:tcPr>
          <w:p>
            <w:pPr>
              <w:pStyle w:val="TableContents"/>
              <w:spacing w:lineRule="atLeast" w:line="180" w:before="0" w:after="283"/>
              <w:rPr/>
            </w:pPr>
            <w:r>
              <w:rPr/>
              <w:t>​</w:t>
            </w:r>
          </w:p>
        </w:tc>
        <w:tc>
          <w:tcPr>
            <w:tcW w:w="139"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75"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96" w:type="dxa"/>
            <w:tcBorders/>
            <w:shd w:fill="auto" w:val="clear"/>
            <w:vAlign w:val="bottom"/>
          </w:tcPr>
          <w:p>
            <w:pPr>
              <w:pStyle w:val="TableContents"/>
              <w:spacing w:lineRule="atLeast" w:line="180" w:before="0" w:after="283"/>
              <w:rPr/>
            </w:pPr>
            <w:r>
              <w:rPr/>
              <w:t>​</w:t>
            </w:r>
          </w:p>
        </w:tc>
        <w:tc>
          <w:tcPr>
            <w:tcW w:w="392"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97" w:type="dxa"/>
            <w:tcBorders/>
            <w:shd w:fill="auto" w:val="clear"/>
            <w:vAlign w:val="bottom"/>
          </w:tcPr>
          <w:p>
            <w:pPr>
              <w:pStyle w:val="TableContents"/>
              <w:spacing w:lineRule="atLeast" w:line="180" w:before="0" w:after="283"/>
              <w:rPr/>
            </w:pPr>
            <w:r>
              <w:rPr/>
              <w:t>​</w:t>
            </w:r>
          </w:p>
        </w:tc>
        <w:tc>
          <w:tcPr>
            <w:tcW w:w="24" w:type="dxa"/>
            <w:tcBorders/>
            <w:shd w:fill="auto" w:val="clear"/>
            <w:vAlign w:val="bottom"/>
          </w:tcPr>
          <w:p>
            <w:pPr>
              <w:pStyle w:val="TableContents"/>
              <w:spacing w:lineRule="atLeast" w:line="180" w:before="0" w:after="283"/>
              <w:rPr/>
            </w:pPr>
            <w:r>
              <w:rPr/>
              <w:t>​</w:t>
            </w:r>
          </w:p>
        </w:tc>
        <w:tc>
          <w:tcPr>
            <w:tcW w:w="122" w:type="dxa"/>
            <w:tcBorders/>
            <w:shd w:fill="auto" w:val="clear"/>
            <w:vAlign w:val="bottom"/>
          </w:tcPr>
          <w:p>
            <w:pPr>
              <w:pStyle w:val="TableContents"/>
              <w:spacing w:lineRule="atLeast" w:line="180" w:before="0" w:after="283"/>
              <w:rPr/>
            </w:pPr>
            <w:r>
              <w:rPr/>
              <w:t>​</w:t>
            </w:r>
          </w:p>
        </w:tc>
        <w:tc>
          <w:tcPr>
            <w:tcW w:w="583"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25" w:type="dxa"/>
            <w:tcBorders/>
            <w:shd w:fill="auto" w:val="clear"/>
            <w:vAlign w:val="bottom"/>
          </w:tcPr>
          <w:p>
            <w:pPr>
              <w:pStyle w:val="TableContents"/>
              <w:spacing w:lineRule="atLeast" w:line="180" w:before="0" w:after="283"/>
              <w:rPr/>
            </w:pPr>
            <w:r>
              <w:rPr/>
              <w:t>​</w:t>
            </w:r>
          </w:p>
        </w:tc>
        <w:tc>
          <w:tcPr>
            <w:tcW w:w="60" w:type="dxa"/>
            <w:tcBorders/>
            <w:shd w:fill="auto" w:val="clear"/>
            <w:vAlign w:val="bottom"/>
          </w:tcPr>
          <w:p>
            <w:pPr>
              <w:pStyle w:val="TableContents"/>
              <w:spacing w:lineRule="atLeast" w:line="180" w:before="0" w:after="283"/>
              <w:rPr/>
            </w:pPr>
            <w:r>
              <w:rPr/>
              <w:t>​</w:t>
            </w:r>
          </w:p>
        </w:tc>
        <w:tc>
          <w:tcPr>
            <w:tcW w:w="530"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3" w:type="dxa"/>
            <w:tcBorders/>
            <w:shd w:fill="auto" w:val="clear"/>
            <w:vAlign w:val="bottom"/>
          </w:tcPr>
          <w:p>
            <w:pPr>
              <w:pStyle w:val="TableContents"/>
              <w:spacing w:lineRule="atLeast" w:line="180" w:before="0" w:after="283"/>
              <w:rPr/>
            </w:pPr>
            <w:r>
              <w:rPr/>
              <w:t>​</w:t>
            </w:r>
          </w:p>
        </w:tc>
        <w:tc>
          <w:tcPr>
            <w:tcW w:w="196"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97"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70" w:type="dxa"/>
            <w:tcBorders/>
            <w:shd w:fill="auto" w:val="clear"/>
            <w:vAlign w:val="bottom"/>
          </w:tcPr>
          <w:p>
            <w:pPr>
              <w:pStyle w:val="TableContents"/>
              <w:spacing w:lineRule="atLeast" w:line="180" w:before="0" w:after="283"/>
              <w:rPr/>
            </w:pPr>
            <w:r>
              <w:rPr/>
              <w:t>​</w:t>
            </w:r>
          </w:p>
        </w:tc>
        <w:tc>
          <w:tcPr>
            <w:tcW w:w="516"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19,000</w:t>
            </w:r>
          </w:p>
        </w:tc>
        <w:tc>
          <w:tcPr>
            <w:tcW w:w="170"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222" w:type="dxa"/>
            <w:tcBorders/>
            <w:shd w:fill="auto" w:val="clear"/>
            <w:vAlign w:val="bottom"/>
          </w:tcPr>
          <w:p>
            <w:pPr>
              <w:pStyle w:val="TableContents"/>
              <w:spacing w:lineRule="atLeast" w:line="180" w:before="0" w:after="283"/>
              <w:rPr/>
            </w:pPr>
            <w:r>
              <w:rPr/>
              <w:t>​</w:t>
            </w:r>
          </w:p>
        </w:tc>
        <w:tc>
          <w:tcPr>
            <w:tcW w:w="444" w:type="dxa"/>
            <w:gridSpan w:val="2"/>
            <w:tcBorders/>
            <w:shd w:fill="auto" w:val="clear"/>
            <w:vAlign w:val="bottom"/>
          </w:tcPr>
          <w:p>
            <w:pPr>
              <w:pStyle w:val="TableContents"/>
              <w:spacing w:lineRule="atLeast" w:line="180" w:before="0" w:after="283"/>
              <w:jc w:val="right"/>
              <w:rPr/>
            </w:pPr>
            <w:r>
              <w:rPr/>
              <w:t> </w:t>
            </w:r>
          </w:p>
        </w:tc>
        <w:tc>
          <w:tcPr>
            <w:tcW w:w="224"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70" w:type="dxa"/>
            <w:tcBorders/>
            <w:shd w:fill="auto" w:val="clear"/>
            <w:vAlign w:val="bottom"/>
          </w:tcPr>
          <w:p>
            <w:pPr>
              <w:pStyle w:val="TableContents"/>
              <w:spacing w:lineRule="atLeast" w:line="180" w:before="0" w:after="283"/>
              <w:rPr/>
            </w:pPr>
            <w:r>
              <w:rPr/>
              <w:t>​</w:t>
            </w:r>
          </w:p>
        </w:tc>
        <w:tc>
          <w:tcPr>
            <w:tcW w:w="340" w:type="dxa"/>
            <w:gridSpan w:val="2"/>
            <w:tcBorders/>
            <w:shd w:fill="auto" w:val="clear"/>
            <w:vAlign w:val="bottom"/>
          </w:tcPr>
          <w:p>
            <w:pPr>
              <w:pStyle w:val="TableContents"/>
              <w:spacing w:lineRule="atLeast" w:line="180" w:before="0" w:after="283"/>
              <w:jc w:val="right"/>
              <w:rPr/>
            </w:pPr>
            <w:r>
              <w:rPr/>
              <w:t> </w:t>
            </w:r>
          </w:p>
        </w:tc>
        <w:tc>
          <w:tcPr>
            <w:tcW w:w="170"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55" w:type="dxa"/>
            <w:tcBorders/>
            <w:shd w:fill="auto" w:val="clear"/>
            <w:vAlign w:val="bottom"/>
          </w:tcPr>
          <w:p>
            <w:pPr>
              <w:pStyle w:val="TableContents"/>
              <w:spacing w:lineRule="atLeast" w:line="180" w:before="0" w:after="283"/>
              <w:rPr/>
            </w:pPr>
            <w:r>
              <w:rPr/>
              <w:t>​</w:t>
            </w:r>
          </w:p>
        </w:tc>
        <w:tc>
          <w:tcPr>
            <w:tcW w:w="69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$239,020</w:t>
            </w:r>
          </w:p>
        </w:tc>
        <w:tc>
          <w:tcPr>
            <w:tcW w:w="155" w:type="dxa"/>
            <w:tcBorders/>
            <w:shd w:fill="auto" w:val="clear"/>
            <w:vAlign w:val="bottom"/>
          </w:tcPr>
          <w:p>
            <w:pPr>
              <w:pStyle w:val="TableContents"/>
              <w:spacing w:lineRule="atLeast" w:line="180" w:before="0" w:after="283"/>
              <w:rPr/>
            </w:pPr>
            <w:r>
              <w:rPr/>
              <w:t>​</w:t>
            </w:r>
          </w:p>
        </w:tc>
        <w:tc>
          <w:tcPr>
            <w:tcW w:w="24" w:type="dxa"/>
            <w:tcBorders/>
            <w:shd w:fill="auto" w:val="clear"/>
            <w:vAlign w:val="bottom"/>
          </w:tcPr>
          <w:p>
            <w:pPr>
              <w:pStyle w:val="TableContents"/>
              <w:spacing w:lineRule="atLeast" w:line="180" w:before="0" w:after="283"/>
              <w:rPr/>
            </w:pPr>
            <w:r>
              <w:rPr/>
              <w:t>​</w:t>
            </w:r>
          </w:p>
        </w:tc>
      </w:tr>
      <w:tr>
        <w:trPr/>
        <w:tc>
          <w:tcPr>
            <w:tcW w:w="1508" w:type="dxa"/>
            <w:tcBorders/>
            <w:shd w:fill="CCEEFF" w:val="clear"/>
            <w:vAlign w:val="bottom"/>
          </w:tcPr>
          <w:p>
            <w:pPr>
              <w:pStyle w:val="TableContents"/>
              <w:spacing w:lineRule="atLeast" w:line="180" w:before="160" w:after="283"/>
              <w:ind w:left="140" w:right="0" w:hanging="140"/>
              <w:rPr>
                <w:rFonts w:ascii="arial" w:hAnsi="arial"/>
                <w:sz w:val="16"/>
              </w:rPr>
            </w:pPr>
            <w:r>
              <w:rPr>
                <w:rFonts w:ascii="arial" w:hAnsi="arial"/>
                <w:sz w:val="16"/>
              </w:rPr>
              <w:t>Kevin J. Wilcox</w:t>
            </w:r>
          </w:p>
        </w:tc>
        <w:tc>
          <w:tcPr>
            <w:tcW w:w="23" w:type="dxa"/>
            <w:tcBorders/>
            <w:shd w:fill="CCEEFF" w:val="clear"/>
            <w:vAlign w:val="bottom"/>
          </w:tcPr>
          <w:p>
            <w:pPr>
              <w:pStyle w:val="TableContents"/>
              <w:spacing w:lineRule="atLeast" w:line="180" w:before="0" w:after="283"/>
              <w:rPr/>
            </w:pPr>
            <w:r>
              <w:rPr/>
              <w:t>​</w:t>
            </w:r>
          </w:p>
        </w:tc>
        <w:tc>
          <w:tcPr>
            <w:tcW w:w="31" w:type="dxa"/>
            <w:tcBorders/>
            <w:shd w:fill="CCEEFF" w:val="clear"/>
            <w:vAlign w:val="bottom"/>
          </w:tcPr>
          <w:p>
            <w:pPr>
              <w:pStyle w:val="TableContents"/>
              <w:spacing w:lineRule="atLeast" w:line="180" w:before="0" w:after="283"/>
              <w:rPr/>
            </w:pPr>
            <w:r>
              <w:rPr/>
              <w:t>​</w:t>
            </w:r>
          </w:p>
        </w:tc>
        <w:tc>
          <w:tcPr>
            <w:tcW w:w="3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br/>
              <w:t>-</w:t>
            </w:r>
          </w:p>
        </w:tc>
        <w:tc>
          <w:tcPr>
            <w:tcW w:w="1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353" w:type="dxa"/>
            <w:tcBorders/>
            <w:shd w:fill="CCEEFF" w:val="clear"/>
            <w:vAlign w:val="bottom"/>
          </w:tcPr>
          <w:p>
            <w:pPr>
              <w:pStyle w:val="TableContents"/>
              <w:spacing w:lineRule="atLeast" w:line="180" w:before="0" w:after="283"/>
              <w:rPr/>
            </w:pPr>
            <w:r>
              <w:rPr/>
              <w:t>​</w:t>
            </w:r>
          </w:p>
        </w:tc>
        <w:tc>
          <w:tcPr>
            <w:tcW w:w="122"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br/>
              <w:t>-</w:t>
            </w:r>
          </w:p>
        </w:tc>
        <w:tc>
          <w:tcPr>
            <w:tcW w:w="355"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216" w:type="dxa"/>
            <w:tcBorders/>
            <w:shd w:fill="CCEEFF" w:val="clear"/>
            <w:vAlign w:val="bottom"/>
          </w:tcPr>
          <w:p>
            <w:pPr>
              <w:pStyle w:val="TableContents"/>
              <w:spacing w:lineRule="atLeast" w:line="180" w:before="0" w:after="283"/>
              <w:rPr/>
            </w:pPr>
            <w:r>
              <w:rPr/>
              <w:t>​</w:t>
            </w:r>
          </w:p>
        </w:tc>
        <w:tc>
          <w:tcPr>
            <w:tcW w:w="139"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br/>
              <w:t>-</w:t>
            </w:r>
          </w:p>
        </w:tc>
        <w:tc>
          <w:tcPr>
            <w:tcW w:w="17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96" w:type="dxa"/>
            <w:tcBorders/>
            <w:shd w:fill="CCEEFF" w:val="clear"/>
            <w:vAlign w:val="bottom"/>
          </w:tcPr>
          <w:p>
            <w:pPr>
              <w:pStyle w:val="TableContents"/>
              <w:spacing w:lineRule="atLeast" w:line="180" w:before="0" w:after="283"/>
              <w:rPr/>
            </w:pPr>
            <w:r>
              <w:rPr/>
              <w:t>​</w:t>
            </w:r>
          </w:p>
        </w:tc>
        <w:tc>
          <w:tcPr>
            <w:tcW w:w="392"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br/>
              <w:t>-</w:t>
            </w:r>
          </w:p>
        </w:tc>
        <w:tc>
          <w:tcPr>
            <w:tcW w:w="197" w:type="dxa"/>
            <w:tcBorders/>
            <w:shd w:fill="CCEEFF" w:val="clear"/>
            <w:vAlign w:val="bottom"/>
          </w:tcPr>
          <w:p>
            <w:pPr>
              <w:pStyle w:val="TableContents"/>
              <w:spacing w:lineRule="atLeast" w:line="180" w:before="0" w:after="283"/>
              <w:rPr/>
            </w:pPr>
            <w:r>
              <w:rPr/>
              <w:t>​</w:t>
            </w:r>
          </w:p>
        </w:tc>
        <w:tc>
          <w:tcPr>
            <w:tcW w:w="24" w:type="dxa"/>
            <w:tcBorders/>
            <w:shd w:fill="CCEEFF" w:val="clear"/>
            <w:vAlign w:val="bottom"/>
          </w:tcPr>
          <w:p>
            <w:pPr>
              <w:pStyle w:val="TableContents"/>
              <w:spacing w:lineRule="atLeast" w:line="180" w:before="0" w:after="283"/>
              <w:rPr/>
            </w:pPr>
            <w:r>
              <w:rPr/>
              <w:t>​</w:t>
            </w:r>
          </w:p>
        </w:tc>
        <w:tc>
          <w:tcPr>
            <w:tcW w:w="122" w:type="dxa"/>
            <w:tcBorders/>
            <w:shd w:fill="CCEEFF" w:val="clear"/>
            <w:vAlign w:val="bottom"/>
          </w:tcPr>
          <w:p>
            <w:pPr>
              <w:pStyle w:val="TableContents"/>
              <w:spacing w:lineRule="atLeast" w:line="180" w:before="0" w:after="283"/>
              <w:rPr/>
            </w:pPr>
            <w:r>
              <w:rPr/>
              <w:t>​</w:t>
            </w:r>
          </w:p>
        </w:tc>
        <w:tc>
          <w:tcPr>
            <w:tcW w:w="583"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br/>
              <w:t>-</w:t>
            </w:r>
          </w:p>
        </w:tc>
        <w:tc>
          <w:tcPr>
            <w:tcW w:w="125" w:type="dxa"/>
            <w:tcBorders/>
            <w:shd w:fill="CCEEFF" w:val="clear"/>
            <w:vAlign w:val="bottom"/>
          </w:tcPr>
          <w:p>
            <w:pPr>
              <w:pStyle w:val="TableContents"/>
              <w:spacing w:lineRule="atLeast" w:line="180" w:before="0" w:after="283"/>
              <w:rPr/>
            </w:pPr>
            <w:r>
              <w:rPr/>
              <w:t>​</w:t>
            </w:r>
          </w:p>
        </w:tc>
        <w:tc>
          <w:tcPr>
            <w:tcW w:w="60" w:type="dxa"/>
            <w:tcBorders/>
            <w:shd w:fill="CCEEFF" w:val="clear"/>
            <w:vAlign w:val="bottom"/>
          </w:tcPr>
          <w:p>
            <w:pPr>
              <w:pStyle w:val="TableContents"/>
              <w:spacing w:lineRule="atLeast" w:line="180" w:before="0" w:after="283"/>
              <w:rPr/>
            </w:pPr>
            <w:r>
              <w:rPr/>
              <w:t>​</w:t>
            </w:r>
          </w:p>
        </w:tc>
        <w:tc>
          <w:tcPr>
            <w:tcW w:w="5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br/>
              <w:t>-</w:t>
            </w:r>
          </w:p>
        </w:tc>
        <w:tc>
          <w:tcPr>
            <w:tcW w:w="23" w:type="dxa"/>
            <w:tcBorders/>
            <w:shd w:fill="CCEEFF" w:val="clear"/>
            <w:vAlign w:val="bottom"/>
          </w:tcPr>
          <w:p>
            <w:pPr>
              <w:pStyle w:val="TableContents"/>
              <w:spacing w:lineRule="atLeast" w:line="180" w:before="0" w:after="283"/>
              <w:rPr/>
            </w:pPr>
            <w:r>
              <w:rPr/>
              <w:t>​</w:t>
            </w:r>
          </w:p>
        </w:tc>
        <w:tc>
          <w:tcPr>
            <w:tcW w:w="196"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br/>
              <w:t>-</w:t>
            </w:r>
          </w:p>
        </w:tc>
        <w:tc>
          <w:tcPr>
            <w:tcW w:w="197"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70" w:type="dxa"/>
            <w:tcBorders/>
            <w:shd w:fill="CCEEFF" w:val="clear"/>
            <w:vAlign w:val="bottom"/>
          </w:tcPr>
          <w:p>
            <w:pPr>
              <w:pStyle w:val="TableContents"/>
              <w:spacing w:lineRule="atLeast" w:line="180" w:before="0" w:after="283"/>
              <w:rPr/>
            </w:pPr>
            <w:r>
              <w:rPr/>
              <w:t>​</w:t>
            </w:r>
          </w:p>
        </w:tc>
        <w:tc>
          <w:tcPr>
            <w:tcW w:w="516"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br/>
              <w:t>-</w:t>
            </w:r>
          </w:p>
        </w:tc>
        <w:tc>
          <w:tcPr>
            <w:tcW w:w="17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22" w:type="dxa"/>
            <w:tcBorders/>
            <w:shd w:fill="CCEEFF" w:val="clear"/>
            <w:vAlign w:val="bottom"/>
          </w:tcPr>
          <w:p>
            <w:pPr>
              <w:pStyle w:val="TableContents"/>
              <w:spacing w:lineRule="atLeast" w:line="180" w:before="0" w:after="283"/>
              <w:rPr/>
            </w:pPr>
            <w:r>
              <w:rPr/>
              <w:t>​</w:t>
            </w:r>
          </w:p>
        </w:tc>
        <w:tc>
          <w:tcPr>
            <w:tcW w:w="444"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br/>
              <w:t>-</w:t>
            </w:r>
          </w:p>
        </w:tc>
        <w:tc>
          <w:tcPr>
            <w:tcW w:w="224"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70" w:type="dxa"/>
            <w:tcBorders/>
            <w:shd w:fill="CCEEFF" w:val="clear"/>
            <w:vAlign w:val="bottom"/>
          </w:tcPr>
          <w:p>
            <w:pPr>
              <w:pStyle w:val="TableContents"/>
              <w:spacing w:lineRule="atLeast" w:line="180" w:before="0" w:after="283"/>
              <w:rPr/>
            </w:pPr>
            <w:r>
              <w:rPr/>
              <w:t>​</w:t>
            </w:r>
          </w:p>
        </w:tc>
        <w:tc>
          <w:tcPr>
            <w:tcW w:w="34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br/>
              <w:t>-</w:t>
            </w:r>
          </w:p>
        </w:tc>
        <w:tc>
          <w:tcPr>
            <w:tcW w:w="17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55" w:type="dxa"/>
            <w:tcBorders/>
            <w:shd w:fill="CCEEFF" w:val="clear"/>
            <w:vAlign w:val="bottom"/>
          </w:tcPr>
          <w:p>
            <w:pPr>
              <w:pStyle w:val="TableContents"/>
              <w:spacing w:lineRule="atLeast" w:line="180" w:before="0" w:after="283"/>
              <w:rPr/>
            </w:pPr>
            <w:r>
              <w:rPr/>
              <w:t>​</w:t>
            </w:r>
          </w:p>
        </w:tc>
        <w:tc>
          <w:tcPr>
            <w:tcW w:w="69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br/>
              <w:t>-</w:t>
            </w:r>
          </w:p>
        </w:tc>
        <w:tc>
          <w:tcPr>
            <w:tcW w:w="155" w:type="dxa"/>
            <w:tcBorders/>
            <w:shd w:fill="CCEEFF" w:val="clear"/>
            <w:vAlign w:val="bottom"/>
          </w:tcPr>
          <w:p>
            <w:pPr>
              <w:pStyle w:val="TableContents"/>
              <w:spacing w:lineRule="atLeast" w:line="180" w:before="0" w:after="283"/>
              <w:rPr/>
            </w:pPr>
            <w:r>
              <w:rPr/>
              <w:t>​</w:t>
            </w:r>
          </w:p>
        </w:tc>
        <w:tc>
          <w:tcPr>
            <w:tcW w:w="24" w:type="dxa"/>
            <w:tcBorders/>
            <w:shd w:fill="CCEEFF" w:val="clear"/>
            <w:vAlign w:val="bottom"/>
          </w:tcPr>
          <w:p>
            <w:pPr>
              <w:pStyle w:val="TableContents"/>
              <w:spacing w:lineRule="atLeast" w:line="180" w:before="0" w:after="283"/>
              <w:rPr/>
            </w:pPr>
            <w:r>
              <w:rPr/>
              <w:t>​</w:t>
            </w:r>
          </w:p>
        </w:tc>
      </w:tr>
    </w:tbl>
    <w:p>
      <w:pPr>
        <w:pStyle w:val="HorizontalLine"/>
        <w:pBdr>
          <w:bottom w:val="single" w:sz="6" w:space="0" w:color="000000"/>
        </w:pBdr>
        <w:ind w:left="0" w:right="7552" w:hanging="0"/>
        <w:rPr/>
      </w:pPr>
      <w:r>
        <w:rPr/>
      </w:r>
    </w:p>
    <w:p>
      <w:pPr>
        <w:pStyle w:val="ListHeading"/>
        <w:spacing w:lineRule="atLeast" w:line="180" w:before="0" w:after="0"/>
        <w:jc w:val="left"/>
        <w:rPr>
          <w:rFonts w:ascii="arial" w:hAnsi="arial"/>
          <w:sz w:val="12"/>
        </w:rPr>
      </w:pPr>
      <w:r>
        <w:rPr>
          <w:rFonts w:ascii="arial" w:hAnsi="arial"/>
          <w:sz w:val="12"/>
        </w:rPr>
        <w:t>(1)</w:t>
      </w:r>
    </w:p>
    <w:p>
      <w:pPr>
        <w:pStyle w:val="ListContents"/>
        <w:spacing w:lineRule="atLeast" w:line="180" w:before="0" w:after="283"/>
        <w:jc w:val="left"/>
        <w:rPr>
          <w:rFonts w:ascii="arial" w:hAnsi="arial"/>
          <w:sz w:val="16"/>
        </w:rPr>
      </w:pPr>
      <w:r>
        <w:rPr>
          <w:rFonts w:ascii="arial" w:hAnsi="arial"/>
          <w:sz w:val="16"/>
        </w:rPr>
        <w:t xml:space="preserve">These amounts represent the possible non-equity incentive compensation that may have been earned by each Named Executive Officer in 2020 under the different achievement levels presented on their 2020 Annual Incentive Plan's personal scorecards which are more fully discussed in our Compensation Discussion and Analysis. Performance below threshold generally results in no payout. The 2020 incentive compensation payout was made solely in RSUs and no cash incentive was paid to the Named Executive Officers for the 2020 performance year. </w:t>
      </w:r>
    </w:p>
    <w:p>
      <w:pPr>
        <w:pStyle w:val="ListHeading"/>
        <w:spacing w:lineRule="atLeast" w:line="180" w:before="0" w:after="0"/>
        <w:jc w:val="left"/>
        <w:rPr>
          <w:rFonts w:ascii="arial" w:hAnsi="arial"/>
          <w:sz w:val="12"/>
        </w:rPr>
      </w:pPr>
      <w:r>
        <w:rPr>
          <w:rFonts w:ascii="arial" w:hAnsi="arial"/>
          <w:sz w:val="12"/>
        </w:rPr>
        <w:t>(2)</w:t>
      </w:r>
    </w:p>
    <w:p>
      <w:pPr>
        <w:pStyle w:val="ListContents"/>
        <w:spacing w:lineRule="atLeast" w:line="180" w:before="0" w:after="283"/>
        <w:jc w:val="left"/>
        <w:rPr>
          <w:rFonts w:ascii="arial" w:hAnsi="arial"/>
          <w:sz w:val="16"/>
        </w:rPr>
      </w:pPr>
      <w:r>
        <w:rPr>
          <w:rFonts w:ascii="arial" w:hAnsi="arial"/>
          <w:sz w:val="16"/>
        </w:rPr>
        <w:t xml:space="preserve">Granted pursuant to our 2020 Annual Incentive Plan and 2009 Equity Incentive Plan. The service-based RSU awards vest in two annual installments on the first and second anniversaries of the grant date. </w:t>
      </w:r>
    </w:p>
    <w:p>
      <w:pPr>
        <w:pStyle w:val="ListHeading"/>
        <w:spacing w:lineRule="atLeast" w:line="180" w:before="0" w:after="0"/>
        <w:jc w:val="left"/>
        <w:rPr>
          <w:rFonts w:ascii="arial" w:hAnsi="arial"/>
          <w:sz w:val="12"/>
        </w:rPr>
      </w:pPr>
      <w:r>
        <w:rPr>
          <w:rFonts w:ascii="arial" w:hAnsi="arial"/>
          <w:sz w:val="12"/>
        </w:rPr>
        <w:t>(3)</w:t>
      </w:r>
    </w:p>
    <w:p>
      <w:pPr>
        <w:pStyle w:val="ListContents"/>
        <w:spacing w:lineRule="atLeast" w:line="180" w:before="0" w:after="283"/>
        <w:jc w:val="left"/>
        <w:rPr>
          <w:rFonts w:ascii="arial" w:hAnsi="arial"/>
          <w:sz w:val="16"/>
        </w:rPr>
      </w:pPr>
      <w:r>
        <w:rPr>
          <w:rFonts w:ascii="arial" w:hAnsi="arial"/>
          <w:sz w:val="16"/>
        </w:rPr>
        <w:t xml:space="preserve">Granted pursuant to our 2020 LTIP and 2009 Equity Incentive Plan. The Type I performance-based RSU awards vest in three annual installments on the first, second and third anniversaries of the grant date, subject each year to meeting of a minimum performance level of fifty percent (50%) on the applicable scorecard for the 2020, 2021 and 2022 service years. </w:t>
      </w:r>
    </w:p>
    <w:p>
      <w:pPr>
        <w:pStyle w:val="ListHeading"/>
        <w:spacing w:lineRule="atLeast" w:line="180" w:before="0" w:after="0"/>
        <w:jc w:val="left"/>
        <w:rPr>
          <w:rFonts w:ascii="arial" w:hAnsi="arial"/>
          <w:sz w:val="12"/>
        </w:rPr>
      </w:pPr>
      <w:r>
        <w:rPr>
          <w:rFonts w:ascii="arial" w:hAnsi="arial"/>
          <w:sz w:val="12"/>
        </w:rPr>
        <w:t>(4)</w:t>
      </w:r>
    </w:p>
    <w:p>
      <w:pPr>
        <w:pStyle w:val="ListContents"/>
        <w:spacing w:lineRule="atLeast" w:line="180" w:before="0" w:after="283"/>
        <w:jc w:val="left"/>
        <w:rPr>
          <w:rFonts w:ascii="arial" w:hAnsi="arial"/>
          <w:sz w:val="16"/>
        </w:rPr>
      </w:pPr>
      <w:r>
        <w:rPr>
          <w:rFonts w:ascii="arial" w:hAnsi="arial"/>
          <w:sz w:val="16"/>
        </w:rPr>
        <w:t xml:space="preserve">Granted pursuant to our 2020 LTIP and our 2009 Equity Incentive Plan. The number of Type II performance-based RSUs that vest will be determined based on a two-step process. In the first step, the initial target levels (the "Initial Award Size") will be multiplied by the Company's average level of performance versus pre-established goals for 2020, 2021 and 2022. The 2020 goal relates to the amended scorecard metric of "Development of and progress against the plan to reduce Company costs", with the maximum level of achievement for 2020 performance set at eighty percent (80%), with the actual level of achievement to be determined by the Compensation Committee. The 2021 and 2022 goals are tied to 2021 and 2022 adjusted EPS (a non-GAAP measure). Based on the Company's level of performance versus the adjusted EPS goals over the two-year period (2021 and 2022), the achievement level can be between zero percent (0%) up to one hundred fifty percent (150%). In the second step, the Initial Award Size will be modified based on Altisource's TSR versus the return of the Russell 3000 stock market index during the performance period (2020 to 2022), resulting in a final earned award equal to zero percent (0%) up to one hundred ninety percent (190%) of the Initial Award Size (when originally granted, the final earned award that was possible was two hundred twenty five percent of the Initial Award Size but was reduced as a result of the reduction in the maximum level of achievement for the 2020 scorecard metric). Any earned Type II performance-based RSUs will cliff vest entirely on the third anniversary of the grant date and will be settled in shares or, at the Company's option, cash, subject to continued employment unless otherwise provided in the applicable award agreement. </w:t>
      </w:r>
    </w:p>
    <w:p>
      <w:pPr>
        <w:pStyle w:val="ListHeading"/>
        <w:spacing w:lineRule="atLeast" w:line="180" w:before="0" w:after="0"/>
        <w:jc w:val="left"/>
        <w:rPr>
          <w:rFonts w:ascii="arial" w:hAnsi="arial"/>
          <w:sz w:val="12"/>
        </w:rPr>
      </w:pPr>
      <w:r>
        <w:rPr>
          <w:rFonts w:ascii="arial" w:hAnsi="arial"/>
          <w:sz w:val="12"/>
        </w:rPr>
        <w:t>(5)</w:t>
      </w:r>
    </w:p>
    <w:p>
      <w:pPr>
        <w:pStyle w:val="ListContents"/>
        <w:spacing w:lineRule="atLeast" w:line="180" w:before="0" w:after="283"/>
        <w:jc w:val="left"/>
        <w:rPr>
          <w:rFonts w:ascii="arial" w:hAnsi="arial"/>
          <w:sz w:val="16"/>
        </w:rPr>
      </w:pPr>
      <w:r>
        <w:rPr>
          <w:rFonts w:ascii="arial" w:hAnsi="arial"/>
          <w:sz w:val="16"/>
        </w:rPr>
        <w:t xml:space="preserve">Granted pursuant to our 2009 Equity Incentive Plan. Time-based RSU awards are scheduled to vest in three annual installments after the grant date, subject to continued employment. </w:t>
      </w:r>
    </w:p>
    <w:p>
      <w:pPr>
        <w:pStyle w:val="ListHeading"/>
        <w:spacing w:lineRule="atLeast" w:line="180" w:before="0" w:after="0"/>
        <w:jc w:val="left"/>
        <w:rPr>
          <w:rFonts w:ascii="arial" w:hAnsi="arial"/>
          <w:sz w:val="12"/>
        </w:rPr>
      </w:pPr>
      <w:r>
        <w:rPr>
          <w:rFonts w:ascii="arial" w:hAnsi="arial"/>
          <w:sz w:val="12"/>
        </w:rPr>
        <w:t>(6)</w:t>
      </w:r>
    </w:p>
    <w:p>
      <w:pPr>
        <w:pStyle w:val="ListContents"/>
        <w:spacing w:lineRule="atLeast" w:line="180" w:before="0" w:after="283"/>
        <w:jc w:val="left"/>
        <w:rPr>
          <w:rFonts w:ascii="arial" w:hAnsi="arial"/>
        </w:rPr>
      </w:pPr>
      <w:r>
        <w:rPr>
          <w:rFonts w:ascii="arial" w:hAnsi="arial"/>
          <w:sz w:val="16"/>
        </w:rPr>
        <w:t>Granted pursuant to our 2009 Equity Incentive Plan. Performance-based RSU awards are scheduled to vest as follows:</w:t>
      </w:r>
      <w:r>
        <w:rPr>
          <w:rFonts w:ascii="arial" w:hAnsi="arial"/>
        </w:rPr>
        <w:t xml:space="preserve"> </w:t>
      </w:r>
    </w:p>
    <w:p>
      <w:pPr>
        <w:pStyle w:val="ListHeading"/>
        <w:spacing w:lineRule="atLeast" w:line="180" w:before="0" w:after="0"/>
        <w:ind w:left="567" w:right="0" w:hanging="0"/>
        <w:jc w:val="left"/>
        <w:rPr>
          <w:rFonts w:ascii="arial" w:hAnsi="arial"/>
          <w:sz w:val="16"/>
        </w:rPr>
      </w:pPr>
      <w:r>
        <w:rPr>
          <w:rFonts w:ascii="arial" w:hAnsi="arial"/>
          <w:sz w:val="16"/>
        </w:rPr>
        <w:t></w:t>
      </w:r>
    </w:p>
    <w:p>
      <w:pPr>
        <w:pStyle w:val="ListContents"/>
        <w:spacing w:lineRule="atLeast" w:line="180" w:before="0" w:after="283"/>
        <w:ind w:left="1134" w:right="0" w:hanging="0"/>
        <w:jc w:val="left"/>
        <w:rPr>
          <w:rFonts w:ascii="arial" w:hAnsi="arial"/>
          <w:sz w:val="16"/>
        </w:rPr>
      </w:pPr>
      <w:r>
        <w:rPr>
          <w:rFonts w:ascii="arial" w:hAnsi="arial"/>
          <w:sz w:val="16"/>
        </w:rPr>
        <w:t xml:space="preserve">10% of the award will begin to vest once the average closing price of Altisource's common stock is at or above $20 per share over a period of 30 calendar days (55% above the closing price of Altisource's common stock as of the grant date) </w:t>
      </w:r>
    </w:p>
    <w:p>
      <w:pPr>
        <w:pStyle w:val="ListHeading"/>
        <w:spacing w:lineRule="atLeast" w:line="180" w:before="0" w:after="0"/>
        <w:ind w:left="567" w:right="0" w:hanging="0"/>
        <w:jc w:val="left"/>
        <w:rPr>
          <w:rFonts w:ascii="arial" w:hAnsi="arial"/>
          <w:sz w:val="16"/>
        </w:rPr>
      </w:pPr>
      <w:r>
        <w:rPr>
          <w:rFonts w:ascii="arial" w:hAnsi="arial"/>
          <w:sz w:val="16"/>
        </w:rPr>
        <w:t></w:t>
      </w:r>
    </w:p>
    <w:p>
      <w:pPr>
        <w:pStyle w:val="ListContents"/>
        <w:spacing w:lineRule="atLeast" w:line="180" w:before="0" w:after="283"/>
        <w:ind w:left="1134" w:right="0" w:hanging="0"/>
        <w:jc w:val="left"/>
        <w:rPr>
          <w:rFonts w:ascii="arial" w:hAnsi="arial"/>
          <w:sz w:val="16"/>
        </w:rPr>
      </w:pPr>
      <w:r>
        <w:rPr>
          <w:rFonts w:ascii="arial" w:hAnsi="arial"/>
          <w:sz w:val="16"/>
        </w:rPr>
        <w:t xml:space="preserve">30% of the award will begin to vest once the average closing price of Altisource's common stock is at or above $25 per share over a period of 30 calendar days (93% above the closing price of Altisource's common stock as of the grant date) </w:t>
      </w:r>
    </w:p>
    <w:p>
      <w:pPr>
        <w:pStyle w:val="ListHeading"/>
        <w:spacing w:lineRule="atLeast" w:line="180" w:before="0" w:after="0"/>
        <w:ind w:left="567" w:right="0" w:hanging="0"/>
        <w:jc w:val="left"/>
        <w:rPr>
          <w:rFonts w:ascii="arial" w:hAnsi="arial"/>
          <w:sz w:val="16"/>
        </w:rPr>
      </w:pPr>
      <w:r>
        <w:rPr>
          <w:rFonts w:ascii="arial" w:hAnsi="arial"/>
          <w:sz w:val="16"/>
        </w:rPr>
        <w:t></w:t>
      </w:r>
    </w:p>
    <w:p>
      <w:pPr>
        <w:pStyle w:val="ListContents"/>
        <w:spacing w:lineRule="atLeast" w:line="180" w:before="0" w:after="283"/>
        <w:ind w:left="1134" w:right="0" w:hanging="0"/>
        <w:jc w:val="left"/>
        <w:rPr>
          <w:rFonts w:ascii="arial" w:hAnsi="arial"/>
          <w:sz w:val="16"/>
        </w:rPr>
      </w:pPr>
      <w:r>
        <w:rPr>
          <w:rFonts w:ascii="arial" w:hAnsi="arial"/>
          <w:sz w:val="16"/>
        </w:rPr>
        <w:t xml:space="preserve">40% of the award will begin to vest once the average closing price of Altisource's common stock is at or above $35 per share over a period of 30 calendar days (171% above the closing price of Altisource's common stock as of the grant date) </w:t>
      </w:r>
    </w:p>
    <w:p>
      <w:pPr>
        <w:pStyle w:val="TextBody"/>
        <w:jc w:val="center"/>
        <w:rPr>
          <w:rFonts w:ascii="arial" w:hAnsi="arial"/>
          <w:sz w:val="20"/>
        </w:rPr>
      </w:pPr>
      <w:r>
        <w:rPr>
          <w:rFonts w:ascii="arial" w:hAnsi="arial"/>
          <w:sz w:val="20"/>
        </w:rPr>
        <w:t>59</w:t>
      </w:r>
    </w:p>
    <w:p>
      <w:pPr>
        <w:pStyle w:val="HorizontalLine"/>
        <w:pBdr>
          <w:bottom w:val="single" w:sz="20" w:space="0" w:color="808080"/>
        </w:pBdr>
        <w:rPr/>
      </w:pPr>
      <w:r>
        <w:rPr/>
      </w:r>
      <w:r>
        <w:br w:type="page"/>
      </w:r>
    </w:p>
    <w:p>
      <w:pPr>
        <w:pStyle w:val="TextBody"/>
        <w:rPr/>
      </w:pPr>
      <w:hyperlink w:anchor="bg45301a_main_toc">
        <w:bookmarkStart w:id="115" w:name="page_ea45301_1_60"/>
        <w:bookmarkEnd w:id="115"/>
        <w:r>
          <w:rPr>
            <w:rStyle w:val="InternetLink"/>
            <w:rFonts w:ascii="arial" w:hAnsi="arial"/>
            <w:sz w:val="20"/>
          </w:rPr>
          <w:t>Table of Contents</w:t>
        </w:r>
      </w:hyperlink>
      <w:r>
        <w:rPr>
          <w:rFonts w:ascii="arial" w:hAnsi="arial"/>
          <w:sz w:val="20"/>
        </w:rPr>
        <w:t xml:space="preserve"> </w:t>
      </w:r>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3368"/>
        <w:gridCol w:w="100"/>
        <w:gridCol w:w="6737"/>
      </w:tblGrid>
      <w:tr>
        <w:trPr/>
        <w:tc>
          <w:tcPr>
            <w:tcW w:w="3368" w:type="dxa"/>
            <w:tcBorders/>
            <w:shd w:fill="auto" w:val="clear"/>
            <w:vAlign w:val="center"/>
          </w:tcPr>
          <w:p>
            <w:pPr>
              <w:pStyle w:val="TableContents"/>
              <w:spacing w:before="0" w:after="283"/>
              <w:rPr/>
            </w:pPr>
            <w:r>
              <w:rPr/>
              <w:commentReference w:id="220"/>
            </w:r>
            <w:r>
              <w:rPr/>
              <w:commentReference w:id="221"/>
            </w:r>
            <w:r>
              <w:rPr/>
              <w:commentReference w:id="222"/>
            </w:r>
            <w:r>
              <w:rPr/>
              <w:t>​</w:t>
            </w:r>
          </w:p>
        </w:tc>
        <w:tc>
          <w:tcPr>
            <w:tcW w:w="100" w:type="dxa"/>
            <w:tcBorders/>
            <w:shd w:fill="auto" w:val="clear"/>
            <w:vAlign w:val="center"/>
          </w:tcPr>
          <w:p>
            <w:pPr>
              <w:pStyle w:val="TableContents"/>
              <w:spacing w:before="0" w:after="283"/>
              <w:rPr/>
            </w:pPr>
            <w:r>
              <w:rPr/>
              <w:t>​</w:t>
            </w:r>
          </w:p>
        </w:tc>
        <w:tc>
          <w:tcPr>
            <w:tcW w:w="6737" w:type="dxa"/>
            <w:tcBorders/>
            <w:shd w:fill="auto" w:val="clear"/>
            <w:vAlign w:val="center"/>
          </w:tcPr>
          <w:p>
            <w:pPr>
              <w:pStyle w:val="TableContents"/>
              <w:spacing w:before="0" w:after="283"/>
              <w:rPr/>
            </w:pPr>
            <w:r>
              <w:rPr/>
              <w:t>​</w:t>
            </w:r>
            <w:r>
              <w:rPr>
                <w:rFonts w:eastAsia="arial" w:cs="arial" w:ascii="arial" w:hAnsi="arial"/>
              </w:rPr>
              <w:commentReference w:id="223"/>
            </w:r>
          </w:p>
        </w:tc>
      </w:tr>
      <w:tr>
        <w:trPr/>
        <w:tc>
          <w:tcPr>
            <w:tcW w:w="3368" w:type="dxa"/>
            <w:tcBorders/>
            <w:shd w:fill="auto" w:val="clear"/>
          </w:tcPr>
          <w:p>
            <w:pPr>
              <w:pStyle w:val="TableContents"/>
              <w:rPr/>
            </w:pPr>
            <w:r>
              <w:rPr/>
              <w:t>​</w:t>
            </w:r>
          </w:p>
          <w:p>
            <w:pPr>
              <w:pStyle w:val="TableContents"/>
              <w:spacing w:before="0" w:after="283"/>
              <w:rPr/>
            </w:pPr>
            <w:r>
              <w:rPr/>
              <w:t> </w:t>
            </w:r>
          </w:p>
        </w:tc>
        <w:tc>
          <w:tcPr>
            <w:tcW w:w="100"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drawing>
                <wp:inline distT="0" distB="0" distL="0" distR="0">
                  <wp:extent cx="1971675" cy="1809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embed="rId92"/>
                          <a:stretch>
                            <a:fillRect/>
                          </a:stretch>
                        </pic:blipFill>
                        <pic:spPr bwMode="auto">
                          <a:xfrm>
                            <a:off x="0" y="0"/>
                            <a:ext cx="1971675" cy="180975"/>
                          </a:xfrm>
                          <a:prstGeom prst="rect">
                            <a:avLst/>
                          </a:prstGeom>
                        </pic:spPr>
                      </pic:pic>
                    </a:graphicData>
                  </a:graphic>
                </wp:inline>
              </w:drawing>
            </w:r>
            <w:r>
              <w:rPr/>
              <w:t xml:space="preserve"> </w:t>
            </w:r>
          </w:p>
        </w:tc>
      </w:tr>
      <w:tr>
        <w:trPr/>
        <w:tc>
          <w:tcPr>
            <w:tcW w:w="3368" w:type="dxa"/>
            <w:tcBorders/>
            <w:shd w:fill="auto" w:val="clear"/>
          </w:tcPr>
          <w:p>
            <w:pPr>
              <w:pStyle w:val="TableContents"/>
              <w:rPr/>
            </w:pPr>
            <w:r>
              <w:rPr/>
              <w:t>​</w:t>
            </w:r>
          </w:p>
          <w:p>
            <w:pPr>
              <w:pStyle w:val="TableContents"/>
              <w:spacing w:before="0" w:after="283"/>
              <w:rPr/>
            </w:pPr>
            <w:r>
              <w:rPr/>
              <w:t> </w:t>
            </w:r>
          </w:p>
        </w:tc>
        <w:tc>
          <w:tcPr>
            <w:tcW w:w="100"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spacing w:before="0" w:after="283"/>
              <w:jc w:val="right"/>
              <w:rPr/>
            </w:pPr>
            <w:r>
              <w:rPr/>
              <w:t>​</w:t>
            </w:r>
          </w:p>
        </w:tc>
      </w:tr>
    </w:tbl>
    <w:p>
      <w:pPr>
        <w:pStyle w:val="TextBody"/>
        <w:rPr/>
      </w:pPr>
      <w:r>
        <w:rPr>
          <w:color w:val="000000"/>
        </w:rPr>
        <w:commentReference w:id="224"/>
      </w:r>
      <w:r>
        <w:rPr>
          <w:color w:val="000000"/>
        </w:rPr>
        <w:t>​</w:t>
      </w:r>
      <w:r>
        <w:rPr/>
        <w:t xml:space="preserve"> </w:t>
      </w:r>
    </w:p>
    <w:p>
      <w:pPr>
        <w:pStyle w:val="TextBody"/>
        <w:ind w:left="220" w:right="0" w:hanging="220"/>
        <w:rPr>
          <w:rFonts w:ascii="arial" w:hAnsi="arial"/>
          <w:b/>
          <w:sz w:val="20"/>
        </w:rPr>
      </w:pPr>
      <w:r>
        <w:rPr>
          <w:rFonts w:ascii="arial" w:hAnsi="arial"/>
          <w:b/>
          <w:sz w:val="20"/>
        </w:rPr>
        <w:t xml:space="preserve">Outstanding Equity Awards at Fiscal Year-End </w:t>
      </w:r>
    </w:p>
    <w:p>
      <w:pPr>
        <w:pStyle w:val="TextBody"/>
        <w:rPr>
          <w:rFonts w:ascii="arial" w:hAnsi="arial"/>
          <w:sz w:val="20"/>
        </w:rPr>
      </w:pPr>
      <w:r>
        <w:rPr>
          <w:rFonts w:ascii="arial" w:hAnsi="arial"/>
          <w:sz w:val="20"/>
        </w:rPr>
        <w:t xml:space="preserve">The following table provides information regarding outstanding equity awards as of December 31, 2020 for the individuals named in the Summary Compensation Table. </w:t>
      </w:r>
    </w:p>
    <w:tbl>
      <w:tblPr>
        <w:tblW w:w="10402" w:type="dxa"/>
        <w:jc w:val="center"/>
        <w:tblInd w:w="0" w:type="dxa"/>
        <w:tblCellMar>
          <w:top w:w="0" w:type="dxa"/>
          <w:left w:w="0" w:type="dxa"/>
          <w:bottom w:w="0" w:type="dxa"/>
          <w:right w:w="0" w:type="dxa"/>
        </w:tblCellMar>
      </w:tblPr>
      <w:tblGrid>
        <w:gridCol w:w="725"/>
        <w:gridCol w:w="23"/>
        <w:gridCol w:w="248"/>
        <w:gridCol w:w="291"/>
        <w:gridCol w:w="314"/>
        <w:gridCol w:w="251"/>
        <w:gridCol w:w="23"/>
        <w:gridCol w:w="139"/>
        <w:gridCol w:w="302"/>
        <w:gridCol w:w="303"/>
        <w:gridCol w:w="758"/>
        <w:gridCol w:w="23"/>
        <w:gridCol w:w="90"/>
        <w:gridCol w:w="257"/>
        <w:gridCol w:w="258"/>
        <w:gridCol w:w="725"/>
        <w:gridCol w:w="23"/>
        <w:gridCol w:w="26"/>
        <w:gridCol w:w="128"/>
        <w:gridCol w:w="497"/>
        <w:gridCol w:w="29"/>
        <w:gridCol w:w="23"/>
        <w:gridCol w:w="415"/>
        <w:gridCol w:w="415"/>
        <w:gridCol w:w="23"/>
        <w:gridCol w:w="72"/>
        <w:gridCol w:w="257"/>
        <w:gridCol w:w="258"/>
        <w:gridCol w:w="584"/>
        <w:gridCol w:w="23"/>
        <w:gridCol w:w="45"/>
        <w:gridCol w:w="110"/>
        <w:gridCol w:w="605"/>
        <w:gridCol w:w="40"/>
        <w:gridCol w:w="23"/>
        <w:gridCol w:w="80"/>
        <w:gridCol w:w="257"/>
        <w:gridCol w:w="258"/>
        <w:gridCol w:w="650"/>
        <w:gridCol w:w="23"/>
        <w:gridCol w:w="23"/>
        <w:gridCol w:w="113"/>
        <w:gridCol w:w="624"/>
        <w:gridCol w:w="25"/>
        <w:gridCol w:w="23"/>
      </w:tblGrid>
      <w:tr>
        <w:trPr/>
        <w:tc>
          <w:tcPr>
            <w:tcW w:w="725"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6"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29"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4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4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25"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r>
      <w:tr>
        <w:trPr/>
        <w:tc>
          <w:tcPr>
            <w:tcW w:w="725" w:type="dxa"/>
            <w:tcBorders/>
            <w:shd w:fill="auto" w:val="clear"/>
            <w:vAlign w:val="bottom"/>
          </w:tcPr>
          <w:p>
            <w:pPr>
              <w:pStyle w:val="TableHeading"/>
              <w:spacing w:lineRule="atLeast" w:line="180" w:before="0" w:after="283"/>
              <w:jc w:val="left"/>
              <w:rPr/>
            </w:pPr>
            <w:r>
              <w:rPr/>
              <w:t> </w:t>
            </w:r>
          </w:p>
        </w:tc>
        <w:tc>
          <w:tcPr>
            <w:tcW w:w="23" w:type="dxa"/>
            <w:tcBorders/>
            <w:shd w:fill="auto" w:val="clear"/>
            <w:vAlign w:val="bottom"/>
          </w:tcPr>
          <w:p>
            <w:pPr>
              <w:pStyle w:val="TableHeading"/>
              <w:spacing w:lineRule="atLeast" w:line="180" w:before="0" w:after="283"/>
              <w:rPr/>
            </w:pPr>
            <w:r>
              <w:rPr/>
              <w:t>​</w:t>
            </w:r>
          </w:p>
        </w:tc>
        <w:tc>
          <w:tcPr>
            <w:tcW w:w="5538" w:type="dxa"/>
            <w:gridSpan w:val="22"/>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 xml:space="preserve">Option Awards </w:t>
            </w:r>
          </w:p>
        </w:tc>
        <w:tc>
          <w:tcPr>
            <w:tcW w:w="23" w:type="dxa"/>
            <w:tcBorders/>
            <w:shd w:fill="auto" w:val="clear"/>
            <w:vAlign w:val="bottom"/>
          </w:tcPr>
          <w:p>
            <w:pPr>
              <w:pStyle w:val="TableHeading"/>
              <w:spacing w:lineRule="atLeast" w:line="180" w:before="0" w:after="283"/>
              <w:rPr/>
            </w:pPr>
            <w:r>
              <w:rPr/>
              <w:t>​</w:t>
            </w:r>
          </w:p>
        </w:tc>
        <w:tc>
          <w:tcPr>
            <w:tcW w:w="4070" w:type="dxa"/>
            <w:gridSpan w:val="19"/>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Stock Awards</w:t>
            </w:r>
            <w:r>
              <w:rPr>
                <w:rFonts w:ascii="arial" w:hAnsi="arial"/>
                <w:b/>
                <w:sz w:val="12"/>
              </w:rPr>
              <w:t>(6)</w:t>
            </w:r>
            <w:r>
              <w:rPr>
                <w:rFonts w:ascii="arial" w:hAnsi="arial"/>
                <w:b/>
                <w:sz w:val="16"/>
              </w:rPr>
              <w:t xml:space="preserve"> </w:t>
            </w:r>
          </w:p>
        </w:tc>
        <w:tc>
          <w:tcPr>
            <w:tcW w:w="23" w:type="dxa"/>
            <w:tcBorders/>
            <w:shd w:fill="auto" w:val="clear"/>
            <w:vAlign w:val="bottom"/>
          </w:tcPr>
          <w:p>
            <w:pPr>
              <w:pStyle w:val="TableHeading"/>
              <w:spacing w:lineRule="atLeast" w:line="180" w:before="0" w:after="283"/>
              <w:rPr/>
            </w:pPr>
            <w:r>
              <w:rPr/>
              <w:t>​</w:t>
            </w:r>
          </w:p>
        </w:tc>
      </w:tr>
      <w:tr>
        <w:trPr/>
        <w:tc>
          <w:tcPr>
            <w:tcW w:w="725" w:type="dxa"/>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 xml:space="preserve">Name </w:t>
            </w:r>
          </w:p>
        </w:tc>
        <w:tc>
          <w:tcPr>
            <w:tcW w:w="23" w:type="dxa"/>
            <w:tcBorders/>
            <w:shd w:fill="auto" w:val="clear"/>
            <w:vAlign w:val="bottom"/>
          </w:tcPr>
          <w:p>
            <w:pPr>
              <w:pStyle w:val="TableHeading"/>
              <w:spacing w:lineRule="atLeast" w:line="180" w:before="0" w:after="283"/>
              <w:rPr/>
            </w:pPr>
            <w:r>
              <w:rPr/>
              <w:t>​</w:t>
            </w:r>
          </w:p>
        </w:tc>
        <w:tc>
          <w:tcPr>
            <w:tcW w:w="1104" w:type="dxa"/>
            <w:gridSpan w:val="4"/>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Number of</w:t>
              <w:br/>
              <w:t>Securities</w:t>
              <w:br/>
              <w:t>Underlying</w:t>
              <w:br/>
              <w:t>Unexercised</w:t>
              <w:br/>
              <w:t>Options</w:t>
              <w:br/>
              <w:t xml:space="preserve">Exercisable </w:t>
            </w:r>
          </w:p>
        </w:tc>
        <w:tc>
          <w:tcPr>
            <w:tcW w:w="23" w:type="dxa"/>
            <w:tcBorders/>
            <w:shd w:fill="auto" w:val="clear"/>
            <w:vAlign w:val="bottom"/>
          </w:tcPr>
          <w:p>
            <w:pPr>
              <w:pStyle w:val="TableHeading"/>
              <w:spacing w:lineRule="atLeast" w:line="180" w:before="0" w:after="283"/>
              <w:rPr/>
            </w:pPr>
            <w:r>
              <w:rPr/>
              <w:t>​</w:t>
            </w:r>
          </w:p>
        </w:tc>
        <w:tc>
          <w:tcPr>
            <w:tcW w:w="1502" w:type="dxa"/>
            <w:gridSpan w:val="4"/>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Number of</w:t>
              <w:br/>
              <w:t>Securities</w:t>
              <w:br/>
              <w:t>Underlying</w:t>
              <w:br/>
              <w:t>Unexercised</w:t>
              <w:br/>
              <w:t>Options</w:t>
              <w:br/>
              <w:t>Unexercisable</w:t>
            </w:r>
            <w:r>
              <w:rPr>
                <w:rFonts w:ascii="arial" w:hAnsi="arial"/>
                <w:b/>
                <w:sz w:val="12"/>
              </w:rPr>
              <w:t>(1)</w:t>
            </w:r>
            <w:r>
              <w:rPr>
                <w:rFonts w:ascii="arial" w:hAnsi="arial"/>
                <w:b/>
                <w:sz w:val="16"/>
              </w:rPr>
              <w:t xml:space="preserve"> </w:t>
            </w:r>
          </w:p>
        </w:tc>
        <w:tc>
          <w:tcPr>
            <w:tcW w:w="23" w:type="dxa"/>
            <w:tcBorders/>
            <w:shd w:fill="auto" w:val="clear"/>
            <w:vAlign w:val="bottom"/>
          </w:tcPr>
          <w:p>
            <w:pPr>
              <w:pStyle w:val="TableHeading"/>
              <w:spacing w:lineRule="atLeast" w:line="180" w:before="0" w:after="283"/>
              <w:rPr/>
            </w:pPr>
            <w:r>
              <w:rPr/>
              <w:t>​</w:t>
            </w:r>
          </w:p>
        </w:tc>
        <w:tc>
          <w:tcPr>
            <w:tcW w:w="1330" w:type="dxa"/>
            <w:gridSpan w:val="4"/>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Equity</w:t>
              <w:br/>
              <w:t>Incentive</w:t>
              <w:br/>
              <w:t>Plan Awards:</w:t>
              <w:br/>
              <w:t>Number of</w:t>
              <w:br/>
              <w:t>Securities</w:t>
              <w:br/>
              <w:t>Underlying</w:t>
              <w:br/>
              <w:t>Unexercised</w:t>
              <w:br/>
              <w:t>Unearned</w:t>
              <w:br/>
              <w:t>Options</w:t>
            </w:r>
            <w:r>
              <w:rPr>
                <w:rFonts w:ascii="arial" w:hAnsi="arial"/>
                <w:b/>
                <w:sz w:val="12"/>
              </w:rPr>
              <w:t>(2)</w:t>
            </w:r>
            <w:r>
              <w:rPr>
                <w:rFonts w:ascii="arial" w:hAnsi="arial"/>
                <w:b/>
                <w:sz w:val="16"/>
              </w:rPr>
              <w:t xml:space="preserve"> </w:t>
            </w:r>
          </w:p>
        </w:tc>
        <w:tc>
          <w:tcPr>
            <w:tcW w:w="23" w:type="dxa"/>
            <w:tcBorders/>
            <w:shd w:fill="auto" w:val="clear"/>
            <w:vAlign w:val="bottom"/>
          </w:tcPr>
          <w:p>
            <w:pPr>
              <w:pStyle w:val="TableHeading"/>
              <w:spacing w:lineRule="atLeast" w:line="180" w:before="0" w:after="283"/>
              <w:rPr/>
            </w:pPr>
            <w:r>
              <w:rPr/>
              <w:t>​</w:t>
            </w:r>
          </w:p>
        </w:tc>
        <w:tc>
          <w:tcPr>
            <w:tcW w:w="680" w:type="dxa"/>
            <w:gridSpan w:val="4"/>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Option</w:t>
              <w:br/>
              <w:t>Exercise</w:t>
              <w:br/>
              <w:t>Price</w:t>
            </w:r>
            <w:r>
              <w:rPr>
                <w:rFonts w:ascii="arial" w:hAnsi="arial"/>
                <w:b/>
                <w:sz w:val="12"/>
              </w:rPr>
              <w:t>(3)</w:t>
            </w:r>
            <w:r>
              <w:rPr>
                <w:rFonts w:ascii="arial" w:hAnsi="arial"/>
                <w:b/>
                <w:sz w:val="16"/>
              </w:rPr>
              <w:t xml:space="preserve"> </w:t>
            </w:r>
          </w:p>
        </w:tc>
        <w:tc>
          <w:tcPr>
            <w:tcW w:w="23" w:type="dxa"/>
            <w:tcBorders/>
            <w:shd w:fill="auto" w:val="clear"/>
            <w:vAlign w:val="bottom"/>
          </w:tcPr>
          <w:p>
            <w:pPr>
              <w:pStyle w:val="TableHeading"/>
              <w:spacing w:lineRule="atLeast" w:line="180" w:before="0" w:after="283"/>
              <w:rPr/>
            </w:pPr>
            <w:r>
              <w:rPr/>
              <w:t>​</w:t>
            </w:r>
          </w:p>
        </w:tc>
        <w:tc>
          <w:tcPr>
            <w:tcW w:w="830" w:type="dxa"/>
            <w:gridSpan w:val="2"/>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Option</w:t>
              <w:br/>
              <w:t>Expiration</w:t>
              <w:br/>
              <w:t xml:space="preserve">Date </w:t>
            </w:r>
          </w:p>
        </w:tc>
        <w:tc>
          <w:tcPr>
            <w:tcW w:w="23" w:type="dxa"/>
            <w:tcBorders/>
            <w:shd w:fill="auto" w:val="clear"/>
            <w:vAlign w:val="bottom"/>
          </w:tcPr>
          <w:p>
            <w:pPr>
              <w:pStyle w:val="TableHeading"/>
              <w:spacing w:lineRule="atLeast" w:line="180" w:before="0" w:after="283"/>
              <w:rPr/>
            </w:pPr>
            <w:r>
              <w:rPr/>
              <w:t>​</w:t>
            </w:r>
          </w:p>
        </w:tc>
        <w:tc>
          <w:tcPr>
            <w:tcW w:w="1171" w:type="dxa"/>
            <w:gridSpan w:val="4"/>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Number of</w:t>
              <w:br/>
              <w:t>Securities</w:t>
              <w:br/>
              <w:t>That Have</w:t>
              <w:br/>
              <w:t>Not Vested</w:t>
            </w:r>
            <w:r>
              <w:rPr>
                <w:rFonts w:ascii="arial" w:hAnsi="arial"/>
                <w:b/>
                <w:sz w:val="12"/>
              </w:rPr>
              <w:t>(4)</w:t>
            </w:r>
            <w:r>
              <w:rPr>
                <w:rFonts w:ascii="arial" w:hAnsi="arial"/>
                <w:b/>
                <w:sz w:val="16"/>
              </w:rPr>
              <w:t xml:space="preserve"> </w:t>
            </w:r>
          </w:p>
        </w:tc>
        <w:tc>
          <w:tcPr>
            <w:tcW w:w="23" w:type="dxa"/>
            <w:tcBorders/>
            <w:shd w:fill="auto" w:val="clear"/>
            <w:vAlign w:val="bottom"/>
          </w:tcPr>
          <w:p>
            <w:pPr>
              <w:pStyle w:val="TableHeading"/>
              <w:spacing w:lineRule="atLeast" w:line="180" w:before="0" w:after="283"/>
              <w:rPr/>
            </w:pPr>
            <w:r>
              <w:rPr/>
              <w:t>​</w:t>
            </w:r>
          </w:p>
        </w:tc>
        <w:tc>
          <w:tcPr>
            <w:tcW w:w="800" w:type="dxa"/>
            <w:gridSpan w:val="4"/>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Market</w:t>
              <w:br/>
              <w:t>Value of</w:t>
              <w:br/>
              <w:t>Securities</w:t>
              <w:br/>
              <w:t>That Have</w:t>
              <w:br/>
              <w:t xml:space="preserve">Not Vested </w:t>
            </w:r>
          </w:p>
        </w:tc>
        <w:tc>
          <w:tcPr>
            <w:tcW w:w="23" w:type="dxa"/>
            <w:tcBorders/>
            <w:shd w:fill="auto" w:val="clear"/>
            <w:vAlign w:val="bottom"/>
          </w:tcPr>
          <w:p>
            <w:pPr>
              <w:pStyle w:val="TableHeading"/>
              <w:spacing w:lineRule="atLeast" w:line="180" w:before="0" w:after="283"/>
              <w:rPr/>
            </w:pPr>
            <w:r>
              <w:rPr/>
              <w:t>​</w:t>
            </w:r>
          </w:p>
        </w:tc>
        <w:tc>
          <w:tcPr>
            <w:tcW w:w="1245" w:type="dxa"/>
            <w:gridSpan w:val="4"/>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Equity</w:t>
              <w:br/>
              <w:t>Incentive</w:t>
              <w:br/>
              <w:t>Plan Awards:</w:t>
              <w:br/>
              <w:t>Number</w:t>
              <w:br/>
              <w:t>of</w:t>
              <w:br/>
              <w:t>Securities</w:t>
              <w:br/>
              <w:t>Underlying</w:t>
              <w:br/>
              <w:t>Unearned</w:t>
              <w:br/>
              <w:t>Shares</w:t>
            </w:r>
            <w:r>
              <w:rPr>
                <w:rFonts w:ascii="arial" w:hAnsi="arial"/>
                <w:b/>
                <w:sz w:val="12"/>
              </w:rPr>
              <w:t>(5)</w:t>
            </w:r>
            <w:r>
              <w:rPr>
                <w:rFonts w:ascii="arial" w:hAnsi="arial"/>
                <w:b/>
                <w:sz w:val="16"/>
              </w:rPr>
              <w:t xml:space="preserve"> </w:t>
            </w:r>
          </w:p>
        </w:tc>
        <w:tc>
          <w:tcPr>
            <w:tcW w:w="23" w:type="dxa"/>
            <w:tcBorders/>
            <w:shd w:fill="auto" w:val="clear"/>
            <w:vAlign w:val="bottom"/>
          </w:tcPr>
          <w:p>
            <w:pPr>
              <w:pStyle w:val="TableHeading"/>
              <w:spacing w:lineRule="atLeast" w:line="180" w:before="0" w:after="283"/>
              <w:rPr/>
            </w:pPr>
            <w:r>
              <w:rPr/>
              <w:t>​</w:t>
            </w:r>
          </w:p>
        </w:tc>
        <w:tc>
          <w:tcPr>
            <w:tcW w:w="785" w:type="dxa"/>
            <w:gridSpan w:val="4"/>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Market</w:t>
              <w:br/>
              <w:t>Value of</w:t>
              <w:br/>
              <w:t>Unearned</w:t>
              <w:br/>
              <w:t>Shares</w:t>
              <w:br/>
              <w:t>That</w:t>
              <w:br/>
              <w:t>Have</w:t>
              <w:br/>
              <w:t>Not</w:t>
              <w:br/>
              <w:t xml:space="preserve">Vested </w:t>
            </w:r>
          </w:p>
        </w:tc>
        <w:tc>
          <w:tcPr>
            <w:tcW w:w="23" w:type="dxa"/>
            <w:tcBorders/>
            <w:shd w:fill="auto" w:val="clear"/>
            <w:vAlign w:val="bottom"/>
          </w:tcPr>
          <w:p>
            <w:pPr>
              <w:pStyle w:val="TableHeading"/>
              <w:spacing w:lineRule="atLeast" w:line="180" w:before="0" w:after="283"/>
              <w:rPr/>
            </w:pPr>
            <w:r>
              <w:rPr/>
              <w:t>​</w:t>
            </w:r>
          </w:p>
        </w:tc>
      </w:tr>
      <w:tr>
        <w:trPr/>
        <w:tc>
          <w:tcPr>
            <w:tcW w:w="725" w:type="dxa"/>
            <w:tcBorders/>
            <w:shd w:fill="CCEEFF" w:val="clear"/>
            <w:vAlign w:val="bottom"/>
          </w:tcPr>
          <w:p>
            <w:pPr>
              <w:pStyle w:val="TableContents"/>
              <w:spacing w:lineRule="atLeast" w:line="180" w:before="0" w:after="283"/>
              <w:rPr>
                <w:rFonts w:ascii="arial" w:hAnsi="arial"/>
                <w:sz w:val="16"/>
              </w:rPr>
            </w:pPr>
            <w:r>
              <w:rPr>
                <w:rFonts w:ascii="arial" w:hAnsi="arial"/>
                <w:sz w:val="16"/>
              </w:rPr>
              <w:t>William B. Shepro</w:t>
            </w:r>
          </w:p>
        </w:tc>
        <w:tc>
          <w:tcPr>
            <w:tcW w:w="23" w:type="dxa"/>
            <w:tcBorders/>
            <w:shd w:fill="CCEEFF" w:val="clear"/>
            <w:vAlign w:val="bottom"/>
          </w:tcPr>
          <w:p>
            <w:pPr>
              <w:pStyle w:val="TableContents"/>
              <w:spacing w:lineRule="atLeast" w:line="180" w:before="0" w:after="283"/>
              <w:rPr/>
            </w:pPr>
            <w:r>
              <w:rPr/>
              <w:t>​</w:t>
            </w:r>
          </w:p>
        </w:tc>
        <w:tc>
          <w:tcPr>
            <w:tcW w:w="248"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52,400</w:t>
            </w:r>
          </w:p>
        </w:tc>
        <w:tc>
          <w:tcPr>
            <w:tcW w:w="251"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39"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6" w:type="dxa"/>
            <w:tcBorders/>
            <w:shd w:fill="CCEEFF" w:val="clear"/>
            <w:vAlign w:val="bottom"/>
          </w:tcPr>
          <w:p>
            <w:pPr>
              <w:pStyle w:val="TableContents"/>
              <w:spacing w:lineRule="atLeast" w:line="180" w:before="0" w:after="283"/>
              <w:rPr/>
            </w:pPr>
            <w:r>
              <w:rPr/>
              <w:t>​</w:t>
            </w:r>
          </w:p>
        </w:tc>
        <w:tc>
          <w:tcPr>
            <w:tcW w:w="128" w:type="dxa"/>
            <w:tcBorders/>
            <w:shd w:fill="CCEEFF" w:val="clear"/>
            <w:vAlign w:val="bottom"/>
          </w:tcPr>
          <w:p>
            <w:pPr>
              <w:pStyle w:val="TableContents"/>
              <w:spacing w:lineRule="atLeast" w:line="180" w:before="0" w:after="283"/>
              <w:rPr>
                <w:rFonts w:ascii="arial" w:hAnsi="arial"/>
                <w:sz w:val="16"/>
              </w:rPr>
            </w:pPr>
            <w:r>
              <w:rPr>
                <w:rFonts w:ascii="arial" w:hAnsi="arial"/>
                <w:sz w:val="16"/>
              </w:rPr>
              <w:t>$</w:t>
            </w:r>
          </w:p>
        </w:tc>
        <w:tc>
          <w:tcPr>
            <w:tcW w:w="497" w:type="dxa"/>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18.79</w:t>
            </w:r>
          </w:p>
        </w:tc>
        <w:tc>
          <w:tcPr>
            <w:tcW w:w="29"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4/15/2025</w:t>
            </w:r>
          </w:p>
        </w:tc>
        <w:tc>
          <w:tcPr>
            <w:tcW w:w="23" w:type="dxa"/>
            <w:tcBorders/>
            <w:shd w:fill="CCEEFF" w:val="clear"/>
            <w:vAlign w:val="bottom"/>
          </w:tcPr>
          <w:p>
            <w:pPr>
              <w:pStyle w:val="TableContents"/>
              <w:spacing w:lineRule="atLeast" w:line="180" w:before="0" w:after="283"/>
              <w:rPr/>
            </w:pPr>
            <w:r>
              <w:rPr/>
              <w:t>​</w:t>
            </w:r>
          </w:p>
        </w:tc>
        <w:tc>
          <w:tcPr>
            <w:tcW w:w="72"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584"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45" w:type="dxa"/>
            <w:tcBorders/>
            <w:shd w:fill="CCEEFF" w:val="clear"/>
            <w:vAlign w:val="bottom"/>
          </w:tcPr>
          <w:p>
            <w:pPr>
              <w:pStyle w:val="TableContents"/>
              <w:spacing w:lineRule="atLeast" w:line="180" w:before="0" w:after="283"/>
              <w:rPr/>
            </w:pPr>
            <w:r>
              <w:rPr/>
              <w:t>​</w:t>
            </w:r>
          </w:p>
        </w:tc>
        <w:tc>
          <w:tcPr>
            <w:tcW w:w="7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4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65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737"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r>
      <w:tr>
        <w:trPr/>
        <w:tc>
          <w:tcPr>
            <w:tcW w:w="725" w:type="dxa"/>
            <w:tcBorders/>
            <w:shd w:fill="CCEEFF" w:val="clear"/>
            <w:vAlign w:val="bottom"/>
          </w:tcPr>
          <w:p>
            <w:pPr>
              <w:pStyle w:val="TableContents"/>
              <w:spacing w:lineRule="atLeast" w:line="180" w:before="0" w:after="283"/>
              <w:rPr/>
            </w:pPr>
            <w:r>
              <w:rPr/>
              <w:t> </w:t>
            </w:r>
          </w:p>
        </w:tc>
        <w:tc>
          <w:tcPr>
            <w:tcW w:w="23" w:type="dxa"/>
            <w:tcBorders/>
            <w:shd w:fill="CCEEFF" w:val="clear"/>
            <w:vAlign w:val="bottom"/>
          </w:tcPr>
          <w:p>
            <w:pPr>
              <w:pStyle w:val="TableContents"/>
              <w:spacing w:lineRule="atLeast" w:line="180" w:before="0" w:after="283"/>
              <w:rPr/>
            </w:pPr>
            <w:r>
              <w:rPr/>
              <w:t>​</w:t>
            </w:r>
          </w:p>
        </w:tc>
        <w:tc>
          <w:tcPr>
            <w:tcW w:w="248"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1"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39"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20,303</w:t>
            </w:r>
          </w:p>
        </w:tc>
        <w:tc>
          <w:tcPr>
            <w:tcW w:w="725" w:type="dxa"/>
            <w:tcBorders/>
            <w:shd w:fill="CCEEFF" w:val="clear"/>
            <w:vAlign w:val="bottom"/>
          </w:tcPr>
          <w:p>
            <w:pPr>
              <w:pStyle w:val="TableContents"/>
              <w:spacing w:lineRule="atLeast" w:line="180" w:before="0" w:after="283"/>
              <w:rPr>
                <w:rFonts w:ascii="arial" w:hAnsi="arial"/>
                <w:sz w:val="12"/>
              </w:rPr>
            </w:pPr>
            <w:r>
              <w:rPr>
                <w:rFonts w:ascii="arial" w:hAnsi="arial"/>
                <w:sz w:val="12"/>
              </w:rPr>
              <w:t>(7)</w:t>
            </w:r>
          </w:p>
        </w:tc>
        <w:tc>
          <w:tcPr>
            <w:tcW w:w="23" w:type="dxa"/>
            <w:tcBorders/>
            <w:shd w:fill="CCEEFF" w:val="clear"/>
            <w:vAlign w:val="bottom"/>
          </w:tcPr>
          <w:p>
            <w:pPr>
              <w:pStyle w:val="TableContents"/>
              <w:spacing w:lineRule="atLeast" w:line="180" w:before="0" w:after="283"/>
              <w:rPr/>
            </w:pPr>
            <w:r>
              <w:rPr/>
              <w:t>​</w:t>
            </w:r>
          </w:p>
        </w:tc>
        <w:tc>
          <w:tcPr>
            <w:tcW w:w="26" w:type="dxa"/>
            <w:tcBorders/>
            <w:shd w:fill="CCEEFF" w:val="clear"/>
            <w:vAlign w:val="bottom"/>
          </w:tcPr>
          <w:p>
            <w:pPr>
              <w:pStyle w:val="TableContents"/>
              <w:spacing w:lineRule="atLeast" w:line="180" w:before="0" w:after="283"/>
              <w:rPr/>
            </w:pPr>
            <w:r>
              <w:rPr/>
              <w:t>​</w:t>
            </w:r>
          </w:p>
        </w:tc>
        <w:tc>
          <w:tcPr>
            <w:tcW w:w="128" w:type="dxa"/>
            <w:tcBorders/>
            <w:shd w:fill="CCEEFF" w:val="clear"/>
            <w:vAlign w:val="bottom"/>
          </w:tcPr>
          <w:p>
            <w:pPr>
              <w:pStyle w:val="TableContents"/>
              <w:spacing w:lineRule="atLeast" w:line="180" w:before="0" w:after="283"/>
              <w:rPr>
                <w:rFonts w:ascii="arial" w:hAnsi="arial"/>
                <w:sz w:val="16"/>
              </w:rPr>
            </w:pPr>
            <w:r>
              <w:rPr>
                <w:rFonts w:ascii="arial" w:hAnsi="arial"/>
                <w:sz w:val="16"/>
              </w:rPr>
              <w:t>$</w:t>
            </w:r>
          </w:p>
        </w:tc>
        <w:tc>
          <w:tcPr>
            <w:tcW w:w="497" w:type="dxa"/>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39.13</w:t>
            </w:r>
          </w:p>
        </w:tc>
        <w:tc>
          <w:tcPr>
            <w:tcW w:w="29"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4/07/2027</w:t>
            </w:r>
          </w:p>
        </w:tc>
        <w:tc>
          <w:tcPr>
            <w:tcW w:w="23" w:type="dxa"/>
            <w:tcBorders/>
            <w:shd w:fill="CCEEFF" w:val="clear"/>
            <w:vAlign w:val="bottom"/>
          </w:tcPr>
          <w:p>
            <w:pPr>
              <w:pStyle w:val="TableContents"/>
              <w:spacing w:lineRule="atLeast" w:line="180" w:before="0" w:after="283"/>
              <w:rPr/>
            </w:pPr>
            <w:r>
              <w:rPr/>
              <w:t>​</w:t>
            </w:r>
          </w:p>
        </w:tc>
        <w:tc>
          <w:tcPr>
            <w:tcW w:w="72"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584"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45" w:type="dxa"/>
            <w:tcBorders/>
            <w:shd w:fill="CCEEFF" w:val="clear"/>
            <w:vAlign w:val="bottom"/>
          </w:tcPr>
          <w:p>
            <w:pPr>
              <w:pStyle w:val="TableContents"/>
              <w:spacing w:lineRule="atLeast" w:line="180" w:before="0" w:after="283"/>
              <w:rPr/>
            </w:pPr>
            <w:r>
              <w:rPr/>
              <w:t>​</w:t>
            </w:r>
          </w:p>
        </w:tc>
        <w:tc>
          <w:tcPr>
            <w:tcW w:w="7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4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65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737"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r>
      <w:tr>
        <w:trPr/>
        <w:tc>
          <w:tcPr>
            <w:tcW w:w="725" w:type="dxa"/>
            <w:tcBorders/>
            <w:shd w:fill="CCEEFF" w:val="clear"/>
            <w:vAlign w:val="bottom"/>
          </w:tcPr>
          <w:p>
            <w:pPr>
              <w:pStyle w:val="TableContents"/>
              <w:spacing w:lineRule="atLeast" w:line="180" w:before="0" w:after="283"/>
              <w:rPr/>
            </w:pPr>
            <w:r>
              <w:rPr/>
              <w:t> </w:t>
            </w:r>
          </w:p>
        </w:tc>
        <w:tc>
          <w:tcPr>
            <w:tcW w:w="23" w:type="dxa"/>
            <w:tcBorders/>
            <w:shd w:fill="CCEEFF" w:val="clear"/>
            <w:vAlign w:val="bottom"/>
          </w:tcPr>
          <w:p>
            <w:pPr>
              <w:pStyle w:val="TableContents"/>
              <w:spacing w:lineRule="atLeast" w:line="180" w:before="0" w:after="283"/>
              <w:rPr/>
            </w:pPr>
            <w:r>
              <w:rPr/>
              <w:t>​</w:t>
            </w:r>
          </w:p>
        </w:tc>
        <w:tc>
          <w:tcPr>
            <w:tcW w:w="248"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100,000</w:t>
            </w:r>
          </w:p>
        </w:tc>
        <w:tc>
          <w:tcPr>
            <w:tcW w:w="251"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39"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100,000</w:t>
            </w:r>
          </w:p>
        </w:tc>
        <w:tc>
          <w:tcPr>
            <w:tcW w:w="758" w:type="dxa"/>
            <w:tcBorders/>
            <w:shd w:fill="CCEEFF" w:val="clear"/>
            <w:vAlign w:val="bottom"/>
          </w:tcPr>
          <w:p>
            <w:pPr>
              <w:pStyle w:val="TableContents"/>
              <w:spacing w:lineRule="atLeast" w:line="180" w:before="0" w:after="283"/>
              <w:rPr>
                <w:rFonts w:ascii="arial" w:hAnsi="arial"/>
                <w:sz w:val="12"/>
              </w:rPr>
            </w:pPr>
            <w:r>
              <w:rPr>
                <w:rFonts w:ascii="arial" w:hAnsi="arial"/>
                <w:sz w:val="12"/>
              </w:rPr>
              <w:t>(8)</w:t>
            </w:r>
          </w:p>
        </w:tc>
        <w:tc>
          <w:tcPr>
            <w:tcW w:w="23"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6" w:type="dxa"/>
            <w:tcBorders/>
            <w:shd w:fill="CCEEFF" w:val="clear"/>
            <w:vAlign w:val="bottom"/>
          </w:tcPr>
          <w:p>
            <w:pPr>
              <w:pStyle w:val="TableContents"/>
              <w:spacing w:lineRule="atLeast" w:line="180" w:before="0" w:after="283"/>
              <w:rPr/>
            </w:pPr>
            <w:r>
              <w:rPr/>
              <w:t>​</w:t>
            </w:r>
          </w:p>
        </w:tc>
        <w:tc>
          <w:tcPr>
            <w:tcW w:w="128" w:type="dxa"/>
            <w:tcBorders/>
            <w:shd w:fill="CCEEFF" w:val="clear"/>
            <w:vAlign w:val="bottom"/>
          </w:tcPr>
          <w:p>
            <w:pPr>
              <w:pStyle w:val="TableContents"/>
              <w:spacing w:lineRule="atLeast" w:line="180" w:before="0" w:after="283"/>
              <w:rPr>
                <w:rFonts w:ascii="arial" w:hAnsi="arial"/>
                <w:sz w:val="16"/>
              </w:rPr>
            </w:pPr>
            <w:r>
              <w:rPr>
                <w:rFonts w:ascii="arial" w:hAnsi="arial"/>
                <w:sz w:val="16"/>
              </w:rPr>
              <w:t>$</w:t>
            </w:r>
          </w:p>
        </w:tc>
        <w:tc>
          <w:tcPr>
            <w:tcW w:w="497" w:type="dxa"/>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24.82</w:t>
            </w:r>
          </w:p>
        </w:tc>
        <w:tc>
          <w:tcPr>
            <w:tcW w:w="29"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2/12/2028</w:t>
            </w:r>
          </w:p>
        </w:tc>
        <w:tc>
          <w:tcPr>
            <w:tcW w:w="23" w:type="dxa"/>
            <w:tcBorders/>
            <w:shd w:fill="CCEEFF" w:val="clear"/>
            <w:vAlign w:val="bottom"/>
          </w:tcPr>
          <w:p>
            <w:pPr>
              <w:pStyle w:val="TableContents"/>
              <w:spacing w:lineRule="atLeast" w:line="180" w:before="0" w:after="283"/>
              <w:rPr/>
            </w:pPr>
            <w:r>
              <w:rPr/>
              <w:t>​</w:t>
            </w:r>
          </w:p>
        </w:tc>
        <w:tc>
          <w:tcPr>
            <w:tcW w:w="72"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584"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45" w:type="dxa"/>
            <w:tcBorders/>
            <w:shd w:fill="CCEEFF" w:val="clear"/>
            <w:vAlign w:val="bottom"/>
          </w:tcPr>
          <w:p>
            <w:pPr>
              <w:pStyle w:val="TableContents"/>
              <w:spacing w:lineRule="atLeast" w:line="180" w:before="0" w:after="283"/>
              <w:rPr/>
            </w:pPr>
            <w:r>
              <w:rPr/>
              <w:t>​</w:t>
            </w:r>
          </w:p>
        </w:tc>
        <w:tc>
          <w:tcPr>
            <w:tcW w:w="7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4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65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737"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r>
      <w:tr>
        <w:trPr/>
        <w:tc>
          <w:tcPr>
            <w:tcW w:w="725" w:type="dxa"/>
            <w:tcBorders/>
            <w:shd w:fill="CCEEFF" w:val="clear"/>
            <w:vAlign w:val="bottom"/>
          </w:tcPr>
          <w:p>
            <w:pPr>
              <w:pStyle w:val="TableContents"/>
              <w:spacing w:lineRule="atLeast" w:line="180" w:before="0" w:after="283"/>
              <w:rPr/>
            </w:pPr>
            <w:r>
              <w:rPr/>
              <w:t> </w:t>
            </w:r>
          </w:p>
        </w:tc>
        <w:tc>
          <w:tcPr>
            <w:tcW w:w="23" w:type="dxa"/>
            <w:tcBorders/>
            <w:shd w:fill="CCEEFF" w:val="clear"/>
            <w:vAlign w:val="bottom"/>
          </w:tcPr>
          <w:p>
            <w:pPr>
              <w:pStyle w:val="TableContents"/>
              <w:spacing w:lineRule="atLeast" w:line="180" w:before="0" w:after="283"/>
              <w:rPr/>
            </w:pPr>
            <w:r>
              <w:rPr/>
              <w:t>​</w:t>
            </w:r>
          </w:p>
        </w:tc>
        <w:tc>
          <w:tcPr>
            <w:tcW w:w="248"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1"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39"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6" w:type="dxa"/>
            <w:tcBorders/>
            <w:shd w:fill="CCEEFF" w:val="clear"/>
            <w:vAlign w:val="bottom"/>
          </w:tcPr>
          <w:p>
            <w:pPr>
              <w:pStyle w:val="TableContents"/>
              <w:spacing w:lineRule="atLeast" w:line="180" w:before="0" w:after="283"/>
              <w:rPr/>
            </w:pPr>
            <w:r>
              <w:rPr/>
              <w:t>​</w:t>
            </w:r>
          </w:p>
        </w:tc>
        <w:tc>
          <w:tcPr>
            <w:tcW w:w="62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9"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3" w:type="dxa"/>
            <w:tcBorders/>
            <w:shd w:fill="CCEEFF" w:val="clear"/>
            <w:vAlign w:val="bottom"/>
          </w:tcPr>
          <w:p>
            <w:pPr>
              <w:pStyle w:val="TableContents"/>
              <w:spacing w:lineRule="atLeast" w:line="180" w:before="0" w:after="283"/>
              <w:rPr/>
            </w:pPr>
            <w:r>
              <w:rPr/>
              <w:t>​</w:t>
            </w:r>
          </w:p>
        </w:tc>
        <w:tc>
          <w:tcPr>
            <w:tcW w:w="72"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50,000</w:t>
            </w:r>
          </w:p>
        </w:tc>
        <w:tc>
          <w:tcPr>
            <w:tcW w:w="584" w:type="dxa"/>
            <w:tcBorders/>
            <w:shd w:fill="CCEEFF" w:val="clear"/>
            <w:vAlign w:val="bottom"/>
          </w:tcPr>
          <w:p>
            <w:pPr>
              <w:pStyle w:val="TableContents"/>
              <w:spacing w:lineRule="atLeast" w:line="180" w:before="0" w:after="283"/>
              <w:rPr>
                <w:rFonts w:ascii="arial" w:hAnsi="arial"/>
                <w:sz w:val="12"/>
              </w:rPr>
            </w:pPr>
            <w:r>
              <w:rPr>
                <w:rFonts w:ascii="arial" w:hAnsi="arial"/>
                <w:sz w:val="12"/>
              </w:rPr>
              <w:t>(9)</w:t>
            </w:r>
          </w:p>
        </w:tc>
        <w:tc>
          <w:tcPr>
            <w:tcW w:w="23" w:type="dxa"/>
            <w:tcBorders/>
            <w:shd w:fill="CCEEFF" w:val="clear"/>
            <w:vAlign w:val="bottom"/>
          </w:tcPr>
          <w:p>
            <w:pPr>
              <w:pStyle w:val="TableContents"/>
              <w:spacing w:lineRule="atLeast" w:line="180" w:before="0" w:after="283"/>
              <w:rPr/>
            </w:pPr>
            <w:r>
              <w:rPr/>
              <w:t>​</w:t>
            </w:r>
          </w:p>
        </w:tc>
        <w:tc>
          <w:tcPr>
            <w:tcW w:w="45" w:type="dxa"/>
            <w:tcBorders/>
            <w:shd w:fill="CCEEFF" w:val="clear"/>
            <w:vAlign w:val="bottom"/>
          </w:tcPr>
          <w:p>
            <w:pPr>
              <w:pStyle w:val="TableContents"/>
              <w:spacing w:lineRule="atLeast" w:line="180" w:before="0" w:after="283"/>
              <w:rPr/>
            </w:pPr>
            <w:r>
              <w:rPr/>
              <w:t>​</w:t>
            </w:r>
          </w:p>
        </w:tc>
        <w:tc>
          <w:tcPr>
            <w:tcW w:w="110" w:type="dxa"/>
            <w:tcBorders/>
            <w:shd w:fill="CCEEFF" w:val="clear"/>
            <w:vAlign w:val="bottom"/>
          </w:tcPr>
          <w:p>
            <w:pPr>
              <w:pStyle w:val="TableContents"/>
              <w:spacing w:lineRule="atLeast" w:line="180" w:before="0" w:after="283"/>
              <w:rPr>
                <w:rFonts w:ascii="arial" w:hAnsi="arial"/>
                <w:sz w:val="16"/>
              </w:rPr>
            </w:pPr>
            <w:r>
              <w:rPr>
                <w:rFonts w:ascii="arial" w:hAnsi="arial"/>
                <w:sz w:val="16"/>
              </w:rPr>
              <w:t>$</w:t>
            </w:r>
          </w:p>
        </w:tc>
        <w:tc>
          <w:tcPr>
            <w:tcW w:w="605" w:type="dxa"/>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644,000</w:t>
            </w:r>
          </w:p>
        </w:tc>
        <w:tc>
          <w:tcPr>
            <w:tcW w:w="4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65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737"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r>
      <w:tr>
        <w:trPr/>
        <w:tc>
          <w:tcPr>
            <w:tcW w:w="725" w:type="dxa"/>
            <w:tcBorders/>
            <w:shd w:fill="CCEEFF" w:val="clear"/>
            <w:vAlign w:val="bottom"/>
          </w:tcPr>
          <w:p>
            <w:pPr>
              <w:pStyle w:val="TableContents"/>
              <w:spacing w:lineRule="atLeast" w:line="180" w:before="0" w:after="283"/>
              <w:rPr/>
            </w:pPr>
            <w:r>
              <w:rPr/>
              <w:t> </w:t>
            </w:r>
          </w:p>
        </w:tc>
        <w:tc>
          <w:tcPr>
            <w:tcW w:w="23" w:type="dxa"/>
            <w:tcBorders/>
            <w:shd w:fill="CCEEFF" w:val="clear"/>
            <w:vAlign w:val="bottom"/>
          </w:tcPr>
          <w:p>
            <w:pPr>
              <w:pStyle w:val="TableContents"/>
              <w:spacing w:lineRule="atLeast" w:line="180" w:before="0" w:after="283"/>
              <w:rPr/>
            </w:pPr>
            <w:r>
              <w:rPr/>
              <w:t>​</w:t>
            </w:r>
          </w:p>
        </w:tc>
        <w:tc>
          <w:tcPr>
            <w:tcW w:w="248"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1"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39"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6" w:type="dxa"/>
            <w:tcBorders/>
            <w:shd w:fill="CCEEFF" w:val="clear"/>
            <w:vAlign w:val="bottom"/>
          </w:tcPr>
          <w:p>
            <w:pPr>
              <w:pStyle w:val="TableContents"/>
              <w:spacing w:lineRule="atLeast" w:line="180" w:before="0" w:after="283"/>
              <w:rPr/>
            </w:pPr>
            <w:r>
              <w:rPr/>
              <w:t>​</w:t>
            </w:r>
          </w:p>
        </w:tc>
        <w:tc>
          <w:tcPr>
            <w:tcW w:w="62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9"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3" w:type="dxa"/>
            <w:tcBorders/>
            <w:shd w:fill="CCEEFF" w:val="clear"/>
            <w:vAlign w:val="bottom"/>
          </w:tcPr>
          <w:p>
            <w:pPr>
              <w:pStyle w:val="TableContents"/>
              <w:spacing w:lineRule="atLeast" w:line="180" w:before="0" w:after="283"/>
              <w:rPr/>
            </w:pPr>
            <w:r>
              <w:rPr/>
              <w:t>​</w:t>
            </w:r>
          </w:p>
        </w:tc>
        <w:tc>
          <w:tcPr>
            <w:tcW w:w="72"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19,220</w:t>
            </w:r>
          </w:p>
        </w:tc>
        <w:tc>
          <w:tcPr>
            <w:tcW w:w="584" w:type="dxa"/>
            <w:tcBorders/>
            <w:shd w:fill="CCEEFF" w:val="clear"/>
            <w:vAlign w:val="bottom"/>
          </w:tcPr>
          <w:p>
            <w:pPr>
              <w:pStyle w:val="TableContents"/>
              <w:spacing w:lineRule="atLeast" w:line="180" w:before="0" w:after="283"/>
              <w:rPr>
                <w:rFonts w:ascii="arial" w:hAnsi="arial"/>
                <w:sz w:val="12"/>
              </w:rPr>
            </w:pPr>
            <w:r>
              <w:rPr>
                <w:rFonts w:ascii="arial" w:hAnsi="arial"/>
                <w:sz w:val="12"/>
              </w:rPr>
              <w:t>(10)</w:t>
            </w:r>
          </w:p>
        </w:tc>
        <w:tc>
          <w:tcPr>
            <w:tcW w:w="23" w:type="dxa"/>
            <w:tcBorders/>
            <w:shd w:fill="CCEEFF" w:val="clear"/>
            <w:vAlign w:val="bottom"/>
          </w:tcPr>
          <w:p>
            <w:pPr>
              <w:pStyle w:val="TableContents"/>
              <w:spacing w:lineRule="atLeast" w:line="180" w:before="0" w:after="283"/>
              <w:rPr/>
            </w:pPr>
            <w:r>
              <w:rPr/>
              <w:t>​</w:t>
            </w:r>
          </w:p>
        </w:tc>
        <w:tc>
          <w:tcPr>
            <w:tcW w:w="45" w:type="dxa"/>
            <w:tcBorders/>
            <w:shd w:fill="CCEEFF" w:val="clear"/>
            <w:vAlign w:val="bottom"/>
          </w:tcPr>
          <w:p>
            <w:pPr>
              <w:pStyle w:val="TableContents"/>
              <w:spacing w:lineRule="atLeast" w:line="180" w:before="0" w:after="283"/>
              <w:rPr/>
            </w:pPr>
            <w:r>
              <w:rPr/>
              <w:t>​</w:t>
            </w:r>
          </w:p>
        </w:tc>
        <w:tc>
          <w:tcPr>
            <w:tcW w:w="110" w:type="dxa"/>
            <w:tcBorders/>
            <w:shd w:fill="CCEEFF" w:val="clear"/>
            <w:vAlign w:val="bottom"/>
          </w:tcPr>
          <w:p>
            <w:pPr>
              <w:pStyle w:val="TableContents"/>
              <w:spacing w:lineRule="atLeast" w:line="180" w:before="0" w:after="283"/>
              <w:rPr>
                <w:rFonts w:ascii="arial" w:hAnsi="arial"/>
                <w:sz w:val="16"/>
              </w:rPr>
            </w:pPr>
            <w:r>
              <w:rPr>
                <w:rFonts w:ascii="arial" w:hAnsi="arial"/>
                <w:sz w:val="16"/>
              </w:rPr>
              <w:t>$</w:t>
            </w:r>
          </w:p>
        </w:tc>
        <w:tc>
          <w:tcPr>
            <w:tcW w:w="605" w:type="dxa"/>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247,554</w:t>
            </w:r>
          </w:p>
        </w:tc>
        <w:tc>
          <w:tcPr>
            <w:tcW w:w="4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65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737"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r>
      <w:tr>
        <w:trPr/>
        <w:tc>
          <w:tcPr>
            <w:tcW w:w="725" w:type="dxa"/>
            <w:tcBorders/>
            <w:shd w:fill="CCEEFF" w:val="clear"/>
            <w:vAlign w:val="bottom"/>
          </w:tcPr>
          <w:p>
            <w:pPr>
              <w:pStyle w:val="TableContents"/>
              <w:spacing w:lineRule="atLeast" w:line="180" w:before="0" w:after="283"/>
              <w:rPr/>
            </w:pPr>
            <w:r>
              <w:rPr/>
              <w:t> </w:t>
            </w:r>
          </w:p>
        </w:tc>
        <w:tc>
          <w:tcPr>
            <w:tcW w:w="23" w:type="dxa"/>
            <w:tcBorders/>
            <w:shd w:fill="CCEEFF" w:val="clear"/>
            <w:vAlign w:val="bottom"/>
          </w:tcPr>
          <w:p>
            <w:pPr>
              <w:pStyle w:val="TableContents"/>
              <w:spacing w:lineRule="atLeast" w:line="180" w:before="0" w:after="283"/>
              <w:rPr/>
            </w:pPr>
            <w:r>
              <w:rPr/>
              <w:t>​</w:t>
            </w:r>
          </w:p>
        </w:tc>
        <w:tc>
          <w:tcPr>
            <w:tcW w:w="248"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1"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39"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6" w:type="dxa"/>
            <w:tcBorders/>
            <w:shd w:fill="CCEEFF" w:val="clear"/>
            <w:vAlign w:val="bottom"/>
          </w:tcPr>
          <w:p>
            <w:pPr>
              <w:pStyle w:val="TableContents"/>
              <w:spacing w:lineRule="atLeast" w:line="180" w:before="0" w:after="283"/>
              <w:rPr/>
            </w:pPr>
            <w:r>
              <w:rPr/>
              <w:t>​</w:t>
            </w:r>
          </w:p>
        </w:tc>
        <w:tc>
          <w:tcPr>
            <w:tcW w:w="62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9"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3" w:type="dxa"/>
            <w:tcBorders/>
            <w:shd w:fill="CCEEFF" w:val="clear"/>
            <w:vAlign w:val="bottom"/>
          </w:tcPr>
          <w:p>
            <w:pPr>
              <w:pStyle w:val="TableContents"/>
              <w:spacing w:lineRule="atLeast" w:line="180" w:before="0" w:after="283"/>
              <w:rPr/>
            </w:pPr>
            <w:r>
              <w:rPr/>
              <w:t>​</w:t>
            </w:r>
          </w:p>
        </w:tc>
        <w:tc>
          <w:tcPr>
            <w:tcW w:w="72"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584"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45" w:type="dxa"/>
            <w:tcBorders/>
            <w:shd w:fill="CCEEFF" w:val="clear"/>
            <w:vAlign w:val="bottom"/>
          </w:tcPr>
          <w:p>
            <w:pPr>
              <w:pStyle w:val="TableContents"/>
              <w:spacing w:lineRule="atLeast" w:line="180" w:before="0" w:after="283"/>
              <w:rPr/>
            </w:pPr>
            <w:r>
              <w:rPr/>
              <w:t>​</w:t>
            </w:r>
          </w:p>
        </w:tc>
        <w:tc>
          <w:tcPr>
            <w:tcW w:w="7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4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24,548</w:t>
            </w:r>
          </w:p>
        </w:tc>
        <w:tc>
          <w:tcPr>
            <w:tcW w:w="650" w:type="dxa"/>
            <w:tcBorders/>
            <w:shd w:fill="CCEEFF" w:val="clear"/>
            <w:vAlign w:val="bottom"/>
          </w:tcPr>
          <w:p>
            <w:pPr>
              <w:pStyle w:val="TableContents"/>
              <w:spacing w:lineRule="atLeast" w:line="180" w:before="0" w:after="283"/>
              <w:rPr>
                <w:rFonts w:ascii="arial" w:hAnsi="arial"/>
                <w:sz w:val="12"/>
              </w:rPr>
            </w:pPr>
            <w:r>
              <w:rPr>
                <w:rFonts w:ascii="arial" w:hAnsi="arial"/>
                <w:sz w:val="12"/>
              </w:rPr>
              <w:t>(11)</w:t>
            </w:r>
          </w:p>
        </w:tc>
        <w:tc>
          <w:tcPr>
            <w:tcW w:w="23"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13" w:type="dxa"/>
            <w:tcBorders/>
            <w:shd w:fill="CCEEFF" w:val="clear"/>
            <w:vAlign w:val="bottom"/>
          </w:tcPr>
          <w:p>
            <w:pPr>
              <w:pStyle w:val="TableContents"/>
              <w:spacing w:lineRule="atLeast" w:line="180" w:before="0" w:after="283"/>
              <w:rPr>
                <w:rFonts w:ascii="arial" w:hAnsi="arial"/>
                <w:sz w:val="16"/>
              </w:rPr>
            </w:pPr>
            <w:r>
              <w:rPr>
                <w:rFonts w:ascii="arial" w:hAnsi="arial"/>
                <w:sz w:val="16"/>
              </w:rPr>
              <w:t>$</w:t>
            </w:r>
          </w:p>
        </w:tc>
        <w:tc>
          <w:tcPr>
            <w:tcW w:w="624" w:type="dxa"/>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113,125</w:t>
            </w:r>
          </w:p>
        </w:tc>
        <w:tc>
          <w:tcPr>
            <w:tcW w:w="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r>
      <w:tr>
        <w:trPr/>
        <w:tc>
          <w:tcPr>
            <w:tcW w:w="725" w:type="dxa"/>
            <w:tcBorders/>
            <w:shd w:fill="CCEEFF" w:val="clear"/>
            <w:vAlign w:val="bottom"/>
          </w:tcPr>
          <w:p>
            <w:pPr>
              <w:pStyle w:val="TableContents"/>
              <w:spacing w:lineRule="atLeast" w:line="180" w:before="0" w:after="283"/>
              <w:rPr/>
            </w:pPr>
            <w:r>
              <w:rPr/>
              <w:t> </w:t>
            </w:r>
          </w:p>
        </w:tc>
        <w:tc>
          <w:tcPr>
            <w:tcW w:w="23" w:type="dxa"/>
            <w:tcBorders/>
            <w:shd w:fill="CCEEFF" w:val="clear"/>
            <w:vAlign w:val="bottom"/>
          </w:tcPr>
          <w:p>
            <w:pPr>
              <w:pStyle w:val="TableContents"/>
              <w:spacing w:lineRule="atLeast" w:line="180" w:before="0" w:after="283"/>
              <w:rPr/>
            </w:pPr>
            <w:r>
              <w:rPr/>
              <w:t>​</w:t>
            </w:r>
          </w:p>
        </w:tc>
        <w:tc>
          <w:tcPr>
            <w:tcW w:w="248"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1"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39"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6" w:type="dxa"/>
            <w:tcBorders/>
            <w:shd w:fill="CCEEFF" w:val="clear"/>
            <w:vAlign w:val="bottom"/>
          </w:tcPr>
          <w:p>
            <w:pPr>
              <w:pStyle w:val="TableContents"/>
              <w:spacing w:lineRule="atLeast" w:line="180" w:before="0" w:after="283"/>
              <w:rPr/>
            </w:pPr>
            <w:r>
              <w:rPr/>
              <w:t>​</w:t>
            </w:r>
          </w:p>
        </w:tc>
        <w:tc>
          <w:tcPr>
            <w:tcW w:w="62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9"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3" w:type="dxa"/>
            <w:tcBorders/>
            <w:shd w:fill="CCEEFF" w:val="clear"/>
            <w:vAlign w:val="bottom"/>
          </w:tcPr>
          <w:p>
            <w:pPr>
              <w:pStyle w:val="TableContents"/>
              <w:spacing w:lineRule="atLeast" w:line="180" w:before="0" w:after="283"/>
              <w:rPr/>
            </w:pPr>
            <w:r>
              <w:rPr/>
              <w:t>​</w:t>
            </w:r>
          </w:p>
        </w:tc>
        <w:tc>
          <w:tcPr>
            <w:tcW w:w="72"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584"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45" w:type="dxa"/>
            <w:tcBorders/>
            <w:shd w:fill="CCEEFF" w:val="clear"/>
            <w:vAlign w:val="bottom"/>
          </w:tcPr>
          <w:p>
            <w:pPr>
              <w:pStyle w:val="TableContents"/>
              <w:spacing w:lineRule="atLeast" w:line="180" w:before="0" w:after="283"/>
              <w:rPr/>
            </w:pPr>
            <w:r>
              <w:rPr/>
              <w:t>​</w:t>
            </w:r>
          </w:p>
        </w:tc>
        <w:tc>
          <w:tcPr>
            <w:tcW w:w="7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4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16,365</w:t>
            </w:r>
          </w:p>
        </w:tc>
        <w:tc>
          <w:tcPr>
            <w:tcW w:w="650" w:type="dxa"/>
            <w:tcBorders/>
            <w:shd w:fill="CCEEFF" w:val="clear"/>
            <w:vAlign w:val="bottom"/>
          </w:tcPr>
          <w:p>
            <w:pPr>
              <w:pStyle w:val="TableContents"/>
              <w:spacing w:lineRule="atLeast" w:line="180" w:before="0" w:after="283"/>
              <w:rPr>
                <w:rFonts w:ascii="arial" w:hAnsi="arial"/>
                <w:sz w:val="12"/>
              </w:rPr>
            </w:pPr>
            <w:r>
              <w:rPr>
                <w:rFonts w:ascii="arial" w:hAnsi="arial"/>
                <w:sz w:val="12"/>
              </w:rPr>
              <w:t>(12)</w:t>
            </w:r>
          </w:p>
        </w:tc>
        <w:tc>
          <w:tcPr>
            <w:tcW w:w="23"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13" w:type="dxa"/>
            <w:tcBorders/>
            <w:shd w:fill="CCEEFF" w:val="clear"/>
            <w:vAlign w:val="bottom"/>
          </w:tcPr>
          <w:p>
            <w:pPr>
              <w:pStyle w:val="TableContents"/>
              <w:spacing w:lineRule="atLeast" w:line="180" w:before="0" w:after="283"/>
              <w:rPr>
                <w:rFonts w:ascii="arial" w:hAnsi="arial"/>
                <w:sz w:val="16"/>
              </w:rPr>
            </w:pPr>
            <w:r>
              <w:rPr>
                <w:rFonts w:ascii="arial" w:hAnsi="arial"/>
                <w:sz w:val="16"/>
              </w:rPr>
              <w:t>$</w:t>
            </w:r>
          </w:p>
        </w:tc>
        <w:tc>
          <w:tcPr>
            <w:tcW w:w="624" w:type="dxa"/>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210,781</w:t>
            </w:r>
          </w:p>
        </w:tc>
        <w:tc>
          <w:tcPr>
            <w:tcW w:w="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r>
      <w:tr>
        <w:trPr/>
        <w:tc>
          <w:tcPr>
            <w:tcW w:w="725" w:type="dxa"/>
            <w:tcBorders/>
            <w:shd w:fill="CCEEFF" w:val="clear"/>
            <w:vAlign w:val="bottom"/>
          </w:tcPr>
          <w:p>
            <w:pPr>
              <w:pStyle w:val="TableContents"/>
              <w:spacing w:lineRule="atLeast" w:line="180" w:before="0" w:after="283"/>
              <w:rPr/>
            </w:pPr>
            <w:r>
              <w:rPr/>
              <w:t> </w:t>
            </w:r>
          </w:p>
        </w:tc>
        <w:tc>
          <w:tcPr>
            <w:tcW w:w="23" w:type="dxa"/>
            <w:tcBorders/>
            <w:shd w:fill="CCEEFF" w:val="clear"/>
            <w:vAlign w:val="bottom"/>
          </w:tcPr>
          <w:p>
            <w:pPr>
              <w:pStyle w:val="TableContents"/>
              <w:spacing w:lineRule="atLeast" w:line="180" w:before="0" w:after="283"/>
              <w:rPr/>
            </w:pPr>
            <w:r>
              <w:rPr/>
              <w:t>​</w:t>
            </w:r>
          </w:p>
        </w:tc>
        <w:tc>
          <w:tcPr>
            <w:tcW w:w="248"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1"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39"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6" w:type="dxa"/>
            <w:tcBorders/>
            <w:shd w:fill="CCEEFF" w:val="clear"/>
            <w:vAlign w:val="bottom"/>
          </w:tcPr>
          <w:p>
            <w:pPr>
              <w:pStyle w:val="TableContents"/>
              <w:spacing w:lineRule="atLeast" w:line="180" w:before="0" w:after="283"/>
              <w:rPr/>
            </w:pPr>
            <w:r>
              <w:rPr/>
              <w:t>​</w:t>
            </w:r>
          </w:p>
        </w:tc>
        <w:tc>
          <w:tcPr>
            <w:tcW w:w="62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9"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3" w:type="dxa"/>
            <w:tcBorders/>
            <w:shd w:fill="CCEEFF" w:val="clear"/>
            <w:vAlign w:val="bottom"/>
          </w:tcPr>
          <w:p>
            <w:pPr>
              <w:pStyle w:val="TableContents"/>
              <w:spacing w:lineRule="atLeast" w:line="180" w:before="0" w:after="283"/>
              <w:rPr/>
            </w:pPr>
            <w:r>
              <w:rPr/>
              <w:t>​</w:t>
            </w:r>
          </w:p>
        </w:tc>
        <w:tc>
          <w:tcPr>
            <w:tcW w:w="72"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17,527</w:t>
            </w:r>
          </w:p>
        </w:tc>
        <w:tc>
          <w:tcPr>
            <w:tcW w:w="584" w:type="dxa"/>
            <w:tcBorders/>
            <w:shd w:fill="CCEEFF" w:val="clear"/>
            <w:vAlign w:val="bottom"/>
          </w:tcPr>
          <w:p>
            <w:pPr>
              <w:pStyle w:val="TableContents"/>
              <w:spacing w:lineRule="atLeast" w:line="180" w:before="0" w:after="283"/>
              <w:rPr>
                <w:rFonts w:ascii="arial" w:hAnsi="arial"/>
                <w:sz w:val="12"/>
              </w:rPr>
            </w:pPr>
            <w:r>
              <w:rPr>
                <w:rFonts w:ascii="arial" w:hAnsi="arial"/>
                <w:sz w:val="12"/>
              </w:rPr>
              <w:t>(13)</w:t>
            </w:r>
          </w:p>
        </w:tc>
        <w:tc>
          <w:tcPr>
            <w:tcW w:w="23" w:type="dxa"/>
            <w:tcBorders/>
            <w:shd w:fill="CCEEFF" w:val="clear"/>
            <w:vAlign w:val="bottom"/>
          </w:tcPr>
          <w:p>
            <w:pPr>
              <w:pStyle w:val="TableContents"/>
              <w:spacing w:lineRule="atLeast" w:line="180" w:before="0" w:after="283"/>
              <w:rPr/>
            </w:pPr>
            <w:r>
              <w:rPr/>
              <w:t>​</w:t>
            </w:r>
          </w:p>
        </w:tc>
        <w:tc>
          <w:tcPr>
            <w:tcW w:w="45" w:type="dxa"/>
            <w:tcBorders/>
            <w:shd w:fill="CCEEFF" w:val="clear"/>
            <w:vAlign w:val="bottom"/>
          </w:tcPr>
          <w:p>
            <w:pPr>
              <w:pStyle w:val="TableContents"/>
              <w:spacing w:lineRule="atLeast" w:line="180" w:before="0" w:after="283"/>
              <w:rPr/>
            </w:pPr>
            <w:r>
              <w:rPr/>
              <w:t>​</w:t>
            </w:r>
          </w:p>
        </w:tc>
        <w:tc>
          <w:tcPr>
            <w:tcW w:w="110" w:type="dxa"/>
            <w:tcBorders/>
            <w:shd w:fill="CCEEFF" w:val="clear"/>
            <w:vAlign w:val="bottom"/>
          </w:tcPr>
          <w:p>
            <w:pPr>
              <w:pStyle w:val="TableContents"/>
              <w:spacing w:lineRule="atLeast" w:line="180" w:before="0" w:after="283"/>
              <w:rPr>
                <w:rFonts w:ascii="arial" w:hAnsi="arial"/>
                <w:sz w:val="16"/>
              </w:rPr>
            </w:pPr>
            <w:r>
              <w:rPr>
                <w:rFonts w:ascii="arial" w:hAnsi="arial"/>
                <w:sz w:val="16"/>
              </w:rPr>
              <w:t>$</w:t>
            </w:r>
          </w:p>
        </w:tc>
        <w:tc>
          <w:tcPr>
            <w:tcW w:w="605" w:type="dxa"/>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225,748</w:t>
            </w:r>
          </w:p>
        </w:tc>
        <w:tc>
          <w:tcPr>
            <w:tcW w:w="4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65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737"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r>
      <w:tr>
        <w:trPr/>
        <w:tc>
          <w:tcPr>
            <w:tcW w:w="725" w:type="dxa"/>
            <w:tcBorders/>
            <w:shd w:fill="CCEEFF" w:val="clear"/>
            <w:vAlign w:val="bottom"/>
          </w:tcPr>
          <w:p>
            <w:pPr>
              <w:pStyle w:val="TableContents"/>
              <w:spacing w:lineRule="atLeast" w:line="180" w:before="0" w:after="283"/>
              <w:rPr/>
            </w:pPr>
            <w:r>
              <w:rPr/>
              <w:t> </w:t>
            </w:r>
          </w:p>
        </w:tc>
        <w:tc>
          <w:tcPr>
            <w:tcW w:w="23" w:type="dxa"/>
            <w:tcBorders/>
            <w:shd w:fill="CCEEFF" w:val="clear"/>
            <w:vAlign w:val="bottom"/>
          </w:tcPr>
          <w:p>
            <w:pPr>
              <w:pStyle w:val="TableContents"/>
              <w:spacing w:lineRule="atLeast" w:line="180" w:before="0" w:after="283"/>
              <w:rPr/>
            </w:pPr>
            <w:r>
              <w:rPr/>
              <w:t>​</w:t>
            </w:r>
          </w:p>
        </w:tc>
        <w:tc>
          <w:tcPr>
            <w:tcW w:w="248"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1"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39"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6" w:type="dxa"/>
            <w:tcBorders/>
            <w:shd w:fill="CCEEFF" w:val="clear"/>
            <w:vAlign w:val="bottom"/>
          </w:tcPr>
          <w:p>
            <w:pPr>
              <w:pStyle w:val="TableContents"/>
              <w:spacing w:lineRule="atLeast" w:line="180" w:before="0" w:after="283"/>
              <w:rPr/>
            </w:pPr>
            <w:r>
              <w:rPr/>
              <w:t>​</w:t>
            </w:r>
          </w:p>
        </w:tc>
        <w:tc>
          <w:tcPr>
            <w:tcW w:w="62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9"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3" w:type="dxa"/>
            <w:tcBorders/>
            <w:shd w:fill="CCEEFF" w:val="clear"/>
            <w:vAlign w:val="bottom"/>
          </w:tcPr>
          <w:p>
            <w:pPr>
              <w:pStyle w:val="TableContents"/>
              <w:spacing w:lineRule="atLeast" w:line="180" w:before="0" w:after="283"/>
              <w:rPr/>
            </w:pPr>
            <w:r>
              <w:rPr/>
              <w:t>​</w:t>
            </w:r>
          </w:p>
        </w:tc>
        <w:tc>
          <w:tcPr>
            <w:tcW w:w="72"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584"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45" w:type="dxa"/>
            <w:tcBorders/>
            <w:shd w:fill="CCEEFF" w:val="clear"/>
            <w:vAlign w:val="bottom"/>
          </w:tcPr>
          <w:p>
            <w:pPr>
              <w:pStyle w:val="TableContents"/>
              <w:spacing w:lineRule="atLeast" w:line="180" w:before="0" w:after="283"/>
              <w:rPr/>
            </w:pPr>
            <w:r>
              <w:rPr/>
              <w:t>​</w:t>
            </w:r>
          </w:p>
        </w:tc>
        <w:tc>
          <w:tcPr>
            <w:tcW w:w="7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4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32,880</w:t>
            </w:r>
          </w:p>
        </w:tc>
        <w:tc>
          <w:tcPr>
            <w:tcW w:w="650" w:type="dxa"/>
            <w:tcBorders/>
            <w:shd w:fill="CCEEFF" w:val="clear"/>
            <w:vAlign w:val="bottom"/>
          </w:tcPr>
          <w:p>
            <w:pPr>
              <w:pStyle w:val="TableContents"/>
              <w:spacing w:lineRule="atLeast" w:line="180" w:before="0" w:after="283"/>
              <w:rPr>
                <w:rFonts w:ascii="arial" w:hAnsi="arial"/>
                <w:sz w:val="12"/>
              </w:rPr>
            </w:pPr>
            <w:r>
              <w:rPr>
                <w:rFonts w:ascii="arial" w:hAnsi="arial"/>
                <w:sz w:val="12"/>
              </w:rPr>
              <w:t>(14)</w:t>
            </w:r>
          </w:p>
        </w:tc>
        <w:tc>
          <w:tcPr>
            <w:tcW w:w="23"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13" w:type="dxa"/>
            <w:tcBorders/>
            <w:shd w:fill="CCEEFF" w:val="clear"/>
            <w:vAlign w:val="bottom"/>
          </w:tcPr>
          <w:p>
            <w:pPr>
              <w:pStyle w:val="TableContents"/>
              <w:spacing w:lineRule="atLeast" w:line="180" w:before="0" w:after="283"/>
              <w:rPr>
                <w:rFonts w:ascii="arial" w:hAnsi="arial"/>
                <w:sz w:val="16"/>
              </w:rPr>
            </w:pPr>
            <w:r>
              <w:rPr>
                <w:rFonts w:ascii="arial" w:hAnsi="arial"/>
                <w:sz w:val="16"/>
              </w:rPr>
              <w:t>$</w:t>
            </w:r>
          </w:p>
        </w:tc>
        <w:tc>
          <w:tcPr>
            <w:tcW w:w="624" w:type="dxa"/>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211,747</w:t>
            </w:r>
          </w:p>
        </w:tc>
        <w:tc>
          <w:tcPr>
            <w:tcW w:w="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r>
      <w:tr>
        <w:trPr/>
        <w:tc>
          <w:tcPr>
            <w:tcW w:w="725" w:type="dxa"/>
            <w:tcBorders/>
            <w:shd w:fill="CCEEFF" w:val="clear"/>
            <w:vAlign w:val="bottom"/>
          </w:tcPr>
          <w:p>
            <w:pPr>
              <w:pStyle w:val="TableContents"/>
              <w:spacing w:lineRule="atLeast" w:line="180" w:before="0" w:after="283"/>
              <w:rPr/>
            </w:pPr>
            <w:r>
              <w:rPr/>
              <w:t> </w:t>
            </w:r>
          </w:p>
        </w:tc>
        <w:tc>
          <w:tcPr>
            <w:tcW w:w="23" w:type="dxa"/>
            <w:tcBorders/>
            <w:shd w:fill="CCEEFF" w:val="clear"/>
            <w:vAlign w:val="bottom"/>
          </w:tcPr>
          <w:p>
            <w:pPr>
              <w:pStyle w:val="TableContents"/>
              <w:spacing w:lineRule="atLeast" w:line="180" w:before="0" w:after="283"/>
              <w:rPr/>
            </w:pPr>
            <w:r>
              <w:rPr/>
              <w:t>​</w:t>
            </w:r>
          </w:p>
        </w:tc>
        <w:tc>
          <w:tcPr>
            <w:tcW w:w="248"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1"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39"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6" w:type="dxa"/>
            <w:tcBorders/>
            <w:shd w:fill="CCEEFF" w:val="clear"/>
            <w:vAlign w:val="bottom"/>
          </w:tcPr>
          <w:p>
            <w:pPr>
              <w:pStyle w:val="TableContents"/>
              <w:spacing w:lineRule="atLeast" w:line="180" w:before="0" w:after="283"/>
              <w:rPr/>
            </w:pPr>
            <w:r>
              <w:rPr/>
              <w:t>​</w:t>
            </w:r>
          </w:p>
        </w:tc>
        <w:tc>
          <w:tcPr>
            <w:tcW w:w="62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9"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3" w:type="dxa"/>
            <w:tcBorders/>
            <w:shd w:fill="CCEEFF" w:val="clear"/>
            <w:vAlign w:val="bottom"/>
          </w:tcPr>
          <w:p>
            <w:pPr>
              <w:pStyle w:val="TableContents"/>
              <w:spacing w:lineRule="atLeast" w:line="180" w:before="0" w:after="283"/>
              <w:rPr/>
            </w:pPr>
            <w:r>
              <w:rPr/>
              <w:t>​</w:t>
            </w:r>
          </w:p>
        </w:tc>
        <w:tc>
          <w:tcPr>
            <w:tcW w:w="72"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584"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45" w:type="dxa"/>
            <w:tcBorders/>
            <w:shd w:fill="CCEEFF" w:val="clear"/>
            <w:vAlign w:val="bottom"/>
          </w:tcPr>
          <w:p>
            <w:pPr>
              <w:pStyle w:val="TableContents"/>
              <w:spacing w:lineRule="atLeast" w:line="180" w:before="0" w:after="283"/>
              <w:rPr/>
            </w:pPr>
            <w:r>
              <w:rPr/>
              <w:t>​</w:t>
            </w:r>
          </w:p>
        </w:tc>
        <w:tc>
          <w:tcPr>
            <w:tcW w:w="7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4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32,880</w:t>
            </w:r>
          </w:p>
        </w:tc>
        <w:tc>
          <w:tcPr>
            <w:tcW w:w="650" w:type="dxa"/>
            <w:tcBorders/>
            <w:shd w:fill="CCEEFF" w:val="clear"/>
            <w:vAlign w:val="bottom"/>
          </w:tcPr>
          <w:p>
            <w:pPr>
              <w:pStyle w:val="TableContents"/>
              <w:spacing w:lineRule="atLeast" w:line="180" w:before="0" w:after="283"/>
              <w:rPr>
                <w:rFonts w:ascii="arial" w:hAnsi="arial"/>
                <w:sz w:val="12"/>
              </w:rPr>
            </w:pPr>
            <w:r>
              <w:rPr>
                <w:rFonts w:ascii="arial" w:hAnsi="arial"/>
                <w:sz w:val="12"/>
              </w:rPr>
              <w:t>(15)</w:t>
            </w:r>
          </w:p>
        </w:tc>
        <w:tc>
          <w:tcPr>
            <w:tcW w:w="23"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13" w:type="dxa"/>
            <w:tcBorders/>
            <w:shd w:fill="CCEEFF" w:val="clear"/>
            <w:vAlign w:val="bottom"/>
          </w:tcPr>
          <w:p>
            <w:pPr>
              <w:pStyle w:val="TableContents"/>
              <w:spacing w:lineRule="atLeast" w:line="180" w:before="0" w:after="283"/>
              <w:rPr>
                <w:rFonts w:ascii="arial" w:hAnsi="arial"/>
                <w:sz w:val="16"/>
              </w:rPr>
            </w:pPr>
            <w:r>
              <w:rPr>
                <w:rFonts w:ascii="arial" w:hAnsi="arial"/>
                <w:sz w:val="16"/>
              </w:rPr>
              <w:t>$</w:t>
            </w:r>
          </w:p>
        </w:tc>
        <w:tc>
          <w:tcPr>
            <w:tcW w:w="624" w:type="dxa"/>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423,494</w:t>
            </w:r>
          </w:p>
        </w:tc>
        <w:tc>
          <w:tcPr>
            <w:tcW w:w="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r>
      <w:tr>
        <w:trPr/>
        <w:tc>
          <w:tcPr>
            <w:tcW w:w="725" w:type="dxa"/>
            <w:tcBorders/>
            <w:shd w:fill="CCEEFF" w:val="clear"/>
            <w:vAlign w:val="bottom"/>
          </w:tcPr>
          <w:p>
            <w:pPr>
              <w:pStyle w:val="TableContents"/>
              <w:spacing w:lineRule="atLeast" w:line="180" w:before="0" w:after="283"/>
              <w:rPr/>
            </w:pPr>
            <w:r>
              <w:rPr/>
              <w:t> </w:t>
            </w:r>
          </w:p>
        </w:tc>
        <w:tc>
          <w:tcPr>
            <w:tcW w:w="23" w:type="dxa"/>
            <w:tcBorders/>
            <w:shd w:fill="CCEEFF" w:val="clear"/>
            <w:vAlign w:val="bottom"/>
          </w:tcPr>
          <w:p>
            <w:pPr>
              <w:pStyle w:val="TableContents"/>
              <w:spacing w:lineRule="atLeast" w:line="180" w:before="0" w:after="283"/>
              <w:rPr/>
            </w:pPr>
            <w:r>
              <w:rPr/>
              <w:t>​</w:t>
            </w:r>
          </w:p>
        </w:tc>
        <w:tc>
          <w:tcPr>
            <w:tcW w:w="248"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1"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39"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6" w:type="dxa"/>
            <w:tcBorders/>
            <w:shd w:fill="CCEEFF" w:val="clear"/>
            <w:vAlign w:val="bottom"/>
          </w:tcPr>
          <w:p>
            <w:pPr>
              <w:pStyle w:val="TableContents"/>
              <w:spacing w:lineRule="atLeast" w:line="180" w:before="0" w:after="283"/>
              <w:rPr/>
            </w:pPr>
            <w:r>
              <w:rPr/>
              <w:t>​</w:t>
            </w:r>
          </w:p>
        </w:tc>
        <w:tc>
          <w:tcPr>
            <w:tcW w:w="62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9"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3" w:type="dxa"/>
            <w:tcBorders/>
            <w:shd w:fill="CCEEFF" w:val="clear"/>
            <w:vAlign w:val="bottom"/>
          </w:tcPr>
          <w:p>
            <w:pPr>
              <w:pStyle w:val="TableContents"/>
              <w:spacing w:lineRule="atLeast" w:line="180" w:before="0" w:after="283"/>
              <w:rPr/>
            </w:pPr>
            <w:r>
              <w:rPr/>
              <w:t>​</w:t>
            </w:r>
          </w:p>
        </w:tc>
        <w:tc>
          <w:tcPr>
            <w:tcW w:w="72"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584"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45" w:type="dxa"/>
            <w:tcBorders/>
            <w:shd w:fill="CCEEFF" w:val="clear"/>
            <w:vAlign w:val="bottom"/>
          </w:tcPr>
          <w:p>
            <w:pPr>
              <w:pStyle w:val="TableContents"/>
              <w:spacing w:lineRule="atLeast" w:line="180" w:before="0" w:after="283"/>
              <w:rPr/>
            </w:pPr>
            <w:r>
              <w:rPr/>
              <w:t>​</w:t>
            </w:r>
          </w:p>
        </w:tc>
        <w:tc>
          <w:tcPr>
            <w:tcW w:w="7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4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40,000</w:t>
            </w:r>
          </w:p>
        </w:tc>
        <w:tc>
          <w:tcPr>
            <w:tcW w:w="650" w:type="dxa"/>
            <w:tcBorders/>
            <w:shd w:fill="CCEEFF" w:val="clear"/>
            <w:vAlign w:val="bottom"/>
          </w:tcPr>
          <w:p>
            <w:pPr>
              <w:pStyle w:val="TableContents"/>
              <w:spacing w:lineRule="atLeast" w:line="180" w:before="0" w:after="283"/>
              <w:rPr>
                <w:rFonts w:ascii="arial" w:hAnsi="arial"/>
                <w:sz w:val="12"/>
              </w:rPr>
            </w:pPr>
            <w:r>
              <w:rPr>
                <w:rFonts w:ascii="arial" w:hAnsi="arial"/>
                <w:sz w:val="12"/>
              </w:rPr>
              <w:t>(16)</w:t>
            </w:r>
          </w:p>
        </w:tc>
        <w:tc>
          <w:tcPr>
            <w:tcW w:w="23"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13" w:type="dxa"/>
            <w:tcBorders/>
            <w:shd w:fill="CCEEFF" w:val="clear"/>
            <w:vAlign w:val="bottom"/>
          </w:tcPr>
          <w:p>
            <w:pPr>
              <w:pStyle w:val="TableContents"/>
              <w:spacing w:lineRule="atLeast" w:line="180" w:before="0" w:after="283"/>
              <w:rPr>
                <w:rFonts w:ascii="arial" w:hAnsi="arial"/>
                <w:sz w:val="16"/>
              </w:rPr>
            </w:pPr>
            <w:r>
              <w:rPr>
                <w:rFonts w:ascii="arial" w:hAnsi="arial"/>
                <w:sz w:val="16"/>
              </w:rPr>
              <w:t>$</w:t>
            </w:r>
          </w:p>
        </w:tc>
        <w:tc>
          <w:tcPr>
            <w:tcW w:w="624" w:type="dxa"/>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515,200</w:t>
            </w:r>
          </w:p>
        </w:tc>
        <w:tc>
          <w:tcPr>
            <w:tcW w:w="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r>
      <w:tr>
        <w:trPr/>
        <w:tc>
          <w:tcPr>
            <w:tcW w:w="725" w:type="dxa"/>
            <w:tcBorders/>
            <w:shd w:fill="CCEEFF" w:val="clear"/>
            <w:vAlign w:val="bottom"/>
          </w:tcPr>
          <w:p>
            <w:pPr>
              <w:pStyle w:val="TableContents"/>
              <w:spacing w:lineRule="atLeast" w:line="180" w:before="0" w:after="283"/>
              <w:rPr/>
            </w:pPr>
            <w:r>
              <w:rPr/>
              <w:t> </w:t>
            </w:r>
          </w:p>
        </w:tc>
        <w:tc>
          <w:tcPr>
            <w:tcW w:w="23" w:type="dxa"/>
            <w:tcBorders/>
            <w:shd w:fill="CCEEFF" w:val="clear"/>
            <w:vAlign w:val="bottom"/>
          </w:tcPr>
          <w:p>
            <w:pPr>
              <w:pStyle w:val="TableContents"/>
              <w:spacing w:lineRule="atLeast" w:line="180" w:before="0" w:after="283"/>
              <w:rPr/>
            </w:pPr>
            <w:r>
              <w:rPr/>
              <w:t>​</w:t>
            </w:r>
          </w:p>
        </w:tc>
        <w:tc>
          <w:tcPr>
            <w:tcW w:w="248"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1"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39"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6" w:type="dxa"/>
            <w:tcBorders/>
            <w:shd w:fill="CCEEFF" w:val="clear"/>
            <w:vAlign w:val="bottom"/>
          </w:tcPr>
          <w:p>
            <w:pPr>
              <w:pStyle w:val="TableContents"/>
              <w:spacing w:lineRule="atLeast" w:line="180" w:before="0" w:after="283"/>
              <w:rPr/>
            </w:pPr>
            <w:r>
              <w:rPr/>
              <w:t>​</w:t>
            </w:r>
          </w:p>
        </w:tc>
        <w:tc>
          <w:tcPr>
            <w:tcW w:w="62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9"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3" w:type="dxa"/>
            <w:tcBorders/>
            <w:shd w:fill="CCEEFF" w:val="clear"/>
            <w:vAlign w:val="bottom"/>
          </w:tcPr>
          <w:p>
            <w:pPr>
              <w:pStyle w:val="TableContents"/>
              <w:spacing w:lineRule="atLeast" w:line="180" w:before="0" w:after="283"/>
              <w:rPr/>
            </w:pPr>
            <w:r>
              <w:rPr/>
              <w:t>​</w:t>
            </w:r>
          </w:p>
        </w:tc>
        <w:tc>
          <w:tcPr>
            <w:tcW w:w="72"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10,000</w:t>
            </w:r>
          </w:p>
        </w:tc>
        <w:tc>
          <w:tcPr>
            <w:tcW w:w="584" w:type="dxa"/>
            <w:tcBorders/>
            <w:shd w:fill="CCEEFF" w:val="clear"/>
            <w:vAlign w:val="bottom"/>
          </w:tcPr>
          <w:p>
            <w:pPr>
              <w:pStyle w:val="TableContents"/>
              <w:spacing w:lineRule="atLeast" w:line="180" w:before="0" w:after="283"/>
              <w:rPr>
                <w:rFonts w:ascii="arial" w:hAnsi="arial"/>
                <w:sz w:val="12"/>
              </w:rPr>
            </w:pPr>
            <w:r>
              <w:rPr>
                <w:rFonts w:ascii="arial" w:hAnsi="arial"/>
                <w:sz w:val="12"/>
              </w:rPr>
              <w:t>(17)</w:t>
            </w:r>
          </w:p>
        </w:tc>
        <w:tc>
          <w:tcPr>
            <w:tcW w:w="23" w:type="dxa"/>
            <w:tcBorders/>
            <w:shd w:fill="CCEEFF" w:val="clear"/>
            <w:vAlign w:val="bottom"/>
          </w:tcPr>
          <w:p>
            <w:pPr>
              <w:pStyle w:val="TableContents"/>
              <w:spacing w:lineRule="atLeast" w:line="180" w:before="0" w:after="283"/>
              <w:rPr/>
            </w:pPr>
            <w:r>
              <w:rPr/>
              <w:t>​</w:t>
            </w:r>
          </w:p>
        </w:tc>
        <w:tc>
          <w:tcPr>
            <w:tcW w:w="45" w:type="dxa"/>
            <w:tcBorders/>
            <w:shd w:fill="CCEEFF" w:val="clear"/>
            <w:vAlign w:val="bottom"/>
          </w:tcPr>
          <w:p>
            <w:pPr>
              <w:pStyle w:val="TableContents"/>
              <w:spacing w:lineRule="atLeast" w:line="180" w:before="0" w:after="283"/>
              <w:rPr/>
            </w:pPr>
            <w:r>
              <w:rPr/>
              <w:t>​</w:t>
            </w:r>
          </w:p>
        </w:tc>
        <w:tc>
          <w:tcPr>
            <w:tcW w:w="7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128,800</w:t>
            </w:r>
          </w:p>
        </w:tc>
        <w:tc>
          <w:tcPr>
            <w:tcW w:w="4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65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737"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r>
      <w:tr>
        <w:trPr/>
        <w:tc>
          <w:tcPr>
            <w:tcW w:w="725" w:type="dxa"/>
            <w:tcBorders/>
            <w:shd w:fill="auto" w:val="clear"/>
            <w:vAlign w:val="bottom"/>
          </w:tcPr>
          <w:p>
            <w:pPr>
              <w:pStyle w:val="TableContents"/>
              <w:spacing w:lineRule="atLeast" w:line="180" w:before="0" w:after="283"/>
              <w:rPr>
                <w:rFonts w:ascii="arial" w:hAnsi="arial"/>
              </w:rPr>
            </w:pPr>
            <w:r>
              <w:rPr>
                <w:rFonts w:ascii="arial" w:hAnsi="arial"/>
              </w:rPr>
              <w:br/>
            </w:r>
            <w:r>
              <w:rPr>
                <w:rFonts w:ascii="arial" w:hAnsi="arial"/>
                <w:sz w:val="16"/>
              </w:rPr>
              <w:t>Kevin J. Wilcox</w:t>
            </w:r>
          </w:p>
        </w:tc>
        <w:tc>
          <w:tcPr>
            <w:tcW w:w="23" w:type="dxa"/>
            <w:tcBorders/>
            <w:shd w:fill="auto" w:val="clear"/>
            <w:vAlign w:val="bottom"/>
          </w:tcPr>
          <w:p>
            <w:pPr>
              <w:pStyle w:val="TableContents"/>
              <w:spacing w:lineRule="atLeast" w:line="180" w:before="0" w:after="283"/>
              <w:rPr>
                <w:rFonts w:ascii="arial" w:hAnsi="arial"/>
                <w:sz w:val="16"/>
              </w:rPr>
            </w:pPr>
            <w:r>
              <w:rPr>
                <w:rFonts w:ascii="arial" w:hAnsi="arial"/>
                <w:sz w:val="16"/>
              </w:rPr>
              <w:br/>
              <w:t>​</w:t>
            </w:r>
          </w:p>
        </w:tc>
        <w:tc>
          <w:tcPr>
            <w:tcW w:w="248" w:type="dxa"/>
            <w:tcBorders/>
            <w:shd w:fill="auto" w:val="clear"/>
            <w:vAlign w:val="bottom"/>
          </w:tcPr>
          <w:p>
            <w:pPr>
              <w:pStyle w:val="TableContents"/>
              <w:spacing w:lineRule="atLeast" w:line="180" w:before="0" w:after="283"/>
              <w:rPr>
                <w:rFonts w:ascii="arial" w:hAnsi="arial"/>
                <w:sz w:val="16"/>
              </w:rPr>
            </w:pPr>
            <w:r>
              <w:rPr>
                <w:rFonts w:ascii="arial" w:hAnsi="arial"/>
                <w:sz w:val="16"/>
              </w:rPr>
              <w:br/>
              <w:t>​</w:t>
            </w:r>
          </w:p>
        </w:tc>
        <w:tc>
          <w:tcPr>
            <w:tcW w:w="605" w:type="dxa"/>
            <w:gridSpan w:val="2"/>
            <w:tcBorders/>
            <w:shd w:fill="auto" w:val="clear"/>
            <w:vAlign w:val="bottom"/>
          </w:tcPr>
          <w:p>
            <w:pPr>
              <w:pStyle w:val="TableContents"/>
              <w:spacing w:lineRule="atLeast" w:line="180" w:before="0" w:after="283"/>
              <w:jc w:val="right"/>
              <w:rPr>
                <w:rFonts w:ascii="arial" w:hAnsi="arial"/>
              </w:rPr>
            </w:pPr>
            <w:r>
              <w:rPr>
                <w:rFonts w:ascii="arial" w:hAnsi="arial"/>
              </w:rPr>
              <w:br/>
            </w:r>
            <w:r>
              <w:rPr>
                <w:rFonts w:ascii="arial" w:hAnsi="arial"/>
                <w:sz w:val="16"/>
              </w:rPr>
              <w:t>19,000</w:t>
            </w:r>
          </w:p>
        </w:tc>
        <w:tc>
          <w:tcPr>
            <w:tcW w:w="251" w:type="dxa"/>
            <w:tcBorders/>
            <w:shd w:fill="auto" w:val="clear"/>
            <w:vAlign w:val="bottom"/>
          </w:tcPr>
          <w:p>
            <w:pPr>
              <w:pStyle w:val="TableContents"/>
              <w:spacing w:lineRule="atLeast" w:line="180" w:before="0" w:after="283"/>
              <w:rPr>
                <w:rFonts w:ascii="arial" w:hAnsi="arial"/>
                <w:sz w:val="16"/>
              </w:rPr>
            </w:pPr>
            <w:r>
              <w:rPr>
                <w:rFonts w:ascii="arial" w:hAnsi="arial"/>
                <w:sz w:val="16"/>
              </w:rPr>
              <w:br/>
              <w:t>​</w:t>
            </w:r>
          </w:p>
        </w:tc>
        <w:tc>
          <w:tcPr>
            <w:tcW w:w="23" w:type="dxa"/>
            <w:tcBorders/>
            <w:shd w:fill="auto" w:val="clear"/>
            <w:vAlign w:val="bottom"/>
          </w:tcPr>
          <w:p>
            <w:pPr>
              <w:pStyle w:val="TableContents"/>
              <w:spacing w:lineRule="atLeast" w:line="180" w:before="0" w:after="283"/>
              <w:rPr>
                <w:rFonts w:ascii="arial" w:hAnsi="arial"/>
                <w:sz w:val="16"/>
              </w:rPr>
            </w:pPr>
            <w:r>
              <w:rPr>
                <w:rFonts w:ascii="arial" w:hAnsi="arial"/>
                <w:sz w:val="16"/>
              </w:rPr>
              <w:br/>
              <w:t>​</w:t>
            </w:r>
          </w:p>
        </w:tc>
        <w:tc>
          <w:tcPr>
            <w:tcW w:w="139" w:type="dxa"/>
            <w:tcBorders/>
            <w:shd w:fill="auto" w:val="clear"/>
            <w:vAlign w:val="bottom"/>
          </w:tcPr>
          <w:p>
            <w:pPr>
              <w:pStyle w:val="TableContents"/>
              <w:spacing w:lineRule="atLeast" w:line="180" w:before="0" w:after="283"/>
              <w:rPr>
                <w:rFonts w:ascii="arial" w:hAnsi="arial"/>
                <w:sz w:val="16"/>
              </w:rPr>
            </w:pPr>
            <w:r>
              <w:rPr>
                <w:rFonts w:ascii="arial" w:hAnsi="arial"/>
                <w:sz w:val="16"/>
              </w:rPr>
              <w:br/>
              <w:t>​</w:t>
            </w:r>
          </w:p>
        </w:tc>
        <w:tc>
          <w:tcPr>
            <w:tcW w:w="605" w:type="dxa"/>
            <w:gridSpan w:val="2"/>
            <w:tcBorders/>
            <w:shd w:fill="auto" w:val="clear"/>
            <w:vAlign w:val="bottom"/>
          </w:tcPr>
          <w:p>
            <w:pPr>
              <w:pStyle w:val="TableContents"/>
              <w:spacing w:lineRule="atLeast" w:line="180" w:before="0" w:after="283"/>
              <w:jc w:val="right"/>
              <w:rPr>
                <w:rFonts w:ascii="arial" w:hAnsi="arial"/>
              </w:rPr>
            </w:pPr>
            <w:r>
              <w:rPr>
                <w:rFonts w:ascii="arial" w:hAnsi="arial"/>
              </w:rPr>
              <w:br/>
            </w:r>
            <w:r>
              <w:rPr>
                <w:rFonts w:ascii="arial" w:hAnsi="arial"/>
                <w:sz w:val="16"/>
              </w:rPr>
              <w:t>-</w:t>
            </w:r>
          </w:p>
        </w:tc>
        <w:tc>
          <w:tcPr>
            <w:tcW w:w="758" w:type="dxa"/>
            <w:tcBorders/>
            <w:shd w:fill="auto" w:val="clear"/>
            <w:vAlign w:val="bottom"/>
          </w:tcPr>
          <w:p>
            <w:pPr>
              <w:pStyle w:val="TableContents"/>
              <w:spacing w:lineRule="atLeast" w:line="180" w:before="0" w:after="283"/>
              <w:rPr>
                <w:rFonts w:ascii="arial" w:hAnsi="arial"/>
                <w:sz w:val="16"/>
              </w:rPr>
            </w:pPr>
            <w:r>
              <w:rPr>
                <w:rFonts w:ascii="arial" w:hAnsi="arial"/>
                <w:sz w:val="16"/>
              </w:rPr>
              <w:br/>
              <w:t>​</w:t>
            </w:r>
          </w:p>
        </w:tc>
        <w:tc>
          <w:tcPr>
            <w:tcW w:w="23" w:type="dxa"/>
            <w:tcBorders/>
            <w:shd w:fill="auto" w:val="clear"/>
            <w:vAlign w:val="bottom"/>
          </w:tcPr>
          <w:p>
            <w:pPr>
              <w:pStyle w:val="TableContents"/>
              <w:spacing w:lineRule="atLeast" w:line="180" w:before="0" w:after="283"/>
              <w:rPr>
                <w:rFonts w:ascii="arial" w:hAnsi="arial"/>
                <w:sz w:val="16"/>
              </w:rPr>
            </w:pPr>
            <w:r>
              <w:rPr>
                <w:rFonts w:ascii="arial" w:hAnsi="arial"/>
                <w:sz w:val="16"/>
              </w:rPr>
              <w:br/>
              <w:t>​</w:t>
            </w:r>
          </w:p>
        </w:tc>
        <w:tc>
          <w:tcPr>
            <w:tcW w:w="90" w:type="dxa"/>
            <w:tcBorders/>
            <w:shd w:fill="auto" w:val="clear"/>
            <w:vAlign w:val="bottom"/>
          </w:tcPr>
          <w:p>
            <w:pPr>
              <w:pStyle w:val="TableContents"/>
              <w:spacing w:lineRule="atLeast" w:line="180" w:before="0" w:after="283"/>
              <w:rPr>
                <w:rFonts w:ascii="arial" w:hAnsi="arial"/>
                <w:sz w:val="16"/>
              </w:rPr>
            </w:pPr>
            <w:r>
              <w:rPr>
                <w:rFonts w:ascii="arial" w:hAnsi="arial"/>
                <w:sz w:val="16"/>
              </w:rPr>
              <w:br/>
              <w:t>​</w:t>
            </w:r>
          </w:p>
        </w:tc>
        <w:tc>
          <w:tcPr>
            <w:tcW w:w="515" w:type="dxa"/>
            <w:gridSpan w:val="2"/>
            <w:tcBorders/>
            <w:shd w:fill="auto" w:val="clear"/>
            <w:vAlign w:val="bottom"/>
          </w:tcPr>
          <w:p>
            <w:pPr>
              <w:pStyle w:val="TableContents"/>
              <w:spacing w:lineRule="atLeast" w:line="180" w:before="0" w:after="283"/>
              <w:jc w:val="right"/>
              <w:rPr>
                <w:rFonts w:ascii="arial" w:hAnsi="arial"/>
              </w:rPr>
            </w:pPr>
            <w:r>
              <w:rPr>
                <w:rFonts w:ascii="arial" w:hAnsi="arial"/>
              </w:rPr>
              <w:br/>
            </w:r>
            <w:r>
              <w:rPr>
                <w:rFonts w:ascii="arial" w:hAnsi="arial"/>
                <w:sz w:val="16"/>
              </w:rPr>
              <w:t>-</w:t>
            </w:r>
          </w:p>
        </w:tc>
        <w:tc>
          <w:tcPr>
            <w:tcW w:w="725" w:type="dxa"/>
            <w:tcBorders/>
            <w:shd w:fill="auto" w:val="clear"/>
            <w:vAlign w:val="bottom"/>
          </w:tcPr>
          <w:p>
            <w:pPr>
              <w:pStyle w:val="TableContents"/>
              <w:spacing w:lineRule="atLeast" w:line="180" w:before="0" w:after="283"/>
              <w:rPr>
                <w:rFonts w:ascii="arial" w:hAnsi="arial"/>
                <w:sz w:val="16"/>
              </w:rPr>
            </w:pPr>
            <w:r>
              <w:rPr>
                <w:rFonts w:ascii="arial" w:hAnsi="arial"/>
                <w:sz w:val="16"/>
              </w:rPr>
              <w:br/>
              <w:t>​</w:t>
            </w:r>
          </w:p>
        </w:tc>
        <w:tc>
          <w:tcPr>
            <w:tcW w:w="23" w:type="dxa"/>
            <w:tcBorders/>
            <w:shd w:fill="auto" w:val="clear"/>
            <w:vAlign w:val="bottom"/>
          </w:tcPr>
          <w:p>
            <w:pPr>
              <w:pStyle w:val="TableContents"/>
              <w:spacing w:lineRule="atLeast" w:line="180" w:before="0" w:after="283"/>
              <w:rPr>
                <w:rFonts w:ascii="arial" w:hAnsi="arial"/>
                <w:sz w:val="16"/>
              </w:rPr>
            </w:pPr>
            <w:r>
              <w:rPr>
                <w:rFonts w:ascii="arial" w:hAnsi="arial"/>
                <w:sz w:val="16"/>
              </w:rPr>
              <w:br/>
              <w:t>​</w:t>
            </w:r>
          </w:p>
        </w:tc>
        <w:tc>
          <w:tcPr>
            <w:tcW w:w="26" w:type="dxa"/>
            <w:tcBorders/>
            <w:shd w:fill="auto" w:val="clear"/>
            <w:vAlign w:val="bottom"/>
          </w:tcPr>
          <w:p>
            <w:pPr>
              <w:pStyle w:val="TableContents"/>
              <w:spacing w:lineRule="atLeast" w:line="180" w:before="0" w:after="283"/>
              <w:rPr>
                <w:rFonts w:ascii="arial" w:hAnsi="arial"/>
              </w:rPr>
            </w:pPr>
            <w:r>
              <w:rPr>
                <w:rFonts w:ascii="arial" w:hAnsi="arial"/>
              </w:rPr>
              <w:br/>
              <w:t>​</w:t>
            </w:r>
          </w:p>
        </w:tc>
        <w:tc>
          <w:tcPr>
            <w:tcW w:w="128" w:type="dxa"/>
            <w:tcBorders/>
            <w:shd w:fill="auto" w:val="clear"/>
            <w:vAlign w:val="bottom"/>
          </w:tcPr>
          <w:p>
            <w:pPr>
              <w:pStyle w:val="TableContents"/>
              <w:spacing w:lineRule="atLeast" w:line="180" w:before="0" w:after="283"/>
              <w:rPr>
                <w:rFonts w:ascii="arial" w:hAnsi="arial"/>
              </w:rPr>
            </w:pPr>
            <w:r>
              <w:rPr>
                <w:rFonts w:ascii="arial" w:hAnsi="arial"/>
              </w:rPr>
              <w:br/>
            </w:r>
            <w:r>
              <w:rPr>
                <w:rFonts w:ascii="arial" w:hAnsi="arial"/>
                <w:sz w:val="16"/>
              </w:rPr>
              <w:t>$</w:t>
            </w:r>
          </w:p>
        </w:tc>
        <w:tc>
          <w:tcPr>
            <w:tcW w:w="497" w:type="dxa"/>
            <w:tcBorders/>
            <w:shd w:fill="auto" w:val="clear"/>
            <w:vAlign w:val="bottom"/>
          </w:tcPr>
          <w:p>
            <w:pPr>
              <w:pStyle w:val="TableContents"/>
              <w:spacing w:lineRule="atLeast" w:line="180" w:before="0" w:after="283"/>
              <w:jc w:val="right"/>
              <w:rPr>
                <w:rFonts w:ascii="arial" w:hAnsi="arial"/>
                <w:sz w:val="16"/>
              </w:rPr>
            </w:pPr>
            <w:r>
              <w:rPr>
                <w:rFonts w:ascii="arial" w:hAnsi="arial"/>
                <w:sz w:val="16"/>
              </w:rPr>
              <w:br/>
              <w:t>18.79</w:t>
            </w:r>
          </w:p>
        </w:tc>
        <w:tc>
          <w:tcPr>
            <w:tcW w:w="29" w:type="dxa"/>
            <w:tcBorders/>
            <w:shd w:fill="auto" w:val="clear"/>
            <w:vAlign w:val="bottom"/>
          </w:tcPr>
          <w:p>
            <w:pPr>
              <w:pStyle w:val="TableContents"/>
              <w:spacing w:lineRule="atLeast" w:line="180" w:before="0" w:after="283"/>
              <w:rPr>
                <w:rFonts w:ascii="arial" w:hAnsi="arial"/>
                <w:sz w:val="16"/>
              </w:rPr>
            </w:pPr>
            <w:r>
              <w:rPr>
                <w:rFonts w:ascii="arial" w:hAnsi="arial"/>
                <w:sz w:val="16"/>
              </w:rPr>
              <w:br/>
              <w:t>​</w:t>
            </w:r>
          </w:p>
        </w:tc>
        <w:tc>
          <w:tcPr>
            <w:tcW w:w="23" w:type="dxa"/>
            <w:tcBorders/>
            <w:shd w:fill="auto" w:val="clear"/>
            <w:vAlign w:val="bottom"/>
          </w:tcPr>
          <w:p>
            <w:pPr>
              <w:pStyle w:val="TableContents"/>
              <w:spacing w:lineRule="atLeast" w:line="180" w:before="0" w:after="283"/>
              <w:rPr>
                <w:rFonts w:ascii="arial" w:hAnsi="arial"/>
                <w:sz w:val="16"/>
              </w:rPr>
            </w:pPr>
            <w:r>
              <w:rPr>
                <w:rFonts w:ascii="arial" w:hAnsi="arial"/>
                <w:sz w:val="16"/>
              </w:rPr>
              <w:br/>
              <w:t>​</w:t>
            </w:r>
          </w:p>
        </w:tc>
        <w:tc>
          <w:tcPr>
            <w:tcW w:w="830" w:type="dxa"/>
            <w:gridSpan w:val="2"/>
            <w:tcBorders/>
            <w:shd w:fill="auto" w:val="clear"/>
            <w:vAlign w:val="bottom"/>
          </w:tcPr>
          <w:p>
            <w:pPr>
              <w:pStyle w:val="TableContents"/>
              <w:spacing w:lineRule="atLeast" w:line="180" w:before="0" w:after="283"/>
              <w:jc w:val="right"/>
              <w:rPr>
                <w:rFonts w:ascii="arial" w:hAnsi="arial"/>
              </w:rPr>
            </w:pPr>
            <w:r>
              <w:rPr>
                <w:rFonts w:ascii="arial" w:hAnsi="arial"/>
              </w:rPr>
              <w:br/>
            </w:r>
            <w:r>
              <w:rPr>
                <w:rFonts w:ascii="arial" w:hAnsi="arial"/>
                <w:sz w:val="16"/>
              </w:rPr>
              <w:t>4/15/2025</w:t>
            </w:r>
          </w:p>
        </w:tc>
        <w:tc>
          <w:tcPr>
            <w:tcW w:w="23" w:type="dxa"/>
            <w:tcBorders/>
            <w:shd w:fill="auto" w:val="clear"/>
            <w:vAlign w:val="bottom"/>
          </w:tcPr>
          <w:p>
            <w:pPr>
              <w:pStyle w:val="TableContents"/>
              <w:spacing w:lineRule="atLeast" w:line="180" w:before="0" w:after="283"/>
              <w:rPr>
                <w:rFonts w:ascii="arial" w:hAnsi="arial"/>
                <w:sz w:val="16"/>
              </w:rPr>
            </w:pPr>
            <w:r>
              <w:rPr>
                <w:rFonts w:ascii="arial" w:hAnsi="arial"/>
                <w:sz w:val="16"/>
              </w:rPr>
              <w:br/>
              <w:t>​</w:t>
            </w:r>
          </w:p>
        </w:tc>
        <w:tc>
          <w:tcPr>
            <w:tcW w:w="72" w:type="dxa"/>
            <w:tcBorders/>
            <w:shd w:fill="auto" w:val="clear"/>
            <w:vAlign w:val="bottom"/>
          </w:tcPr>
          <w:p>
            <w:pPr>
              <w:pStyle w:val="TableContents"/>
              <w:spacing w:lineRule="atLeast" w:line="180" w:before="0" w:after="283"/>
              <w:rPr>
                <w:rFonts w:ascii="arial" w:hAnsi="arial"/>
                <w:sz w:val="16"/>
              </w:rPr>
            </w:pPr>
            <w:r>
              <w:rPr>
                <w:rFonts w:ascii="arial" w:hAnsi="arial"/>
                <w:sz w:val="16"/>
              </w:rPr>
              <w:br/>
              <w:t>​</w:t>
            </w:r>
          </w:p>
        </w:tc>
        <w:tc>
          <w:tcPr>
            <w:tcW w:w="515" w:type="dxa"/>
            <w:gridSpan w:val="2"/>
            <w:tcBorders/>
            <w:shd w:fill="auto" w:val="clear"/>
            <w:vAlign w:val="bottom"/>
          </w:tcPr>
          <w:p>
            <w:pPr>
              <w:pStyle w:val="TableContents"/>
              <w:spacing w:lineRule="atLeast" w:line="180" w:before="0" w:after="283"/>
              <w:jc w:val="right"/>
              <w:rPr>
                <w:rFonts w:ascii="arial" w:hAnsi="arial"/>
              </w:rPr>
            </w:pPr>
            <w:r>
              <w:rPr>
                <w:rFonts w:ascii="arial" w:hAnsi="arial"/>
              </w:rPr>
              <w:br/>
            </w:r>
            <w:r>
              <w:rPr>
                <w:rFonts w:ascii="arial" w:hAnsi="arial"/>
                <w:sz w:val="16"/>
              </w:rPr>
              <w:t>-</w:t>
            </w:r>
          </w:p>
        </w:tc>
        <w:tc>
          <w:tcPr>
            <w:tcW w:w="584" w:type="dxa"/>
            <w:tcBorders/>
            <w:shd w:fill="auto" w:val="clear"/>
            <w:vAlign w:val="bottom"/>
          </w:tcPr>
          <w:p>
            <w:pPr>
              <w:pStyle w:val="TableContents"/>
              <w:spacing w:lineRule="atLeast" w:line="180" w:before="0" w:after="283"/>
              <w:rPr>
                <w:rFonts w:ascii="arial" w:hAnsi="arial"/>
                <w:sz w:val="16"/>
              </w:rPr>
            </w:pPr>
            <w:r>
              <w:rPr>
                <w:rFonts w:ascii="arial" w:hAnsi="arial"/>
                <w:sz w:val="16"/>
              </w:rPr>
              <w:br/>
              <w:t>​</w:t>
            </w:r>
          </w:p>
        </w:tc>
        <w:tc>
          <w:tcPr>
            <w:tcW w:w="23" w:type="dxa"/>
            <w:tcBorders/>
            <w:shd w:fill="auto" w:val="clear"/>
            <w:vAlign w:val="bottom"/>
          </w:tcPr>
          <w:p>
            <w:pPr>
              <w:pStyle w:val="TableContents"/>
              <w:spacing w:lineRule="atLeast" w:line="180" w:before="0" w:after="283"/>
              <w:rPr>
                <w:rFonts w:ascii="arial" w:hAnsi="arial"/>
                <w:sz w:val="16"/>
              </w:rPr>
            </w:pPr>
            <w:r>
              <w:rPr>
                <w:rFonts w:ascii="arial" w:hAnsi="arial"/>
                <w:sz w:val="16"/>
              </w:rPr>
              <w:br/>
              <w:t>​</w:t>
            </w:r>
          </w:p>
        </w:tc>
        <w:tc>
          <w:tcPr>
            <w:tcW w:w="45" w:type="dxa"/>
            <w:tcBorders/>
            <w:shd w:fill="auto" w:val="clear"/>
            <w:vAlign w:val="bottom"/>
          </w:tcPr>
          <w:p>
            <w:pPr>
              <w:pStyle w:val="TableContents"/>
              <w:spacing w:lineRule="atLeast" w:line="180" w:before="0" w:after="283"/>
              <w:rPr>
                <w:rFonts w:ascii="arial" w:hAnsi="arial"/>
                <w:sz w:val="16"/>
              </w:rPr>
            </w:pPr>
            <w:r>
              <w:rPr>
                <w:rFonts w:ascii="arial" w:hAnsi="arial"/>
                <w:sz w:val="16"/>
              </w:rPr>
              <w:br/>
              <w:t>​</w:t>
            </w:r>
          </w:p>
        </w:tc>
        <w:tc>
          <w:tcPr>
            <w:tcW w:w="715" w:type="dxa"/>
            <w:gridSpan w:val="2"/>
            <w:tcBorders/>
            <w:shd w:fill="auto" w:val="clear"/>
            <w:vAlign w:val="bottom"/>
          </w:tcPr>
          <w:p>
            <w:pPr>
              <w:pStyle w:val="TableContents"/>
              <w:spacing w:lineRule="atLeast" w:line="180" w:before="0" w:after="283"/>
              <w:jc w:val="right"/>
              <w:rPr>
                <w:rFonts w:ascii="arial" w:hAnsi="arial"/>
              </w:rPr>
            </w:pPr>
            <w:r>
              <w:rPr>
                <w:rFonts w:ascii="arial" w:hAnsi="arial"/>
              </w:rPr>
              <w:br/>
            </w:r>
            <w:r>
              <w:rPr>
                <w:rFonts w:ascii="arial" w:hAnsi="arial"/>
                <w:sz w:val="16"/>
              </w:rPr>
              <w:t>-</w:t>
            </w:r>
          </w:p>
        </w:tc>
        <w:tc>
          <w:tcPr>
            <w:tcW w:w="40" w:type="dxa"/>
            <w:tcBorders/>
            <w:shd w:fill="auto" w:val="clear"/>
            <w:vAlign w:val="bottom"/>
          </w:tcPr>
          <w:p>
            <w:pPr>
              <w:pStyle w:val="TableContents"/>
              <w:spacing w:lineRule="atLeast" w:line="180" w:before="0" w:after="283"/>
              <w:rPr>
                <w:rFonts w:ascii="arial" w:hAnsi="arial"/>
                <w:sz w:val="16"/>
              </w:rPr>
            </w:pPr>
            <w:r>
              <w:rPr>
                <w:rFonts w:ascii="arial" w:hAnsi="arial"/>
                <w:sz w:val="16"/>
              </w:rPr>
              <w:br/>
              <w:t>​</w:t>
            </w:r>
          </w:p>
        </w:tc>
        <w:tc>
          <w:tcPr>
            <w:tcW w:w="23" w:type="dxa"/>
            <w:tcBorders/>
            <w:shd w:fill="auto" w:val="clear"/>
            <w:vAlign w:val="bottom"/>
          </w:tcPr>
          <w:p>
            <w:pPr>
              <w:pStyle w:val="TableContents"/>
              <w:spacing w:lineRule="atLeast" w:line="180" w:before="0" w:after="283"/>
              <w:rPr>
                <w:rFonts w:ascii="arial" w:hAnsi="arial"/>
                <w:sz w:val="16"/>
              </w:rPr>
            </w:pPr>
            <w:r>
              <w:rPr>
                <w:rFonts w:ascii="arial" w:hAnsi="arial"/>
                <w:sz w:val="16"/>
              </w:rPr>
              <w:br/>
              <w:t>​</w:t>
            </w:r>
          </w:p>
        </w:tc>
        <w:tc>
          <w:tcPr>
            <w:tcW w:w="80" w:type="dxa"/>
            <w:tcBorders/>
            <w:shd w:fill="auto" w:val="clear"/>
            <w:vAlign w:val="bottom"/>
          </w:tcPr>
          <w:p>
            <w:pPr>
              <w:pStyle w:val="TableContents"/>
              <w:spacing w:lineRule="atLeast" w:line="180" w:before="0" w:after="283"/>
              <w:rPr>
                <w:rFonts w:ascii="arial" w:hAnsi="arial"/>
                <w:sz w:val="16"/>
              </w:rPr>
            </w:pPr>
            <w:r>
              <w:rPr>
                <w:rFonts w:ascii="arial" w:hAnsi="arial"/>
                <w:sz w:val="16"/>
              </w:rPr>
              <w:br/>
              <w:t>​</w:t>
            </w:r>
          </w:p>
        </w:tc>
        <w:tc>
          <w:tcPr>
            <w:tcW w:w="515" w:type="dxa"/>
            <w:gridSpan w:val="2"/>
            <w:tcBorders/>
            <w:shd w:fill="auto" w:val="clear"/>
            <w:vAlign w:val="bottom"/>
          </w:tcPr>
          <w:p>
            <w:pPr>
              <w:pStyle w:val="TableContents"/>
              <w:spacing w:lineRule="atLeast" w:line="180" w:before="0" w:after="283"/>
              <w:jc w:val="right"/>
              <w:rPr>
                <w:rFonts w:ascii="arial" w:hAnsi="arial"/>
              </w:rPr>
            </w:pPr>
            <w:r>
              <w:rPr>
                <w:rFonts w:ascii="arial" w:hAnsi="arial"/>
              </w:rPr>
              <w:br/>
            </w:r>
            <w:r>
              <w:rPr>
                <w:rFonts w:ascii="arial" w:hAnsi="arial"/>
                <w:sz w:val="16"/>
              </w:rPr>
              <w:t>-</w:t>
            </w:r>
          </w:p>
        </w:tc>
        <w:tc>
          <w:tcPr>
            <w:tcW w:w="650" w:type="dxa"/>
            <w:tcBorders/>
            <w:shd w:fill="auto" w:val="clear"/>
            <w:vAlign w:val="bottom"/>
          </w:tcPr>
          <w:p>
            <w:pPr>
              <w:pStyle w:val="TableContents"/>
              <w:spacing w:lineRule="atLeast" w:line="180" w:before="0" w:after="283"/>
              <w:rPr>
                <w:rFonts w:ascii="arial" w:hAnsi="arial"/>
                <w:sz w:val="16"/>
              </w:rPr>
            </w:pPr>
            <w:r>
              <w:rPr>
                <w:rFonts w:ascii="arial" w:hAnsi="arial"/>
                <w:sz w:val="16"/>
              </w:rPr>
              <w:br/>
              <w:t>​</w:t>
            </w:r>
          </w:p>
        </w:tc>
        <w:tc>
          <w:tcPr>
            <w:tcW w:w="23" w:type="dxa"/>
            <w:tcBorders/>
            <w:shd w:fill="auto" w:val="clear"/>
            <w:vAlign w:val="bottom"/>
          </w:tcPr>
          <w:p>
            <w:pPr>
              <w:pStyle w:val="TableContents"/>
              <w:spacing w:lineRule="atLeast" w:line="180" w:before="0" w:after="283"/>
              <w:rPr>
                <w:rFonts w:ascii="arial" w:hAnsi="arial"/>
                <w:sz w:val="16"/>
              </w:rPr>
            </w:pPr>
            <w:r>
              <w:rPr>
                <w:rFonts w:ascii="arial" w:hAnsi="arial"/>
                <w:sz w:val="16"/>
              </w:rPr>
              <w:br/>
              <w:t>​</w:t>
            </w:r>
          </w:p>
        </w:tc>
        <w:tc>
          <w:tcPr>
            <w:tcW w:w="23" w:type="dxa"/>
            <w:tcBorders/>
            <w:shd w:fill="auto" w:val="clear"/>
            <w:vAlign w:val="bottom"/>
          </w:tcPr>
          <w:p>
            <w:pPr>
              <w:pStyle w:val="TableContents"/>
              <w:spacing w:lineRule="atLeast" w:line="180" w:before="0" w:after="283"/>
              <w:rPr>
                <w:rFonts w:ascii="arial" w:hAnsi="arial"/>
                <w:sz w:val="16"/>
              </w:rPr>
            </w:pPr>
            <w:r>
              <w:rPr>
                <w:rFonts w:ascii="arial" w:hAnsi="arial"/>
                <w:sz w:val="16"/>
              </w:rPr>
              <w:br/>
              <w:t>​</w:t>
            </w:r>
          </w:p>
        </w:tc>
        <w:tc>
          <w:tcPr>
            <w:tcW w:w="737" w:type="dxa"/>
            <w:gridSpan w:val="2"/>
            <w:tcBorders/>
            <w:shd w:fill="auto" w:val="clear"/>
            <w:vAlign w:val="bottom"/>
          </w:tcPr>
          <w:p>
            <w:pPr>
              <w:pStyle w:val="TableContents"/>
              <w:spacing w:lineRule="atLeast" w:line="180" w:before="0" w:after="283"/>
              <w:jc w:val="right"/>
              <w:rPr>
                <w:rFonts w:ascii="arial" w:hAnsi="arial"/>
              </w:rPr>
            </w:pPr>
            <w:r>
              <w:rPr>
                <w:rFonts w:ascii="arial" w:hAnsi="arial"/>
              </w:rPr>
              <w:br/>
            </w:r>
            <w:r>
              <w:rPr>
                <w:rFonts w:ascii="arial" w:hAnsi="arial"/>
                <w:sz w:val="16"/>
              </w:rPr>
              <w:t>-</w:t>
            </w:r>
          </w:p>
        </w:tc>
        <w:tc>
          <w:tcPr>
            <w:tcW w:w="25" w:type="dxa"/>
            <w:tcBorders/>
            <w:shd w:fill="auto" w:val="clear"/>
            <w:vAlign w:val="bottom"/>
          </w:tcPr>
          <w:p>
            <w:pPr>
              <w:pStyle w:val="TableContents"/>
              <w:spacing w:lineRule="atLeast" w:line="180" w:before="0" w:after="283"/>
              <w:rPr>
                <w:rFonts w:ascii="arial" w:hAnsi="arial"/>
                <w:sz w:val="16"/>
              </w:rPr>
            </w:pPr>
            <w:r>
              <w:rPr>
                <w:rFonts w:ascii="arial" w:hAnsi="arial"/>
                <w:sz w:val="16"/>
              </w:rPr>
              <w:br/>
              <w:t>​</w:t>
            </w:r>
          </w:p>
        </w:tc>
        <w:tc>
          <w:tcPr>
            <w:tcW w:w="23" w:type="dxa"/>
            <w:tcBorders/>
            <w:shd w:fill="auto" w:val="clear"/>
            <w:vAlign w:val="bottom"/>
          </w:tcPr>
          <w:p>
            <w:pPr>
              <w:pStyle w:val="TableContents"/>
              <w:spacing w:lineRule="atLeast" w:line="180" w:before="0" w:after="283"/>
              <w:rPr>
                <w:rFonts w:ascii="arial" w:hAnsi="arial"/>
                <w:sz w:val="16"/>
              </w:rPr>
            </w:pPr>
            <w:r>
              <w:rPr>
                <w:rFonts w:ascii="arial" w:hAnsi="arial"/>
                <w:sz w:val="16"/>
              </w:rPr>
              <w:br/>
              <w:t>​</w:t>
            </w:r>
          </w:p>
        </w:tc>
      </w:tr>
      <w:tr>
        <w:trPr/>
        <w:tc>
          <w:tcPr>
            <w:tcW w:w="725" w:type="dxa"/>
            <w:tcBorders/>
            <w:shd w:fill="auto" w:val="clear"/>
            <w:vAlign w:val="bottom"/>
          </w:tcPr>
          <w:p>
            <w:pPr>
              <w:pStyle w:val="TableContents"/>
              <w:spacing w:lineRule="atLeast" w:line="180" w:before="0" w:after="283"/>
              <w:rPr/>
            </w:pPr>
            <w:r>
              <w:rPr/>
              <w:t> </w:t>
            </w:r>
          </w:p>
        </w:tc>
        <w:tc>
          <w:tcPr>
            <w:tcW w:w="23" w:type="dxa"/>
            <w:tcBorders/>
            <w:shd w:fill="auto" w:val="clear"/>
            <w:vAlign w:val="bottom"/>
          </w:tcPr>
          <w:p>
            <w:pPr>
              <w:pStyle w:val="TableContents"/>
              <w:spacing w:lineRule="atLeast" w:line="180" w:before="0" w:after="283"/>
              <w:rPr/>
            </w:pPr>
            <w:r>
              <w:rPr/>
              <w:t>​</w:t>
            </w:r>
          </w:p>
        </w:tc>
        <w:tc>
          <w:tcPr>
            <w:tcW w:w="248" w:type="dxa"/>
            <w:tcBorders/>
            <w:shd w:fill="auto" w:val="clear"/>
            <w:vAlign w:val="bottom"/>
          </w:tcPr>
          <w:p>
            <w:pPr>
              <w:pStyle w:val="TableContents"/>
              <w:spacing w:lineRule="atLeast" w:line="180" w:before="0" w:after="283"/>
              <w:rPr/>
            </w:pPr>
            <w:r>
              <w:rPr/>
              <w:t>​</w:t>
            </w:r>
          </w:p>
        </w:tc>
        <w:tc>
          <w:tcPr>
            <w:tcW w:w="60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100,000</w:t>
            </w:r>
          </w:p>
        </w:tc>
        <w:tc>
          <w:tcPr>
            <w:tcW w:w="251"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39" w:type="dxa"/>
            <w:tcBorders/>
            <w:shd w:fill="auto" w:val="clear"/>
            <w:vAlign w:val="bottom"/>
          </w:tcPr>
          <w:p>
            <w:pPr>
              <w:pStyle w:val="TableContents"/>
              <w:spacing w:lineRule="atLeast" w:line="180" w:before="0" w:after="283"/>
              <w:rPr/>
            </w:pPr>
            <w:r>
              <w:rPr/>
              <w:t>​</w:t>
            </w:r>
          </w:p>
        </w:tc>
        <w:tc>
          <w:tcPr>
            <w:tcW w:w="60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90"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25"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26" w:type="dxa"/>
            <w:tcBorders/>
            <w:shd w:fill="auto" w:val="clear"/>
            <w:vAlign w:val="bottom"/>
          </w:tcPr>
          <w:p>
            <w:pPr>
              <w:pStyle w:val="TableContents"/>
              <w:spacing w:lineRule="atLeast" w:line="180" w:before="0" w:after="283"/>
              <w:rPr/>
            </w:pPr>
            <w:r>
              <w:rPr/>
              <w:t>​</w:t>
            </w:r>
          </w:p>
        </w:tc>
        <w:tc>
          <w:tcPr>
            <w:tcW w:w="128" w:type="dxa"/>
            <w:tcBorders/>
            <w:shd w:fill="auto" w:val="clear"/>
            <w:vAlign w:val="bottom"/>
          </w:tcPr>
          <w:p>
            <w:pPr>
              <w:pStyle w:val="TableContents"/>
              <w:spacing w:lineRule="atLeast" w:line="180" w:before="0" w:after="283"/>
              <w:rPr>
                <w:rFonts w:ascii="arial" w:hAnsi="arial"/>
                <w:sz w:val="16"/>
              </w:rPr>
            </w:pPr>
            <w:r>
              <w:rPr>
                <w:rFonts w:ascii="arial" w:hAnsi="arial"/>
                <w:sz w:val="16"/>
              </w:rPr>
              <w:t>$</w:t>
            </w:r>
          </w:p>
        </w:tc>
        <w:tc>
          <w:tcPr>
            <w:tcW w:w="497" w:type="dxa"/>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24.82</w:t>
            </w:r>
          </w:p>
        </w:tc>
        <w:tc>
          <w:tcPr>
            <w:tcW w:w="29"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830"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4/15/2025</w:t>
            </w:r>
          </w:p>
        </w:tc>
        <w:tc>
          <w:tcPr>
            <w:tcW w:w="23" w:type="dxa"/>
            <w:tcBorders/>
            <w:shd w:fill="auto" w:val="clear"/>
            <w:vAlign w:val="bottom"/>
          </w:tcPr>
          <w:p>
            <w:pPr>
              <w:pStyle w:val="TableContents"/>
              <w:spacing w:lineRule="atLeast" w:line="180" w:before="0" w:after="283"/>
              <w:rPr/>
            </w:pPr>
            <w:r>
              <w:rPr/>
              <w:t>​</w:t>
            </w:r>
          </w:p>
        </w:tc>
        <w:tc>
          <w:tcPr>
            <w:tcW w:w="72"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584"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45" w:type="dxa"/>
            <w:tcBorders/>
            <w:shd w:fill="auto" w:val="clear"/>
            <w:vAlign w:val="bottom"/>
          </w:tcPr>
          <w:p>
            <w:pPr>
              <w:pStyle w:val="TableContents"/>
              <w:spacing w:lineRule="atLeast" w:line="180" w:before="0" w:after="283"/>
              <w:rPr/>
            </w:pPr>
            <w:r>
              <w:rPr/>
              <w:t>​</w:t>
            </w:r>
          </w:p>
        </w:tc>
        <w:tc>
          <w:tcPr>
            <w:tcW w:w="7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40"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80"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650"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737"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r>
      <w:tr>
        <w:trPr/>
        <w:tc>
          <w:tcPr>
            <w:tcW w:w="725" w:type="dxa"/>
            <w:tcBorders/>
            <w:shd w:fill="CCEEFF" w:val="clear"/>
            <w:vAlign w:val="bottom"/>
          </w:tcPr>
          <w:p>
            <w:pPr>
              <w:pStyle w:val="TableContents"/>
              <w:spacing w:lineRule="atLeast" w:line="180" w:before="0" w:after="283"/>
              <w:rPr>
                <w:rFonts w:ascii="arial" w:hAnsi="arial"/>
              </w:rPr>
            </w:pPr>
            <w:r>
              <w:rPr>
                <w:rFonts w:ascii="arial" w:hAnsi="arial"/>
              </w:rPr>
              <w:br/>
            </w:r>
            <w:r>
              <w:rPr>
                <w:rFonts w:ascii="arial" w:hAnsi="arial"/>
                <w:sz w:val="16"/>
              </w:rPr>
              <w:t>Michelle D. Esterman</w:t>
            </w:r>
          </w:p>
        </w:tc>
        <w:tc>
          <w:tcPr>
            <w:tcW w:w="23" w:type="dxa"/>
            <w:tcBorders/>
            <w:shd w:fill="CCEEFF" w:val="clear"/>
            <w:vAlign w:val="bottom"/>
          </w:tcPr>
          <w:p>
            <w:pPr>
              <w:pStyle w:val="TableContents"/>
              <w:spacing w:lineRule="atLeast" w:line="180" w:before="0" w:after="283"/>
              <w:rPr>
                <w:rFonts w:ascii="arial" w:hAnsi="arial"/>
                <w:sz w:val="16"/>
              </w:rPr>
            </w:pPr>
            <w:r>
              <w:rPr>
                <w:rFonts w:ascii="arial" w:hAnsi="arial"/>
                <w:sz w:val="16"/>
              </w:rPr>
              <w:br/>
              <w:t>​</w:t>
            </w:r>
          </w:p>
        </w:tc>
        <w:tc>
          <w:tcPr>
            <w:tcW w:w="248" w:type="dxa"/>
            <w:tcBorders/>
            <w:shd w:fill="CCEEFF" w:val="clear"/>
            <w:vAlign w:val="bottom"/>
          </w:tcPr>
          <w:p>
            <w:pPr>
              <w:pStyle w:val="TableContents"/>
              <w:spacing w:lineRule="atLeast" w:line="180" w:before="0" w:after="283"/>
              <w:rPr>
                <w:rFonts w:ascii="arial" w:hAnsi="arial"/>
                <w:sz w:val="16"/>
              </w:rPr>
            </w:pPr>
            <w:r>
              <w:rPr>
                <w:rFonts w:ascii="arial" w:hAnsi="arial"/>
                <w:sz w:val="16"/>
              </w:rPr>
              <w:br/>
              <w:t>​</w:t>
            </w:r>
          </w:p>
        </w:tc>
        <w:tc>
          <w:tcPr>
            <w:tcW w:w="605" w:type="dxa"/>
            <w:gridSpan w:val="2"/>
            <w:tcBorders/>
            <w:shd w:fill="CCEEFF" w:val="clear"/>
            <w:vAlign w:val="bottom"/>
          </w:tcPr>
          <w:p>
            <w:pPr>
              <w:pStyle w:val="TableContents"/>
              <w:spacing w:lineRule="atLeast" w:line="180" w:before="0" w:after="283"/>
              <w:jc w:val="right"/>
              <w:rPr>
                <w:rFonts w:ascii="arial" w:hAnsi="arial"/>
              </w:rPr>
            </w:pPr>
            <w:r>
              <w:rPr>
                <w:rFonts w:ascii="arial" w:hAnsi="arial"/>
              </w:rPr>
              <w:br/>
            </w:r>
            <w:r>
              <w:rPr>
                <w:rFonts w:ascii="arial" w:hAnsi="arial"/>
                <w:sz w:val="16"/>
              </w:rPr>
              <w:t>-</w:t>
            </w:r>
          </w:p>
        </w:tc>
        <w:tc>
          <w:tcPr>
            <w:tcW w:w="251" w:type="dxa"/>
            <w:tcBorders/>
            <w:shd w:fill="CCEEFF" w:val="clear"/>
            <w:vAlign w:val="bottom"/>
          </w:tcPr>
          <w:p>
            <w:pPr>
              <w:pStyle w:val="TableContents"/>
              <w:spacing w:lineRule="atLeast" w:line="180" w:before="0" w:after="283"/>
              <w:rPr>
                <w:rFonts w:ascii="arial" w:hAnsi="arial"/>
                <w:sz w:val="16"/>
              </w:rPr>
            </w:pPr>
            <w:r>
              <w:rPr>
                <w:rFonts w:ascii="arial" w:hAnsi="arial"/>
                <w:sz w:val="16"/>
              </w:rPr>
              <w:br/>
              <w:t>​</w:t>
            </w:r>
          </w:p>
        </w:tc>
        <w:tc>
          <w:tcPr>
            <w:tcW w:w="23" w:type="dxa"/>
            <w:tcBorders/>
            <w:shd w:fill="CCEEFF" w:val="clear"/>
            <w:vAlign w:val="bottom"/>
          </w:tcPr>
          <w:p>
            <w:pPr>
              <w:pStyle w:val="TableContents"/>
              <w:spacing w:lineRule="atLeast" w:line="180" w:before="0" w:after="283"/>
              <w:rPr>
                <w:rFonts w:ascii="arial" w:hAnsi="arial"/>
                <w:sz w:val="16"/>
              </w:rPr>
            </w:pPr>
            <w:r>
              <w:rPr>
                <w:rFonts w:ascii="arial" w:hAnsi="arial"/>
                <w:sz w:val="16"/>
              </w:rPr>
              <w:br/>
              <w:t>​</w:t>
            </w:r>
          </w:p>
        </w:tc>
        <w:tc>
          <w:tcPr>
            <w:tcW w:w="139" w:type="dxa"/>
            <w:tcBorders/>
            <w:shd w:fill="CCEEFF" w:val="clear"/>
            <w:vAlign w:val="bottom"/>
          </w:tcPr>
          <w:p>
            <w:pPr>
              <w:pStyle w:val="TableContents"/>
              <w:spacing w:lineRule="atLeast" w:line="180" w:before="0" w:after="283"/>
              <w:rPr>
                <w:rFonts w:ascii="arial" w:hAnsi="arial"/>
                <w:sz w:val="16"/>
              </w:rPr>
            </w:pPr>
            <w:r>
              <w:rPr>
                <w:rFonts w:ascii="arial" w:hAnsi="arial"/>
                <w:sz w:val="16"/>
              </w:rPr>
              <w:br/>
              <w:t>​</w:t>
            </w:r>
          </w:p>
        </w:tc>
        <w:tc>
          <w:tcPr>
            <w:tcW w:w="605" w:type="dxa"/>
            <w:gridSpan w:val="2"/>
            <w:tcBorders/>
            <w:shd w:fill="CCEEFF" w:val="clear"/>
            <w:vAlign w:val="bottom"/>
          </w:tcPr>
          <w:p>
            <w:pPr>
              <w:pStyle w:val="TableContents"/>
              <w:spacing w:lineRule="atLeast" w:line="180" w:before="0" w:after="283"/>
              <w:jc w:val="right"/>
              <w:rPr>
                <w:rFonts w:ascii="arial" w:hAnsi="arial"/>
              </w:rPr>
            </w:pPr>
            <w:r>
              <w:rPr>
                <w:rFonts w:ascii="arial" w:hAnsi="arial"/>
              </w:rPr>
              <w:br/>
            </w:r>
            <w:r>
              <w:rPr>
                <w:rFonts w:ascii="arial" w:hAnsi="arial"/>
                <w:sz w:val="16"/>
              </w:rPr>
              <w:t>-</w:t>
            </w:r>
          </w:p>
        </w:tc>
        <w:tc>
          <w:tcPr>
            <w:tcW w:w="758" w:type="dxa"/>
            <w:tcBorders/>
            <w:shd w:fill="CCEEFF" w:val="clear"/>
            <w:vAlign w:val="bottom"/>
          </w:tcPr>
          <w:p>
            <w:pPr>
              <w:pStyle w:val="TableContents"/>
              <w:spacing w:lineRule="atLeast" w:line="180" w:before="0" w:after="283"/>
              <w:rPr>
                <w:rFonts w:ascii="arial" w:hAnsi="arial"/>
                <w:sz w:val="16"/>
              </w:rPr>
            </w:pPr>
            <w:r>
              <w:rPr>
                <w:rFonts w:ascii="arial" w:hAnsi="arial"/>
                <w:sz w:val="16"/>
              </w:rPr>
              <w:br/>
              <w:t>​</w:t>
            </w:r>
          </w:p>
        </w:tc>
        <w:tc>
          <w:tcPr>
            <w:tcW w:w="23" w:type="dxa"/>
            <w:tcBorders/>
            <w:shd w:fill="CCEEFF" w:val="clear"/>
            <w:vAlign w:val="bottom"/>
          </w:tcPr>
          <w:p>
            <w:pPr>
              <w:pStyle w:val="TableContents"/>
              <w:spacing w:lineRule="atLeast" w:line="180" w:before="0" w:after="283"/>
              <w:rPr>
                <w:rFonts w:ascii="arial" w:hAnsi="arial"/>
                <w:sz w:val="16"/>
              </w:rPr>
            </w:pPr>
            <w:r>
              <w:rPr>
                <w:rFonts w:ascii="arial" w:hAnsi="arial"/>
                <w:sz w:val="16"/>
              </w:rPr>
              <w:br/>
              <w:t>​</w:t>
            </w:r>
          </w:p>
        </w:tc>
        <w:tc>
          <w:tcPr>
            <w:tcW w:w="90" w:type="dxa"/>
            <w:tcBorders/>
            <w:shd w:fill="CCEEFF" w:val="clear"/>
            <w:vAlign w:val="bottom"/>
          </w:tcPr>
          <w:p>
            <w:pPr>
              <w:pStyle w:val="TableContents"/>
              <w:spacing w:lineRule="atLeast" w:line="180" w:before="0" w:after="283"/>
              <w:rPr>
                <w:rFonts w:ascii="arial" w:hAnsi="arial"/>
                <w:sz w:val="16"/>
              </w:rPr>
            </w:pPr>
            <w:r>
              <w:rPr>
                <w:rFonts w:ascii="arial" w:hAnsi="arial"/>
                <w:sz w:val="16"/>
              </w:rPr>
              <w:br/>
              <w:t>​</w:t>
            </w:r>
          </w:p>
        </w:tc>
        <w:tc>
          <w:tcPr>
            <w:tcW w:w="515" w:type="dxa"/>
            <w:gridSpan w:val="2"/>
            <w:tcBorders/>
            <w:shd w:fill="CCEEFF" w:val="clear"/>
            <w:vAlign w:val="bottom"/>
          </w:tcPr>
          <w:p>
            <w:pPr>
              <w:pStyle w:val="TableContents"/>
              <w:spacing w:lineRule="atLeast" w:line="180" w:before="0" w:after="283"/>
              <w:jc w:val="right"/>
              <w:rPr>
                <w:rFonts w:ascii="arial" w:hAnsi="arial"/>
              </w:rPr>
            </w:pPr>
            <w:r>
              <w:rPr>
                <w:rFonts w:ascii="arial" w:hAnsi="arial"/>
              </w:rPr>
              <w:br/>
            </w:r>
            <w:r>
              <w:rPr>
                <w:rFonts w:ascii="arial" w:hAnsi="arial"/>
                <w:sz w:val="16"/>
              </w:rPr>
              <w:t>14,625</w:t>
            </w:r>
          </w:p>
        </w:tc>
        <w:tc>
          <w:tcPr>
            <w:tcW w:w="725" w:type="dxa"/>
            <w:tcBorders/>
            <w:shd w:fill="CCEEFF" w:val="clear"/>
            <w:vAlign w:val="bottom"/>
          </w:tcPr>
          <w:p>
            <w:pPr>
              <w:pStyle w:val="TableContents"/>
              <w:spacing w:lineRule="atLeast" w:line="180" w:before="0" w:after="283"/>
              <w:rPr>
                <w:rFonts w:ascii="arial" w:hAnsi="arial"/>
                <w:sz w:val="16"/>
              </w:rPr>
            </w:pPr>
            <w:r>
              <w:rPr>
                <w:rFonts w:ascii="arial" w:hAnsi="arial"/>
                <w:sz w:val="16"/>
              </w:rPr>
              <w:br/>
            </w:r>
            <w:r>
              <w:rPr>
                <w:rFonts w:ascii="arial" w:hAnsi="arial"/>
                <w:sz w:val="12"/>
              </w:rPr>
              <w:t>(18)</w:t>
            </w:r>
          </w:p>
        </w:tc>
        <w:tc>
          <w:tcPr>
            <w:tcW w:w="23" w:type="dxa"/>
            <w:tcBorders/>
            <w:shd w:fill="CCEEFF" w:val="clear"/>
            <w:vAlign w:val="bottom"/>
          </w:tcPr>
          <w:p>
            <w:pPr>
              <w:pStyle w:val="TableContents"/>
              <w:spacing w:lineRule="atLeast" w:line="180" w:before="0" w:after="283"/>
              <w:rPr>
                <w:rFonts w:ascii="arial" w:hAnsi="arial"/>
                <w:sz w:val="16"/>
              </w:rPr>
            </w:pPr>
            <w:r>
              <w:rPr>
                <w:rFonts w:ascii="arial" w:hAnsi="arial"/>
                <w:sz w:val="16"/>
              </w:rPr>
              <w:br/>
              <w:t>​</w:t>
            </w:r>
          </w:p>
        </w:tc>
        <w:tc>
          <w:tcPr>
            <w:tcW w:w="26" w:type="dxa"/>
            <w:tcBorders/>
            <w:shd w:fill="CCEEFF" w:val="clear"/>
            <w:vAlign w:val="bottom"/>
          </w:tcPr>
          <w:p>
            <w:pPr>
              <w:pStyle w:val="TableContents"/>
              <w:spacing w:lineRule="atLeast" w:line="180" w:before="0" w:after="283"/>
              <w:rPr>
                <w:rFonts w:ascii="arial" w:hAnsi="arial"/>
              </w:rPr>
            </w:pPr>
            <w:r>
              <w:rPr>
                <w:rFonts w:ascii="arial" w:hAnsi="arial"/>
              </w:rPr>
              <w:br/>
              <w:t>​</w:t>
            </w:r>
          </w:p>
        </w:tc>
        <w:tc>
          <w:tcPr>
            <w:tcW w:w="128" w:type="dxa"/>
            <w:tcBorders/>
            <w:shd w:fill="CCEEFF" w:val="clear"/>
            <w:vAlign w:val="bottom"/>
          </w:tcPr>
          <w:p>
            <w:pPr>
              <w:pStyle w:val="TableContents"/>
              <w:spacing w:lineRule="atLeast" w:line="180" w:before="0" w:after="283"/>
              <w:rPr>
                <w:rFonts w:ascii="arial" w:hAnsi="arial"/>
              </w:rPr>
            </w:pPr>
            <w:r>
              <w:rPr>
                <w:rFonts w:ascii="arial" w:hAnsi="arial"/>
              </w:rPr>
              <w:br/>
            </w:r>
            <w:r>
              <w:rPr>
                <w:rFonts w:ascii="arial" w:hAnsi="arial"/>
                <w:sz w:val="16"/>
              </w:rPr>
              <w:t>$</w:t>
            </w:r>
          </w:p>
        </w:tc>
        <w:tc>
          <w:tcPr>
            <w:tcW w:w="497" w:type="dxa"/>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br/>
              <w:t>60.76</w:t>
            </w:r>
          </w:p>
        </w:tc>
        <w:tc>
          <w:tcPr>
            <w:tcW w:w="29" w:type="dxa"/>
            <w:tcBorders/>
            <w:shd w:fill="CCEEFF" w:val="clear"/>
            <w:vAlign w:val="bottom"/>
          </w:tcPr>
          <w:p>
            <w:pPr>
              <w:pStyle w:val="TableContents"/>
              <w:spacing w:lineRule="atLeast" w:line="180" w:before="0" w:after="283"/>
              <w:rPr>
                <w:rFonts w:ascii="arial" w:hAnsi="arial"/>
                <w:sz w:val="16"/>
              </w:rPr>
            </w:pPr>
            <w:r>
              <w:rPr>
                <w:rFonts w:ascii="arial" w:hAnsi="arial"/>
                <w:sz w:val="16"/>
              </w:rPr>
              <w:br/>
              <w:t>​</w:t>
            </w:r>
          </w:p>
        </w:tc>
        <w:tc>
          <w:tcPr>
            <w:tcW w:w="23" w:type="dxa"/>
            <w:tcBorders/>
            <w:shd w:fill="CCEEFF" w:val="clear"/>
            <w:vAlign w:val="bottom"/>
          </w:tcPr>
          <w:p>
            <w:pPr>
              <w:pStyle w:val="TableContents"/>
              <w:spacing w:lineRule="atLeast" w:line="180" w:before="0" w:after="283"/>
              <w:rPr>
                <w:rFonts w:ascii="arial" w:hAnsi="arial"/>
                <w:sz w:val="16"/>
              </w:rPr>
            </w:pPr>
            <w:r>
              <w:rPr>
                <w:rFonts w:ascii="arial" w:hAnsi="arial"/>
                <w:sz w:val="16"/>
              </w:rPr>
              <w:br/>
              <w:t>​</w:t>
            </w:r>
          </w:p>
        </w:tc>
        <w:tc>
          <w:tcPr>
            <w:tcW w:w="830" w:type="dxa"/>
            <w:gridSpan w:val="2"/>
            <w:tcBorders/>
            <w:shd w:fill="CCEEFF" w:val="clear"/>
            <w:vAlign w:val="bottom"/>
          </w:tcPr>
          <w:p>
            <w:pPr>
              <w:pStyle w:val="TableContents"/>
              <w:spacing w:lineRule="atLeast" w:line="180" w:before="0" w:after="283"/>
              <w:jc w:val="right"/>
              <w:rPr>
                <w:rFonts w:ascii="arial" w:hAnsi="arial"/>
              </w:rPr>
            </w:pPr>
            <w:r>
              <w:rPr>
                <w:rFonts w:ascii="arial" w:hAnsi="arial"/>
              </w:rPr>
              <w:br/>
            </w:r>
            <w:r>
              <w:rPr>
                <w:rFonts w:ascii="arial" w:hAnsi="arial"/>
                <w:sz w:val="16"/>
              </w:rPr>
              <w:t>3/12/2022</w:t>
            </w:r>
          </w:p>
        </w:tc>
        <w:tc>
          <w:tcPr>
            <w:tcW w:w="23" w:type="dxa"/>
            <w:tcBorders/>
            <w:shd w:fill="CCEEFF" w:val="clear"/>
            <w:vAlign w:val="bottom"/>
          </w:tcPr>
          <w:p>
            <w:pPr>
              <w:pStyle w:val="TableContents"/>
              <w:spacing w:lineRule="atLeast" w:line="180" w:before="0" w:after="283"/>
              <w:rPr>
                <w:rFonts w:ascii="arial" w:hAnsi="arial"/>
                <w:sz w:val="16"/>
              </w:rPr>
            </w:pPr>
            <w:r>
              <w:rPr>
                <w:rFonts w:ascii="arial" w:hAnsi="arial"/>
                <w:sz w:val="16"/>
              </w:rPr>
              <w:br/>
              <w:t>​</w:t>
            </w:r>
          </w:p>
        </w:tc>
        <w:tc>
          <w:tcPr>
            <w:tcW w:w="72" w:type="dxa"/>
            <w:tcBorders/>
            <w:shd w:fill="CCEEFF" w:val="clear"/>
            <w:vAlign w:val="bottom"/>
          </w:tcPr>
          <w:p>
            <w:pPr>
              <w:pStyle w:val="TableContents"/>
              <w:spacing w:lineRule="atLeast" w:line="180" w:before="0" w:after="283"/>
              <w:rPr>
                <w:rFonts w:ascii="arial" w:hAnsi="arial"/>
                <w:sz w:val="16"/>
              </w:rPr>
            </w:pPr>
            <w:r>
              <w:rPr>
                <w:rFonts w:ascii="arial" w:hAnsi="arial"/>
                <w:sz w:val="16"/>
              </w:rPr>
              <w:br/>
              <w:t>​</w:t>
            </w:r>
          </w:p>
        </w:tc>
        <w:tc>
          <w:tcPr>
            <w:tcW w:w="515" w:type="dxa"/>
            <w:gridSpan w:val="2"/>
            <w:tcBorders/>
            <w:shd w:fill="CCEEFF" w:val="clear"/>
            <w:vAlign w:val="bottom"/>
          </w:tcPr>
          <w:p>
            <w:pPr>
              <w:pStyle w:val="TableContents"/>
              <w:spacing w:lineRule="atLeast" w:line="180" w:before="0" w:after="283"/>
              <w:jc w:val="right"/>
              <w:rPr>
                <w:rFonts w:ascii="arial" w:hAnsi="arial"/>
              </w:rPr>
            </w:pPr>
            <w:r>
              <w:rPr>
                <w:rFonts w:ascii="arial" w:hAnsi="arial"/>
              </w:rPr>
              <w:br/>
            </w:r>
            <w:r>
              <w:rPr>
                <w:rFonts w:ascii="arial" w:hAnsi="arial"/>
                <w:sz w:val="16"/>
              </w:rPr>
              <w:t>-</w:t>
            </w:r>
          </w:p>
        </w:tc>
        <w:tc>
          <w:tcPr>
            <w:tcW w:w="584" w:type="dxa"/>
            <w:tcBorders/>
            <w:shd w:fill="CCEEFF" w:val="clear"/>
            <w:vAlign w:val="bottom"/>
          </w:tcPr>
          <w:p>
            <w:pPr>
              <w:pStyle w:val="TableContents"/>
              <w:spacing w:lineRule="atLeast" w:line="180" w:before="0" w:after="283"/>
              <w:rPr>
                <w:rFonts w:ascii="arial" w:hAnsi="arial"/>
                <w:sz w:val="16"/>
              </w:rPr>
            </w:pPr>
            <w:r>
              <w:rPr>
                <w:rFonts w:ascii="arial" w:hAnsi="arial"/>
                <w:sz w:val="16"/>
              </w:rPr>
              <w:br/>
              <w:t>​</w:t>
            </w:r>
          </w:p>
        </w:tc>
        <w:tc>
          <w:tcPr>
            <w:tcW w:w="23" w:type="dxa"/>
            <w:tcBorders/>
            <w:shd w:fill="CCEEFF" w:val="clear"/>
            <w:vAlign w:val="bottom"/>
          </w:tcPr>
          <w:p>
            <w:pPr>
              <w:pStyle w:val="TableContents"/>
              <w:spacing w:lineRule="atLeast" w:line="180" w:before="0" w:after="283"/>
              <w:rPr>
                <w:rFonts w:ascii="arial" w:hAnsi="arial"/>
                <w:sz w:val="16"/>
              </w:rPr>
            </w:pPr>
            <w:r>
              <w:rPr>
                <w:rFonts w:ascii="arial" w:hAnsi="arial"/>
                <w:sz w:val="16"/>
              </w:rPr>
              <w:br/>
              <w:t>​</w:t>
            </w:r>
          </w:p>
        </w:tc>
        <w:tc>
          <w:tcPr>
            <w:tcW w:w="45" w:type="dxa"/>
            <w:tcBorders/>
            <w:shd w:fill="CCEEFF" w:val="clear"/>
            <w:vAlign w:val="bottom"/>
          </w:tcPr>
          <w:p>
            <w:pPr>
              <w:pStyle w:val="TableContents"/>
              <w:spacing w:lineRule="atLeast" w:line="180" w:before="0" w:after="283"/>
              <w:rPr>
                <w:rFonts w:ascii="arial" w:hAnsi="arial"/>
                <w:sz w:val="16"/>
              </w:rPr>
            </w:pPr>
            <w:r>
              <w:rPr>
                <w:rFonts w:ascii="arial" w:hAnsi="arial"/>
                <w:sz w:val="16"/>
              </w:rPr>
              <w:br/>
              <w:t>​</w:t>
            </w:r>
          </w:p>
        </w:tc>
        <w:tc>
          <w:tcPr>
            <w:tcW w:w="715" w:type="dxa"/>
            <w:gridSpan w:val="2"/>
            <w:tcBorders/>
            <w:shd w:fill="CCEEFF" w:val="clear"/>
            <w:vAlign w:val="bottom"/>
          </w:tcPr>
          <w:p>
            <w:pPr>
              <w:pStyle w:val="TableContents"/>
              <w:spacing w:lineRule="atLeast" w:line="180" w:before="0" w:after="283"/>
              <w:jc w:val="right"/>
              <w:rPr>
                <w:rFonts w:ascii="arial" w:hAnsi="arial"/>
              </w:rPr>
            </w:pPr>
            <w:r>
              <w:rPr>
                <w:rFonts w:ascii="arial" w:hAnsi="arial"/>
              </w:rPr>
              <w:br/>
            </w:r>
            <w:r>
              <w:rPr>
                <w:rFonts w:ascii="arial" w:hAnsi="arial"/>
                <w:sz w:val="16"/>
              </w:rPr>
              <w:t>-</w:t>
            </w:r>
          </w:p>
        </w:tc>
        <w:tc>
          <w:tcPr>
            <w:tcW w:w="40" w:type="dxa"/>
            <w:tcBorders/>
            <w:shd w:fill="CCEEFF" w:val="clear"/>
            <w:vAlign w:val="bottom"/>
          </w:tcPr>
          <w:p>
            <w:pPr>
              <w:pStyle w:val="TableContents"/>
              <w:spacing w:lineRule="atLeast" w:line="180" w:before="0" w:after="283"/>
              <w:rPr>
                <w:rFonts w:ascii="arial" w:hAnsi="arial"/>
                <w:sz w:val="16"/>
              </w:rPr>
            </w:pPr>
            <w:r>
              <w:rPr>
                <w:rFonts w:ascii="arial" w:hAnsi="arial"/>
                <w:sz w:val="16"/>
              </w:rPr>
              <w:br/>
              <w:t>​</w:t>
            </w:r>
          </w:p>
        </w:tc>
        <w:tc>
          <w:tcPr>
            <w:tcW w:w="23" w:type="dxa"/>
            <w:tcBorders/>
            <w:shd w:fill="CCEEFF" w:val="clear"/>
            <w:vAlign w:val="bottom"/>
          </w:tcPr>
          <w:p>
            <w:pPr>
              <w:pStyle w:val="TableContents"/>
              <w:spacing w:lineRule="atLeast" w:line="180" w:before="0" w:after="283"/>
              <w:rPr>
                <w:rFonts w:ascii="arial" w:hAnsi="arial"/>
                <w:sz w:val="16"/>
              </w:rPr>
            </w:pPr>
            <w:r>
              <w:rPr>
                <w:rFonts w:ascii="arial" w:hAnsi="arial"/>
                <w:sz w:val="16"/>
              </w:rPr>
              <w:br/>
              <w:t>​</w:t>
            </w:r>
          </w:p>
        </w:tc>
        <w:tc>
          <w:tcPr>
            <w:tcW w:w="80" w:type="dxa"/>
            <w:tcBorders/>
            <w:shd w:fill="CCEEFF" w:val="clear"/>
            <w:vAlign w:val="bottom"/>
          </w:tcPr>
          <w:p>
            <w:pPr>
              <w:pStyle w:val="TableContents"/>
              <w:spacing w:lineRule="atLeast" w:line="180" w:before="0" w:after="283"/>
              <w:rPr>
                <w:rFonts w:ascii="arial" w:hAnsi="arial"/>
                <w:sz w:val="16"/>
              </w:rPr>
            </w:pPr>
            <w:r>
              <w:rPr>
                <w:rFonts w:ascii="arial" w:hAnsi="arial"/>
                <w:sz w:val="16"/>
              </w:rPr>
              <w:br/>
              <w:t>​</w:t>
            </w:r>
          </w:p>
        </w:tc>
        <w:tc>
          <w:tcPr>
            <w:tcW w:w="515" w:type="dxa"/>
            <w:gridSpan w:val="2"/>
            <w:tcBorders/>
            <w:shd w:fill="CCEEFF" w:val="clear"/>
            <w:vAlign w:val="bottom"/>
          </w:tcPr>
          <w:p>
            <w:pPr>
              <w:pStyle w:val="TableContents"/>
              <w:spacing w:lineRule="atLeast" w:line="180" w:before="0" w:after="283"/>
              <w:jc w:val="right"/>
              <w:rPr>
                <w:rFonts w:ascii="arial" w:hAnsi="arial"/>
              </w:rPr>
            </w:pPr>
            <w:r>
              <w:rPr>
                <w:rFonts w:ascii="arial" w:hAnsi="arial"/>
              </w:rPr>
              <w:br/>
            </w:r>
            <w:r>
              <w:rPr>
                <w:rFonts w:ascii="arial" w:hAnsi="arial"/>
                <w:sz w:val="16"/>
              </w:rPr>
              <w:t>-</w:t>
            </w:r>
          </w:p>
        </w:tc>
        <w:tc>
          <w:tcPr>
            <w:tcW w:w="650" w:type="dxa"/>
            <w:tcBorders/>
            <w:shd w:fill="CCEEFF" w:val="clear"/>
            <w:vAlign w:val="bottom"/>
          </w:tcPr>
          <w:p>
            <w:pPr>
              <w:pStyle w:val="TableContents"/>
              <w:spacing w:lineRule="atLeast" w:line="180" w:before="0" w:after="283"/>
              <w:rPr>
                <w:rFonts w:ascii="arial" w:hAnsi="arial"/>
                <w:sz w:val="16"/>
              </w:rPr>
            </w:pPr>
            <w:r>
              <w:rPr>
                <w:rFonts w:ascii="arial" w:hAnsi="arial"/>
                <w:sz w:val="16"/>
              </w:rPr>
              <w:br/>
              <w:t>​</w:t>
            </w:r>
          </w:p>
        </w:tc>
        <w:tc>
          <w:tcPr>
            <w:tcW w:w="23" w:type="dxa"/>
            <w:tcBorders/>
            <w:shd w:fill="CCEEFF" w:val="clear"/>
            <w:vAlign w:val="bottom"/>
          </w:tcPr>
          <w:p>
            <w:pPr>
              <w:pStyle w:val="TableContents"/>
              <w:spacing w:lineRule="atLeast" w:line="180" w:before="0" w:after="283"/>
              <w:rPr>
                <w:rFonts w:ascii="arial" w:hAnsi="arial"/>
                <w:sz w:val="16"/>
              </w:rPr>
            </w:pPr>
            <w:r>
              <w:rPr>
                <w:rFonts w:ascii="arial" w:hAnsi="arial"/>
                <w:sz w:val="16"/>
              </w:rPr>
              <w:br/>
              <w:t>​</w:t>
            </w:r>
          </w:p>
        </w:tc>
        <w:tc>
          <w:tcPr>
            <w:tcW w:w="23" w:type="dxa"/>
            <w:tcBorders/>
            <w:shd w:fill="CCEEFF" w:val="clear"/>
            <w:vAlign w:val="bottom"/>
          </w:tcPr>
          <w:p>
            <w:pPr>
              <w:pStyle w:val="TableContents"/>
              <w:spacing w:lineRule="atLeast" w:line="180" w:before="0" w:after="283"/>
              <w:rPr>
                <w:rFonts w:ascii="arial" w:hAnsi="arial"/>
                <w:sz w:val="16"/>
              </w:rPr>
            </w:pPr>
            <w:r>
              <w:rPr>
                <w:rFonts w:ascii="arial" w:hAnsi="arial"/>
                <w:sz w:val="16"/>
              </w:rPr>
              <w:br/>
              <w:t>​</w:t>
            </w:r>
          </w:p>
        </w:tc>
        <w:tc>
          <w:tcPr>
            <w:tcW w:w="737" w:type="dxa"/>
            <w:gridSpan w:val="2"/>
            <w:tcBorders/>
            <w:shd w:fill="CCEEFF" w:val="clear"/>
            <w:vAlign w:val="bottom"/>
          </w:tcPr>
          <w:p>
            <w:pPr>
              <w:pStyle w:val="TableContents"/>
              <w:spacing w:lineRule="atLeast" w:line="180" w:before="0" w:after="283"/>
              <w:jc w:val="right"/>
              <w:rPr>
                <w:rFonts w:ascii="arial" w:hAnsi="arial"/>
              </w:rPr>
            </w:pPr>
            <w:r>
              <w:rPr>
                <w:rFonts w:ascii="arial" w:hAnsi="arial"/>
              </w:rPr>
              <w:br/>
            </w:r>
            <w:r>
              <w:rPr>
                <w:rFonts w:ascii="arial" w:hAnsi="arial"/>
                <w:sz w:val="16"/>
              </w:rPr>
              <w:t>-</w:t>
            </w:r>
          </w:p>
        </w:tc>
        <w:tc>
          <w:tcPr>
            <w:tcW w:w="25" w:type="dxa"/>
            <w:tcBorders/>
            <w:shd w:fill="CCEEFF" w:val="clear"/>
            <w:vAlign w:val="bottom"/>
          </w:tcPr>
          <w:p>
            <w:pPr>
              <w:pStyle w:val="TableContents"/>
              <w:spacing w:lineRule="atLeast" w:line="180" w:before="0" w:after="283"/>
              <w:rPr>
                <w:rFonts w:ascii="arial" w:hAnsi="arial"/>
                <w:sz w:val="16"/>
              </w:rPr>
            </w:pPr>
            <w:r>
              <w:rPr>
                <w:rFonts w:ascii="arial" w:hAnsi="arial"/>
                <w:sz w:val="16"/>
              </w:rPr>
              <w:br/>
              <w:t>​</w:t>
            </w:r>
          </w:p>
        </w:tc>
        <w:tc>
          <w:tcPr>
            <w:tcW w:w="23" w:type="dxa"/>
            <w:tcBorders/>
            <w:shd w:fill="CCEEFF" w:val="clear"/>
            <w:vAlign w:val="bottom"/>
          </w:tcPr>
          <w:p>
            <w:pPr>
              <w:pStyle w:val="TableContents"/>
              <w:spacing w:lineRule="atLeast" w:line="180" w:before="0" w:after="283"/>
              <w:rPr>
                <w:rFonts w:ascii="arial" w:hAnsi="arial"/>
                <w:sz w:val="16"/>
              </w:rPr>
            </w:pPr>
            <w:r>
              <w:rPr>
                <w:rFonts w:ascii="arial" w:hAnsi="arial"/>
                <w:sz w:val="16"/>
              </w:rPr>
              <w:br/>
              <w:t>​</w:t>
            </w:r>
          </w:p>
        </w:tc>
      </w:tr>
      <w:tr>
        <w:trPr/>
        <w:tc>
          <w:tcPr>
            <w:tcW w:w="725" w:type="dxa"/>
            <w:tcBorders/>
            <w:shd w:fill="CCEEFF" w:val="clear"/>
            <w:vAlign w:val="bottom"/>
          </w:tcPr>
          <w:p>
            <w:pPr>
              <w:pStyle w:val="TableContents"/>
              <w:spacing w:lineRule="atLeast" w:line="180" w:before="0" w:after="283"/>
              <w:rPr/>
            </w:pPr>
            <w:r>
              <w:rPr/>
              <w:t> </w:t>
            </w:r>
          </w:p>
        </w:tc>
        <w:tc>
          <w:tcPr>
            <w:tcW w:w="23" w:type="dxa"/>
            <w:tcBorders/>
            <w:shd w:fill="CCEEFF" w:val="clear"/>
            <w:vAlign w:val="bottom"/>
          </w:tcPr>
          <w:p>
            <w:pPr>
              <w:pStyle w:val="TableContents"/>
              <w:spacing w:lineRule="atLeast" w:line="180" w:before="0" w:after="283"/>
              <w:rPr/>
            </w:pPr>
            <w:r>
              <w:rPr/>
              <w:t>​</w:t>
            </w:r>
          </w:p>
        </w:tc>
        <w:tc>
          <w:tcPr>
            <w:tcW w:w="248"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29,250</w:t>
            </w:r>
          </w:p>
        </w:tc>
        <w:tc>
          <w:tcPr>
            <w:tcW w:w="251"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39"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6" w:type="dxa"/>
            <w:tcBorders/>
            <w:shd w:fill="CCEEFF" w:val="clear"/>
            <w:vAlign w:val="bottom"/>
          </w:tcPr>
          <w:p>
            <w:pPr>
              <w:pStyle w:val="TableContents"/>
              <w:spacing w:lineRule="atLeast" w:line="180" w:before="0" w:after="283"/>
              <w:rPr/>
            </w:pPr>
            <w:r>
              <w:rPr/>
              <w:t>​</w:t>
            </w:r>
          </w:p>
        </w:tc>
        <w:tc>
          <w:tcPr>
            <w:tcW w:w="128" w:type="dxa"/>
            <w:tcBorders/>
            <w:shd w:fill="CCEEFF" w:val="clear"/>
            <w:vAlign w:val="bottom"/>
          </w:tcPr>
          <w:p>
            <w:pPr>
              <w:pStyle w:val="TableContents"/>
              <w:spacing w:lineRule="atLeast" w:line="180" w:before="0" w:after="283"/>
              <w:rPr>
                <w:rFonts w:ascii="arial" w:hAnsi="arial"/>
                <w:sz w:val="16"/>
              </w:rPr>
            </w:pPr>
            <w:r>
              <w:rPr>
                <w:rFonts w:ascii="arial" w:hAnsi="arial"/>
                <w:sz w:val="16"/>
              </w:rPr>
              <w:t>$</w:t>
            </w:r>
          </w:p>
        </w:tc>
        <w:tc>
          <w:tcPr>
            <w:tcW w:w="497" w:type="dxa"/>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60.76</w:t>
            </w:r>
          </w:p>
        </w:tc>
        <w:tc>
          <w:tcPr>
            <w:tcW w:w="29"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3/12/2022</w:t>
            </w:r>
          </w:p>
        </w:tc>
        <w:tc>
          <w:tcPr>
            <w:tcW w:w="23" w:type="dxa"/>
            <w:tcBorders/>
            <w:shd w:fill="CCEEFF" w:val="clear"/>
            <w:vAlign w:val="bottom"/>
          </w:tcPr>
          <w:p>
            <w:pPr>
              <w:pStyle w:val="TableContents"/>
              <w:spacing w:lineRule="atLeast" w:line="180" w:before="0" w:after="283"/>
              <w:rPr/>
            </w:pPr>
            <w:r>
              <w:rPr/>
              <w:t>​</w:t>
            </w:r>
          </w:p>
        </w:tc>
        <w:tc>
          <w:tcPr>
            <w:tcW w:w="72"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584"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45" w:type="dxa"/>
            <w:tcBorders/>
            <w:shd w:fill="CCEEFF" w:val="clear"/>
            <w:vAlign w:val="bottom"/>
          </w:tcPr>
          <w:p>
            <w:pPr>
              <w:pStyle w:val="TableContents"/>
              <w:spacing w:lineRule="atLeast" w:line="180" w:before="0" w:after="283"/>
              <w:rPr/>
            </w:pPr>
            <w:r>
              <w:rPr/>
              <w:t>​</w:t>
            </w:r>
          </w:p>
        </w:tc>
        <w:tc>
          <w:tcPr>
            <w:tcW w:w="7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4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65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737"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r>
      <w:tr>
        <w:trPr/>
        <w:tc>
          <w:tcPr>
            <w:tcW w:w="725" w:type="dxa"/>
            <w:tcBorders/>
            <w:shd w:fill="CCEEFF" w:val="clear"/>
            <w:vAlign w:val="bottom"/>
          </w:tcPr>
          <w:p>
            <w:pPr>
              <w:pStyle w:val="TableContents"/>
              <w:spacing w:lineRule="atLeast" w:line="180" w:before="0" w:after="283"/>
              <w:rPr/>
            </w:pPr>
            <w:r>
              <w:rPr/>
              <w:t> </w:t>
            </w:r>
          </w:p>
        </w:tc>
        <w:tc>
          <w:tcPr>
            <w:tcW w:w="23" w:type="dxa"/>
            <w:tcBorders/>
            <w:shd w:fill="CCEEFF" w:val="clear"/>
            <w:vAlign w:val="bottom"/>
          </w:tcPr>
          <w:p>
            <w:pPr>
              <w:pStyle w:val="TableContents"/>
              <w:spacing w:lineRule="atLeast" w:line="180" w:before="0" w:after="283"/>
              <w:rPr/>
            </w:pPr>
            <w:r>
              <w:rPr/>
              <w:t>​</w:t>
            </w:r>
          </w:p>
        </w:tc>
        <w:tc>
          <w:tcPr>
            <w:tcW w:w="248"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14,625</w:t>
            </w:r>
          </w:p>
        </w:tc>
        <w:tc>
          <w:tcPr>
            <w:tcW w:w="251"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39"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6" w:type="dxa"/>
            <w:tcBorders/>
            <w:shd w:fill="CCEEFF" w:val="clear"/>
            <w:vAlign w:val="bottom"/>
          </w:tcPr>
          <w:p>
            <w:pPr>
              <w:pStyle w:val="TableContents"/>
              <w:spacing w:lineRule="atLeast" w:line="180" w:before="0" w:after="283"/>
              <w:rPr/>
            </w:pPr>
            <w:r>
              <w:rPr/>
              <w:t>​</w:t>
            </w:r>
          </w:p>
        </w:tc>
        <w:tc>
          <w:tcPr>
            <w:tcW w:w="128" w:type="dxa"/>
            <w:tcBorders/>
            <w:shd w:fill="CCEEFF" w:val="clear"/>
            <w:vAlign w:val="bottom"/>
          </w:tcPr>
          <w:p>
            <w:pPr>
              <w:pStyle w:val="TableContents"/>
              <w:spacing w:lineRule="atLeast" w:line="180" w:before="0" w:after="283"/>
              <w:rPr>
                <w:rFonts w:ascii="arial" w:hAnsi="arial"/>
                <w:sz w:val="16"/>
              </w:rPr>
            </w:pPr>
            <w:r>
              <w:rPr>
                <w:rFonts w:ascii="arial" w:hAnsi="arial"/>
                <w:sz w:val="16"/>
              </w:rPr>
              <w:t>$</w:t>
            </w:r>
          </w:p>
        </w:tc>
        <w:tc>
          <w:tcPr>
            <w:tcW w:w="497" w:type="dxa"/>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60.76</w:t>
            </w:r>
          </w:p>
        </w:tc>
        <w:tc>
          <w:tcPr>
            <w:tcW w:w="29"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3/12/2022</w:t>
            </w:r>
          </w:p>
        </w:tc>
        <w:tc>
          <w:tcPr>
            <w:tcW w:w="23" w:type="dxa"/>
            <w:tcBorders/>
            <w:shd w:fill="CCEEFF" w:val="clear"/>
            <w:vAlign w:val="bottom"/>
          </w:tcPr>
          <w:p>
            <w:pPr>
              <w:pStyle w:val="TableContents"/>
              <w:spacing w:lineRule="atLeast" w:line="180" w:before="0" w:after="283"/>
              <w:rPr/>
            </w:pPr>
            <w:r>
              <w:rPr/>
              <w:t>​</w:t>
            </w:r>
          </w:p>
        </w:tc>
        <w:tc>
          <w:tcPr>
            <w:tcW w:w="72"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584"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45" w:type="dxa"/>
            <w:tcBorders/>
            <w:shd w:fill="CCEEFF" w:val="clear"/>
            <w:vAlign w:val="bottom"/>
          </w:tcPr>
          <w:p>
            <w:pPr>
              <w:pStyle w:val="TableContents"/>
              <w:spacing w:lineRule="atLeast" w:line="180" w:before="0" w:after="283"/>
              <w:rPr/>
            </w:pPr>
            <w:r>
              <w:rPr/>
              <w:t>​</w:t>
            </w:r>
          </w:p>
        </w:tc>
        <w:tc>
          <w:tcPr>
            <w:tcW w:w="7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4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65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737"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r>
      <w:tr>
        <w:trPr/>
        <w:tc>
          <w:tcPr>
            <w:tcW w:w="725" w:type="dxa"/>
            <w:tcBorders/>
            <w:shd w:fill="CCEEFF" w:val="clear"/>
            <w:vAlign w:val="bottom"/>
          </w:tcPr>
          <w:p>
            <w:pPr>
              <w:pStyle w:val="TableContents"/>
              <w:spacing w:lineRule="atLeast" w:line="180" w:before="0" w:after="283"/>
              <w:rPr/>
            </w:pPr>
            <w:r>
              <w:rPr/>
              <w:t> </w:t>
            </w:r>
          </w:p>
        </w:tc>
        <w:tc>
          <w:tcPr>
            <w:tcW w:w="23" w:type="dxa"/>
            <w:tcBorders/>
            <w:shd w:fill="CCEEFF" w:val="clear"/>
            <w:vAlign w:val="bottom"/>
          </w:tcPr>
          <w:p>
            <w:pPr>
              <w:pStyle w:val="TableContents"/>
              <w:spacing w:lineRule="atLeast" w:line="180" w:before="0" w:after="283"/>
              <w:rPr/>
            </w:pPr>
            <w:r>
              <w:rPr/>
              <w:t>​</w:t>
            </w:r>
          </w:p>
        </w:tc>
        <w:tc>
          <w:tcPr>
            <w:tcW w:w="248"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1"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39"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6,250</w:t>
            </w:r>
          </w:p>
        </w:tc>
        <w:tc>
          <w:tcPr>
            <w:tcW w:w="725" w:type="dxa"/>
            <w:tcBorders/>
            <w:shd w:fill="CCEEFF" w:val="clear"/>
            <w:vAlign w:val="bottom"/>
          </w:tcPr>
          <w:p>
            <w:pPr>
              <w:pStyle w:val="TableContents"/>
              <w:spacing w:lineRule="atLeast" w:line="180" w:before="0" w:after="283"/>
              <w:rPr>
                <w:rFonts w:ascii="arial" w:hAnsi="arial"/>
                <w:sz w:val="12"/>
              </w:rPr>
            </w:pPr>
            <w:r>
              <w:rPr>
                <w:rFonts w:ascii="arial" w:hAnsi="arial"/>
                <w:sz w:val="12"/>
              </w:rPr>
              <w:t>(19)</w:t>
            </w:r>
          </w:p>
        </w:tc>
        <w:tc>
          <w:tcPr>
            <w:tcW w:w="23" w:type="dxa"/>
            <w:tcBorders/>
            <w:shd w:fill="CCEEFF" w:val="clear"/>
            <w:vAlign w:val="bottom"/>
          </w:tcPr>
          <w:p>
            <w:pPr>
              <w:pStyle w:val="TableContents"/>
              <w:spacing w:lineRule="atLeast" w:line="180" w:before="0" w:after="283"/>
              <w:rPr/>
            </w:pPr>
            <w:r>
              <w:rPr/>
              <w:t>​</w:t>
            </w:r>
          </w:p>
        </w:tc>
        <w:tc>
          <w:tcPr>
            <w:tcW w:w="26" w:type="dxa"/>
            <w:tcBorders/>
            <w:shd w:fill="CCEEFF" w:val="clear"/>
            <w:vAlign w:val="bottom"/>
          </w:tcPr>
          <w:p>
            <w:pPr>
              <w:pStyle w:val="TableContents"/>
              <w:spacing w:lineRule="atLeast" w:line="180" w:before="0" w:after="283"/>
              <w:rPr/>
            </w:pPr>
            <w:r>
              <w:rPr/>
              <w:t>​</w:t>
            </w:r>
          </w:p>
        </w:tc>
        <w:tc>
          <w:tcPr>
            <w:tcW w:w="128" w:type="dxa"/>
            <w:tcBorders/>
            <w:shd w:fill="CCEEFF" w:val="clear"/>
            <w:vAlign w:val="bottom"/>
          </w:tcPr>
          <w:p>
            <w:pPr>
              <w:pStyle w:val="TableContents"/>
              <w:spacing w:lineRule="atLeast" w:line="180" w:before="0" w:after="283"/>
              <w:rPr>
                <w:rFonts w:ascii="arial" w:hAnsi="arial"/>
                <w:sz w:val="16"/>
              </w:rPr>
            </w:pPr>
            <w:r>
              <w:rPr>
                <w:rFonts w:ascii="arial" w:hAnsi="arial"/>
                <w:sz w:val="16"/>
              </w:rPr>
              <w:t>$</w:t>
            </w:r>
          </w:p>
        </w:tc>
        <w:tc>
          <w:tcPr>
            <w:tcW w:w="497" w:type="dxa"/>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21.89</w:t>
            </w:r>
          </w:p>
        </w:tc>
        <w:tc>
          <w:tcPr>
            <w:tcW w:w="29"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2/10/2025</w:t>
            </w:r>
          </w:p>
        </w:tc>
        <w:tc>
          <w:tcPr>
            <w:tcW w:w="23" w:type="dxa"/>
            <w:tcBorders/>
            <w:shd w:fill="CCEEFF" w:val="clear"/>
            <w:vAlign w:val="bottom"/>
          </w:tcPr>
          <w:p>
            <w:pPr>
              <w:pStyle w:val="TableContents"/>
              <w:spacing w:lineRule="atLeast" w:line="180" w:before="0" w:after="283"/>
              <w:rPr/>
            </w:pPr>
            <w:r>
              <w:rPr/>
              <w:t>​</w:t>
            </w:r>
          </w:p>
        </w:tc>
        <w:tc>
          <w:tcPr>
            <w:tcW w:w="72"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584"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45" w:type="dxa"/>
            <w:tcBorders/>
            <w:shd w:fill="CCEEFF" w:val="clear"/>
            <w:vAlign w:val="bottom"/>
          </w:tcPr>
          <w:p>
            <w:pPr>
              <w:pStyle w:val="TableContents"/>
              <w:spacing w:lineRule="atLeast" w:line="180" w:before="0" w:after="283"/>
              <w:rPr/>
            </w:pPr>
            <w:r>
              <w:rPr/>
              <w:t>​</w:t>
            </w:r>
          </w:p>
        </w:tc>
        <w:tc>
          <w:tcPr>
            <w:tcW w:w="7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4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65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737"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r>
      <w:tr>
        <w:trPr/>
        <w:tc>
          <w:tcPr>
            <w:tcW w:w="725" w:type="dxa"/>
            <w:tcBorders/>
            <w:shd w:fill="CCEEFF" w:val="clear"/>
            <w:vAlign w:val="bottom"/>
          </w:tcPr>
          <w:p>
            <w:pPr>
              <w:pStyle w:val="TableContents"/>
              <w:spacing w:lineRule="atLeast" w:line="180" w:before="0" w:after="283"/>
              <w:rPr/>
            </w:pPr>
            <w:r>
              <w:rPr/>
              <w:t> </w:t>
            </w:r>
          </w:p>
        </w:tc>
        <w:tc>
          <w:tcPr>
            <w:tcW w:w="23" w:type="dxa"/>
            <w:tcBorders/>
            <w:shd w:fill="CCEEFF" w:val="clear"/>
            <w:vAlign w:val="bottom"/>
          </w:tcPr>
          <w:p>
            <w:pPr>
              <w:pStyle w:val="TableContents"/>
              <w:spacing w:lineRule="atLeast" w:line="180" w:before="0" w:after="283"/>
              <w:rPr/>
            </w:pPr>
            <w:r>
              <w:rPr/>
              <w:t>​</w:t>
            </w:r>
          </w:p>
        </w:tc>
        <w:tc>
          <w:tcPr>
            <w:tcW w:w="248"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12,500</w:t>
            </w:r>
          </w:p>
        </w:tc>
        <w:tc>
          <w:tcPr>
            <w:tcW w:w="251"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39"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6" w:type="dxa"/>
            <w:tcBorders/>
            <w:shd w:fill="CCEEFF" w:val="clear"/>
            <w:vAlign w:val="bottom"/>
          </w:tcPr>
          <w:p>
            <w:pPr>
              <w:pStyle w:val="TableContents"/>
              <w:spacing w:lineRule="atLeast" w:line="180" w:before="0" w:after="283"/>
              <w:rPr/>
            </w:pPr>
            <w:r>
              <w:rPr/>
              <w:t>​</w:t>
            </w:r>
          </w:p>
        </w:tc>
        <w:tc>
          <w:tcPr>
            <w:tcW w:w="128" w:type="dxa"/>
            <w:tcBorders/>
            <w:shd w:fill="CCEEFF" w:val="clear"/>
            <w:vAlign w:val="bottom"/>
          </w:tcPr>
          <w:p>
            <w:pPr>
              <w:pStyle w:val="TableContents"/>
              <w:spacing w:lineRule="atLeast" w:line="180" w:before="0" w:after="283"/>
              <w:rPr>
                <w:rFonts w:ascii="arial" w:hAnsi="arial"/>
                <w:sz w:val="16"/>
              </w:rPr>
            </w:pPr>
            <w:r>
              <w:rPr>
                <w:rFonts w:ascii="arial" w:hAnsi="arial"/>
                <w:sz w:val="16"/>
              </w:rPr>
              <w:t>$</w:t>
            </w:r>
          </w:p>
        </w:tc>
        <w:tc>
          <w:tcPr>
            <w:tcW w:w="497" w:type="dxa"/>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21.89</w:t>
            </w:r>
          </w:p>
        </w:tc>
        <w:tc>
          <w:tcPr>
            <w:tcW w:w="29"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2/10/2025</w:t>
            </w:r>
          </w:p>
        </w:tc>
        <w:tc>
          <w:tcPr>
            <w:tcW w:w="23" w:type="dxa"/>
            <w:tcBorders/>
            <w:shd w:fill="CCEEFF" w:val="clear"/>
            <w:vAlign w:val="bottom"/>
          </w:tcPr>
          <w:p>
            <w:pPr>
              <w:pStyle w:val="TableContents"/>
              <w:spacing w:lineRule="atLeast" w:line="180" w:before="0" w:after="283"/>
              <w:rPr/>
            </w:pPr>
            <w:r>
              <w:rPr/>
              <w:t>​</w:t>
            </w:r>
          </w:p>
        </w:tc>
        <w:tc>
          <w:tcPr>
            <w:tcW w:w="72"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584"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45" w:type="dxa"/>
            <w:tcBorders/>
            <w:shd w:fill="CCEEFF" w:val="clear"/>
            <w:vAlign w:val="bottom"/>
          </w:tcPr>
          <w:p>
            <w:pPr>
              <w:pStyle w:val="TableContents"/>
              <w:spacing w:lineRule="atLeast" w:line="180" w:before="0" w:after="283"/>
              <w:rPr/>
            </w:pPr>
            <w:r>
              <w:rPr/>
              <w:t>​</w:t>
            </w:r>
          </w:p>
        </w:tc>
        <w:tc>
          <w:tcPr>
            <w:tcW w:w="7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4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65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737"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r>
      <w:tr>
        <w:trPr/>
        <w:tc>
          <w:tcPr>
            <w:tcW w:w="725" w:type="dxa"/>
            <w:tcBorders/>
            <w:shd w:fill="CCEEFF" w:val="clear"/>
            <w:vAlign w:val="bottom"/>
          </w:tcPr>
          <w:p>
            <w:pPr>
              <w:pStyle w:val="TableContents"/>
              <w:spacing w:lineRule="atLeast" w:line="180" w:before="0" w:after="283"/>
              <w:rPr/>
            </w:pPr>
            <w:r>
              <w:rPr/>
              <w:t> </w:t>
            </w:r>
          </w:p>
        </w:tc>
        <w:tc>
          <w:tcPr>
            <w:tcW w:w="23" w:type="dxa"/>
            <w:tcBorders/>
            <w:shd w:fill="CCEEFF" w:val="clear"/>
            <w:vAlign w:val="bottom"/>
          </w:tcPr>
          <w:p>
            <w:pPr>
              <w:pStyle w:val="TableContents"/>
              <w:spacing w:lineRule="atLeast" w:line="180" w:before="0" w:after="283"/>
              <w:rPr/>
            </w:pPr>
            <w:r>
              <w:rPr/>
              <w:t>​</w:t>
            </w:r>
          </w:p>
        </w:tc>
        <w:tc>
          <w:tcPr>
            <w:tcW w:w="248"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6,250</w:t>
            </w:r>
          </w:p>
        </w:tc>
        <w:tc>
          <w:tcPr>
            <w:tcW w:w="251"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39"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6" w:type="dxa"/>
            <w:tcBorders/>
            <w:shd w:fill="CCEEFF" w:val="clear"/>
            <w:vAlign w:val="bottom"/>
          </w:tcPr>
          <w:p>
            <w:pPr>
              <w:pStyle w:val="TableContents"/>
              <w:spacing w:lineRule="atLeast" w:line="180" w:before="0" w:after="283"/>
              <w:rPr/>
            </w:pPr>
            <w:r>
              <w:rPr/>
              <w:t>​</w:t>
            </w:r>
          </w:p>
        </w:tc>
        <w:tc>
          <w:tcPr>
            <w:tcW w:w="128" w:type="dxa"/>
            <w:tcBorders/>
            <w:shd w:fill="CCEEFF" w:val="clear"/>
            <w:vAlign w:val="bottom"/>
          </w:tcPr>
          <w:p>
            <w:pPr>
              <w:pStyle w:val="TableContents"/>
              <w:spacing w:lineRule="atLeast" w:line="180" w:before="0" w:after="283"/>
              <w:rPr>
                <w:rFonts w:ascii="arial" w:hAnsi="arial"/>
                <w:sz w:val="16"/>
              </w:rPr>
            </w:pPr>
            <w:r>
              <w:rPr>
                <w:rFonts w:ascii="arial" w:hAnsi="arial"/>
                <w:sz w:val="16"/>
              </w:rPr>
              <w:t>$</w:t>
            </w:r>
          </w:p>
        </w:tc>
        <w:tc>
          <w:tcPr>
            <w:tcW w:w="497" w:type="dxa"/>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21.89</w:t>
            </w:r>
          </w:p>
        </w:tc>
        <w:tc>
          <w:tcPr>
            <w:tcW w:w="29"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2/10/2025</w:t>
            </w:r>
          </w:p>
        </w:tc>
        <w:tc>
          <w:tcPr>
            <w:tcW w:w="23" w:type="dxa"/>
            <w:tcBorders/>
            <w:shd w:fill="CCEEFF" w:val="clear"/>
            <w:vAlign w:val="bottom"/>
          </w:tcPr>
          <w:p>
            <w:pPr>
              <w:pStyle w:val="TableContents"/>
              <w:spacing w:lineRule="atLeast" w:line="180" w:before="0" w:after="283"/>
              <w:rPr/>
            </w:pPr>
            <w:r>
              <w:rPr/>
              <w:t>​</w:t>
            </w:r>
          </w:p>
        </w:tc>
        <w:tc>
          <w:tcPr>
            <w:tcW w:w="72"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584"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45" w:type="dxa"/>
            <w:tcBorders/>
            <w:shd w:fill="CCEEFF" w:val="clear"/>
            <w:vAlign w:val="bottom"/>
          </w:tcPr>
          <w:p>
            <w:pPr>
              <w:pStyle w:val="TableContents"/>
              <w:spacing w:lineRule="atLeast" w:line="180" w:before="0" w:after="283"/>
              <w:rPr/>
            </w:pPr>
            <w:r>
              <w:rPr/>
              <w:t>​</w:t>
            </w:r>
          </w:p>
        </w:tc>
        <w:tc>
          <w:tcPr>
            <w:tcW w:w="7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4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65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737"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r>
      <w:tr>
        <w:trPr/>
        <w:tc>
          <w:tcPr>
            <w:tcW w:w="725" w:type="dxa"/>
            <w:tcBorders/>
            <w:shd w:fill="CCEEFF" w:val="clear"/>
            <w:vAlign w:val="bottom"/>
          </w:tcPr>
          <w:p>
            <w:pPr>
              <w:pStyle w:val="TableContents"/>
              <w:spacing w:lineRule="atLeast" w:line="180" w:before="0" w:after="283"/>
              <w:rPr/>
            </w:pPr>
            <w:r>
              <w:rPr/>
              <w:t> </w:t>
            </w:r>
          </w:p>
        </w:tc>
        <w:tc>
          <w:tcPr>
            <w:tcW w:w="23" w:type="dxa"/>
            <w:tcBorders/>
            <w:shd w:fill="CCEEFF" w:val="clear"/>
            <w:vAlign w:val="bottom"/>
          </w:tcPr>
          <w:p>
            <w:pPr>
              <w:pStyle w:val="TableContents"/>
              <w:spacing w:lineRule="atLeast" w:line="180" w:before="0" w:after="283"/>
              <w:rPr/>
            </w:pPr>
            <w:r>
              <w:rPr/>
              <w:t>​</w:t>
            </w:r>
          </w:p>
        </w:tc>
        <w:tc>
          <w:tcPr>
            <w:tcW w:w="248"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13,400</w:t>
            </w:r>
          </w:p>
        </w:tc>
        <w:tc>
          <w:tcPr>
            <w:tcW w:w="251"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39"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6" w:type="dxa"/>
            <w:tcBorders/>
            <w:shd w:fill="CCEEFF" w:val="clear"/>
            <w:vAlign w:val="bottom"/>
          </w:tcPr>
          <w:p>
            <w:pPr>
              <w:pStyle w:val="TableContents"/>
              <w:spacing w:lineRule="atLeast" w:line="180" w:before="0" w:after="283"/>
              <w:rPr/>
            </w:pPr>
            <w:r>
              <w:rPr/>
              <w:t>​</w:t>
            </w:r>
          </w:p>
        </w:tc>
        <w:tc>
          <w:tcPr>
            <w:tcW w:w="128" w:type="dxa"/>
            <w:tcBorders/>
            <w:shd w:fill="CCEEFF" w:val="clear"/>
            <w:vAlign w:val="bottom"/>
          </w:tcPr>
          <w:p>
            <w:pPr>
              <w:pStyle w:val="TableContents"/>
              <w:spacing w:lineRule="atLeast" w:line="180" w:before="0" w:after="283"/>
              <w:rPr>
                <w:rFonts w:ascii="arial" w:hAnsi="arial"/>
                <w:sz w:val="16"/>
              </w:rPr>
            </w:pPr>
            <w:r>
              <w:rPr>
                <w:rFonts w:ascii="arial" w:hAnsi="arial"/>
                <w:sz w:val="16"/>
              </w:rPr>
              <w:t>$</w:t>
            </w:r>
          </w:p>
        </w:tc>
        <w:tc>
          <w:tcPr>
            <w:tcW w:w="497" w:type="dxa"/>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18.79</w:t>
            </w:r>
          </w:p>
        </w:tc>
        <w:tc>
          <w:tcPr>
            <w:tcW w:w="29"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4/15/2025</w:t>
            </w:r>
          </w:p>
        </w:tc>
        <w:tc>
          <w:tcPr>
            <w:tcW w:w="23" w:type="dxa"/>
            <w:tcBorders/>
            <w:shd w:fill="CCEEFF" w:val="clear"/>
            <w:vAlign w:val="bottom"/>
          </w:tcPr>
          <w:p>
            <w:pPr>
              <w:pStyle w:val="TableContents"/>
              <w:spacing w:lineRule="atLeast" w:line="180" w:before="0" w:after="283"/>
              <w:rPr/>
            </w:pPr>
            <w:r>
              <w:rPr/>
              <w:t>​</w:t>
            </w:r>
          </w:p>
        </w:tc>
        <w:tc>
          <w:tcPr>
            <w:tcW w:w="72"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584"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45" w:type="dxa"/>
            <w:tcBorders/>
            <w:shd w:fill="CCEEFF" w:val="clear"/>
            <w:vAlign w:val="bottom"/>
          </w:tcPr>
          <w:p>
            <w:pPr>
              <w:pStyle w:val="TableContents"/>
              <w:spacing w:lineRule="atLeast" w:line="180" w:before="0" w:after="283"/>
              <w:rPr/>
            </w:pPr>
            <w:r>
              <w:rPr/>
              <w:t>​</w:t>
            </w:r>
          </w:p>
        </w:tc>
        <w:tc>
          <w:tcPr>
            <w:tcW w:w="7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4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65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737"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r>
      <w:tr>
        <w:trPr/>
        <w:tc>
          <w:tcPr>
            <w:tcW w:w="725" w:type="dxa"/>
            <w:tcBorders/>
            <w:shd w:fill="CCEEFF" w:val="clear"/>
            <w:vAlign w:val="bottom"/>
          </w:tcPr>
          <w:p>
            <w:pPr>
              <w:pStyle w:val="TableContents"/>
              <w:spacing w:lineRule="atLeast" w:line="180" w:before="0" w:after="283"/>
              <w:rPr/>
            </w:pPr>
            <w:r>
              <w:rPr/>
              <w:t> </w:t>
            </w:r>
          </w:p>
        </w:tc>
        <w:tc>
          <w:tcPr>
            <w:tcW w:w="23" w:type="dxa"/>
            <w:tcBorders/>
            <w:shd w:fill="CCEEFF" w:val="clear"/>
            <w:vAlign w:val="bottom"/>
          </w:tcPr>
          <w:p>
            <w:pPr>
              <w:pStyle w:val="TableContents"/>
              <w:spacing w:lineRule="atLeast" w:line="180" w:before="0" w:after="283"/>
              <w:rPr/>
            </w:pPr>
            <w:r>
              <w:rPr/>
              <w:t>​</w:t>
            </w:r>
          </w:p>
        </w:tc>
        <w:tc>
          <w:tcPr>
            <w:tcW w:w="248"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1"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39"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1,706</w:t>
            </w:r>
          </w:p>
        </w:tc>
        <w:tc>
          <w:tcPr>
            <w:tcW w:w="725" w:type="dxa"/>
            <w:tcBorders/>
            <w:shd w:fill="CCEEFF" w:val="clear"/>
            <w:vAlign w:val="bottom"/>
          </w:tcPr>
          <w:p>
            <w:pPr>
              <w:pStyle w:val="TableContents"/>
              <w:spacing w:lineRule="atLeast" w:line="180" w:before="0" w:after="283"/>
              <w:rPr>
                <w:rFonts w:ascii="arial" w:hAnsi="arial"/>
                <w:sz w:val="12"/>
              </w:rPr>
            </w:pPr>
            <w:r>
              <w:rPr>
                <w:rFonts w:ascii="arial" w:hAnsi="arial"/>
                <w:sz w:val="12"/>
              </w:rPr>
              <w:t>(7)</w:t>
            </w:r>
          </w:p>
        </w:tc>
        <w:tc>
          <w:tcPr>
            <w:tcW w:w="23" w:type="dxa"/>
            <w:tcBorders/>
            <w:shd w:fill="CCEEFF" w:val="clear"/>
            <w:vAlign w:val="bottom"/>
          </w:tcPr>
          <w:p>
            <w:pPr>
              <w:pStyle w:val="TableContents"/>
              <w:spacing w:lineRule="atLeast" w:line="180" w:before="0" w:after="283"/>
              <w:rPr/>
            </w:pPr>
            <w:r>
              <w:rPr/>
              <w:t>​</w:t>
            </w:r>
          </w:p>
        </w:tc>
        <w:tc>
          <w:tcPr>
            <w:tcW w:w="26" w:type="dxa"/>
            <w:tcBorders/>
            <w:shd w:fill="CCEEFF" w:val="clear"/>
            <w:vAlign w:val="bottom"/>
          </w:tcPr>
          <w:p>
            <w:pPr>
              <w:pStyle w:val="TableContents"/>
              <w:spacing w:lineRule="atLeast" w:line="180" w:before="0" w:after="283"/>
              <w:rPr/>
            </w:pPr>
            <w:r>
              <w:rPr/>
              <w:t>​</w:t>
            </w:r>
          </w:p>
        </w:tc>
        <w:tc>
          <w:tcPr>
            <w:tcW w:w="128" w:type="dxa"/>
            <w:tcBorders/>
            <w:shd w:fill="CCEEFF" w:val="clear"/>
            <w:vAlign w:val="bottom"/>
          </w:tcPr>
          <w:p>
            <w:pPr>
              <w:pStyle w:val="TableContents"/>
              <w:spacing w:lineRule="atLeast" w:line="180" w:before="0" w:after="283"/>
              <w:rPr>
                <w:rFonts w:ascii="arial" w:hAnsi="arial"/>
                <w:sz w:val="16"/>
              </w:rPr>
            </w:pPr>
            <w:r>
              <w:rPr>
                <w:rFonts w:ascii="arial" w:hAnsi="arial"/>
                <w:sz w:val="16"/>
              </w:rPr>
              <w:t>$</w:t>
            </w:r>
          </w:p>
        </w:tc>
        <w:tc>
          <w:tcPr>
            <w:tcW w:w="497" w:type="dxa"/>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39.13</w:t>
            </w:r>
          </w:p>
        </w:tc>
        <w:tc>
          <w:tcPr>
            <w:tcW w:w="29"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4/7/2027</w:t>
            </w:r>
          </w:p>
        </w:tc>
        <w:tc>
          <w:tcPr>
            <w:tcW w:w="23" w:type="dxa"/>
            <w:tcBorders/>
            <w:shd w:fill="CCEEFF" w:val="clear"/>
            <w:vAlign w:val="bottom"/>
          </w:tcPr>
          <w:p>
            <w:pPr>
              <w:pStyle w:val="TableContents"/>
              <w:spacing w:lineRule="atLeast" w:line="180" w:before="0" w:after="283"/>
              <w:rPr/>
            </w:pPr>
            <w:r>
              <w:rPr/>
              <w:t>​</w:t>
            </w:r>
          </w:p>
        </w:tc>
        <w:tc>
          <w:tcPr>
            <w:tcW w:w="72"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584"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45" w:type="dxa"/>
            <w:tcBorders/>
            <w:shd w:fill="CCEEFF" w:val="clear"/>
            <w:vAlign w:val="bottom"/>
          </w:tcPr>
          <w:p>
            <w:pPr>
              <w:pStyle w:val="TableContents"/>
              <w:spacing w:lineRule="atLeast" w:line="180" w:before="0" w:after="283"/>
              <w:rPr/>
            </w:pPr>
            <w:r>
              <w:rPr/>
              <w:t>​</w:t>
            </w:r>
          </w:p>
        </w:tc>
        <w:tc>
          <w:tcPr>
            <w:tcW w:w="7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4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65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737"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r>
      <w:tr>
        <w:trPr/>
        <w:tc>
          <w:tcPr>
            <w:tcW w:w="725" w:type="dxa"/>
            <w:tcBorders/>
            <w:shd w:fill="CCEEFF" w:val="clear"/>
            <w:vAlign w:val="bottom"/>
          </w:tcPr>
          <w:p>
            <w:pPr>
              <w:pStyle w:val="TableContents"/>
              <w:spacing w:lineRule="atLeast" w:line="180" w:before="0" w:after="283"/>
              <w:rPr/>
            </w:pPr>
            <w:r>
              <w:rPr/>
              <w:t> </w:t>
            </w:r>
          </w:p>
        </w:tc>
        <w:tc>
          <w:tcPr>
            <w:tcW w:w="23" w:type="dxa"/>
            <w:tcBorders/>
            <w:shd w:fill="CCEEFF" w:val="clear"/>
            <w:vAlign w:val="bottom"/>
          </w:tcPr>
          <w:p>
            <w:pPr>
              <w:pStyle w:val="TableContents"/>
              <w:spacing w:lineRule="atLeast" w:line="180" w:before="0" w:after="283"/>
              <w:rPr/>
            </w:pPr>
            <w:r>
              <w:rPr/>
              <w:t>​</w:t>
            </w:r>
          </w:p>
        </w:tc>
        <w:tc>
          <w:tcPr>
            <w:tcW w:w="248"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8,658</w:t>
            </w:r>
          </w:p>
        </w:tc>
        <w:tc>
          <w:tcPr>
            <w:tcW w:w="251"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39"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8,658</w:t>
            </w:r>
          </w:p>
        </w:tc>
        <w:tc>
          <w:tcPr>
            <w:tcW w:w="758" w:type="dxa"/>
            <w:tcBorders/>
            <w:shd w:fill="CCEEFF" w:val="clear"/>
            <w:vAlign w:val="bottom"/>
          </w:tcPr>
          <w:p>
            <w:pPr>
              <w:pStyle w:val="TableContents"/>
              <w:spacing w:lineRule="atLeast" w:line="180" w:before="0" w:after="283"/>
              <w:rPr>
                <w:rFonts w:ascii="arial" w:hAnsi="arial"/>
                <w:sz w:val="12"/>
              </w:rPr>
            </w:pPr>
            <w:r>
              <w:rPr>
                <w:rFonts w:ascii="arial" w:hAnsi="arial"/>
                <w:sz w:val="12"/>
              </w:rPr>
              <w:t>(8)</w:t>
            </w:r>
          </w:p>
        </w:tc>
        <w:tc>
          <w:tcPr>
            <w:tcW w:w="23"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6" w:type="dxa"/>
            <w:tcBorders/>
            <w:shd w:fill="CCEEFF" w:val="clear"/>
            <w:vAlign w:val="bottom"/>
          </w:tcPr>
          <w:p>
            <w:pPr>
              <w:pStyle w:val="TableContents"/>
              <w:spacing w:lineRule="atLeast" w:line="180" w:before="0" w:after="283"/>
              <w:rPr/>
            </w:pPr>
            <w:r>
              <w:rPr/>
              <w:t>​</w:t>
            </w:r>
          </w:p>
        </w:tc>
        <w:tc>
          <w:tcPr>
            <w:tcW w:w="128" w:type="dxa"/>
            <w:tcBorders/>
            <w:shd w:fill="CCEEFF" w:val="clear"/>
            <w:vAlign w:val="bottom"/>
          </w:tcPr>
          <w:p>
            <w:pPr>
              <w:pStyle w:val="TableContents"/>
              <w:spacing w:lineRule="atLeast" w:line="180" w:before="0" w:after="283"/>
              <w:rPr>
                <w:rFonts w:ascii="arial" w:hAnsi="arial"/>
                <w:sz w:val="16"/>
              </w:rPr>
            </w:pPr>
            <w:r>
              <w:rPr>
                <w:rFonts w:ascii="arial" w:hAnsi="arial"/>
                <w:sz w:val="16"/>
              </w:rPr>
              <w:t>$</w:t>
            </w:r>
          </w:p>
        </w:tc>
        <w:tc>
          <w:tcPr>
            <w:tcW w:w="497" w:type="dxa"/>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24.82</w:t>
            </w:r>
          </w:p>
        </w:tc>
        <w:tc>
          <w:tcPr>
            <w:tcW w:w="29"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2/12/2028</w:t>
            </w:r>
          </w:p>
        </w:tc>
        <w:tc>
          <w:tcPr>
            <w:tcW w:w="23" w:type="dxa"/>
            <w:tcBorders/>
            <w:shd w:fill="CCEEFF" w:val="clear"/>
            <w:vAlign w:val="bottom"/>
          </w:tcPr>
          <w:p>
            <w:pPr>
              <w:pStyle w:val="TableContents"/>
              <w:spacing w:lineRule="atLeast" w:line="180" w:before="0" w:after="283"/>
              <w:rPr/>
            </w:pPr>
            <w:r>
              <w:rPr/>
              <w:t>​</w:t>
            </w:r>
          </w:p>
        </w:tc>
        <w:tc>
          <w:tcPr>
            <w:tcW w:w="72"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584"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45" w:type="dxa"/>
            <w:tcBorders/>
            <w:shd w:fill="CCEEFF" w:val="clear"/>
            <w:vAlign w:val="bottom"/>
          </w:tcPr>
          <w:p>
            <w:pPr>
              <w:pStyle w:val="TableContents"/>
              <w:spacing w:lineRule="atLeast" w:line="180" w:before="0" w:after="283"/>
              <w:rPr/>
            </w:pPr>
            <w:r>
              <w:rPr/>
              <w:t>​</w:t>
            </w:r>
          </w:p>
        </w:tc>
        <w:tc>
          <w:tcPr>
            <w:tcW w:w="7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4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65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737"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r>
      <w:tr>
        <w:trPr/>
        <w:tc>
          <w:tcPr>
            <w:tcW w:w="725" w:type="dxa"/>
            <w:tcBorders/>
            <w:shd w:fill="CCEEFF" w:val="clear"/>
            <w:vAlign w:val="bottom"/>
          </w:tcPr>
          <w:p>
            <w:pPr>
              <w:pStyle w:val="TableContents"/>
              <w:spacing w:lineRule="atLeast" w:line="180" w:before="0" w:after="283"/>
              <w:rPr/>
            </w:pPr>
            <w:r>
              <w:rPr/>
              <w:t> </w:t>
            </w:r>
          </w:p>
        </w:tc>
        <w:tc>
          <w:tcPr>
            <w:tcW w:w="23" w:type="dxa"/>
            <w:tcBorders/>
            <w:shd w:fill="CCEEFF" w:val="clear"/>
            <w:vAlign w:val="bottom"/>
          </w:tcPr>
          <w:p>
            <w:pPr>
              <w:pStyle w:val="TableContents"/>
              <w:spacing w:lineRule="atLeast" w:line="180" w:before="0" w:after="283"/>
              <w:rPr/>
            </w:pPr>
            <w:r>
              <w:rPr/>
              <w:t>​</w:t>
            </w:r>
          </w:p>
        </w:tc>
        <w:tc>
          <w:tcPr>
            <w:tcW w:w="248"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1"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39"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6" w:type="dxa"/>
            <w:tcBorders/>
            <w:shd w:fill="CCEEFF" w:val="clear"/>
            <w:vAlign w:val="bottom"/>
          </w:tcPr>
          <w:p>
            <w:pPr>
              <w:pStyle w:val="TableContents"/>
              <w:spacing w:lineRule="atLeast" w:line="180" w:before="0" w:after="283"/>
              <w:rPr/>
            </w:pPr>
            <w:r>
              <w:rPr/>
              <w:t>​</w:t>
            </w:r>
          </w:p>
        </w:tc>
        <w:tc>
          <w:tcPr>
            <w:tcW w:w="62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9"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3" w:type="dxa"/>
            <w:tcBorders/>
            <w:shd w:fill="CCEEFF" w:val="clear"/>
            <w:vAlign w:val="bottom"/>
          </w:tcPr>
          <w:p>
            <w:pPr>
              <w:pStyle w:val="TableContents"/>
              <w:spacing w:lineRule="atLeast" w:line="180" w:before="0" w:after="283"/>
              <w:rPr/>
            </w:pPr>
            <w:r>
              <w:rPr/>
              <w:t>​</w:t>
            </w:r>
          </w:p>
        </w:tc>
        <w:tc>
          <w:tcPr>
            <w:tcW w:w="72"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2,478</w:t>
            </w:r>
          </w:p>
        </w:tc>
        <w:tc>
          <w:tcPr>
            <w:tcW w:w="584" w:type="dxa"/>
            <w:tcBorders/>
            <w:shd w:fill="CCEEFF" w:val="clear"/>
            <w:vAlign w:val="bottom"/>
          </w:tcPr>
          <w:p>
            <w:pPr>
              <w:pStyle w:val="TableContents"/>
              <w:spacing w:lineRule="atLeast" w:line="180" w:before="0" w:after="283"/>
              <w:rPr>
                <w:rFonts w:ascii="arial" w:hAnsi="arial"/>
                <w:sz w:val="12"/>
              </w:rPr>
            </w:pPr>
            <w:r>
              <w:rPr>
                <w:rFonts w:ascii="arial" w:hAnsi="arial"/>
                <w:sz w:val="12"/>
              </w:rPr>
              <w:t>(9)</w:t>
            </w:r>
          </w:p>
        </w:tc>
        <w:tc>
          <w:tcPr>
            <w:tcW w:w="23" w:type="dxa"/>
            <w:tcBorders/>
            <w:shd w:fill="CCEEFF" w:val="clear"/>
            <w:vAlign w:val="bottom"/>
          </w:tcPr>
          <w:p>
            <w:pPr>
              <w:pStyle w:val="TableContents"/>
              <w:spacing w:lineRule="atLeast" w:line="180" w:before="0" w:after="283"/>
              <w:rPr/>
            </w:pPr>
            <w:r>
              <w:rPr/>
              <w:t>​</w:t>
            </w:r>
          </w:p>
        </w:tc>
        <w:tc>
          <w:tcPr>
            <w:tcW w:w="45" w:type="dxa"/>
            <w:tcBorders/>
            <w:shd w:fill="CCEEFF" w:val="clear"/>
            <w:vAlign w:val="bottom"/>
          </w:tcPr>
          <w:p>
            <w:pPr>
              <w:pStyle w:val="TableContents"/>
              <w:spacing w:lineRule="atLeast" w:line="180" w:before="0" w:after="283"/>
              <w:rPr/>
            </w:pPr>
            <w:r>
              <w:rPr/>
              <w:t>​</w:t>
            </w:r>
          </w:p>
        </w:tc>
        <w:tc>
          <w:tcPr>
            <w:tcW w:w="110" w:type="dxa"/>
            <w:tcBorders/>
            <w:shd w:fill="CCEEFF" w:val="clear"/>
            <w:vAlign w:val="bottom"/>
          </w:tcPr>
          <w:p>
            <w:pPr>
              <w:pStyle w:val="TableContents"/>
              <w:spacing w:lineRule="atLeast" w:line="180" w:before="0" w:after="283"/>
              <w:rPr>
                <w:rFonts w:ascii="arial" w:hAnsi="arial"/>
                <w:sz w:val="16"/>
              </w:rPr>
            </w:pPr>
            <w:r>
              <w:rPr>
                <w:rFonts w:ascii="arial" w:hAnsi="arial"/>
                <w:sz w:val="16"/>
              </w:rPr>
              <w:t>$</w:t>
            </w:r>
          </w:p>
        </w:tc>
        <w:tc>
          <w:tcPr>
            <w:tcW w:w="605" w:type="dxa"/>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31,917</w:t>
            </w:r>
          </w:p>
        </w:tc>
        <w:tc>
          <w:tcPr>
            <w:tcW w:w="4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65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737"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r>
      <w:tr>
        <w:trPr/>
        <w:tc>
          <w:tcPr>
            <w:tcW w:w="725" w:type="dxa"/>
            <w:tcBorders/>
            <w:shd w:fill="CCEEFF" w:val="clear"/>
            <w:vAlign w:val="bottom"/>
          </w:tcPr>
          <w:p>
            <w:pPr>
              <w:pStyle w:val="TableContents"/>
              <w:spacing w:lineRule="atLeast" w:line="180" w:before="0" w:after="283"/>
              <w:rPr/>
            </w:pPr>
            <w:r>
              <w:rPr/>
              <w:t> </w:t>
            </w:r>
          </w:p>
        </w:tc>
        <w:tc>
          <w:tcPr>
            <w:tcW w:w="23" w:type="dxa"/>
            <w:tcBorders/>
            <w:shd w:fill="CCEEFF" w:val="clear"/>
            <w:vAlign w:val="bottom"/>
          </w:tcPr>
          <w:p>
            <w:pPr>
              <w:pStyle w:val="TableContents"/>
              <w:spacing w:lineRule="atLeast" w:line="180" w:before="0" w:after="283"/>
              <w:rPr/>
            </w:pPr>
            <w:r>
              <w:rPr/>
              <w:t>​</w:t>
            </w:r>
          </w:p>
        </w:tc>
        <w:tc>
          <w:tcPr>
            <w:tcW w:w="248"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1"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39"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6" w:type="dxa"/>
            <w:tcBorders/>
            <w:shd w:fill="CCEEFF" w:val="clear"/>
            <w:vAlign w:val="bottom"/>
          </w:tcPr>
          <w:p>
            <w:pPr>
              <w:pStyle w:val="TableContents"/>
              <w:spacing w:lineRule="atLeast" w:line="180" w:before="0" w:after="283"/>
              <w:rPr/>
            </w:pPr>
            <w:r>
              <w:rPr/>
              <w:t>​</w:t>
            </w:r>
          </w:p>
        </w:tc>
        <w:tc>
          <w:tcPr>
            <w:tcW w:w="62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9"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3" w:type="dxa"/>
            <w:tcBorders/>
            <w:shd w:fill="CCEEFF" w:val="clear"/>
            <w:vAlign w:val="bottom"/>
          </w:tcPr>
          <w:p>
            <w:pPr>
              <w:pStyle w:val="TableContents"/>
              <w:spacing w:lineRule="atLeast" w:line="180" w:before="0" w:after="283"/>
              <w:rPr/>
            </w:pPr>
            <w:r>
              <w:rPr/>
              <w:t>​</w:t>
            </w:r>
          </w:p>
        </w:tc>
        <w:tc>
          <w:tcPr>
            <w:tcW w:w="72"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10,000</w:t>
            </w:r>
          </w:p>
        </w:tc>
        <w:tc>
          <w:tcPr>
            <w:tcW w:w="584" w:type="dxa"/>
            <w:tcBorders/>
            <w:shd w:fill="CCEEFF" w:val="clear"/>
            <w:vAlign w:val="bottom"/>
          </w:tcPr>
          <w:p>
            <w:pPr>
              <w:pStyle w:val="TableContents"/>
              <w:spacing w:lineRule="atLeast" w:line="180" w:before="0" w:after="283"/>
              <w:rPr>
                <w:rFonts w:ascii="arial" w:hAnsi="arial"/>
                <w:sz w:val="12"/>
              </w:rPr>
            </w:pPr>
            <w:r>
              <w:rPr>
                <w:rFonts w:ascii="arial" w:hAnsi="arial"/>
                <w:sz w:val="12"/>
              </w:rPr>
              <w:t>(20)</w:t>
            </w:r>
          </w:p>
        </w:tc>
        <w:tc>
          <w:tcPr>
            <w:tcW w:w="23" w:type="dxa"/>
            <w:tcBorders/>
            <w:shd w:fill="CCEEFF" w:val="clear"/>
            <w:vAlign w:val="bottom"/>
          </w:tcPr>
          <w:p>
            <w:pPr>
              <w:pStyle w:val="TableContents"/>
              <w:spacing w:lineRule="atLeast" w:line="180" w:before="0" w:after="283"/>
              <w:rPr/>
            </w:pPr>
            <w:r>
              <w:rPr/>
              <w:t>​</w:t>
            </w:r>
          </w:p>
        </w:tc>
        <w:tc>
          <w:tcPr>
            <w:tcW w:w="45" w:type="dxa"/>
            <w:tcBorders/>
            <w:shd w:fill="CCEEFF" w:val="clear"/>
            <w:vAlign w:val="bottom"/>
          </w:tcPr>
          <w:p>
            <w:pPr>
              <w:pStyle w:val="TableContents"/>
              <w:spacing w:lineRule="atLeast" w:line="180" w:before="0" w:after="283"/>
              <w:rPr/>
            </w:pPr>
            <w:r>
              <w:rPr/>
              <w:t>​</w:t>
            </w:r>
          </w:p>
        </w:tc>
        <w:tc>
          <w:tcPr>
            <w:tcW w:w="110" w:type="dxa"/>
            <w:tcBorders/>
            <w:shd w:fill="CCEEFF" w:val="clear"/>
            <w:vAlign w:val="bottom"/>
          </w:tcPr>
          <w:p>
            <w:pPr>
              <w:pStyle w:val="TableContents"/>
              <w:spacing w:lineRule="atLeast" w:line="180" w:before="0" w:after="283"/>
              <w:rPr>
                <w:rFonts w:ascii="arial" w:hAnsi="arial"/>
                <w:sz w:val="16"/>
              </w:rPr>
            </w:pPr>
            <w:r>
              <w:rPr>
                <w:rFonts w:ascii="arial" w:hAnsi="arial"/>
                <w:sz w:val="16"/>
              </w:rPr>
              <w:t>$</w:t>
            </w:r>
          </w:p>
        </w:tc>
        <w:tc>
          <w:tcPr>
            <w:tcW w:w="605" w:type="dxa"/>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128,800</w:t>
            </w:r>
          </w:p>
        </w:tc>
        <w:tc>
          <w:tcPr>
            <w:tcW w:w="4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65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737"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r>
      <w:tr>
        <w:trPr/>
        <w:tc>
          <w:tcPr>
            <w:tcW w:w="725" w:type="dxa"/>
            <w:tcBorders/>
            <w:shd w:fill="CCEEFF" w:val="clear"/>
            <w:vAlign w:val="bottom"/>
          </w:tcPr>
          <w:p>
            <w:pPr>
              <w:pStyle w:val="TableContents"/>
              <w:spacing w:lineRule="atLeast" w:line="180" w:before="0" w:after="283"/>
              <w:rPr/>
            </w:pPr>
            <w:r>
              <w:rPr/>
              <w:t> </w:t>
            </w:r>
          </w:p>
        </w:tc>
        <w:tc>
          <w:tcPr>
            <w:tcW w:w="23" w:type="dxa"/>
            <w:tcBorders/>
            <w:shd w:fill="CCEEFF" w:val="clear"/>
            <w:vAlign w:val="bottom"/>
          </w:tcPr>
          <w:p>
            <w:pPr>
              <w:pStyle w:val="TableContents"/>
              <w:spacing w:lineRule="atLeast" w:line="180" w:before="0" w:after="283"/>
              <w:rPr/>
            </w:pPr>
            <w:r>
              <w:rPr/>
              <w:t>​</w:t>
            </w:r>
          </w:p>
        </w:tc>
        <w:tc>
          <w:tcPr>
            <w:tcW w:w="248"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1"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39"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6" w:type="dxa"/>
            <w:tcBorders/>
            <w:shd w:fill="CCEEFF" w:val="clear"/>
            <w:vAlign w:val="bottom"/>
          </w:tcPr>
          <w:p>
            <w:pPr>
              <w:pStyle w:val="TableContents"/>
              <w:spacing w:lineRule="atLeast" w:line="180" w:before="0" w:after="283"/>
              <w:rPr/>
            </w:pPr>
            <w:r>
              <w:rPr/>
              <w:t>​</w:t>
            </w:r>
          </w:p>
        </w:tc>
        <w:tc>
          <w:tcPr>
            <w:tcW w:w="62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9"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3" w:type="dxa"/>
            <w:tcBorders/>
            <w:shd w:fill="CCEEFF" w:val="clear"/>
            <w:vAlign w:val="bottom"/>
          </w:tcPr>
          <w:p>
            <w:pPr>
              <w:pStyle w:val="TableContents"/>
              <w:spacing w:lineRule="atLeast" w:line="180" w:before="0" w:after="283"/>
              <w:rPr/>
            </w:pPr>
            <w:r>
              <w:rPr/>
              <w:t>​</w:t>
            </w:r>
          </w:p>
        </w:tc>
        <w:tc>
          <w:tcPr>
            <w:tcW w:w="72"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4,256</w:t>
            </w:r>
          </w:p>
        </w:tc>
        <w:tc>
          <w:tcPr>
            <w:tcW w:w="584" w:type="dxa"/>
            <w:tcBorders/>
            <w:shd w:fill="CCEEFF" w:val="clear"/>
            <w:vAlign w:val="bottom"/>
          </w:tcPr>
          <w:p>
            <w:pPr>
              <w:pStyle w:val="TableContents"/>
              <w:spacing w:lineRule="atLeast" w:line="180" w:before="0" w:after="283"/>
              <w:rPr>
                <w:rFonts w:ascii="arial" w:hAnsi="arial"/>
                <w:sz w:val="12"/>
              </w:rPr>
            </w:pPr>
            <w:r>
              <w:rPr>
                <w:rFonts w:ascii="arial" w:hAnsi="arial"/>
                <w:sz w:val="12"/>
              </w:rPr>
              <w:t>(10)</w:t>
            </w:r>
          </w:p>
        </w:tc>
        <w:tc>
          <w:tcPr>
            <w:tcW w:w="23" w:type="dxa"/>
            <w:tcBorders/>
            <w:shd w:fill="CCEEFF" w:val="clear"/>
            <w:vAlign w:val="bottom"/>
          </w:tcPr>
          <w:p>
            <w:pPr>
              <w:pStyle w:val="TableContents"/>
              <w:spacing w:lineRule="atLeast" w:line="180" w:before="0" w:after="283"/>
              <w:rPr/>
            </w:pPr>
            <w:r>
              <w:rPr/>
              <w:t>​</w:t>
            </w:r>
          </w:p>
        </w:tc>
        <w:tc>
          <w:tcPr>
            <w:tcW w:w="45" w:type="dxa"/>
            <w:tcBorders/>
            <w:shd w:fill="CCEEFF" w:val="clear"/>
            <w:vAlign w:val="bottom"/>
          </w:tcPr>
          <w:p>
            <w:pPr>
              <w:pStyle w:val="TableContents"/>
              <w:spacing w:lineRule="atLeast" w:line="180" w:before="0" w:after="283"/>
              <w:rPr/>
            </w:pPr>
            <w:r>
              <w:rPr/>
              <w:t>​</w:t>
            </w:r>
          </w:p>
        </w:tc>
        <w:tc>
          <w:tcPr>
            <w:tcW w:w="110" w:type="dxa"/>
            <w:tcBorders/>
            <w:shd w:fill="CCEEFF" w:val="clear"/>
            <w:vAlign w:val="bottom"/>
          </w:tcPr>
          <w:p>
            <w:pPr>
              <w:pStyle w:val="TableContents"/>
              <w:spacing w:lineRule="atLeast" w:line="180" w:before="0" w:after="283"/>
              <w:rPr>
                <w:rFonts w:ascii="arial" w:hAnsi="arial"/>
                <w:sz w:val="16"/>
              </w:rPr>
            </w:pPr>
            <w:r>
              <w:rPr>
                <w:rFonts w:ascii="arial" w:hAnsi="arial"/>
                <w:sz w:val="16"/>
              </w:rPr>
              <w:t>$</w:t>
            </w:r>
          </w:p>
        </w:tc>
        <w:tc>
          <w:tcPr>
            <w:tcW w:w="605" w:type="dxa"/>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54,817</w:t>
            </w:r>
          </w:p>
        </w:tc>
        <w:tc>
          <w:tcPr>
            <w:tcW w:w="4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65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737"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r>
      <w:tr>
        <w:trPr/>
        <w:tc>
          <w:tcPr>
            <w:tcW w:w="725" w:type="dxa"/>
            <w:tcBorders/>
            <w:shd w:fill="CCEEFF" w:val="clear"/>
            <w:vAlign w:val="bottom"/>
          </w:tcPr>
          <w:p>
            <w:pPr>
              <w:pStyle w:val="TableContents"/>
              <w:spacing w:lineRule="atLeast" w:line="180" w:before="0" w:after="283"/>
              <w:rPr/>
            </w:pPr>
            <w:r>
              <w:rPr/>
              <w:t> </w:t>
            </w:r>
          </w:p>
        </w:tc>
        <w:tc>
          <w:tcPr>
            <w:tcW w:w="23" w:type="dxa"/>
            <w:tcBorders/>
            <w:shd w:fill="CCEEFF" w:val="clear"/>
            <w:vAlign w:val="bottom"/>
          </w:tcPr>
          <w:p>
            <w:pPr>
              <w:pStyle w:val="TableContents"/>
              <w:spacing w:lineRule="atLeast" w:line="180" w:before="0" w:after="283"/>
              <w:rPr/>
            </w:pPr>
            <w:r>
              <w:rPr/>
              <w:t>​</w:t>
            </w:r>
          </w:p>
        </w:tc>
        <w:tc>
          <w:tcPr>
            <w:tcW w:w="248"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1"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39"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6" w:type="dxa"/>
            <w:tcBorders/>
            <w:shd w:fill="CCEEFF" w:val="clear"/>
            <w:vAlign w:val="bottom"/>
          </w:tcPr>
          <w:p>
            <w:pPr>
              <w:pStyle w:val="TableContents"/>
              <w:spacing w:lineRule="atLeast" w:line="180" w:before="0" w:after="283"/>
              <w:rPr/>
            </w:pPr>
            <w:r>
              <w:rPr/>
              <w:t>​</w:t>
            </w:r>
          </w:p>
        </w:tc>
        <w:tc>
          <w:tcPr>
            <w:tcW w:w="62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9"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3" w:type="dxa"/>
            <w:tcBorders/>
            <w:shd w:fill="CCEEFF" w:val="clear"/>
            <w:vAlign w:val="bottom"/>
          </w:tcPr>
          <w:p>
            <w:pPr>
              <w:pStyle w:val="TableContents"/>
              <w:spacing w:lineRule="atLeast" w:line="180" w:before="0" w:after="283"/>
              <w:rPr/>
            </w:pPr>
            <w:r>
              <w:rPr/>
              <w:t>​</w:t>
            </w:r>
          </w:p>
        </w:tc>
        <w:tc>
          <w:tcPr>
            <w:tcW w:w="72"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584"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45" w:type="dxa"/>
            <w:tcBorders/>
            <w:shd w:fill="CCEEFF" w:val="clear"/>
            <w:vAlign w:val="bottom"/>
          </w:tcPr>
          <w:p>
            <w:pPr>
              <w:pStyle w:val="TableContents"/>
              <w:spacing w:lineRule="atLeast" w:line="180" w:before="0" w:after="283"/>
              <w:rPr/>
            </w:pPr>
            <w:r>
              <w:rPr/>
              <w:t>​</w:t>
            </w:r>
          </w:p>
        </w:tc>
        <w:tc>
          <w:tcPr>
            <w:tcW w:w="7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4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5,592</w:t>
            </w:r>
          </w:p>
        </w:tc>
        <w:tc>
          <w:tcPr>
            <w:tcW w:w="650" w:type="dxa"/>
            <w:tcBorders/>
            <w:shd w:fill="CCEEFF" w:val="clear"/>
            <w:vAlign w:val="bottom"/>
          </w:tcPr>
          <w:p>
            <w:pPr>
              <w:pStyle w:val="TableContents"/>
              <w:spacing w:lineRule="atLeast" w:line="180" w:before="0" w:after="283"/>
              <w:rPr>
                <w:rFonts w:ascii="arial" w:hAnsi="arial"/>
                <w:sz w:val="12"/>
              </w:rPr>
            </w:pPr>
            <w:r>
              <w:rPr>
                <w:rFonts w:ascii="arial" w:hAnsi="arial"/>
                <w:sz w:val="12"/>
              </w:rPr>
              <w:t>(11)</w:t>
            </w:r>
          </w:p>
        </w:tc>
        <w:tc>
          <w:tcPr>
            <w:tcW w:w="23"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13" w:type="dxa"/>
            <w:tcBorders/>
            <w:shd w:fill="CCEEFF" w:val="clear"/>
            <w:vAlign w:val="bottom"/>
          </w:tcPr>
          <w:p>
            <w:pPr>
              <w:pStyle w:val="TableContents"/>
              <w:spacing w:lineRule="atLeast" w:line="180" w:before="0" w:after="283"/>
              <w:rPr>
                <w:rFonts w:ascii="arial" w:hAnsi="arial"/>
                <w:sz w:val="16"/>
              </w:rPr>
            </w:pPr>
            <w:r>
              <w:rPr>
                <w:rFonts w:ascii="arial" w:hAnsi="arial"/>
                <w:sz w:val="16"/>
              </w:rPr>
              <w:t>$</w:t>
            </w:r>
          </w:p>
        </w:tc>
        <w:tc>
          <w:tcPr>
            <w:tcW w:w="624" w:type="dxa"/>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25,773</w:t>
            </w:r>
          </w:p>
        </w:tc>
        <w:tc>
          <w:tcPr>
            <w:tcW w:w="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r>
      <w:tr>
        <w:trPr/>
        <w:tc>
          <w:tcPr>
            <w:tcW w:w="725" w:type="dxa"/>
            <w:tcBorders/>
            <w:shd w:fill="CCEEFF" w:val="clear"/>
            <w:vAlign w:val="bottom"/>
          </w:tcPr>
          <w:p>
            <w:pPr>
              <w:pStyle w:val="TableContents"/>
              <w:spacing w:lineRule="atLeast" w:line="180" w:before="0" w:after="283"/>
              <w:rPr/>
            </w:pPr>
            <w:r>
              <w:rPr/>
              <w:t> </w:t>
            </w:r>
          </w:p>
        </w:tc>
        <w:tc>
          <w:tcPr>
            <w:tcW w:w="23" w:type="dxa"/>
            <w:tcBorders/>
            <w:shd w:fill="CCEEFF" w:val="clear"/>
            <w:vAlign w:val="bottom"/>
          </w:tcPr>
          <w:p>
            <w:pPr>
              <w:pStyle w:val="TableContents"/>
              <w:spacing w:lineRule="atLeast" w:line="180" w:before="0" w:after="283"/>
              <w:rPr/>
            </w:pPr>
            <w:r>
              <w:rPr/>
              <w:t>​</w:t>
            </w:r>
          </w:p>
        </w:tc>
        <w:tc>
          <w:tcPr>
            <w:tcW w:w="248"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1"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39"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6" w:type="dxa"/>
            <w:tcBorders/>
            <w:shd w:fill="CCEEFF" w:val="clear"/>
            <w:vAlign w:val="bottom"/>
          </w:tcPr>
          <w:p>
            <w:pPr>
              <w:pStyle w:val="TableContents"/>
              <w:spacing w:lineRule="atLeast" w:line="180" w:before="0" w:after="283"/>
              <w:rPr/>
            </w:pPr>
            <w:r>
              <w:rPr/>
              <w:t>​</w:t>
            </w:r>
          </w:p>
        </w:tc>
        <w:tc>
          <w:tcPr>
            <w:tcW w:w="62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9"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3" w:type="dxa"/>
            <w:tcBorders/>
            <w:shd w:fill="CCEEFF" w:val="clear"/>
            <w:vAlign w:val="bottom"/>
          </w:tcPr>
          <w:p>
            <w:pPr>
              <w:pStyle w:val="TableContents"/>
              <w:spacing w:lineRule="atLeast" w:line="180" w:before="0" w:after="283"/>
              <w:rPr/>
            </w:pPr>
            <w:r>
              <w:rPr/>
              <w:t>​</w:t>
            </w:r>
          </w:p>
        </w:tc>
        <w:tc>
          <w:tcPr>
            <w:tcW w:w="72"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584"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45" w:type="dxa"/>
            <w:tcBorders/>
            <w:shd w:fill="CCEEFF" w:val="clear"/>
            <w:vAlign w:val="bottom"/>
          </w:tcPr>
          <w:p>
            <w:pPr>
              <w:pStyle w:val="TableContents"/>
              <w:spacing w:lineRule="atLeast" w:line="180" w:before="0" w:after="283"/>
              <w:rPr/>
            </w:pPr>
            <w:r>
              <w:rPr/>
              <w:t>​</w:t>
            </w:r>
          </w:p>
        </w:tc>
        <w:tc>
          <w:tcPr>
            <w:tcW w:w="7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4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3,728</w:t>
            </w:r>
          </w:p>
        </w:tc>
        <w:tc>
          <w:tcPr>
            <w:tcW w:w="650" w:type="dxa"/>
            <w:tcBorders/>
            <w:shd w:fill="CCEEFF" w:val="clear"/>
            <w:vAlign w:val="bottom"/>
          </w:tcPr>
          <w:p>
            <w:pPr>
              <w:pStyle w:val="TableContents"/>
              <w:spacing w:lineRule="atLeast" w:line="180" w:before="0" w:after="283"/>
              <w:rPr>
                <w:rFonts w:ascii="arial" w:hAnsi="arial"/>
                <w:sz w:val="12"/>
              </w:rPr>
            </w:pPr>
            <w:r>
              <w:rPr>
                <w:rFonts w:ascii="arial" w:hAnsi="arial"/>
                <w:sz w:val="12"/>
              </w:rPr>
              <w:t>(12)</w:t>
            </w:r>
          </w:p>
        </w:tc>
        <w:tc>
          <w:tcPr>
            <w:tcW w:w="23"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13" w:type="dxa"/>
            <w:tcBorders/>
            <w:shd w:fill="CCEEFF" w:val="clear"/>
            <w:vAlign w:val="bottom"/>
          </w:tcPr>
          <w:p>
            <w:pPr>
              <w:pStyle w:val="TableContents"/>
              <w:spacing w:lineRule="atLeast" w:line="180" w:before="0" w:after="283"/>
              <w:rPr>
                <w:rFonts w:ascii="arial" w:hAnsi="arial"/>
                <w:sz w:val="16"/>
              </w:rPr>
            </w:pPr>
            <w:r>
              <w:rPr>
                <w:rFonts w:ascii="arial" w:hAnsi="arial"/>
                <w:sz w:val="16"/>
              </w:rPr>
              <w:t>$</w:t>
            </w:r>
          </w:p>
        </w:tc>
        <w:tc>
          <w:tcPr>
            <w:tcW w:w="624" w:type="dxa"/>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48,017</w:t>
            </w:r>
          </w:p>
        </w:tc>
        <w:tc>
          <w:tcPr>
            <w:tcW w:w="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r>
      <w:tr>
        <w:trPr/>
        <w:tc>
          <w:tcPr>
            <w:tcW w:w="725" w:type="dxa"/>
            <w:tcBorders/>
            <w:shd w:fill="CCEEFF" w:val="clear"/>
            <w:vAlign w:val="bottom"/>
          </w:tcPr>
          <w:p>
            <w:pPr>
              <w:pStyle w:val="TableContents"/>
              <w:spacing w:lineRule="atLeast" w:line="180" w:before="0" w:after="283"/>
              <w:rPr/>
            </w:pPr>
            <w:r>
              <w:rPr/>
              <w:t> </w:t>
            </w:r>
          </w:p>
        </w:tc>
        <w:tc>
          <w:tcPr>
            <w:tcW w:w="23" w:type="dxa"/>
            <w:tcBorders/>
            <w:shd w:fill="CCEEFF" w:val="clear"/>
            <w:vAlign w:val="bottom"/>
          </w:tcPr>
          <w:p>
            <w:pPr>
              <w:pStyle w:val="TableContents"/>
              <w:spacing w:lineRule="atLeast" w:line="180" w:before="0" w:after="283"/>
              <w:rPr/>
            </w:pPr>
            <w:r>
              <w:rPr/>
              <w:t>​</w:t>
            </w:r>
          </w:p>
        </w:tc>
        <w:tc>
          <w:tcPr>
            <w:tcW w:w="248"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1"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39"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6" w:type="dxa"/>
            <w:tcBorders/>
            <w:shd w:fill="CCEEFF" w:val="clear"/>
            <w:vAlign w:val="bottom"/>
          </w:tcPr>
          <w:p>
            <w:pPr>
              <w:pStyle w:val="TableContents"/>
              <w:spacing w:lineRule="atLeast" w:line="180" w:before="0" w:after="283"/>
              <w:rPr/>
            </w:pPr>
            <w:r>
              <w:rPr/>
              <w:t>​</w:t>
            </w:r>
          </w:p>
        </w:tc>
        <w:tc>
          <w:tcPr>
            <w:tcW w:w="62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9"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3" w:type="dxa"/>
            <w:tcBorders/>
            <w:shd w:fill="CCEEFF" w:val="clear"/>
            <w:vAlign w:val="bottom"/>
          </w:tcPr>
          <w:p>
            <w:pPr>
              <w:pStyle w:val="TableContents"/>
              <w:spacing w:lineRule="atLeast" w:line="180" w:before="0" w:after="283"/>
              <w:rPr/>
            </w:pPr>
            <w:r>
              <w:rPr/>
              <w:t>​</w:t>
            </w:r>
          </w:p>
        </w:tc>
        <w:tc>
          <w:tcPr>
            <w:tcW w:w="72"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584"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45" w:type="dxa"/>
            <w:tcBorders/>
            <w:shd w:fill="CCEEFF" w:val="clear"/>
            <w:vAlign w:val="bottom"/>
          </w:tcPr>
          <w:p>
            <w:pPr>
              <w:pStyle w:val="TableContents"/>
              <w:spacing w:lineRule="atLeast" w:line="180" w:before="0" w:after="283"/>
              <w:rPr/>
            </w:pPr>
            <w:r>
              <w:rPr/>
              <w:t>​</w:t>
            </w:r>
          </w:p>
        </w:tc>
        <w:tc>
          <w:tcPr>
            <w:tcW w:w="7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4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7,369</w:t>
            </w:r>
          </w:p>
        </w:tc>
        <w:tc>
          <w:tcPr>
            <w:tcW w:w="650" w:type="dxa"/>
            <w:tcBorders/>
            <w:shd w:fill="CCEEFF" w:val="clear"/>
            <w:vAlign w:val="bottom"/>
          </w:tcPr>
          <w:p>
            <w:pPr>
              <w:pStyle w:val="TableContents"/>
              <w:spacing w:lineRule="atLeast" w:line="180" w:before="0" w:after="283"/>
              <w:rPr>
                <w:rFonts w:ascii="arial" w:hAnsi="arial"/>
                <w:sz w:val="12"/>
              </w:rPr>
            </w:pPr>
            <w:r>
              <w:rPr>
                <w:rFonts w:ascii="arial" w:hAnsi="arial"/>
                <w:sz w:val="12"/>
              </w:rPr>
              <w:t>(21)</w:t>
            </w:r>
          </w:p>
        </w:tc>
        <w:tc>
          <w:tcPr>
            <w:tcW w:w="23"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13" w:type="dxa"/>
            <w:tcBorders/>
            <w:shd w:fill="CCEEFF" w:val="clear"/>
            <w:vAlign w:val="bottom"/>
          </w:tcPr>
          <w:p>
            <w:pPr>
              <w:pStyle w:val="TableContents"/>
              <w:spacing w:lineRule="atLeast" w:line="180" w:before="0" w:after="283"/>
              <w:rPr>
                <w:rFonts w:ascii="arial" w:hAnsi="arial"/>
                <w:sz w:val="16"/>
              </w:rPr>
            </w:pPr>
            <w:r>
              <w:rPr>
                <w:rFonts w:ascii="arial" w:hAnsi="arial"/>
                <w:sz w:val="16"/>
              </w:rPr>
              <w:t>$</w:t>
            </w:r>
          </w:p>
        </w:tc>
        <w:tc>
          <w:tcPr>
            <w:tcW w:w="624" w:type="dxa"/>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47,456</w:t>
            </w:r>
          </w:p>
        </w:tc>
        <w:tc>
          <w:tcPr>
            <w:tcW w:w="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r>
      <w:tr>
        <w:trPr/>
        <w:tc>
          <w:tcPr>
            <w:tcW w:w="725" w:type="dxa"/>
            <w:tcBorders/>
            <w:shd w:fill="CCEEFF" w:val="clear"/>
            <w:vAlign w:val="bottom"/>
          </w:tcPr>
          <w:p>
            <w:pPr>
              <w:pStyle w:val="TableContents"/>
              <w:spacing w:lineRule="atLeast" w:line="180" w:before="0" w:after="283"/>
              <w:rPr/>
            </w:pPr>
            <w:r>
              <w:rPr/>
              <w:t> </w:t>
            </w:r>
          </w:p>
        </w:tc>
        <w:tc>
          <w:tcPr>
            <w:tcW w:w="23" w:type="dxa"/>
            <w:tcBorders/>
            <w:shd w:fill="CCEEFF" w:val="clear"/>
            <w:vAlign w:val="bottom"/>
          </w:tcPr>
          <w:p>
            <w:pPr>
              <w:pStyle w:val="TableContents"/>
              <w:spacing w:lineRule="atLeast" w:line="180" w:before="0" w:after="283"/>
              <w:rPr/>
            </w:pPr>
            <w:r>
              <w:rPr/>
              <w:t>​</w:t>
            </w:r>
          </w:p>
        </w:tc>
        <w:tc>
          <w:tcPr>
            <w:tcW w:w="248"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1"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39"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6" w:type="dxa"/>
            <w:tcBorders/>
            <w:shd w:fill="CCEEFF" w:val="clear"/>
            <w:vAlign w:val="bottom"/>
          </w:tcPr>
          <w:p>
            <w:pPr>
              <w:pStyle w:val="TableContents"/>
              <w:spacing w:lineRule="atLeast" w:line="180" w:before="0" w:after="283"/>
              <w:rPr/>
            </w:pPr>
            <w:r>
              <w:rPr/>
              <w:t>​</w:t>
            </w:r>
          </w:p>
        </w:tc>
        <w:tc>
          <w:tcPr>
            <w:tcW w:w="62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9"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3" w:type="dxa"/>
            <w:tcBorders/>
            <w:shd w:fill="CCEEFF" w:val="clear"/>
            <w:vAlign w:val="bottom"/>
          </w:tcPr>
          <w:p>
            <w:pPr>
              <w:pStyle w:val="TableContents"/>
              <w:spacing w:lineRule="atLeast" w:line="180" w:before="0" w:after="283"/>
              <w:rPr/>
            </w:pPr>
            <w:r>
              <w:rPr/>
              <w:t>​</w:t>
            </w:r>
          </w:p>
        </w:tc>
        <w:tc>
          <w:tcPr>
            <w:tcW w:w="72"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584"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45" w:type="dxa"/>
            <w:tcBorders/>
            <w:shd w:fill="CCEEFF" w:val="clear"/>
            <w:vAlign w:val="bottom"/>
          </w:tcPr>
          <w:p>
            <w:pPr>
              <w:pStyle w:val="TableContents"/>
              <w:spacing w:lineRule="atLeast" w:line="180" w:before="0" w:after="283"/>
              <w:rPr/>
            </w:pPr>
            <w:r>
              <w:rPr/>
              <w:t>​</w:t>
            </w:r>
          </w:p>
        </w:tc>
        <w:tc>
          <w:tcPr>
            <w:tcW w:w="7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4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7,369</w:t>
            </w:r>
          </w:p>
        </w:tc>
        <w:tc>
          <w:tcPr>
            <w:tcW w:w="650" w:type="dxa"/>
            <w:tcBorders/>
            <w:shd w:fill="CCEEFF" w:val="clear"/>
            <w:vAlign w:val="bottom"/>
          </w:tcPr>
          <w:p>
            <w:pPr>
              <w:pStyle w:val="TableContents"/>
              <w:spacing w:lineRule="atLeast" w:line="180" w:before="0" w:after="283"/>
              <w:rPr>
                <w:rFonts w:ascii="arial" w:hAnsi="arial"/>
                <w:sz w:val="12"/>
              </w:rPr>
            </w:pPr>
            <w:r>
              <w:rPr>
                <w:rFonts w:ascii="arial" w:hAnsi="arial"/>
                <w:sz w:val="12"/>
              </w:rPr>
              <w:t>(22)</w:t>
            </w:r>
          </w:p>
        </w:tc>
        <w:tc>
          <w:tcPr>
            <w:tcW w:w="23"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13" w:type="dxa"/>
            <w:tcBorders/>
            <w:shd w:fill="CCEEFF" w:val="clear"/>
            <w:vAlign w:val="bottom"/>
          </w:tcPr>
          <w:p>
            <w:pPr>
              <w:pStyle w:val="TableContents"/>
              <w:spacing w:lineRule="atLeast" w:line="180" w:before="0" w:after="283"/>
              <w:rPr>
                <w:rFonts w:ascii="arial" w:hAnsi="arial"/>
                <w:sz w:val="16"/>
              </w:rPr>
            </w:pPr>
            <w:r>
              <w:rPr>
                <w:rFonts w:ascii="arial" w:hAnsi="arial"/>
                <w:sz w:val="16"/>
              </w:rPr>
              <w:t>$</w:t>
            </w:r>
          </w:p>
        </w:tc>
        <w:tc>
          <w:tcPr>
            <w:tcW w:w="624" w:type="dxa"/>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94,913</w:t>
            </w:r>
          </w:p>
        </w:tc>
        <w:tc>
          <w:tcPr>
            <w:tcW w:w="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r>
      <w:tr>
        <w:trPr/>
        <w:tc>
          <w:tcPr>
            <w:tcW w:w="725" w:type="dxa"/>
            <w:tcBorders/>
            <w:shd w:fill="CCEEFF" w:val="clear"/>
            <w:vAlign w:val="bottom"/>
          </w:tcPr>
          <w:p>
            <w:pPr>
              <w:pStyle w:val="TableContents"/>
              <w:spacing w:lineRule="atLeast" w:line="180" w:before="0" w:after="283"/>
              <w:rPr/>
            </w:pPr>
            <w:r>
              <w:rPr/>
              <w:t> </w:t>
            </w:r>
          </w:p>
        </w:tc>
        <w:tc>
          <w:tcPr>
            <w:tcW w:w="23" w:type="dxa"/>
            <w:tcBorders/>
            <w:shd w:fill="CCEEFF" w:val="clear"/>
            <w:vAlign w:val="bottom"/>
          </w:tcPr>
          <w:p>
            <w:pPr>
              <w:pStyle w:val="TableContents"/>
              <w:spacing w:lineRule="atLeast" w:line="180" w:before="0" w:after="283"/>
              <w:rPr/>
            </w:pPr>
            <w:r>
              <w:rPr/>
              <w:t>​</w:t>
            </w:r>
          </w:p>
        </w:tc>
        <w:tc>
          <w:tcPr>
            <w:tcW w:w="248"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1"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39"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6" w:type="dxa"/>
            <w:tcBorders/>
            <w:shd w:fill="CCEEFF" w:val="clear"/>
            <w:vAlign w:val="bottom"/>
          </w:tcPr>
          <w:p>
            <w:pPr>
              <w:pStyle w:val="TableContents"/>
              <w:spacing w:lineRule="atLeast" w:line="180" w:before="0" w:after="283"/>
              <w:rPr/>
            </w:pPr>
            <w:r>
              <w:rPr/>
              <w:t>​</w:t>
            </w:r>
          </w:p>
        </w:tc>
        <w:tc>
          <w:tcPr>
            <w:tcW w:w="62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9"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3" w:type="dxa"/>
            <w:tcBorders/>
            <w:shd w:fill="CCEEFF" w:val="clear"/>
            <w:vAlign w:val="bottom"/>
          </w:tcPr>
          <w:p>
            <w:pPr>
              <w:pStyle w:val="TableContents"/>
              <w:spacing w:lineRule="atLeast" w:line="180" w:before="0" w:after="283"/>
              <w:rPr/>
            </w:pPr>
            <w:r>
              <w:rPr/>
              <w:t>​</w:t>
            </w:r>
          </w:p>
        </w:tc>
        <w:tc>
          <w:tcPr>
            <w:tcW w:w="72"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3,498</w:t>
            </w:r>
          </w:p>
        </w:tc>
        <w:tc>
          <w:tcPr>
            <w:tcW w:w="584" w:type="dxa"/>
            <w:tcBorders/>
            <w:shd w:fill="CCEEFF" w:val="clear"/>
            <w:vAlign w:val="bottom"/>
          </w:tcPr>
          <w:p>
            <w:pPr>
              <w:pStyle w:val="TableContents"/>
              <w:spacing w:lineRule="atLeast" w:line="180" w:before="0" w:after="283"/>
              <w:rPr>
                <w:rFonts w:ascii="arial" w:hAnsi="arial"/>
                <w:sz w:val="12"/>
              </w:rPr>
            </w:pPr>
            <w:r>
              <w:rPr>
                <w:rFonts w:ascii="arial" w:hAnsi="arial"/>
                <w:sz w:val="12"/>
              </w:rPr>
              <w:t>(13)</w:t>
            </w:r>
          </w:p>
        </w:tc>
        <w:tc>
          <w:tcPr>
            <w:tcW w:w="23" w:type="dxa"/>
            <w:tcBorders/>
            <w:shd w:fill="CCEEFF" w:val="clear"/>
            <w:vAlign w:val="bottom"/>
          </w:tcPr>
          <w:p>
            <w:pPr>
              <w:pStyle w:val="TableContents"/>
              <w:spacing w:lineRule="atLeast" w:line="180" w:before="0" w:after="283"/>
              <w:rPr/>
            </w:pPr>
            <w:r>
              <w:rPr/>
              <w:t>​</w:t>
            </w:r>
          </w:p>
        </w:tc>
        <w:tc>
          <w:tcPr>
            <w:tcW w:w="45" w:type="dxa"/>
            <w:tcBorders/>
            <w:shd w:fill="CCEEFF" w:val="clear"/>
            <w:vAlign w:val="bottom"/>
          </w:tcPr>
          <w:p>
            <w:pPr>
              <w:pStyle w:val="TableContents"/>
              <w:spacing w:lineRule="atLeast" w:line="180" w:before="0" w:after="283"/>
              <w:rPr/>
            </w:pPr>
            <w:r>
              <w:rPr/>
              <w:t>​</w:t>
            </w:r>
          </w:p>
        </w:tc>
        <w:tc>
          <w:tcPr>
            <w:tcW w:w="110" w:type="dxa"/>
            <w:tcBorders/>
            <w:shd w:fill="CCEEFF" w:val="clear"/>
            <w:vAlign w:val="bottom"/>
          </w:tcPr>
          <w:p>
            <w:pPr>
              <w:pStyle w:val="TableContents"/>
              <w:spacing w:lineRule="atLeast" w:line="180" w:before="0" w:after="283"/>
              <w:rPr>
                <w:rFonts w:ascii="arial" w:hAnsi="arial"/>
                <w:sz w:val="16"/>
              </w:rPr>
            </w:pPr>
            <w:r>
              <w:rPr>
                <w:rFonts w:ascii="arial" w:hAnsi="arial"/>
                <w:sz w:val="16"/>
              </w:rPr>
              <w:t>$</w:t>
            </w:r>
          </w:p>
        </w:tc>
        <w:tc>
          <w:tcPr>
            <w:tcW w:w="605" w:type="dxa"/>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45,054</w:t>
            </w:r>
          </w:p>
        </w:tc>
        <w:tc>
          <w:tcPr>
            <w:tcW w:w="4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65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737"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r>
      <w:tr>
        <w:trPr/>
        <w:tc>
          <w:tcPr>
            <w:tcW w:w="725" w:type="dxa"/>
            <w:tcBorders/>
            <w:shd w:fill="CCEEFF" w:val="clear"/>
            <w:vAlign w:val="bottom"/>
          </w:tcPr>
          <w:p>
            <w:pPr>
              <w:pStyle w:val="TableContents"/>
              <w:spacing w:lineRule="atLeast" w:line="180" w:before="0" w:after="283"/>
              <w:rPr/>
            </w:pPr>
            <w:r>
              <w:rPr/>
              <w:t> </w:t>
            </w:r>
          </w:p>
        </w:tc>
        <w:tc>
          <w:tcPr>
            <w:tcW w:w="23" w:type="dxa"/>
            <w:tcBorders/>
            <w:shd w:fill="CCEEFF" w:val="clear"/>
            <w:vAlign w:val="bottom"/>
          </w:tcPr>
          <w:p>
            <w:pPr>
              <w:pStyle w:val="TableContents"/>
              <w:spacing w:lineRule="atLeast" w:line="180" w:before="0" w:after="283"/>
              <w:rPr/>
            </w:pPr>
            <w:r>
              <w:rPr/>
              <w:t>​</w:t>
            </w:r>
          </w:p>
        </w:tc>
        <w:tc>
          <w:tcPr>
            <w:tcW w:w="248"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1"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39"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6" w:type="dxa"/>
            <w:tcBorders/>
            <w:shd w:fill="CCEEFF" w:val="clear"/>
            <w:vAlign w:val="bottom"/>
          </w:tcPr>
          <w:p>
            <w:pPr>
              <w:pStyle w:val="TableContents"/>
              <w:spacing w:lineRule="atLeast" w:line="180" w:before="0" w:after="283"/>
              <w:rPr/>
            </w:pPr>
            <w:r>
              <w:rPr/>
              <w:t>​</w:t>
            </w:r>
          </w:p>
        </w:tc>
        <w:tc>
          <w:tcPr>
            <w:tcW w:w="62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9"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3" w:type="dxa"/>
            <w:tcBorders/>
            <w:shd w:fill="CCEEFF" w:val="clear"/>
            <w:vAlign w:val="bottom"/>
          </w:tcPr>
          <w:p>
            <w:pPr>
              <w:pStyle w:val="TableContents"/>
              <w:spacing w:lineRule="atLeast" w:line="180" w:before="0" w:after="283"/>
              <w:rPr/>
            </w:pPr>
            <w:r>
              <w:rPr/>
              <w:t>​</w:t>
            </w:r>
          </w:p>
        </w:tc>
        <w:tc>
          <w:tcPr>
            <w:tcW w:w="72"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6,000</w:t>
            </w:r>
          </w:p>
        </w:tc>
        <w:tc>
          <w:tcPr>
            <w:tcW w:w="584" w:type="dxa"/>
            <w:tcBorders/>
            <w:shd w:fill="CCEEFF" w:val="clear"/>
            <w:vAlign w:val="bottom"/>
          </w:tcPr>
          <w:p>
            <w:pPr>
              <w:pStyle w:val="TableContents"/>
              <w:spacing w:lineRule="atLeast" w:line="180" w:before="0" w:after="283"/>
              <w:rPr>
                <w:rFonts w:ascii="arial" w:hAnsi="arial"/>
                <w:sz w:val="12"/>
              </w:rPr>
            </w:pPr>
            <w:r>
              <w:rPr>
                <w:rFonts w:ascii="arial" w:hAnsi="arial"/>
                <w:sz w:val="12"/>
              </w:rPr>
              <w:t>(23)</w:t>
            </w:r>
          </w:p>
        </w:tc>
        <w:tc>
          <w:tcPr>
            <w:tcW w:w="23" w:type="dxa"/>
            <w:tcBorders/>
            <w:shd w:fill="CCEEFF" w:val="clear"/>
            <w:vAlign w:val="bottom"/>
          </w:tcPr>
          <w:p>
            <w:pPr>
              <w:pStyle w:val="TableContents"/>
              <w:spacing w:lineRule="atLeast" w:line="180" w:before="0" w:after="283"/>
              <w:rPr/>
            </w:pPr>
            <w:r>
              <w:rPr/>
              <w:t>​</w:t>
            </w:r>
          </w:p>
        </w:tc>
        <w:tc>
          <w:tcPr>
            <w:tcW w:w="45" w:type="dxa"/>
            <w:tcBorders/>
            <w:shd w:fill="CCEEFF" w:val="clear"/>
            <w:vAlign w:val="bottom"/>
          </w:tcPr>
          <w:p>
            <w:pPr>
              <w:pStyle w:val="TableContents"/>
              <w:spacing w:lineRule="atLeast" w:line="180" w:before="0" w:after="283"/>
              <w:rPr/>
            </w:pPr>
            <w:r>
              <w:rPr/>
              <w:t>​</w:t>
            </w:r>
          </w:p>
        </w:tc>
        <w:tc>
          <w:tcPr>
            <w:tcW w:w="110" w:type="dxa"/>
            <w:tcBorders/>
            <w:shd w:fill="CCEEFF" w:val="clear"/>
            <w:vAlign w:val="bottom"/>
          </w:tcPr>
          <w:p>
            <w:pPr>
              <w:pStyle w:val="TableContents"/>
              <w:spacing w:lineRule="atLeast" w:line="180" w:before="0" w:after="283"/>
              <w:rPr>
                <w:rFonts w:ascii="arial" w:hAnsi="arial"/>
                <w:sz w:val="16"/>
              </w:rPr>
            </w:pPr>
            <w:r>
              <w:rPr>
                <w:rFonts w:ascii="arial" w:hAnsi="arial"/>
                <w:sz w:val="16"/>
              </w:rPr>
              <w:t>$</w:t>
            </w:r>
          </w:p>
        </w:tc>
        <w:tc>
          <w:tcPr>
            <w:tcW w:w="605" w:type="dxa"/>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77,280</w:t>
            </w:r>
          </w:p>
        </w:tc>
        <w:tc>
          <w:tcPr>
            <w:tcW w:w="4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65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737"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r>
      <w:tr>
        <w:trPr/>
        <w:tc>
          <w:tcPr>
            <w:tcW w:w="725" w:type="dxa"/>
            <w:tcBorders/>
            <w:shd w:fill="CCEEFF" w:val="clear"/>
            <w:vAlign w:val="bottom"/>
          </w:tcPr>
          <w:p>
            <w:pPr>
              <w:pStyle w:val="TableContents"/>
              <w:spacing w:lineRule="atLeast" w:line="180" w:before="0" w:after="283"/>
              <w:rPr/>
            </w:pPr>
            <w:r>
              <w:rPr/>
              <w:t> </w:t>
            </w:r>
          </w:p>
        </w:tc>
        <w:tc>
          <w:tcPr>
            <w:tcW w:w="23" w:type="dxa"/>
            <w:tcBorders/>
            <w:shd w:fill="CCEEFF" w:val="clear"/>
            <w:vAlign w:val="bottom"/>
          </w:tcPr>
          <w:p>
            <w:pPr>
              <w:pStyle w:val="TableContents"/>
              <w:spacing w:lineRule="atLeast" w:line="180" w:before="0" w:after="283"/>
              <w:rPr/>
            </w:pPr>
            <w:r>
              <w:rPr/>
              <w:t>​</w:t>
            </w:r>
          </w:p>
        </w:tc>
        <w:tc>
          <w:tcPr>
            <w:tcW w:w="248"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1"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39"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6" w:type="dxa"/>
            <w:tcBorders/>
            <w:shd w:fill="CCEEFF" w:val="clear"/>
            <w:vAlign w:val="bottom"/>
          </w:tcPr>
          <w:p>
            <w:pPr>
              <w:pStyle w:val="TableContents"/>
              <w:spacing w:lineRule="atLeast" w:line="180" w:before="0" w:after="283"/>
              <w:rPr/>
            </w:pPr>
            <w:r>
              <w:rPr/>
              <w:t>​</w:t>
            </w:r>
          </w:p>
        </w:tc>
        <w:tc>
          <w:tcPr>
            <w:tcW w:w="62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9"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3" w:type="dxa"/>
            <w:tcBorders/>
            <w:shd w:fill="CCEEFF" w:val="clear"/>
            <w:vAlign w:val="bottom"/>
          </w:tcPr>
          <w:p>
            <w:pPr>
              <w:pStyle w:val="TableContents"/>
              <w:spacing w:lineRule="atLeast" w:line="180" w:before="0" w:after="283"/>
              <w:rPr/>
            </w:pPr>
            <w:r>
              <w:rPr/>
              <w:t>​</w:t>
            </w:r>
          </w:p>
        </w:tc>
        <w:tc>
          <w:tcPr>
            <w:tcW w:w="72"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584"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45" w:type="dxa"/>
            <w:tcBorders/>
            <w:shd w:fill="CCEEFF" w:val="clear"/>
            <w:vAlign w:val="bottom"/>
          </w:tcPr>
          <w:p>
            <w:pPr>
              <w:pStyle w:val="TableContents"/>
              <w:spacing w:lineRule="atLeast" w:line="180" w:before="0" w:after="283"/>
              <w:rPr/>
            </w:pPr>
            <w:r>
              <w:rPr/>
              <w:t>​</w:t>
            </w:r>
          </w:p>
        </w:tc>
        <w:tc>
          <w:tcPr>
            <w:tcW w:w="7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4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19,000</w:t>
            </w:r>
          </w:p>
        </w:tc>
        <w:tc>
          <w:tcPr>
            <w:tcW w:w="650" w:type="dxa"/>
            <w:tcBorders/>
            <w:shd w:fill="CCEEFF" w:val="clear"/>
            <w:vAlign w:val="bottom"/>
          </w:tcPr>
          <w:p>
            <w:pPr>
              <w:pStyle w:val="TableContents"/>
              <w:spacing w:lineRule="atLeast" w:line="180" w:before="0" w:after="283"/>
              <w:rPr>
                <w:rFonts w:ascii="arial" w:hAnsi="arial"/>
                <w:sz w:val="12"/>
              </w:rPr>
            </w:pPr>
            <w:r>
              <w:rPr>
                <w:rFonts w:ascii="arial" w:hAnsi="arial"/>
                <w:sz w:val="12"/>
              </w:rPr>
              <w:t>(16)</w:t>
            </w:r>
          </w:p>
        </w:tc>
        <w:tc>
          <w:tcPr>
            <w:tcW w:w="23"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13" w:type="dxa"/>
            <w:tcBorders/>
            <w:shd w:fill="CCEEFF" w:val="clear"/>
            <w:vAlign w:val="bottom"/>
          </w:tcPr>
          <w:p>
            <w:pPr>
              <w:pStyle w:val="TableContents"/>
              <w:spacing w:lineRule="atLeast" w:line="180" w:before="0" w:after="283"/>
              <w:rPr>
                <w:rFonts w:ascii="arial" w:hAnsi="arial"/>
                <w:sz w:val="16"/>
              </w:rPr>
            </w:pPr>
            <w:r>
              <w:rPr>
                <w:rFonts w:ascii="arial" w:hAnsi="arial"/>
                <w:sz w:val="16"/>
              </w:rPr>
              <w:t>$</w:t>
            </w:r>
          </w:p>
        </w:tc>
        <w:tc>
          <w:tcPr>
            <w:tcW w:w="624" w:type="dxa"/>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244,720</w:t>
            </w:r>
          </w:p>
        </w:tc>
        <w:tc>
          <w:tcPr>
            <w:tcW w:w="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r>
      <w:tr>
        <w:trPr/>
        <w:tc>
          <w:tcPr>
            <w:tcW w:w="725" w:type="dxa"/>
            <w:tcBorders/>
            <w:shd w:fill="CCEEFF" w:val="clear"/>
            <w:vAlign w:val="bottom"/>
          </w:tcPr>
          <w:p>
            <w:pPr>
              <w:pStyle w:val="TableContents"/>
              <w:spacing w:lineRule="atLeast" w:line="180" w:before="0" w:after="283"/>
              <w:rPr/>
            </w:pPr>
            <w:r>
              <w:rPr/>
              <w:t> </w:t>
            </w:r>
          </w:p>
        </w:tc>
        <w:tc>
          <w:tcPr>
            <w:tcW w:w="23" w:type="dxa"/>
            <w:tcBorders/>
            <w:shd w:fill="CCEEFF" w:val="clear"/>
            <w:vAlign w:val="bottom"/>
          </w:tcPr>
          <w:p>
            <w:pPr>
              <w:pStyle w:val="TableContents"/>
              <w:spacing w:lineRule="atLeast" w:line="180" w:before="0" w:after="283"/>
              <w:rPr/>
            </w:pPr>
            <w:r>
              <w:rPr/>
              <w:t>​</w:t>
            </w:r>
          </w:p>
        </w:tc>
        <w:tc>
          <w:tcPr>
            <w:tcW w:w="248"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1"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39" w:type="dxa"/>
            <w:tcBorders/>
            <w:shd w:fill="CCEEFF" w:val="clear"/>
            <w:vAlign w:val="bottom"/>
          </w:tcPr>
          <w:p>
            <w:pPr>
              <w:pStyle w:val="TableContents"/>
              <w:spacing w:lineRule="atLeast" w:line="180" w:before="0" w:after="283"/>
              <w:rPr/>
            </w:pPr>
            <w:r>
              <w:rPr/>
              <w:t>​</w:t>
            </w:r>
          </w:p>
        </w:tc>
        <w:tc>
          <w:tcPr>
            <w:tcW w:w="60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6" w:type="dxa"/>
            <w:tcBorders/>
            <w:shd w:fill="CCEEFF" w:val="clear"/>
            <w:vAlign w:val="bottom"/>
          </w:tcPr>
          <w:p>
            <w:pPr>
              <w:pStyle w:val="TableContents"/>
              <w:spacing w:lineRule="atLeast" w:line="180" w:before="0" w:after="283"/>
              <w:rPr/>
            </w:pPr>
            <w:r>
              <w:rPr/>
              <w:t>​</w:t>
            </w:r>
          </w:p>
        </w:tc>
        <w:tc>
          <w:tcPr>
            <w:tcW w:w="62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9"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3" w:type="dxa"/>
            <w:tcBorders/>
            <w:shd w:fill="CCEEFF" w:val="clear"/>
            <w:vAlign w:val="bottom"/>
          </w:tcPr>
          <w:p>
            <w:pPr>
              <w:pStyle w:val="TableContents"/>
              <w:spacing w:lineRule="atLeast" w:line="180" w:before="0" w:after="283"/>
              <w:rPr/>
            </w:pPr>
            <w:r>
              <w:rPr/>
              <w:t>​</w:t>
            </w:r>
          </w:p>
        </w:tc>
        <w:tc>
          <w:tcPr>
            <w:tcW w:w="72"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4,750</w:t>
            </w:r>
          </w:p>
        </w:tc>
        <w:tc>
          <w:tcPr>
            <w:tcW w:w="584" w:type="dxa"/>
            <w:tcBorders/>
            <w:shd w:fill="CCEEFF" w:val="clear"/>
            <w:vAlign w:val="bottom"/>
          </w:tcPr>
          <w:p>
            <w:pPr>
              <w:pStyle w:val="TableContents"/>
              <w:spacing w:lineRule="atLeast" w:line="180" w:before="0" w:after="283"/>
              <w:rPr>
                <w:rFonts w:ascii="arial" w:hAnsi="arial"/>
                <w:sz w:val="12"/>
              </w:rPr>
            </w:pPr>
            <w:r>
              <w:rPr>
                <w:rFonts w:ascii="arial" w:hAnsi="arial"/>
                <w:sz w:val="12"/>
              </w:rPr>
              <w:t>(17)</w:t>
            </w:r>
          </w:p>
        </w:tc>
        <w:tc>
          <w:tcPr>
            <w:tcW w:w="23" w:type="dxa"/>
            <w:tcBorders/>
            <w:shd w:fill="CCEEFF" w:val="clear"/>
            <w:vAlign w:val="bottom"/>
          </w:tcPr>
          <w:p>
            <w:pPr>
              <w:pStyle w:val="TableContents"/>
              <w:spacing w:lineRule="atLeast" w:line="180" w:before="0" w:after="283"/>
              <w:rPr/>
            </w:pPr>
            <w:r>
              <w:rPr/>
              <w:t>​</w:t>
            </w:r>
          </w:p>
        </w:tc>
        <w:tc>
          <w:tcPr>
            <w:tcW w:w="45" w:type="dxa"/>
            <w:tcBorders/>
            <w:shd w:fill="CCEEFF" w:val="clear"/>
            <w:vAlign w:val="bottom"/>
          </w:tcPr>
          <w:p>
            <w:pPr>
              <w:pStyle w:val="TableContents"/>
              <w:spacing w:lineRule="atLeast" w:line="180" w:before="0" w:after="283"/>
              <w:rPr/>
            </w:pPr>
            <w:r>
              <w:rPr/>
              <w:t>​</w:t>
            </w:r>
          </w:p>
        </w:tc>
        <w:tc>
          <w:tcPr>
            <w:tcW w:w="110" w:type="dxa"/>
            <w:tcBorders/>
            <w:shd w:fill="CCEEFF" w:val="clear"/>
            <w:vAlign w:val="bottom"/>
          </w:tcPr>
          <w:p>
            <w:pPr>
              <w:pStyle w:val="TableContents"/>
              <w:spacing w:lineRule="atLeast" w:line="180" w:before="0" w:after="283"/>
              <w:rPr>
                <w:rFonts w:ascii="arial" w:hAnsi="arial"/>
                <w:sz w:val="16"/>
              </w:rPr>
            </w:pPr>
            <w:r>
              <w:rPr>
                <w:rFonts w:ascii="arial" w:hAnsi="arial"/>
                <w:sz w:val="16"/>
              </w:rPr>
              <w:t>$</w:t>
            </w:r>
          </w:p>
        </w:tc>
        <w:tc>
          <w:tcPr>
            <w:tcW w:w="605" w:type="dxa"/>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61,180</w:t>
            </w:r>
          </w:p>
        </w:tc>
        <w:tc>
          <w:tcPr>
            <w:tcW w:w="4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65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737"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r>
    </w:tbl>
    <w:p>
      <w:pPr>
        <w:pStyle w:val="TextBody"/>
        <w:jc w:val="center"/>
        <w:rPr>
          <w:rFonts w:ascii="arial" w:hAnsi="arial"/>
          <w:sz w:val="20"/>
        </w:rPr>
      </w:pPr>
      <w:r>
        <w:rPr>
          <w:rFonts w:ascii="arial" w:hAnsi="arial"/>
          <w:sz w:val="20"/>
        </w:rPr>
        <w:t>60</w:t>
      </w:r>
    </w:p>
    <w:p>
      <w:pPr>
        <w:pStyle w:val="HorizontalLine"/>
        <w:pBdr>
          <w:bottom w:val="single" w:sz="20" w:space="0" w:color="808080"/>
        </w:pBdr>
        <w:rPr/>
      </w:pPr>
      <w:r>
        <w:rPr/>
      </w:r>
      <w:r>
        <w:br w:type="page"/>
      </w:r>
    </w:p>
    <w:p>
      <w:pPr>
        <w:pStyle w:val="TextBody"/>
        <w:rPr/>
      </w:pPr>
      <w:hyperlink w:anchor="bg45301a_main_toc">
        <w:bookmarkStart w:id="116" w:name="page_ea45301_1_61"/>
        <w:bookmarkEnd w:id="116"/>
        <w:r>
          <w:rPr>
            <w:rStyle w:val="InternetLink"/>
            <w:rFonts w:ascii="arial" w:hAnsi="arial"/>
            <w:sz w:val="20"/>
          </w:rPr>
          <w:t>Table of Contents</w:t>
        </w:r>
      </w:hyperlink>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3368"/>
        <w:gridCol w:w="100"/>
        <w:gridCol w:w="6737"/>
      </w:tblGrid>
      <w:tr>
        <w:trPr/>
        <w:tc>
          <w:tcPr>
            <w:tcW w:w="3368" w:type="dxa"/>
            <w:tcBorders/>
            <w:shd w:fill="auto" w:val="clear"/>
            <w:vAlign w:val="center"/>
          </w:tcPr>
          <w:p>
            <w:pPr>
              <w:pStyle w:val="TableContents"/>
              <w:spacing w:before="0" w:after="283"/>
              <w:rPr/>
            </w:pPr>
            <w:r>
              <w:rPr/>
              <w:commentReference w:id="225"/>
            </w:r>
            <w:r>
              <w:rPr/>
              <w:commentReference w:id="226"/>
            </w:r>
            <w:r>
              <w:rPr/>
              <w:commentReference w:id="227"/>
            </w:r>
            <w:r>
              <w:rPr/>
              <w:t>​</w:t>
            </w:r>
          </w:p>
        </w:tc>
        <w:tc>
          <w:tcPr>
            <w:tcW w:w="100" w:type="dxa"/>
            <w:tcBorders/>
            <w:shd w:fill="auto" w:val="clear"/>
            <w:vAlign w:val="center"/>
          </w:tcPr>
          <w:p>
            <w:pPr>
              <w:pStyle w:val="TableContents"/>
              <w:spacing w:before="0" w:after="283"/>
              <w:rPr/>
            </w:pPr>
            <w:r>
              <w:rPr/>
              <w:t>​</w:t>
            </w:r>
          </w:p>
        </w:tc>
        <w:tc>
          <w:tcPr>
            <w:tcW w:w="6737" w:type="dxa"/>
            <w:tcBorders/>
            <w:shd w:fill="auto" w:val="clear"/>
            <w:vAlign w:val="center"/>
          </w:tcPr>
          <w:p>
            <w:pPr>
              <w:pStyle w:val="TableContents"/>
              <w:spacing w:before="0" w:after="283"/>
              <w:rPr/>
            </w:pPr>
            <w:r>
              <w:rPr/>
              <w:t>​</w:t>
            </w:r>
            <w:r>
              <w:rPr>
                <w:rFonts w:eastAsia="arial" w:cs="arial" w:ascii="arial" w:hAnsi="arial"/>
              </w:rPr>
              <w:commentReference w:id="228"/>
            </w:r>
          </w:p>
        </w:tc>
      </w:tr>
      <w:tr>
        <w:trPr/>
        <w:tc>
          <w:tcPr>
            <w:tcW w:w="3368" w:type="dxa"/>
            <w:tcBorders/>
            <w:shd w:fill="auto" w:val="clear"/>
          </w:tcPr>
          <w:p>
            <w:pPr>
              <w:pStyle w:val="TableContents"/>
              <w:rPr/>
            </w:pPr>
            <w:r>
              <w:rPr/>
              <w:t>​</w:t>
            </w:r>
          </w:p>
          <w:p>
            <w:pPr>
              <w:pStyle w:val="TableContents"/>
              <w:spacing w:before="0" w:after="283"/>
              <w:rPr/>
            </w:pPr>
            <w:r>
              <w:rPr/>
              <w:t> </w:t>
            </w:r>
          </w:p>
        </w:tc>
        <w:tc>
          <w:tcPr>
            <w:tcW w:w="100"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drawing>
                <wp:inline distT="0" distB="0" distL="0" distR="0">
                  <wp:extent cx="1971675" cy="1809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embed="rId93"/>
                          <a:stretch>
                            <a:fillRect/>
                          </a:stretch>
                        </pic:blipFill>
                        <pic:spPr bwMode="auto">
                          <a:xfrm>
                            <a:off x="0" y="0"/>
                            <a:ext cx="1971675" cy="180975"/>
                          </a:xfrm>
                          <a:prstGeom prst="rect">
                            <a:avLst/>
                          </a:prstGeom>
                        </pic:spPr>
                      </pic:pic>
                    </a:graphicData>
                  </a:graphic>
                </wp:inline>
              </w:drawing>
            </w:r>
            <w:r>
              <w:rPr/>
              <w:t xml:space="preserve"> </w:t>
            </w:r>
          </w:p>
        </w:tc>
      </w:tr>
      <w:tr>
        <w:trPr/>
        <w:tc>
          <w:tcPr>
            <w:tcW w:w="3368" w:type="dxa"/>
            <w:tcBorders/>
            <w:shd w:fill="auto" w:val="clear"/>
          </w:tcPr>
          <w:p>
            <w:pPr>
              <w:pStyle w:val="TableContents"/>
              <w:rPr/>
            </w:pPr>
            <w:r>
              <w:rPr/>
              <w:t>​</w:t>
            </w:r>
          </w:p>
          <w:p>
            <w:pPr>
              <w:pStyle w:val="TableContents"/>
              <w:spacing w:before="0" w:after="283"/>
              <w:rPr/>
            </w:pPr>
            <w:r>
              <w:rPr/>
              <w:t> </w:t>
            </w:r>
          </w:p>
        </w:tc>
        <w:tc>
          <w:tcPr>
            <w:tcW w:w="100"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spacing w:before="0" w:after="283"/>
              <w:jc w:val="right"/>
              <w:rPr/>
            </w:pPr>
            <w:r>
              <w:rPr/>
              <w:t>​</w:t>
            </w:r>
          </w:p>
        </w:tc>
      </w:tr>
    </w:tbl>
    <w:p>
      <w:pPr>
        <w:pStyle w:val="TextBody"/>
        <w:spacing w:before="0" w:after="0"/>
        <w:rPr/>
      </w:pPr>
      <w:r>
        <w:rPr>
          <w:color w:val="000000"/>
        </w:rPr>
        <w:commentReference w:id="229"/>
      </w:r>
      <w:r>
        <w:rPr>
          <w:color w:val="000000"/>
        </w:rPr>
        <w:t>​</w:t>
      </w:r>
      <w:r>
        <w:rPr/>
        <w:t xml:space="preserve"> </w:t>
      </w:r>
    </w:p>
    <w:tbl>
      <w:tblPr>
        <w:tblW w:w="5000" w:type="pct"/>
        <w:jc w:val="center"/>
        <w:tblInd w:w="0" w:type="dxa"/>
        <w:tblCellMar>
          <w:top w:w="0" w:type="dxa"/>
          <w:left w:w="0" w:type="dxa"/>
          <w:bottom w:w="0" w:type="dxa"/>
          <w:right w:w="0" w:type="dxa"/>
        </w:tblCellMar>
      </w:tblPr>
      <w:tblGrid>
        <w:gridCol w:w="795"/>
        <w:gridCol w:w="23"/>
        <w:gridCol w:w="248"/>
        <w:gridCol w:w="248"/>
        <w:gridCol w:w="267"/>
        <w:gridCol w:w="251"/>
        <w:gridCol w:w="23"/>
        <w:gridCol w:w="139"/>
        <w:gridCol w:w="257"/>
        <w:gridCol w:w="258"/>
        <w:gridCol w:w="758"/>
        <w:gridCol w:w="23"/>
        <w:gridCol w:w="90"/>
        <w:gridCol w:w="257"/>
        <w:gridCol w:w="258"/>
        <w:gridCol w:w="725"/>
        <w:gridCol w:w="23"/>
        <w:gridCol w:w="26"/>
        <w:gridCol w:w="128"/>
        <w:gridCol w:w="498"/>
        <w:gridCol w:w="29"/>
        <w:gridCol w:w="23"/>
        <w:gridCol w:w="415"/>
        <w:gridCol w:w="415"/>
        <w:gridCol w:w="23"/>
        <w:gridCol w:w="72"/>
        <w:gridCol w:w="212"/>
        <w:gridCol w:w="213"/>
        <w:gridCol w:w="584"/>
        <w:gridCol w:w="23"/>
        <w:gridCol w:w="27"/>
        <w:gridCol w:w="132"/>
        <w:gridCol w:w="614"/>
        <w:gridCol w:w="28"/>
        <w:gridCol w:w="23"/>
        <w:gridCol w:w="80"/>
        <w:gridCol w:w="256"/>
        <w:gridCol w:w="259"/>
        <w:gridCol w:w="650"/>
        <w:gridCol w:w="23"/>
        <w:gridCol w:w="23"/>
        <w:gridCol w:w="113"/>
        <w:gridCol w:w="624"/>
        <w:gridCol w:w="25"/>
        <w:gridCol w:w="24"/>
      </w:tblGrid>
      <w:tr>
        <w:trPr/>
        <w:tc>
          <w:tcPr>
            <w:tcW w:w="795"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6"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29"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7"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28"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25" w:type="dxa"/>
            <w:tcBorders/>
            <w:shd w:fill="auto" w:val="clear"/>
            <w:vAlign w:val="center"/>
          </w:tcPr>
          <w:p>
            <w:pPr>
              <w:pStyle w:val="TableContents"/>
              <w:spacing w:before="0" w:after="283"/>
              <w:rPr>
                <w:sz w:val="4"/>
                <w:szCs w:val="4"/>
              </w:rPr>
            </w:pPr>
            <w:r>
              <w:rPr>
                <w:sz w:val="4"/>
                <w:szCs w:val="4"/>
              </w:rPr>
            </w:r>
          </w:p>
        </w:tc>
        <w:tc>
          <w:tcPr>
            <w:tcW w:w="24" w:type="dxa"/>
            <w:tcBorders/>
            <w:shd w:fill="auto" w:val="clear"/>
            <w:vAlign w:val="center"/>
          </w:tcPr>
          <w:p>
            <w:pPr>
              <w:pStyle w:val="TableContents"/>
              <w:spacing w:before="0" w:after="283"/>
              <w:rPr>
                <w:sz w:val="4"/>
                <w:szCs w:val="4"/>
              </w:rPr>
            </w:pPr>
            <w:r>
              <w:rPr>
                <w:sz w:val="4"/>
                <w:szCs w:val="4"/>
              </w:rPr>
            </w:r>
          </w:p>
        </w:tc>
      </w:tr>
      <w:tr>
        <w:trPr/>
        <w:tc>
          <w:tcPr>
            <w:tcW w:w="795" w:type="dxa"/>
            <w:tcBorders/>
            <w:shd w:fill="auto" w:val="clear"/>
            <w:vAlign w:val="bottom"/>
          </w:tcPr>
          <w:p>
            <w:pPr>
              <w:pStyle w:val="TableHeading"/>
              <w:spacing w:lineRule="atLeast" w:line="180" w:before="0" w:after="283"/>
              <w:jc w:val="left"/>
              <w:rPr/>
            </w:pPr>
            <w:r>
              <w:rPr/>
              <w:t> </w:t>
            </w:r>
          </w:p>
        </w:tc>
        <w:tc>
          <w:tcPr>
            <w:tcW w:w="23" w:type="dxa"/>
            <w:tcBorders/>
            <w:shd w:fill="auto" w:val="clear"/>
            <w:vAlign w:val="bottom"/>
          </w:tcPr>
          <w:p>
            <w:pPr>
              <w:pStyle w:val="TableHeading"/>
              <w:spacing w:lineRule="atLeast" w:line="180" w:before="0" w:after="283"/>
              <w:rPr/>
            </w:pPr>
            <w:r>
              <w:rPr/>
              <w:t>​</w:t>
            </w:r>
          </w:p>
        </w:tc>
        <w:tc>
          <w:tcPr>
            <w:tcW w:w="5359" w:type="dxa"/>
            <w:gridSpan w:val="22"/>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 xml:space="preserve">Option Awards </w:t>
            </w:r>
          </w:p>
        </w:tc>
        <w:tc>
          <w:tcPr>
            <w:tcW w:w="23" w:type="dxa"/>
            <w:tcBorders/>
            <w:shd w:fill="auto" w:val="clear"/>
            <w:vAlign w:val="bottom"/>
          </w:tcPr>
          <w:p>
            <w:pPr>
              <w:pStyle w:val="TableHeading"/>
              <w:spacing w:lineRule="atLeast" w:line="180" w:before="0" w:after="283"/>
              <w:rPr/>
            </w:pPr>
            <w:r>
              <w:rPr/>
              <w:t>​</w:t>
            </w:r>
          </w:p>
        </w:tc>
        <w:tc>
          <w:tcPr>
            <w:tcW w:w="3981" w:type="dxa"/>
            <w:gridSpan w:val="19"/>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Stock Awards</w:t>
            </w:r>
            <w:r>
              <w:rPr>
                <w:rFonts w:ascii="arial" w:hAnsi="arial"/>
                <w:b/>
                <w:sz w:val="12"/>
              </w:rPr>
              <w:t>(6)</w:t>
            </w:r>
            <w:r>
              <w:rPr>
                <w:rFonts w:ascii="arial" w:hAnsi="arial"/>
                <w:b/>
                <w:sz w:val="16"/>
              </w:rPr>
              <w:t xml:space="preserve"> </w:t>
            </w:r>
          </w:p>
        </w:tc>
        <w:tc>
          <w:tcPr>
            <w:tcW w:w="24" w:type="dxa"/>
            <w:tcBorders/>
            <w:shd w:fill="auto" w:val="clear"/>
            <w:vAlign w:val="bottom"/>
          </w:tcPr>
          <w:p>
            <w:pPr>
              <w:pStyle w:val="TableHeading"/>
              <w:spacing w:lineRule="atLeast" w:line="180" w:before="0" w:after="283"/>
              <w:rPr/>
            </w:pPr>
            <w:r>
              <w:rPr/>
              <w:t>​</w:t>
            </w:r>
          </w:p>
        </w:tc>
      </w:tr>
      <w:tr>
        <w:trPr/>
        <w:tc>
          <w:tcPr>
            <w:tcW w:w="795" w:type="dxa"/>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 xml:space="preserve">Name </w:t>
            </w:r>
          </w:p>
        </w:tc>
        <w:tc>
          <w:tcPr>
            <w:tcW w:w="23" w:type="dxa"/>
            <w:tcBorders/>
            <w:shd w:fill="auto" w:val="clear"/>
            <w:vAlign w:val="bottom"/>
          </w:tcPr>
          <w:p>
            <w:pPr>
              <w:pStyle w:val="TableHeading"/>
              <w:spacing w:lineRule="atLeast" w:line="180" w:before="0" w:after="283"/>
              <w:rPr/>
            </w:pPr>
            <w:r>
              <w:rPr/>
              <w:t>​</w:t>
            </w:r>
          </w:p>
        </w:tc>
        <w:tc>
          <w:tcPr>
            <w:tcW w:w="1014" w:type="dxa"/>
            <w:gridSpan w:val="4"/>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Number of</w:t>
              <w:br/>
              <w:t>Securities</w:t>
              <w:br/>
              <w:t>Underlying</w:t>
              <w:br/>
              <w:t>Unexercised</w:t>
              <w:br/>
              <w:t>Options</w:t>
              <w:br/>
              <w:t xml:space="preserve">Exercisable </w:t>
            </w:r>
          </w:p>
        </w:tc>
        <w:tc>
          <w:tcPr>
            <w:tcW w:w="23" w:type="dxa"/>
            <w:tcBorders/>
            <w:shd w:fill="auto" w:val="clear"/>
            <w:vAlign w:val="bottom"/>
          </w:tcPr>
          <w:p>
            <w:pPr>
              <w:pStyle w:val="TableHeading"/>
              <w:spacing w:lineRule="atLeast" w:line="180" w:before="0" w:after="283"/>
              <w:rPr/>
            </w:pPr>
            <w:r>
              <w:rPr/>
              <w:t>​</w:t>
            </w:r>
          </w:p>
        </w:tc>
        <w:tc>
          <w:tcPr>
            <w:tcW w:w="1412" w:type="dxa"/>
            <w:gridSpan w:val="4"/>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Number of</w:t>
              <w:br/>
              <w:t>Securities</w:t>
              <w:br/>
              <w:t>Underlying</w:t>
              <w:br/>
              <w:t>Unexercised</w:t>
              <w:br/>
              <w:t>Options</w:t>
              <w:br/>
              <w:t>Unexercisable</w:t>
            </w:r>
            <w:r>
              <w:rPr>
                <w:rFonts w:ascii="arial" w:hAnsi="arial"/>
                <w:b/>
                <w:sz w:val="12"/>
              </w:rPr>
              <w:t>(1)</w:t>
            </w:r>
            <w:r>
              <w:rPr>
                <w:rFonts w:ascii="arial" w:hAnsi="arial"/>
                <w:b/>
                <w:sz w:val="16"/>
              </w:rPr>
              <w:t xml:space="preserve"> </w:t>
            </w:r>
          </w:p>
        </w:tc>
        <w:tc>
          <w:tcPr>
            <w:tcW w:w="23" w:type="dxa"/>
            <w:tcBorders/>
            <w:shd w:fill="auto" w:val="clear"/>
            <w:vAlign w:val="bottom"/>
          </w:tcPr>
          <w:p>
            <w:pPr>
              <w:pStyle w:val="TableHeading"/>
              <w:spacing w:lineRule="atLeast" w:line="180" w:before="0" w:after="283"/>
              <w:rPr/>
            </w:pPr>
            <w:r>
              <w:rPr/>
              <w:t>​</w:t>
            </w:r>
          </w:p>
        </w:tc>
        <w:tc>
          <w:tcPr>
            <w:tcW w:w="1330" w:type="dxa"/>
            <w:gridSpan w:val="4"/>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Equity</w:t>
              <w:br/>
              <w:t>Incentive</w:t>
              <w:br/>
              <w:t>Plan Awards:</w:t>
              <w:br/>
              <w:t>Number of</w:t>
              <w:br/>
              <w:t>Securities</w:t>
              <w:br/>
              <w:t>Underlying</w:t>
              <w:br/>
              <w:t>Unexercised</w:t>
              <w:br/>
              <w:t>Unearned</w:t>
              <w:br/>
              <w:t>Options</w:t>
            </w:r>
            <w:r>
              <w:rPr>
                <w:rFonts w:ascii="arial" w:hAnsi="arial"/>
                <w:b/>
                <w:sz w:val="12"/>
              </w:rPr>
              <w:t>(2)</w:t>
            </w:r>
            <w:r>
              <w:rPr>
                <w:rFonts w:ascii="arial" w:hAnsi="arial"/>
                <w:b/>
                <w:sz w:val="16"/>
              </w:rPr>
              <w:t xml:space="preserve"> </w:t>
            </w:r>
          </w:p>
        </w:tc>
        <w:tc>
          <w:tcPr>
            <w:tcW w:w="23" w:type="dxa"/>
            <w:tcBorders/>
            <w:shd w:fill="auto" w:val="clear"/>
            <w:vAlign w:val="bottom"/>
          </w:tcPr>
          <w:p>
            <w:pPr>
              <w:pStyle w:val="TableHeading"/>
              <w:spacing w:lineRule="atLeast" w:line="180" w:before="0" w:after="283"/>
              <w:rPr/>
            </w:pPr>
            <w:r>
              <w:rPr/>
              <w:t>​</w:t>
            </w:r>
          </w:p>
        </w:tc>
        <w:tc>
          <w:tcPr>
            <w:tcW w:w="681" w:type="dxa"/>
            <w:gridSpan w:val="4"/>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Option</w:t>
              <w:br/>
              <w:t>Exercise</w:t>
              <w:br/>
              <w:t>Price</w:t>
            </w:r>
            <w:r>
              <w:rPr>
                <w:rFonts w:ascii="arial" w:hAnsi="arial"/>
                <w:b/>
                <w:sz w:val="12"/>
              </w:rPr>
              <w:t>(3)</w:t>
            </w:r>
            <w:r>
              <w:rPr>
                <w:rFonts w:ascii="arial" w:hAnsi="arial"/>
                <w:b/>
                <w:sz w:val="16"/>
              </w:rPr>
              <w:t xml:space="preserve"> </w:t>
            </w:r>
          </w:p>
        </w:tc>
        <w:tc>
          <w:tcPr>
            <w:tcW w:w="23" w:type="dxa"/>
            <w:tcBorders/>
            <w:shd w:fill="auto" w:val="clear"/>
            <w:vAlign w:val="bottom"/>
          </w:tcPr>
          <w:p>
            <w:pPr>
              <w:pStyle w:val="TableHeading"/>
              <w:spacing w:lineRule="atLeast" w:line="180" w:before="0" w:after="283"/>
              <w:rPr/>
            </w:pPr>
            <w:r>
              <w:rPr/>
              <w:t>​</w:t>
            </w:r>
          </w:p>
        </w:tc>
        <w:tc>
          <w:tcPr>
            <w:tcW w:w="830" w:type="dxa"/>
            <w:gridSpan w:val="2"/>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Option</w:t>
              <w:br/>
              <w:t>Expiration</w:t>
              <w:br/>
              <w:t xml:space="preserve">Date </w:t>
            </w:r>
          </w:p>
        </w:tc>
        <w:tc>
          <w:tcPr>
            <w:tcW w:w="23" w:type="dxa"/>
            <w:tcBorders/>
            <w:shd w:fill="auto" w:val="clear"/>
            <w:vAlign w:val="bottom"/>
          </w:tcPr>
          <w:p>
            <w:pPr>
              <w:pStyle w:val="TableHeading"/>
              <w:spacing w:lineRule="atLeast" w:line="180" w:before="0" w:after="283"/>
              <w:rPr/>
            </w:pPr>
            <w:r>
              <w:rPr/>
              <w:t>​</w:t>
            </w:r>
          </w:p>
        </w:tc>
        <w:tc>
          <w:tcPr>
            <w:tcW w:w="1081" w:type="dxa"/>
            <w:gridSpan w:val="4"/>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Number of</w:t>
              <w:br/>
              <w:t>Securities</w:t>
              <w:br/>
              <w:t>That Have</w:t>
              <w:br/>
              <w:t>Not Vested</w:t>
            </w:r>
            <w:r>
              <w:rPr>
                <w:rFonts w:ascii="arial" w:hAnsi="arial"/>
                <w:b/>
                <w:sz w:val="12"/>
              </w:rPr>
              <w:t>(4)</w:t>
            </w:r>
            <w:r>
              <w:rPr>
                <w:rFonts w:ascii="arial" w:hAnsi="arial"/>
                <w:b/>
                <w:sz w:val="16"/>
              </w:rPr>
              <w:t xml:space="preserve"> </w:t>
            </w:r>
          </w:p>
        </w:tc>
        <w:tc>
          <w:tcPr>
            <w:tcW w:w="23" w:type="dxa"/>
            <w:tcBorders/>
            <w:shd w:fill="auto" w:val="clear"/>
            <w:vAlign w:val="bottom"/>
          </w:tcPr>
          <w:p>
            <w:pPr>
              <w:pStyle w:val="TableHeading"/>
              <w:spacing w:lineRule="atLeast" w:line="180" w:before="0" w:after="283"/>
              <w:rPr/>
            </w:pPr>
            <w:r>
              <w:rPr/>
              <w:t>​</w:t>
            </w:r>
          </w:p>
        </w:tc>
        <w:tc>
          <w:tcPr>
            <w:tcW w:w="801" w:type="dxa"/>
            <w:gridSpan w:val="4"/>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Market</w:t>
              <w:br/>
              <w:t>Value of</w:t>
              <w:br/>
              <w:t>Securities</w:t>
              <w:br/>
              <w:t>That Have</w:t>
              <w:br/>
              <w:t xml:space="preserve">Not Vested </w:t>
            </w:r>
          </w:p>
        </w:tc>
        <w:tc>
          <w:tcPr>
            <w:tcW w:w="23" w:type="dxa"/>
            <w:tcBorders/>
            <w:shd w:fill="auto" w:val="clear"/>
            <w:vAlign w:val="bottom"/>
          </w:tcPr>
          <w:p>
            <w:pPr>
              <w:pStyle w:val="TableHeading"/>
              <w:spacing w:lineRule="atLeast" w:line="180" w:before="0" w:after="283"/>
              <w:rPr/>
            </w:pPr>
            <w:r>
              <w:rPr/>
              <w:t>​</w:t>
            </w:r>
          </w:p>
        </w:tc>
        <w:tc>
          <w:tcPr>
            <w:tcW w:w="1245" w:type="dxa"/>
            <w:gridSpan w:val="4"/>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Equity</w:t>
              <w:br/>
              <w:t>Incentive</w:t>
              <w:br/>
              <w:t>Plan Awards:</w:t>
              <w:br/>
              <w:t>Number</w:t>
              <w:br/>
              <w:t>of</w:t>
              <w:br/>
              <w:t>Securities</w:t>
              <w:br/>
              <w:t>Underlying</w:t>
              <w:br/>
              <w:t>Unearned</w:t>
              <w:br/>
              <w:t>Shares</w:t>
            </w:r>
            <w:r>
              <w:rPr>
                <w:rFonts w:ascii="arial" w:hAnsi="arial"/>
                <w:b/>
                <w:sz w:val="12"/>
              </w:rPr>
              <w:t>(5)</w:t>
            </w:r>
            <w:r>
              <w:rPr>
                <w:rFonts w:ascii="arial" w:hAnsi="arial"/>
                <w:b/>
                <w:sz w:val="16"/>
              </w:rPr>
              <w:t xml:space="preserve"> </w:t>
            </w:r>
          </w:p>
        </w:tc>
        <w:tc>
          <w:tcPr>
            <w:tcW w:w="23" w:type="dxa"/>
            <w:tcBorders/>
            <w:shd w:fill="auto" w:val="clear"/>
            <w:vAlign w:val="bottom"/>
          </w:tcPr>
          <w:p>
            <w:pPr>
              <w:pStyle w:val="TableHeading"/>
              <w:spacing w:lineRule="atLeast" w:line="180" w:before="0" w:after="283"/>
              <w:rPr/>
            </w:pPr>
            <w:r>
              <w:rPr/>
              <w:t>​</w:t>
            </w:r>
          </w:p>
        </w:tc>
        <w:tc>
          <w:tcPr>
            <w:tcW w:w="785" w:type="dxa"/>
            <w:gridSpan w:val="4"/>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Market</w:t>
              <w:br/>
              <w:t>Value of</w:t>
              <w:br/>
              <w:t>Unearned</w:t>
              <w:br/>
              <w:t>Shares</w:t>
              <w:br/>
              <w:t>That</w:t>
              <w:br/>
              <w:t>Have</w:t>
              <w:br/>
              <w:t>Not</w:t>
              <w:br/>
              <w:t xml:space="preserve">Vested </w:t>
            </w:r>
          </w:p>
        </w:tc>
        <w:tc>
          <w:tcPr>
            <w:tcW w:w="24" w:type="dxa"/>
            <w:tcBorders/>
            <w:shd w:fill="auto" w:val="clear"/>
            <w:vAlign w:val="bottom"/>
          </w:tcPr>
          <w:p>
            <w:pPr>
              <w:pStyle w:val="TableHeading"/>
              <w:spacing w:lineRule="atLeast" w:line="180" w:before="0" w:after="283"/>
              <w:rPr/>
            </w:pPr>
            <w:r>
              <w:rPr/>
              <w:t>​</w:t>
            </w:r>
          </w:p>
        </w:tc>
      </w:tr>
      <w:tr>
        <w:trPr/>
        <w:tc>
          <w:tcPr>
            <w:tcW w:w="795" w:type="dxa"/>
            <w:tcBorders/>
            <w:shd w:fill="auto" w:val="clear"/>
            <w:vAlign w:val="bottom"/>
          </w:tcPr>
          <w:p>
            <w:pPr>
              <w:pStyle w:val="TableContents"/>
              <w:spacing w:lineRule="atLeast" w:line="180" w:before="0" w:after="283"/>
              <w:rPr>
                <w:rFonts w:ascii="arial" w:hAnsi="arial"/>
              </w:rPr>
            </w:pPr>
            <w:r>
              <w:rPr>
                <w:rFonts w:ascii="arial" w:hAnsi="arial"/>
              </w:rPr>
              <w:br/>
            </w:r>
            <w:r>
              <w:rPr>
                <w:rFonts w:ascii="arial" w:hAnsi="arial"/>
                <w:sz w:val="16"/>
              </w:rPr>
              <w:t>Marcello Mastioni</w:t>
            </w:r>
          </w:p>
        </w:tc>
        <w:tc>
          <w:tcPr>
            <w:tcW w:w="23" w:type="dxa"/>
            <w:tcBorders/>
            <w:shd w:fill="auto" w:val="clear"/>
            <w:vAlign w:val="bottom"/>
          </w:tcPr>
          <w:p>
            <w:pPr>
              <w:pStyle w:val="TableContents"/>
              <w:spacing w:lineRule="atLeast" w:line="180" w:before="0" w:after="283"/>
              <w:rPr>
                <w:rFonts w:ascii="arial" w:hAnsi="arial"/>
                <w:sz w:val="16"/>
              </w:rPr>
            </w:pPr>
            <w:r>
              <w:rPr>
                <w:rFonts w:ascii="arial" w:hAnsi="arial"/>
                <w:sz w:val="16"/>
              </w:rPr>
              <w:br/>
              <w:t>​</w:t>
            </w:r>
          </w:p>
        </w:tc>
        <w:tc>
          <w:tcPr>
            <w:tcW w:w="248" w:type="dxa"/>
            <w:tcBorders/>
            <w:shd w:fill="auto" w:val="clear"/>
            <w:vAlign w:val="bottom"/>
          </w:tcPr>
          <w:p>
            <w:pPr>
              <w:pStyle w:val="TableContents"/>
              <w:spacing w:lineRule="atLeast" w:line="180" w:before="0" w:after="283"/>
              <w:rPr>
                <w:rFonts w:ascii="arial" w:hAnsi="arial"/>
                <w:sz w:val="16"/>
              </w:rPr>
            </w:pPr>
            <w:r>
              <w:rPr>
                <w:rFonts w:ascii="arial" w:hAnsi="arial"/>
                <w:sz w:val="16"/>
              </w:rPr>
              <w:br/>
              <w:t>​</w:t>
            </w:r>
          </w:p>
        </w:tc>
        <w:tc>
          <w:tcPr>
            <w:tcW w:w="515" w:type="dxa"/>
            <w:gridSpan w:val="2"/>
            <w:tcBorders/>
            <w:shd w:fill="auto" w:val="clear"/>
            <w:vAlign w:val="bottom"/>
          </w:tcPr>
          <w:p>
            <w:pPr>
              <w:pStyle w:val="TableContents"/>
              <w:spacing w:lineRule="atLeast" w:line="180" w:before="0" w:after="283"/>
              <w:jc w:val="right"/>
              <w:rPr>
                <w:rFonts w:ascii="arial" w:hAnsi="arial"/>
              </w:rPr>
            </w:pPr>
            <w:r>
              <w:rPr>
                <w:rFonts w:ascii="arial" w:hAnsi="arial"/>
              </w:rPr>
              <w:br/>
            </w:r>
            <w:r>
              <w:rPr>
                <w:rFonts w:ascii="arial" w:hAnsi="arial"/>
                <w:sz w:val="16"/>
              </w:rPr>
              <w:t>-</w:t>
            </w:r>
          </w:p>
        </w:tc>
        <w:tc>
          <w:tcPr>
            <w:tcW w:w="251" w:type="dxa"/>
            <w:tcBorders/>
            <w:shd w:fill="auto" w:val="clear"/>
            <w:vAlign w:val="bottom"/>
          </w:tcPr>
          <w:p>
            <w:pPr>
              <w:pStyle w:val="TableContents"/>
              <w:spacing w:lineRule="atLeast" w:line="180" w:before="0" w:after="283"/>
              <w:rPr>
                <w:rFonts w:ascii="arial" w:hAnsi="arial"/>
                <w:sz w:val="16"/>
              </w:rPr>
            </w:pPr>
            <w:r>
              <w:rPr>
                <w:rFonts w:ascii="arial" w:hAnsi="arial"/>
                <w:sz w:val="16"/>
              </w:rPr>
              <w:br/>
              <w:t>​</w:t>
            </w:r>
          </w:p>
        </w:tc>
        <w:tc>
          <w:tcPr>
            <w:tcW w:w="23" w:type="dxa"/>
            <w:tcBorders/>
            <w:shd w:fill="auto" w:val="clear"/>
            <w:vAlign w:val="bottom"/>
          </w:tcPr>
          <w:p>
            <w:pPr>
              <w:pStyle w:val="TableContents"/>
              <w:spacing w:lineRule="atLeast" w:line="180" w:before="0" w:after="283"/>
              <w:rPr>
                <w:rFonts w:ascii="arial" w:hAnsi="arial"/>
                <w:sz w:val="16"/>
              </w:rPr>
            </w:pPr>
            <w:r>
              <w:rPr>
                <w:rFonts w:ascii="arial" w:hAnsi="arial"/>
                <w:sz w:val="16"/>
              </w:rPr>
              <w:br/>
              <w:t>​</w:t>
            </w:r>
          </w:p>
        </w:tc>
        <w:tc>
          <w:tcPr>
            <w:tcW w:w="139" w:type="dxa"/>
            <w:tcBorders/>
            <w:shd w:fill="auto" w:val="clear"/>
            <w:vAlign w:val="bottom"/>
          </w:tcPr>
          <w:p>
            <w:pPr>
              <w:pStyle w:val="TableContents"/>
              <w:spacing w:lineRule="atLeast" w:line="180" w:before="0" w:after="283"/>
              <w:rPr>
                <w:rFonts w:ascii="arial" w:hAnsi="arial"/>
                <w:sz w:val="16"/>
              </w:rPr>
            </w:pPr>
            <w:r>
              <w:rPr>
                <w:rFonts w:ascii="arial" w:hAnsi="arial"/>
                <w:sz w:val="16"/>
              </w:rPr>
              <w:br/>
              <w:t>​</w:t>
            </w:r>
          </w:p>
        </w:tc>
        <w:tc>
          <w:tcPr>
            <w:tcW w:w="515" w:type="dxa"/>
            <w:gridSpan w:val="2"/>
            <w:tcBorders/>
            <w:shd w:fill="auto" w:val="clear"/>
            <w:vAlign w:val="bottom"/>
          </w:tcPr>
          <w:p>
            <w:pPr>
              <w:pStyle w:val="TableContents"/>
              <w:spacing w:lineRule="atLeast" w:line="180" w:before="0" w:after="283"/>
              <w:jc w:val="right"/>
              <w:rPr>
                <w:rFonts w:ascii="arial" w:hAnsi="arial"/>
              </w:rPr>
            </w:pPr>
            <w:r>
              <w:rPr>
                <w:rFonts w:ascii="arial" w:hAnsi="arial"/>
              </w:rPr>
              <w:br/>
            </w:r>
            <w:r>
              <w:rPr>
                <w:rFonts w:ascii="arial" w:hAnsi="arial"/>
                <w:sz w:val="16"/>
              </w:rPr>
              <w:t>-</w:t>
            </w:r>
          </w:p>
        </w:tc>
        <w:tc>
          <w:tcPr>
            <w:tcW w:w="758" w:type="dxa"/>
            <w:tcBorders/>
            <w:shd w:fill="auto" w:val="clear"/>
            <w:vAlign w:val="bottom"/>
          </w:tcPr>
          <w:p>
            <w:pPr>
              <w:pStyle w:val="TableContents"/>
              <w:spacing w:lineRule="atLeast" w:line="180" w:before="0" w:after="283"/>
              <w:rPr>
                <w:rFonts w:ascii="arial" w:hAnsi="arial"/>
                <w:sz w:val="16"/>
              </w:rPr>
            </w:pPr>
            <w:r>
              <w:rPr>
                <w:rFonts w:ascii="arial" w:hAnsi="arial"/>
                <w:sz w:val="16"/>
              </w:rPr>
              <w:br/>
              <w:t>​</w:t>
            </w:r>
          </w:p>
        </w:tc>
        <w:tc>
          <w:tcPr>
            <w:tcW w:w="23" w:type="dxa"/>
            <w:tcBorders/>
            <w:shd w:fill="auto" w:val="clear"/>
            <w:vAlign w:val="bottom"/>
          </w:tcPr>
          <w:p>
            <w:pPr>
              <w:pStyle w:val="TableContents"/>
              <w:spacing w:lineRule="atLeast" w:line="180" w:before="0" w:after="283"/>
              <w:rPr>
                <w:rFonts w:ascii="arial" w:hAnsi="arial"/>
                <w:sz w:val="16"/>
              </w:rPr>
            </w:pPr>
            <w:r>
              <w:rPr>
                <w:rFonts w:ascii="arial" w:hAnsi="arial"/>
                <w:sz w:val="16"/>
              </w:rPr>
              <w:br/>
              <w:t>​</w:t>
            </w:r>
          </w:p>
        </w:tc>
        <w:tc>
          <w:tcPr>
            <w:tcW w:w="90" w:type="dxa"/>
            <w:tcBorders/>
            <w:shd w:fill="auto" w:val="clear"/>
            <w:vAlign w:val="bottom"/>
          </w:tcPr>
          <w:p>
            <w:pPr>
              <w:pStyle w:val="TableContents"/>
              <w:spacing w:lineRule="atLeast" w:line="180" w:before="0" w:after="283"/>
              <w:rPr>
                <w:rFonts w:ascii="arial" w:hAnsi="arial"/>
                <w:sz w:val="16"/>
              </w:rPr>
            </w:pPr>
            <w:r>
              <w:rPr>
                <w:rFonts w:ascii="arial" w:hAnsi="arial"/>
                <w:sz w:val="16"/>
              </w:rPr>
              <w:br/>
              <w:t>​</w:t>
            </w:r>
          </w:p>
        </w:tc>
        <w:tc>
          <w:tcPr>
            <w:tcW w:w="515" w:type="dxa"/>
            <w:gridSpan w:val="2"/>
            <w:tcBorders/>
            <w:shd w:fill="auto" w:val="clear"/>
            <w:vAlign w:val="bottom"/>
          </w:tcPr>
          <w:p>
            <w:pPr>
              <w:pStyle w:val="TableContents"/>
              <w:spacing w:lineRule="atLeast" w:line="180" w:before="0" w:after="283"/>
              <w:jc w:val="right"/>
              <w:rPr>
                <w:rFonts w:ascii="arial" w:hAnsi="arial"/>
              </w:rPr>
            </w:pPr>
            <w:r>
              <w:rPr>
                <w:rFonts w:ascii="arial" w:hAnsi="arial"/>
              </w:rPr>
              <w:br/>
            </w:r>
            <w:r>
              <w:rPr>
                <w:rFonts w:ascii="arial" w:hAnsi="arial"/>
                <w:sz w:val="16"/>
              </w:rPr>
              <w:t>10,000</w:t>
            </w:r>
          </w:p>
        </w:tc>
        <w:tc>
          <w:tcPr>
            <w:tcW w:w="725" w:type="dxa"/>
            <w:tcBorders/>
            <w:shd w:fill="auto" w:val="clear"/>
            <w:vAlign w:val="bottom"/>
          </w:tcPr>
          <w:p>
            <w:pPr>
              <w:pStyle w:val="TableContents"/>
              <w:spacing w:lineRule="atLeast" w:line="180" w:before="0" w:after="283"/>
              <w:rPr>
                <w:rFonts w:ascii="arial" w:hAnsi="arial"/>
                <w:sz w:val="16"/>
              </w:rPr>
            </w:pPr>
            <w:r>
              <w:rPr>
                <w:rFonts w:ascii="arial" w:hAnsi="arial"/>
                <w:sz w:val="16"/>
              </w:rPr>
              <w:br/>
            </w:r>
            <w:r>
              <w:rPr>
                <w:rFonts w:ascii="arial" w:hAnsi="arial"/>
                <w:sz w:val="12"/>
              </w:rPr>
              <w:t>(24)</w:t>
            </w:r>
          </w:p>
        </w:tc>
        <w:tc>
          <w:tcPr>
            <w:tcW w:w="23" w:type="dxa"/>
            <w:tcBorders/>
            <w:shd w:fill="auto" w:val="clear"/>
            <w:vAlign w:val="bottom"/>
          </w:tcPr>
          <w:p>
            <w:pPr>
              <w:pStyle w:val="TableContents"/>
              <w:spacing w:lineRule="atLeast" w:line="180" w:before="0" w:after="283"/>
              <w:rPr>
                <w:rFonts w:ascii="arial" w:hAnsi="arial"/>
                <w:sz w:val="16"/>
              </w:rPr>
            </w:pPr>
            <w:r>
              <w:rPr>
                <w:rFonts w:ascii="arial" w:hAnsi="arial"/>
                <w:sz w:val="16"/>
              </w:rPr>
              <w:br/>
              <w:t>​</w:t>
            </w:r>
          </w:p>
        </w:tc>
        <w:tc>
          <w:tcPr>
            <w:tcW w:w="26" w:type="dxa"/>
            <w:tcBorders/>
            <w:shd w:fill="auto" w:val="clear"/>
            <w:vAlign w:val="bottom"/>
          </w:tcPr>
          <w:p>
            <w:pPr>
              <w:pStyle w:val="TableContents"/>
              <w:spacing w:lineRule="atLeast" w:line="180" w:before="0" w:after="283"/>
              <w:rPr>
                <w:rFonts w:ascii="arial" w:hAnsi="arial"/>
              </w:rPr>
            </w:pPr>
            <w:r>
              <w:rPr>
                <w:rFonts w:ascii="arial" w:hAnsi="arial"/>
              </w:rPr>
              <w:br/>
              <w:t>​</w:t>
            </w:r>
          </w:p>
        </w:tc>
        <w:tc>
          <w:tcPr>
            <w:tcW w:w="128" w:type="dxa"/>
            <w:tcBorders/>
            <w:shd w:fill="auto" w:val="clear"/>
            <w:vAlign w:val="bottom"/>
          </w:tcPr>
          <w:p>
            <w:pPr>
              <w:pStyle w:val="TableContents"/>
              <w:spacing w:lineRule="atLeast" w:line="180" w:before="0" w:after="283"/>
              <w:rPr>
                <w:rFonts w:ascii="arial" w:hAnsi="arial"/>
              </w:rPr>
            </w:pPr>
            <w:r>
              <w:rPr>
                <w:rFonts w:ascii="arial" w:hAnsi="arial"/>
              </w:rPr>
              <w:br/>
            </w:r>
            <w:r>
              <w:rPr>
                <w:rFonts w:ascii="arial" w:hAnsi="arial"/>
                <w:sz w:val="16"/>
              </w:rPr>
              <w:t>$</w:t>
            </w:r>
          </w:p>
        </w:tc>
        <w:tc>
          <w:tcPr>
            <w:tcW w:w="498" w:type="dxa"/>
            <w:tcBorders/>
            <w:shd w:fill="auto" w:val="clear"/>
            <w:vAlign w:val="bottom"/>
          </w:tcPr>
          <w:p>
            <w:pPr>
              <w:pStyle w:val="TableContents"/>
              <w:spacing w:lineRule="atLeast" w:line="180" w:before="0" w:after="283"/>
              <w:jc w:val="right"/>
              <w:rPr>
                <w:rFonts w:ascii="arial" w:hAnsi="arial"/>
                <w:sz w:val="16"/>
              </w:rPr>
            </w:pPr>
            <w:r>
              <w:rPr>
                <w:rFonts w:ascii="arial" w:hAnsi="arial"/>
                <w:sz w:val="16"/>
              </w:rPr>
              <w:br/>
              <w:t>25.93</w:t>
            </w:r>
          </w:p>
        </w:tc>
        <w:tc>
          <w:tcPr>
            <w:tcW w:w="29" w:type="dxa"/>
            <w:tcBorders/>
            <w:shd w:fill="auto" w:val="clear"/>
            <w:vAlign w:val="bottom"/>
          </w:tcPr>
          <w:p>
            <w:pPr>
              <w:pStyle w:val="TableContents"/>
              <w:spacing w:lineRule="atLeast" w:line="180" w:before="0" w:after="283"/>
              <w:rPr>
                <w:rFonts w:ascii="arial" w:hAnsi="arial"/>
                <w:sz w:val="16"/>
              </w:rPr>
            </w:pPr>
            <w:r>
              <w:rPr>
                <w:rFonts w:ascii="arial" w:hAnsi="arial"/>
                <w:sz w:val="16"/>
              </w:rPr>
              <w:br/>
              <w:t>​</w:t>
            </w:r>
          </w:p>
        </w:tc>
        <w:tc>
          <w:tcPr>
            <w:tcW w:w="23" w:type="dxa"/>
            <w:tcBorders/>
            <w:shd w:fill="auto" w:val="clear"/>
            <w:vAlign w:val="bottom"/>
          </w:tcPr>
          <w:p>
            <w:pPr>
              <w:pStyle w:val="TableContents"/>
              <w:spacing w:lineRule="atLeast" w:line="180" w:before="0" w:after="283"/>
              <w:rPr>
                <w:rFonts w:ascii="arial" w:hAnsi="arial"/>
                <w:sz w:val="16"/>
              </w:rPr>
            </w:pPr>
            <w:r>
              <w:rPr>
                <w:rFonts w:ascii="arial" w:hAnsi="arial"/>
                <w:sz w:val="16"/>
              </w:rPr>
              <w:br/>
              <w:t>​</w:t>
            </w:r>
          </w:p>
        </w:tc>
        <w:tc>
          <w:tcPr>
            <w:tcW w:w="830" w:type="dxa"/>
            <w:gridSpan w:val="2"/>
            <w:tcBorders/>
            <w:shd w:fill="auto" w:val="clear"/>
            <w:vAlign w:val="bottom"/>
          </w:tcPr>
          <w:p>
            <w:pPr>
              <w:pStyle w:val="TableContents"/>
              <w:spacing w:lineRule="atLeast" w:line="180" w:before="0" w:after="283"/>
              <w:jc w:val="right"/>
              <w:rPr>
                <w:rFonts w:ascii="arial" w:hAnsi="arial"/>
              </w:rPr>
            </w:pPr>
            <w:r>
              <w:rPr>
                <w:rFonts w:ascii="arial" w:hAnsi="arial"/>
              </w:rPr>
              <w:br/>
            </w:r>
            <w:r>
              <w:rPr>
                <w:rFonts w:ascii="arial" w:hAnsi="arial"/>
                <w:sz w:val="16"/>
              </w:rPr>
              <w:t>8/1/2027</w:t>
            </w:r>
          </w:p>
        </w:tc>
        <w:tc>
          <w:tcPr>
            <w:tcW w:w="23" w:type="dxa"/>
            <w:tcBorders/>
            <w:shd w:fill="auto" w:val="clear"/>
            <w:vAlign w:val="bottom"/>
          </w:tcPr>
          <w:p>
            <w:pPr>
              <w:pStyle w:val="TableContents"/>
              <w:spacing w:lineRule="atLeast" w:line="180" w:before="0" w:after="283"/>
              <w:rPr>
                <w:rFonts w:ascii="arial" w:hAnsi="arial"/>
                <w:sz w:val="16"/>
              </w:rPr>
            </w:pPr>
            <w:r>
              <w:rPr>
                <w:rFonts w:ascii="arial" w:hAnsi="arial"/>
                <w:sz w:val="16"/>
              </w:rPr>
              <w:br/>
              <w:t>​</w:t>
            </w:r>
          </w:p>
        </w:tc>
        <w:tc>
          <w:tcPr>
            <w:tcW w:w="72" w:type="dxa"/>
            <w:tcBorders/>
            <w:shd w:fill="auto" w:val="clear"/>
            <w:vAlign w:val="bottom"/>
          </w:tcPr>
          <w:p>
            <w:pPr>
              <w:pStyle w:val="TableContents"/>
              <w:spacing w:lineRule="atLeast" w:line="180" w:before="0" w:after="283"/>
              <w:rPr>
                <w:rFonts w:ascii="arial" w:hAnsi="arial"/>
                <w:sz w:val="16"/>
              </w:rPr>
            </w:pPr>
            <w:r>
              <w:rPr>
                <w:rFonts w:ascii="arial" w:hAnsi="arial"/>
                <w:sz w:val="16"/>
              </w:rPr>
              <w:br/>
              <w:t>​</w:t>
            </w:r>
          </w:p>
        </w:tc>
        <w:tc>
          <w:tcPr>
            <w:tcW w:w="425" w:type="dxa"/>
            <w:gridSpan w:val="2"/>
            <w:tcBorders/>
            <w:shd w:fill="auto" w:val="clear"/>
            <w:vAlign w:val="bottom"/>
          </w:tcPr>
          <w:p>
            <w:pPr>
              <w:pStyle w:val="TableContents"/>
              <w:spacing w:lineRule="atLeast" w:line="180" w:before="0" w:after="283"/>
              <w:jc w:val="right"/>
              <w:rPr>
                <w:rFonts w:ascii="arial" w:hAnsi="arial"/>
              </w:rPr>
            </w:pPr>
            <w:r>
              <w:rPr>
                <w:rFonts w:ascii="arial" w:hAnsi="arial"/>
              </w:rPr>
              <w:br/>
            </w:r>
            <w:r>
              <w:rPr>
                <w:rFonts w:ascii="arial" w:hAnsi="arial"/>
                <w:sz w:val="16"/>
              </w:rPr>
              <w:t>-</w:t>
            </w:r>
          </w:p>
        </w:tc>
        <w:tc>
          <w:tcPr>
            <w:tcW w:w="584" w:type="dxa"/>
            <w:tcBorders/>
            <w:shd w:fill="auto" w:val="clear"/>
            <w:vAlign w:val="bottom"/>
          </w:tcPr>
          <w:p>
            <w:pPr>
              <w:pStyle w:val="TableContents"/>
              <w:spacing w:lineRule="atLeast" w:line="180" w:before="0" w:after="283"/>
              <w:rPr>
                <w:rFonts w:ascii="arial" w:hAnsi="arial"/>
                <w:sz w:val="16"/>
              </w:rPr>
            </w:pPr>
            <w:r>
              <w:rPr>
                <w:rFonts w:ascii="arial" w:hAnsi="arial"/>
                <w:sz w:val="16"/>
              </w:rPr>
              <w:br/>
              <w:t>​</w:t>
            </w:r>
          </w:p>
        </w:tc>
        <w:tc>
          <w:tcPr>
            <w:tcW w:w="23" w:type="dxa"/>
            <w:tcBorders/>
            <w:shd w:fill="auto" w:val="clear"/>
            <w:vAlign w:val="bottom"/>
          </w:tcPr>
          <w:p>
            <w:pPr>
              <w:pStyle w:val="TableContents"/>
              <w:spacing w:lineRule="atLeast" w:line="180" w:before="0" w:after="283"/>
              <w:rPr>
                <w:rFonts w:ascii="arial" w:hAnsi="arial"/>
                <w:sz w:val="16"/>
              </w:rPr>
            </w:pPr>
            <w:r>
              <w:rPr>
                <w:rFonts w:ascii="arial" w:hAnsi="arial"/>
                <w:sz w:val="16"/>
              </w:rPr>
              <w:br/>
              <w:t>​</w:t>
            </w:r>
          </w:p>
        </w:tc>
        <w:tc>
          <w:tcPr>
            <w:tcW w:w="27" w:type="dxa"/>
            <w:tcBorders/>
            <w:shd w:fill="auto" w:val="clear"/>
            <w:vAlign w:val="bottom"/>
          </w:tcPr>
          <w:p>
            <w:pPr>
              <w:pStyle w:val="TableContents"/>
              <w:spacing w:lineRule="atLeast" w:line="180" w:before="0" w:after="283"/>
              <w:rPr>
                <w:rFonts w:ascii="arial" w:hAnsi="arial"/>
                <w:sz w:val="16"/>
              </w:rPr>
            </w:pPr>
            <w:r>
              <w:rPr>
                <w:rFonts w:ascii="arial" w:hAnsi="arial"/>
                <w:sz w:val="16"/>
              </w:rPr>
              <w:br/>
              <w:t>​</w:t>
            </w:r>
          </w:p>
        </w:tc>
        <w:tc>
          <w:tcPr>
            <w:tcW w:w="746" w:type="dxa"/>
            <w:gridSpan w:val="2"/>
            <w:tcBorders/>
            <w:shd w:fill="auto" w:val="clear"/>
            <w:vAlign w:val="bottom"/>
          </w:tcPr>
          <w:p>
            <w:pPr>
              <w:pStyle w:val="TableContents"/>
              <w:spacing w:lineRule="atLeast" w:line="180" w:before="0" w:after="283"/>
              <w:jc w:val="right"/>
              <w:rPr>
                <w:rFonts w:ascii="arial" w:hAnsi="arial"/>
              </w:rPr>
            </w:pPr>
            <w:r>
              <w:rPr>
                <w:rFonts w:ascii="arial" w:hAnsi="arial"/>
              </w:rPr>
              <w:br/>
            </w:r>
            <w:r>
              <w:rPr>
                <w:rFonts w:ascii="arial" w:hAnsi="arial"/>
                <w:sz w:val="16"/>
              </w:rPr>
              <w:t>-</w:t>
            </w:r>
          </w:p>
        </w:tc>
        <w:tc>
          <w:tcPr>
            <w:tcW w:w="28" w:type="dxa"/>
            <w:tcBorders/>
            <w:shd w:fill="auto" w:val="clear"/>
            <w:vAlign w:val="bottom"/>
          </w:tcPr>
          <w:p>
            <w:pPr>
              <w:pStyle w:val="TableContents"/>
              <w:spacing w:lineRule="atLeast" w:line="180" w:before="0" w:after="283"/>
              <w:rPr>
                <w:rFonts w:ascii="arial" w:hAnsi="arial"/>
                <w:sz w:val="16"/>
              </w:rPr>
            </w:pPr>
            <w:r>
              <w:rPr>
                <w:rFonts w:ascii="arial" w:hAnsi="arial"/>
                <w:sz w:val="16"/>
              </w:rPr>
              <w:br/>
              <w:t>​</w:t>
            </w:r>
          </w:p>
        </w:tc>
        <w:tc>
          <w:tcPr>
            <w:tcW w:w="23" w:type="dxa"/>
            <w:tcBorders/>
            <w:shd w:fill="auto" w:val="clear"/>
            <w:vAlign w:val="bottom"/>
          </w:tcPr>
          <w:p>
            <w:pPr>
              <w:pStyle w:val="TableContents"/>
              <w:spacing w:lineRule="atLeast" w:line="180" w:before="0" w:after="283"/>
              <w:rPr>
                <w:rFonts w:ascii="arial" w:hAnsi="arial"/>
                <w:sz w:val="16"/>
              </w:rPr>
            </w:pPr>
            <w:r>
              <w:rPr>
                <w:rFonts w:ascii="arial" w:hAnsi="arial"/>
                <w:sz w:val="16"/>
              </w:rPr>
              <w:br/>
              <w:t>​</w:t>
            </w:r>
          </w:p>
        </w:tc>
        <w:tc>
          <w:tcPr>
            <w:tcW w:w="80" w:type="dxa"/>
            <w:tcBorders/>
            <w:shd w:fill="auto" w:val="clear"/>
            <w:vAlign w:val="bottom"/>
          </w:tcPr>
          <w:p>
            <w:pPr>
              <w:pStyle w:val="TableContents"/>
              <w:spacing w:lineRule="atLeast" w:line="180" w:before="0" w:after="283"/>
              <w:rPr>
                <w:rFonts w:ascii="arial" w:hAnsi="arial"/>
                <w:sz w:val="16"/>
              </w:rPr>
            </w:pPr>
            <w:r>
              <w:rPr>
                <w:rFonts w:ascii="arial" w:hAnsi="arial"/>
                <w:sz w:val="16"/>
              </w:rPr>
              <w:br/>
              <w:t>​</w:t>
            </w:r>
          </w:p>
        </w:tc>
        <w:tc>
          <w:tcPr>
            <w:tcW w:w="515" w:type="dxa"/>
            <w:gridSpan w:val="2"/>
            <w:tcBorders/>
            <w:shd w:fill="auto" w:val="clear"/>
            <w:vAlign w:val="bottom"/>
          </w:tcPr>
          <w:p>
            <w:pPr>
              <w:pStyle w:val="TableContents"/>
              <w:spacing w:lineRule="atLeast" w:line="180" w:before="0" w:after="283"/>
              <w:jc w:val="right"/>
              <w:rPr>
                <w:rFonts w:ascii="arial" w:hAnsi="arial"/>
              </w:rPr>
            </w:pPr>
            <w:r>
              <w:rPr>
                <w:rFonts w:ascii="arial" w:hAnsi="arial"/>
              </w:rPr>
              <w:br/>
            </w:r>
            <w:r>
              <w:rPr>
                <w:rFonts w:ascii="arial" w:hAnsi="arial"/>
                <w:sz w:val="16"/>
              </w:rPr>
              <w:t>-</w:t>
            </w:r>
          </w:p>
        </w:tc>
        <w:tc>
          <w:tcPr>
            <w:tcW w:w="650" w:type="dxa"/>
            <w:tcBorders/>
            <w:shd w:fill="auto" w:val="clear"/>
            <w:vAlign w:val="bottom"/>
          </w:tcPr>
          <w:p>
            <w:pPr>
              <w:pStyle w:val="TableContents"/>
              <w:spacing w:lineRule="atLeast" w:line="180" w:before="0" w:after="283"/>
              <w:rPr>
                <w:rFonts w:ascii="arial" w:hAnsi="arial"/>
                <w:sz w:val="16"/>
              </w:rPr>
            </w:pPr>
            <w:r>
              <w:rPr>
                <w:rFonts w:ascii="arial" w:hAnsi="arial"/>
                <w:sz w:val="16"/>
              </w:rPr>
              <w:br/>
              <w:t>​</w:t>
            </w:r>
          </w:p>
        </w:tc>
        <w:tc>
          <w:tcPr>
            <w:tcW w:w="23" w:type="dxa"/>
            <w:tcBorders/>
            <w:shd w:fill="auto" w:val="clear"/>
            <w:vAlign w:val="bottom"/>
          </w:tcPr>
          <w:p>
            <w:pPr>
              <w:pStyle w:val="TableContents"/>
              <w:spacing w:lineRule="atLeast" w:line="180" w:before="0" w:after="283"/>
              <w:rPr>
                <w:rFonts w:ascii="arial" w:hAnsi="arial"/>
                <w:sz w:val="16"/>
              </w:rPr>
            </w:pPr>
            <w:r>
              <w:rPr>
                <w:rFonts w:ascii="arial" w:hAnsi="arial"/>
                <w:sz w:val="16"/>
              </w:rPr>
              <w:br/>
              <w:t>​</w:t>
            </w:r>
          </w:p>
        </w:tc>
        <w:tc>
          <w:tcPr>
            <w:tcW w:w="23" w:type="dxa"/>
            <w:tcBorders/>
            <w:shd w:fill="auto" w:val="clear"/>
            <w:vAlign w:val="bottom"/>
          </w:tcPr>
          <w:p>
            <w:pPr>
              <w:pStyle w:val="TableContents"/>
              <w:spacing w:lineRule="atLeast" w:line="180" w:before="0" w:after="283"/>
              <w:rPr>
                <w:rFonts w:ascii="arial" w:hAnsi="arial"/>
                <w:sz w:val="16"/>
              </w:rPr>
            </w:pPr>
            <w:r>
              <w:rPr>
                <w:rFonts w:ascii="arial" w:hAnsi="arial"/>
                <w:sz w:val="16"/>
              </w:rPr>
              <w:br/>
              <w:t>​</w:t>
            </w:r>
          </w:p>
        </w:tc>
        <w:tc>
          <w:tcPr>
            <w:tcW w:w="737" w:type="dxa"/>
            <w:gridSpan w:val="2"/>
            <w:tcBorders/>
            <w:shd w:fill="auto" w:val="clear"/>
            <w:vAlign w:val="bottom"/>
          </w:tcPr>
          <w:p>
            <w:pPr>
              <w:pStyle w:val="TableContents"/>
              <w:spacing w:lineRule="atLeast" w:line="180" w:before="0" w:after="283"/>
              <w:jc w:val="right"/>
              <w:rPr>
                <w:rFonts w:ascii="arial" w:hAnsi="arial"/>
              </w:rPr>
            </w:pPr>
            <w:r>
              <w:rPr>
                <w:rFonts w:ascii="arial" w:hAnsi="arial"/>
              </w:rPr>
              <w:br/>
            </w:r>
            <w:r>
              <w:rPr>
                <w:rFonts w:ascii="arial" w:hAnsi="arial"/>
                <w:sz w:val="16"/>
              </w:rPr>
              <w:t>-</w:t>
            </w:r>
          </w:p>
        </w:tc>
        <w:tc>
          <w:tcPr>
            <w:tcW w:w="25" w:type="dxa"/>
            <w:tcBorders/>
            <w:shd w:fill="auto" w:val="clear"/>
            <w:vAlign w:val="bottom"/>
          </w:tcPr>
          <w:p>
            <w:pPr>
              <w:pStyle w:val="TableContents"/>
              <w:spacing w:lineRule="atLeast" w:line="180" w:before="0" w:after="283"/>
              <w:rPr>
                <w:rFonts w:ascii="arial" w:hAnsi="arial"/>
                <w:sz w:val="16"/>
              </w:rPr>
            </w:pPr>
            <w:r>
              <w:rPr>
                <w:rFonts w:ascii="arial" w:hAnsi="arial"/>
                <w:sz w:val="16"/>
              </w:rPr>
              <w:br/>
              <w:t>​</w:t>
            </w:r>
          </w:p>
        </w:tc>
        <w:tc>
          <w:tcPr>
            <w:tcW w:w="24" w:type="dxa"/>
            <w:tcBorders/>
            <w:shd w:fill="auto" w:val="clear"/>
            <w:vAlign w:val="bottom"/>
          </w:tcPr>
          <w:p>
            <w:pPr>
              <w:pStyle w:val="TableContents"/>
              <w:spacing w:lineRule="atLeast" w:line="180" w:before="0" w:after="283"/>
              <w:rPr>
                <w:rFonts w:ascii="arial" w:hAnsi="arial"/>
                <w:sz w:val="16"/>
              </w:rPr>
            </w:pPr>
            <w:r>
              <w:rPr>
                <w:rFonts w:ascii="arial" w:hAnsi="arial"/>
                <w:sz w:val="16"/>
              </w:rPr>
              <w:br/>
              <w:t>​</w:t>
            </w:r>
          </w:p>
        </w:tc>
      </w:tr>
      <w:tr>
        <w:trPr/>
        <w:tc>
          <w:tcPr>
            <w:tcW w:w="795" w:type="dxa"/>
            <w:tcBorders/>
            <w:shd w:fill="auto" w:val="clear"/>
            <w:vAlign w:val="bottom"/>
          </w:tcPr>
          <w:p>
            <w:pPr>
              <w:pStyle w:val="TableContents"/>
              <w:spacing w:lineRule="atLeast" w:line="180" w:before="0" w:after="283"/>
              <w:rPr/>
            </w:pPr>
            <w:r>
              <w:rPr/>
              <w:t> </w:t>
            </w:r>
          </w:p>
        </w:tc>
        <w:tc>
          <w:tcPr>
            <w:tcW w:w="23" w:type="dxa"/>
            <w:tcBorders/>
            <w:shd w:fill="auto" w:val="clear"/>
            <w:vAlign w:val="bottom"/>
          </w:tcPr>
          <w:p>
            <w:pPr>
              <w:pStyle w:val="TableContents"/>
              <w:spacing w:lineRule="atLeast" w:line="180" w:before="0" w:after="283"/>
              <w:rPr/>
            </w:pPr>
            <w:r>
              <w:rPr/>
              <w:t>​</w:t>
            </w:r>
          </w:p>
        </w:tc>
        <w:tc>
          <w:tcPr>
            <w:tcW w:w="248"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1"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39"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90"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20,000</w:t>
            </w:r>
          </w:p>
        </w:tc>
        <w:tc>
          <w:tcPr>
            <w:tcW w:w="725" w:type="dxa"/>
            <w:tcBorders/>
            <w:shd w:fill="auto" w:val="clear"/>
            <w:vAlign w:val="bottom"/>
          </w:tcPr>
          <w:p>
            <w:pPr>
              <w:pStyle w:val="TableContents"/>
              <w:spacing w:lineRule="atLeast" w:line="180" w:before="0" w:after="283"/>
              <w:rPr>
                <w:rFonts w:ascii="arial" w:hAnsi="arial"/>
                <w:sz w:val="12"/>
              </w:rPr>
            </w:pPr>
            <w:r>
              <w:rPr>
                <w:rFonts w:ascii="arial" w:hAnsi="arial"/>
                <w:sz w:val="12"/>
              </w:rPr>
              <w:t>(25)</w:t>
            </w:r>
          </w:p>
        </w:tc>
        <w:tc>
          <w:tcPr>
            <w:tcW w:w="23" w:type="dxa"/>
            <w:tcBorders/>
            <w:shd w:fill="auto" w:val="clear"/>
            <w:vAlign w:val="bottom"/>
          </w:tcPr>
          <w:p>
            <w:pPr>
              <w:pStyle w:val="TableContents"/>
              <w:spacing w:lineRule="atLeast" w:line="180" w:before="0" w:after="283"/>
              <w:rPr/>
            </w:pPr>
            <w:r>
              <w:rPr/>
              <w:t>​</w:t>
            </w:r>
          </w:p>
        </w:tc>
        <w:tc>
          <w:tcPr>
            <w:tcW w:w="26" w:type="dxa"/>
            <w:tcBorders/>
            <w:shd w:fill="auto" w:val="clear"/>
            <w:vAlign w:val="bottom"/>
          </w:tcPr>
          <w:p>
            <w:pPr>
              <w:pStyle w:val="TableContents"/>
              <w:spacing w:lineRule="atLeast" w:line="180" w:before="0" w:after="283"/>
              <w:rPr/>
            </w:pPr>
            <w:r>
              <w:rPr/>
              <w:t>​</w:t>
            </w:r>
          </w:p>
        </w:tc>
        <w:tc>
          <w:tcPr>
            <w:tcW w:w="128" w:type="dxa"/>
            <w:tcBorders/>
            <w:shd w:fill="auto" w:val="clear"/>
            <w:vAlign w:val="bottom"/>
          </w:tcPr>
          <w:p>
            <w:pPr>
              <w:pStyle w:val="TableContents"/>
              <w:spacing w:lineRule="atLeast" w:line="180" w:before="0" w:after="283"/>
              <w:rPr>
                <w:rFonts w:ascii="arial" w:hAnsi="arial"/>
                <w:sz w:val="16"/>
              </w:rPr>
            </w:pPr>
            <w:r>
              <w:rPr>
                <w:rFonts w:ascii="arial" w:hAnsi="arial"/>
                <w:sz w:val="16"/>
              </w:rPr>
              <w:t>$</w:t>
            </w:r>
          </w:p>
        </w:tc>
        <w:tc>
          <w:tcPr>
            <w:tcW w:w="498" w:type="dxa"/>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25.93</w:t>
            </w:r>
          </w:p>
        </w:tc>
        <w:tc>
          <w:tcPr>
            <w:tcW w:w="29"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830"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8/1/2027</w:t>
            </w:r>
          </w:p>
        </w:tc>
        <w:tc>
          <w:tcPr>
            <w:tcW w:w="23" w:type="dxa"/>
            <w:tcBorders/>
            <w:shd w:fill="auto" w:val="clear"/>
            <w:vAlign w:val="bottom"/>
          </w:tcPr>
          <w:p>
            <w:pPr>
              <w:pStyle w:val="TableContents"/>
              <w:spacing w:lineRule="atLeast" w:line="180" w:before="0" w:after="283"/>
              <w:rPr/>
            </w:pPr>
            <w:r>
              <w:rPr/>
              <w:t>​</w:t>
            </w:r>
          </w:p>
        </w:tc>
        <w:tc>
          <w:tcPr>
            <w:tcW w:w="72" w:type="dxa"/>
            <w:tcBorders/>
            <w:shd w:fill="auto" w:val="clear"/>
            <w:vAlign w:val="bottom"/>
          </w:tcPr>
          <w:p>
            <w:pPr>
              <w:pStyle w:val="TableContents"/>
              <w:spacing w:lineRule="atLeast" w:line="180" w:before="0" w:after="283"/>
              <w:rPr/>
            </w:pPr>
            <w:r>
              <w:rPr/>
              <w:t>​</w:t>
            </w:r>
          </w:p>
        </w:tc>
        <w:tc>
          <w:tcPr>
            <w:tcW w:w="42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584"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27" w:type="dxa"/>
            <w:tcBorders/>
            <w:shd w:fill="auto" w:val="clear"/>
            <w:vAlign w:val="bottom"/>
          </w:tcPr>
          <w:p>
            <w:pPr>
              <w:pStyle w:val="TableContents"/>
              <w:spacing w:lineRule="atLeast" w:line="180" w:before="0" w:after="283"/>
              <w:rPr/>
            </w:pPr>
            <w:r>
              <w:rPr/>
              <w:t>​</w:t>
            </w:r>
          </w:p>
        </w:tc>
        <w:tc>
          <w:tcPr>
            <w:tcW w:w="746"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8"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80"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650"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737"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 w:type="dxa"/>
            <w:tcBorders/>
            <w:shd w:fill="auto" w:val="clear"/>
            <w:vAlign w:val="bottom"/>
          </w:tcPr>
          <w:p>
            <w:pPr>
              <w:pStyle w:val="TableContents"/>
              <w:spacing w:lineRule="atLeast" w:line="180" w:before="0" w:after="283"/>
              <w:rPr/>
            </w:pPr>
            <w:r>
              <w:rPr/>
              <w:t>​</w:t>
            </w:r>
          </w:p>
        </w:tc>
        <w:tc>
          <w:tcPr>
            <w:tcW w:w="24" w:type="dxa"/>
            <w:tcBorders/>
            <w:shd w:fill="auto" w:val="clear"/>
            <w:vAlign w:val="bottom"/>
          </w:tcPr>
          <w:p>
            <w:pPr>
              <w:pStyle w:val="TableContents"/>
              <w:spacing w:lineRule="atLeast" w:line="180" w:before="0" w:after="283"/>
              <w:rPr/>
            </w:pPr>
            <w:r>
              <w:rPr/>
              <w:t>​</w:t>
            </w:r>
          </w:p>
        </w:tc>
      </w:tr>
      <w:tr>
        <w:trPr/>
        <w:tc>
          <w:tcPr>
            <w:tcW w:w="795" w:type="dxa"/>
            <w:tcBorders/>
            <w:shd w:fill="auto" w:val="clear"/>
            <w:vAlign w:val="bottom"/>
          </w:tcPr>
          <w:p>
            <w:pPr>
              <w:pStyle w:val="TableContents"/>
              <w:spacing w:lineRule="atLeast" w:line="180" w:before="0" w:after="283"/>
              <w:rPr/>
            </w:pPr>
            <w:r>
              <w:rPr/>
              <w:t> </w:t>
            </w:r>
          </w:p>
        </w:tc>
        <w:tc>
          <w:tcPr>
            <w:tcW w:w="23" w:type="dxa"/>
            <w:tcBorders/>
            <w:shd w:fill="auto" w:val="clear"/>
            <w:vAlign w:val="bottom"/>
          </w:tcPr>
          <w:p>
            <w:pPr>
              <w:pStyle w:val="TableContents"/>
              <w:spacing w:lineRule="atLeast" w:line="180" w:before="0" w:after="283"/>
              <w:rPr/>
            </w:pPr>
            <w:r>
              <w:rPr/>
              <w:t>​</w:t>
            </w:r>
          </w:p>
        </w:tc>
        <w:tc>
          <w:tcPr>
            <w:tcW w:w="248"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20,000</w:t>
            </w:r>
          </w:p>
        </w:tc>
        <w:tc>
          <w:tcPr>
            <w:tcW w:w="251"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39"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90"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25"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26" w:type="dxa"/>
            <w:tcBorders/>
            <w:shd w:fill="auto" w:val="clear"/>
            <w:vAlign w:val="bottom"/>
          </w:tcPr>
          <w:p>
            <w:pPr>
              <w:pStyle w:val="TableContents"/>
              <w:spacing w:lineRule="atLeast" w:line="180" w:before="0" w:after="283"/>
              <w:rPr/>
            </w:pPr>
            <w:r>
              <w:rPr/>
              <w:t>​</w:t>
            </w:r>
          </w:p>
        </w:tc>
        <w:tc>
          <w:tcPr>
            <w:tcW w:w="128" w:type="dxa"/>
            <w:tcBorders/>
            <w:shd w:fill="auto" w:val="clear"/>
            <w:vAlign w:val="bottom"/>
          </w:tcPr>
          <w:p>
            <w:pPr>
              <w:pStyle w:val="TableContents"/>
              <w:spacing w:lineRule="atLeast" w:line="180" w:before="0" w:after="283"/>
              <w:rPr>
                <w:rFonts w:ascii="arial" w:hAnsi="arial"/>
                <w:sz w:val="16"/>
              </w:rPr>
            </w:pPr>
            <w:r>
              <w:rPr>
                <w:rFonts w:ascii="arial" w:hAnsi="arial"/>
                <w:sz w:val="16"/>
              </w:rPr>
              <w:t>$</w:t>
            </w:r>
          </w:p>
        </w:tc>
        <w:tc>
          <w:tcPr>
            <w:tcW w:w="498" w:type="dxa"/>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25.93</w:t>
            </w:r>
          </w:p>
        </w:tc>
        <w:tc>
          <w:tcPr>
            <w:tcW w:w="29"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830"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8/1/2027</w:t>
            </w:r>
          </w:p>
        </w:tc>
        <w:tc>
          <w:tcPr>
            <w:tcW w:w="23" w:type="dxa"/>
            <w:tcBorders/>
            <w:shd w:fill="auto" w:val="clear"/>
            <w:vAlign w:val="bottom"/>
          </w:tcPr>
          <w:p>
            <w:pPr>
              <w:pStyle w:val="TableContents"/>
              <w:spacing w:lineRule="atLeast" w:line="180" w:before="0" w:after="283"/>
              <w:rPr/>
            </w:pPr>
            <w:r>
              <w:rPr/>
              <w:t>​</w:t>
            </w:r>
          </w:p>
        </w:tc>
        <w:tc>
          <w:tcPr>
            <w:tcW w:w="72" w:type="dxa"/>
            <w:tcBorders/>
            <w:shd w:fill="auto" w:val="clear"/>
            <w:vAlign w:val="bottom"/>
          </w:tcPr>
          <w:p>
            <w:pPr>
              <w:pStyle w:val="TableContents"/>
              <w:spacing w:lineRule="atLeast" w:line="180" w:before="0" w:after="283"/>
              <w:rPr/>
            </w:pPr>
            <w:r>
              <w:rPr/>
              <w:t>​</w:t>
            </w:r>
          </w:p>
        </w:tc>
        <w:tc>
          <w:tcPr>
            <w:tcW w:w="42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584"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27" w:type="dxa"/>
            <w:tcBorders/>
            <w:shd w:fill="auto" w:val="clear"/>
            <w:vAlign w:val="bottom"/>
          </w:tcPr>
          <w:p>
            <w:pPr>
              <w:pStyle w:val="TableContents"/>
              <w:spacing w:lineRule="atLeast" w:line="180" w:before="0" w:after="283"/>
              <w:rPr/>
            </w:pPr>
            <w:r>
              <w:rPr/>
              <w:t>​</w:t>
            </w:r>
          </w:p>
        </w:tc>
        <w:tc>
          <w:tcPr>
            <w:tcW w:w="746"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8"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80"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650"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737"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 w:type="dxa"/>
            <w:tcBorders/>
            <w:shd w:fill="auto" w:val="clear"/>
            <w:vAlign w:val="bottom"/>
          </w:tcPr>
          <w:p>
            <w:pPr>
              <w:pStyle w:val="TableContents"/>
              <w:spacing w:lineRule="atLeast" w:line="180" w:before="0" w:after="283"/>
              <w:rPr/>
            </w:pPr>
            <w:r>
              <w:rPr/>
              <w:t>​</w:t>
            </w:r>
          </w:p>
        </w:tc>
        <w:tc>
          <w:tcPr>
            <w:tcW w:w="24" w:type="dxa"/>
            <w:tcBorders/>
            <w:shd w:fill="auto" w:val="clear"/>
            <w:vAlign w:val="bottom"/>
          </w:tcPr>
          <w:p>
            <w:pPr>
              <w:pStyle w:val="TableContents"/>
              <w:spacing w:lineRule="atLeast" w:line="180" w:before="0" w:after="283"/>
              <w:rPr/>
            </w:pPr>
            <w:r>
              <w:rPr/>
              <w:t>​</w:t>
            </w:r>
          </w:p>
        </w:tc>
      </w:tr>
      <w:tr>
        <w:trPr/>
        <w:tc>
          <w:tcPr>
            <w:tcW w:w="795" w:type="dxa"/>
            <w:tcBorders/>
            <w:shd w:fill="auto" w:val="clear"/>
            <w:vAlign w:val="bottom"/>
          </w:tcPr>
          <w:p>
            <w:pPr>
              <w:pStyle w:val="TableContents"/>
              <w:spacing w:lineRule="atLeast" w:line="180" w:before="0" w:after="283"/>
              <w:rPr/>
            </w:pPr>
            <w:r>
              <w:rPr/>
              <w:t> </w:t>
            </w:r>
          </w:p>
        </w:tc>
        <w:tc>
          <w:tcPr>
            <w:tcW w:w="23" w:type="dxa"/>
            <w:tcBorders/>
            <w:shd w:fill="auto" w:val="clear"/>
            <w:vAlign w:val="bottom"/>
          </w:tcPr>
          <w:p>
            <w:pPr>
              <w:pStyle w:val="TableContents"/>
              <w:spacing w:lineRule="atLeast" w:line="180" w:before="0" w:after="283"/>
              <w:rPr/>
            </w:pPr>
            <w:r>
              <w:rPr/>
              <w:t>​</w:t>
            </w:r>
          </w:p>
        </w:tc>
        <w:tc>
          <w:tcPr>
            <w:tcW w:w="248"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11,132</w:t>
            </w:r>
          </w:p>
        </w:tc>
        <w:tc>
          <w:tcPr>
            <w:tcW w:w="251"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39"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11,132</w:t>
            </w:r>
          </w:p>
        </w:tc>
        <w:tc>
          <w:tcPr>
            <w:tcW w:w="758" w:type="dxa"/>
            <w:tcBorders/>
            <w:shd w:fill="auto" w:val="clear"/>
            <w:vAlign w:val="bottom"/>
          </w:tcPr>
          <w:p>
            <w:pPr>
              <w:pStyle w:val="TableContents"/>
              <w:spacing w:lineRule="atLeast" w:line="180" w:before="0" w:after="283"/>
              <w:rPr>
                <w:rFonts w:ascii="arial" w:hAnsi="arial"/>
                <w:sz w:val="12"/>
              </w:rPr>
            </w:pPr>
            <w:r>
              <w:rPr>
                <w:rFonts w:ascii="arial" w:hAnsi="arial"/>
                <w:sz w:val="12"/>
              </w:rPr>
              <w:t>(8)</w:t>
            </w:r>
          </w:p>
        </w:tc>
        <w:tc>
          <w:tcPr>
            <w:tcW w:w="23" w:type="dxa"/>
            <w:tcBorders/>
            <w:shd w:fill="auto" w:val="clear"/>
            <w:vAlign w:val="bottom"/>
          </w:tcPr>
          <w:p>
            <w:pPr>
              <w:pStyle w:val="TableContents"/>
              <w:spacing w:lineRule="atLeast" w:line="180" w:before="0" w:after="283"/>
              <w:rPr/>
            </w:pPr>
            <w:r>
              <w:rPr/>
              <w:t>​</w:t>
            </w:r>
          </w:p>
        </w:tc>
        <w:tc>
          <w:tcPr>
            <w:tcW w:w="90"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11,132</w:t>
            </w:r>
          </w:p>
        </w:tc>
        <w:tc>
          <w:tcPr>
            <w:tcW w:w="725" w:type="dxa"/>
            <w:tcBorders/>
            <w:shd w:fill="auto" w:val="clear"/>
            <w:vAlign w:val="bottom"/>
          </w:tcPr>
          <w:p>
            <w:pPr>
              <w:pStyle w:val="TableContents"/>
              <w:spacing w:lineRule="atLeast" w:line="180" w:before="0" w:after="283"/>
              <w:rPr>
                <w:rFonts w:ascii="arial" w:hAnsi="arial"/>
                <w:sz w:val="12"/>
              </w:rPr>
            </w:pPr>
            <w:r>
              <w:rPr>
                <w:rFonts w:ascii="arial" w:hAnsi="arial"/>
                <w:sz w:val="12"/>
              </w:rPr>
              <w:t>(8)</w:t>
            </w:r>
          </w:p>
        </w:tc>
        <w:tc>
          <w:tcPr>
            <w:tcW w:w="23" w:type="dxa"/>
            <w:tcBorders/>
            <w:shd w:fill="auto" w:val="clear"/>
            <w:vAlign w:val="bottom"/>
          </w:tcPr>
          <w:p>
            <w:pPr>
              <w:pStyle w:val="TableContents"/>
              <w:spacing w:lineRule="atLeast" w:line="180" w:before="0" w:after="283"/>
              <w:rPr/>
            </w:pPr>
            <w:r>
              <w:rPr/>
              <w:t>​</w:t>
            </w:r>
          </w:p>
        </w:tc>
        <w:tc>
          <w:tcPr>
            <w:tcW w:w="26" w:type="dxa"/>
            <w:tcBorders/>
            <w:shd w:fill="auto" w:val="clear"/>
            <w:vAlign w:val="bottom"/>
          </w:tcPr>
          <w:p>
            <w:pPr>
              <w:pStyle w:val="TableContents"/>
              <w:spacing w:lineRule="atLeast" w:line="180" w:before="0" w:after="283"/>
              <w:rPr/>
            </w:pPr>
            <w:r>
              <w:rPr/>
              <w:t>​</w:t>
            </w:r>
          </w:p>
        </w:tc>
        <w:tc>
          <w:tcPr>
            <w:tcW w:w="128" w:type="dxa"/>
            <w:tcBorders/>
            <w:shd w:fill="auto" w:val="clear"/>
            <w:vAlign w:val="bottom"/>
          </w:tcPr>
          <w:p>
            <w:pPr>
              <w:pStyle w:val="TableContents"/>
              <w:spacing w:lineRule="atLeast" w:line="180" w:before="0" w:after="283"/>
              <w:rPr>
                <w:rFonts w:ascii="arial" w:hAnsi="arial"/>
                <w:sz w:val="16"/>
              </w:rPr>
            </w:pPr>
            <w:r>
              <w:rPr>
                <w:rFonts w:ascii="arial" w:hAnsi="arial"/>
                <w:sz w:val="16"/>
              </w:rPr>
              <w:t>$</w:t>
            </w:r>
          </w:p>
        </w:tc>
        <w:tc>
          <w:tcPr>
            <w:tcW w:w="498" w:type="dxa"/>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24.82</w:t>
            </w:r>
          </w:p>
        </w:tc>
        <w:tc>
          <w:tcPr>
            <w:tcW w:w="29"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830"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2/12/2028</w:t>
            </w:r>
          </w:p>
        </w:tc>
        <w:tc>
          <w:tcPr>
            <w:tcW w:w="23" w:type="dxa"/>
            <w:tcBorders/>
            <w:shd w:fill="auto" w:val="clear"/>
            <w:vAlign w:val="bottom"/>
          </w:tcPr>
          <w:p>
            <w:pPr>
              <w:pStyle w:val="TableContents"/>
              <w:spacing w:lineRule="atLeast" w:line="180" w:before="0" w:after="283"/>
              <w:rPr/>
            </w:pPr>
            <w:r>
              <w:rPr/>
              <w:t>​</w:t>
            </w:r>
          </w:p>
        </w:tc>
        <w:tc>
          <w:tcPr>
            <w:tcW w:w="72" w:type="dxa"/>
            <w:tcBorders/>
            <w:shd w:fill="auto" w:val="clear"/>
            <w:vAlign w:val="bottom"/>
          </w:tcPr>
          <w:p>
            <w:pPr>
              <w:pStyle w:val="TableContents"/>
              <w:spacing w:lineRule="atLeast" w:line="180" w:before="0" w:after="283"/>
              <w:rPr/>
            </w:pPr>
            <w:r>
              <w:rPr/>
              <w:t>​</w:t>
            </w:r>
          </w:p>
        </w:tc>
        <w:tc>
          <w:tcPr>
            <w:tcW w:w="42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584"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27" w:type="dxa"/>
            <w:tcBorders/>
            <w:shd w:fill="auto" w:val="clear"/>
            <w:vAlign w:val="bottom"/>
          </w:tcPr>
          <w:p>
            <w:pPr>
              <w:pStyle w:val="TableContents"/>
              <w:spacing w:lineRule="atLeast" w:line="180" w:before="0" w:after="283"/>
              <w:rPr/>
            </w:pPr>
            <w:r>
              <w:rPr/>
              <w:t>​</w:t>
            </w:r>
          </w:p>
        </w:tc>
        <w:tc>
          <w:tcPr>
            <w:tcW w:w="746"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8"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80"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650"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737"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 w:type="dxa"/>
            <w:tcBorders/>
            <w:shd w:fill="auto" w:val="clear"/>
            <w:vAlign w:val="bottom"/>
          </w:tcPr>
          <w:p>
            <w:pPr>
              <w:pStyle w:val="TableContents"/>
              <w:spacing w:lineRule="atLeast" w:line="180" w:before="0" w:after="283"/>
              <w:rPr/>
            </w:pPr>
            <w:r>
              <w:rPr/>
              <w:t>​</w:t>
            </w:r>
          </w:p>
        </w:tc>
        <w:tc>
          <w:tcPr>
            <w:tcW w:w="24" w:type="dxa"/>
            <w:tcBorders/>
            <w:shd w:fill="auto" w:val="clear"/>
            <w:vAlign w:val="bottom"/>
          </w:tcPr>
          <w:p>
            <w:pPr>
              <w:pStyle w:val="TableContents"/>
              <w:spacing w:lineRule="atLeast" w:line="180" w:before="0" w:after="283"/>
              <w:rPr/>
            </w:pPr>
            <w:r>
              <w:rPr/>
              <w:t>​</w:t>
            </w:r>
          </w:p>
        </w:tc>
      </w:tr>
      <w:tr>
        <w:trPr/>
        <w:tc>
          <w:tcPr>
            <w:tcW w:w="795" w:type="dxa"/>
            <w:tcBorders/>
            <w:shd w:fill="auto" w:val="clear"/>
            <w:vAlign w:val="bottom"/>
          </w:tcPr>
          <w:p>
            <w:pPr>
              <w:pStyle w:val="TableContents"/>
              <w:spacing w:lineRule="atLeast" w:line="180" w:before="0" w:after="283"/>
              <w:rPr/>
            </w:pPr>
            <w:r>
              <w:rPr/>
              <w:t> </w:t>
            </w:r>
          </w:p>
        </w:tc>
        <w:tc>
          <w:tcPr>
            <w:tcW w:w="23" w:type="dxa"/>
            <w:tcBorders/>
            <w:shd w:fill="auto" w:val="clear"/>
            <w:vAlign w:val="bottom"/>
          </w:tcPr>
          <w:p>
            <w:pPr>
              <w:pStyle w:val="TableContents"/>
              <w:spacing w:lineRule="atLeast" w:line="180" w:before="0" w:after="283"/>
              <w:rPr/>
            </w:pPr>
            <w:r>
              <w:rPr/>
              <w:t>​</w:t>
            </w:r>
          </w:p>
        </w:tc>
        <w:tc>
          <w:tcPr>
            <w:tcW w:w="248"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1"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39"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90"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25"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26" w:type="dxa"/>
            <w:tcBorders/>
            <w:shd w:fill="auto" w:val="clear"/>
            <w:vAlign w:val="bottom"/>
          </w:tcPr>
          <w:p>
            <w:pPr>
              <w:pStyle w:val="TableContents"/>
              <w:spacing w:lineRule="atLeast" w:line="180" w:before="0" w:after="283"/>
              <w:rPr/>
            </w:pPr>
            <w:r>
              <w:rPr/>
              <w:t>​</w:t>
            </w:r>
          </w:p>
        </w:tc>
        <w:tc>
          <w:tcPr>
            <w:tcW w:w="626"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9"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830"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3" w:type="dxa"/>
            <w:tcBorders/>
            <w:shd w:fill="auto" w:val="clear"/>
            <w:vAlign w:val="bottom"/>
          </w:tcPr>
          <w:p>
            <w:pPr>
              <w:pStyle w:val="TableContents"/>
              <w:spacing w:lineRule="atLeast" w:line="180" w:before="0" w:after="283"/>
              <w:rPr/>
            </w:pPr>
            <w:r>
              <w:rPr/>
              <w:t>​</w:t>
            </w:r>
          </w:p>
        </w:tc>
        <w:tc>
          <w:tcPr>
            <w:tcW w:w="72" w:type="dxa"/>
            <w:tcBorders/>
            <w:shd w:fill="auto" w:val="clear"/>
            <w:vAlign w:val="bottom"/>
          </w:tcPr>
          <w:p>
            <w:pPr>
              <w:pStyle w:val="TableContents"/>
              <w:spacing w:lineRule="atLeast" w:line="180" w:before="0" w:after="283"/>
              <w:rPr/>
            </w:pPr>
            <w:r>
              <w:rPr/>
              <w:t>​</w:t>
            </w:r>
          </w:p>
        </w:tc>
        <w:tc>
          <w:tcPr>
            <w:tcW w:w="42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3,186</w:t>
            </w:r>
          </w:p>
        </w:tc>
        <w:tc>
          <w:tcPr>
            <w:tcW w:w="584" w:type="dxa"/>
            <w:tcBorders/>
            <w:shd w:fill="auto" w:val="clear"/>
            <w:vAlign w:val="bottom"/>
          </w:tcPr>
          <w:p>
            <w:pPr>
              <w:pStyle w:val="TableContents"/>
              <w:spacing w:lineRule="atLeast" w:line="180" w:before="0" w:after="283"/>
              <w:rPr>
                <w:rFonts w:ascii="arial" w:hAnsi="arial"/>
                <w:sz w:val="12"/>
              </w:rPr>
            </w:pPr>
            <w:r>
              <w:rPr>
                <w:rFonts w:ascii="arial" w:hAnsi="arial"/>
                <w:sz w:val="12"/>
              </w:rPr>
              <w:t>(9)</w:t>
            </w:r>
          </w:p>
        </w:tc>
        <w:tc>
          <w:tcPr>
            <w:tcW w:w="23" w:type="dxa"/>
            <w:tcBorders/>
            <w:shd w:fill="auto" w:val="clear"/>
            <w:vAlign w:val="bottom"/>
          </w:tcPr>
          <w:p>
            <w:pPr>
              <w:pStyle w:val="TableContents"/>
              <w:spacing w:lineRule="atLeast" w:line="180" w:before="0" w:after="283"/>
              <w:rPr/>
            </w:pPr>
            <w:r>
              <w:rPr/>
              <w:t>​</w:t>
            </w:r>
          </w:p>
        </w:tc>
        <w:tc>
          <w:tcPr>
            <w:tcW w:w="27" w:type="dxa"/>
            <w:tcBorders/>
            <w:shd w:fill="auto" w:val="clear"/>
            <w:vAlign w:val="bottom"/>
          </w:tcPr>
          <w:p>
            <w:pPr>
              <w:pStyle w:val="TableContents"/>
              <w:spacing w:lineRule="atLeast" w:line="180" w:before="0" w:after="283"/>
              <w:rPr/>
            </w:pPr>
            <w:r>
              <w:rPr/>
              <w:t>​</w:t>
            </w:r>
          </w:p>
        </w:tc>
        <w:tc>
          <w:tcPr>
            <w:tcW w:w="132" w:type="dxa"/>
            <w:tcBorders/>
            <w:shd w:fill="auto" w:val="clear"/>
            <w:vAlign w:val="bottom"/>
          </w:tcPr>
          <w:p>
            <w:pPr>
              <w:pStyle w:val="TableContents"/>
              <w:spacing w:lineRule="atLeast" w:line="180" w:before="0" w:after="283"/>
              <w:rPr>
                <w:rFonts w:ascii="arial" w:hAnsi="arial"/>
                <w:sz w:val="16"/>
              </w:rPr>
            </w:pPr>
            <w:r>
              <w:rPr>
                <w:rFonts w:ascii="arial" w:hAnsi="arial"/>
                <w:sz w:val="16"/>
              </w:rPr>
              <w:t>$</w:t>
            </w:r>
          </w:p>
        </w:tc>
        <w:tc>
          <w:tcPr>
            <w:tcW w:w="614" w:type="dxa"/>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41,036</w:t>
            </w:r>
          </w:p>
        </w:tc>
        <w:tc>
          <w:tcPr>
            <w:tcW w:w="28"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80"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650"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737"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 w:type="dxa"/>
            <w:tcBorders/>
            <w:shd w:fill="auto" w:val="clear"/>
            <w:vAlign w:val="bottom"/>
          </w:tcPr>
          <w:p>
            <w:pPr>
              <w:pStyle w:val="TableContents"/>
              <w:spacing w:lineRule="atLeast" w:line="180" w:before="0" w:after="283"/>
              <w:rPr/>
            </w:pPr>
            <w:r>
              <w:rPr/>
              <w:t>​</w:t>
            </w:r>
          </w:p>
        </w:tc>
        <w:tc>
          <w:tcPr>
            <w:tcW w:w="24" w:type="dxa"/>
            <w:tcBorders/>
            <w:shd w:fill="auto" w:val="clear"/>
            <w:vAlign w:val="bottom"/>
          </w:tcPr>
          <w:p>
            <w:pPr>
              <w:pStyle w:val="TableContents"/>
              <w:spacing w:lineRule="atLeast" w:line="180" w:before="0" w:after="283"/>
              <w:rPr/>
            </w:pPr>
            <w:r>
              <w:rPr/>
              <w:t>​</w:t>
            </w:r>
          </w:p>
        </w:tc>
      </w:tr>
      <w:tr>
        <w:trPr/>
        <w:tc>
          <w:tcPr>
            <w:tcW w:w="795" w:type="dxa"/>
            <w:tcBorders/>
            <w:shd w:fill="auto" w:val="clear"/>
            <w:vAlign w:val="bottom"/>
          </w:tcPr>
          <w:p>
            <w:pPr>
              <w:pStyle w:val="TableContents"/>
              <w:spacing w:lineRule="atLeast" w:line="180" w:before="0" w:after="283"/>
              <w:rPr/>
            </w:pPr>
            <w:r>
              <w:rPr/>
              <w:t> </w:t>
            </w:r>
          </w:p>
        </w:tc>
        <w:tc>
          <w:tcPr>
            <w:tcW w:w="23" w:type="dxa"/>
            <w:tcBorders/>
            <w:shd w:fill="auto" w:val="clear"/>
            <w:vAlign w:val="bottom"/>
          </w:tcPr>
          <w:p>
            <w:pPr>
              <w:pStyle w:val="TableContents"/>
              <w:spacing w:lineRule="atLeast" w:line="180" w:before="0" w:after="283"/>
              <w:rPr/>
            </w:pPr>
            <w:r>
              <w:rPr/>
              <w:t>​</w:t>
            </w:r>
          </w:p>
        </w:tc>
        <w:tc>
          <w:tcPr>
            <w:tcW w:w="248"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1"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39"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90"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25"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26" w:type="dxa"/>
            <w:tcBorders/>
            <w:shd w:fill="auto" w:val="clear"/>
            <w:vAlign w:val="bottom"/>
          </w:tcPr>
          <w:p>
            <w:pPr>
              <w:pStyle w:val="TableContents"/>
              <w:spacing w:lineRule="atLeast" w:line="180" w:before="0" w:after="283"/>
              <w:rPr/>
            </w:pPr>
            <w:r>
              <w:rPr/>
              <w:t>​</w:t>
            </w:r>
          </w:p>
        </w:tc>
        <w:tc>
          <w:tcPr>
            <w:tcW w:w="626"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9"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830"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3" w:type="dxa"/>
            <w:tcBorders/>
            <w:shd w:fill="auto" w:val="clear"/>
            <w:vAlign w:val="bottom"/>
          </w:tcPr>
          <w:p>
            <w:pPr>
              <w:pStyle w:val="TableContents"/>
              <w:spacing w:lineRule="atLeast" w:line="180" w:before="0" w:after="283"/>
              <w:rPr/>
            </w:pPr>
            <w:r>
              <w:rPr/>
              <w:t>​</w:t>
            </w:r>
          </w:p>
        </w:tc>
        <w:tc>
          <w:tcPr>
            <w:tcW w:w="72" w:type="dxa"/>
            <w:tcBorders/>
            <w:shd w:fill="auto" w:val="clear"/>
            <w:vAlign w:val="bottom"/>
          </w:tcPr>
          <w:p>
            <w:pPr>
              <w:pStyle w:val="TableContents"/>
              <w:spacing w:lineRule="atLeast" w:line="180" w:before="0" w:after="283"/>
              <w:rPr/>
            </w:pPr>
            <w:r>
              <w:rPr/>
              <w:t>​</w:t>
            </w:r>
          </w:p>
        </w:tc>
        <w:tc>
          <w:tcPr>
            <w:tcW w:w="42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5,000</w:t>
            </w:r>
          </w:p>
        </w:tc>
        <w:tc>
          <w:tcPr>
            <w:tcW w:w="584" w:type="dxa"/>
            <w:tcBorders/>
            <w:shd w:fill="auto" w:val="clear"/>
            <w:vAlign w:val="bottom"/>
          </w:tcPr>
          <w:p>
            <w:pPr>
              <w:pStyle w:val="TableContents"/>
              <w:spacing w:lineRule="atLeast" w:line="180" w:before="0" w:after="283"/>
              <w:rPr>
                <w:rFonts w:ascii="arial" w:hAnsi="arial"/>
                <w:sz w:val="12"/>
              </w:rPr>
            </w:pPr>
            <w:r>
              <w:rPr>
                <w:rFonts w:ascii="arial" w:hAnsi="arial"/>
                <w:sz w:val="12"/>
              </w:rPr>
              <w:t>(26)</w:t>
            </w:r>
          </w:p>
        </w:tc>
        <w:tc>
          <w:tcPr>
            <w:tcW w:w="23" w:type="dxa"/>
            <w:tcBorders/>
            <w:shd w:fill="auto" w:val="clear"/>
            <w:vAlign w:val="bottom"/>
          </w:tcPr>
          <w:p>
            <w:pPr>
              <w:pStyle w:val="TableContents"/>
              <w:spacing w:lineRule="atLeast" w:line="180" w:before="0" w:after="283"/>
              <w:rPr/>
            </w:pPr>
            <w:r>
              <w:rPr/>
              <w:t>​</w:t>
            </w:r>
          </w:p>
        </w:tc>
        <w:tc>
          <w:tcPr>
            <w:tcW w:w="27" w:type="dxa"/>
            <w:tcBorders/>
            <w:shd w:fill="auto" w:val="clear"/>
            <w:vAlign w:val="bottom"/>
          </w:tcPr>
          <w:p>
            <w:pPr>
              <w:pStyle w:val="TableContents"/>
              <w:spacing w:lineRule="atLeast" w:line="180" w:before="0" w:after="283"/>
              <w:rPr/>
            </w:pPr>
            <w:r>
              <w:rPr/>
              <w:t>​</w:t>
            </w:r>
          </w:p>
        </w:tc>
        <w:tc>
          <w:tcPr>
            <w:tcW w:w="132" w:type="dxa"/>
            <w:tcBorders/>
            <w:shd w:fill="auto" w:val="clear"/>
            <w:vAlign w:val="bottom"/>
          </w:tcPr>
          <w:p>
            <w:pPr>
              <w:pStyle w:val="TableContents"/>
              <w:spacing w:lineRule="atLeast" w:line="180" w:before="0" w:after="283"/>
              <w:rPr>
                <w:rFonts w:ascii="arial" w:hAnsi="arial"/>
                <w:sz w:val="16"/>
              </w:rPr>
            </w:pPr>
            <w:r>
              <w:rPr>
                <w:rFonts w:ascii="arial" w:hAnsi="arial"/>
                <w:sz w:val="16"/>
              </w:rPr>
              <w:t>$</w:t>
            </w:r>
          </w:p>
        </w:tc>
        <w:tc>
          <w:tcPr>
            <w:tcW w:w="614" w:type="dxa"/>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64,400</w:t>
            </w:r>
          </w:p>
        </w:tc>
        <w:tc>
          <w:tcPr>
            <w:tcW w:w="28"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80"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650"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737"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 w:type="dxa"/>
            <w:tcBorders/>
            <w:shd w:fill="auto" w:val="clear"/>
            <w:vAlign w:val="bottom"/>
          </w:tcPr>
          <w:p>
            <w:pPr>
              <w:pStyle w:val="TableContents"/>
              <w:spacing w:lineRule="atLeast" w:line="180" w:before="0" w:after="283"/>
              <w:rPr/>
            </w:pPr>
            <w:r>
              <w:rPr/>
              <w:t>​</w:t>
            </w:r>
          </w:p>
        </w:tc>
        <w:tc>
          <w:tcPr>
            <w:tcW w:w="24" w:type="dxa"/>
            <w:tcBorders/>
            <w:shd w:fill="auto" w:val="clear"/>
            <w:vAlign w:val="bottom"/>
          </w:tcPr>
          <w:p>
            <w:pPr>
              <w:pStyle w:val="TableContents"/>
              <w:spacing w:lineRule="atLeast" w:line="180" w:before="0" w:after="283"/>
              <w:rPr/>
            </w:pPr>
            <w:r>
              <w:rPr/>
              <w:t>​</w:t>
            </w:r>
          </w:p>
        </w:tc>
      </w:tr>
      <w:tr>
        <w:trPr/>
        <w:tc>
          <w:tcPr>
            <w:tcW w:w="795" w:type="dxa"/>
            <w:tcBorders/>
            <w:shd w:fill="auto" w:val="clear"/>
            <w:vAlign w:val="bottom"/>
          </w:tcPr>
          <w:p>
            <w:pPr>
              <w:pStyle w:val="TableContents"/>
              <w:spacing w:lineRule="atLeast" w:line="180" w:before="0" w:after="283"/>
              <w:rPr/>
            </w:pPr>
            <w:r>
              <w:rPr/>
              <w:t> </w:t>
            </w:r>
          </w:p>
        </w:tc>
        <w:tc>
          <w:tcPr>
            <w:tcW w:w="23" w:type="dxa"/>
            <w:tcBorders/>
            <w:shd w:fill="auto" w:val="clear"/>
            <w:vAlign w:val="bottom"/>
          </w:tcPr>
          <w:p>
            <w:pPr>
              <w:pStyle w:val="TableContents"/>
              <w:spacing w:lineRule="atLeast" w:line="180" w:before="0" w:after="283"/>
              <w:rPr/>
            </w:pPr>
            <w:r>
              <w:rPr/>
              <w:t>​</w:t>
            </w:r>
          </w:p>
        </w:tc>
        <w:tc>
          <w:tcPr>
            <w:tcW w:w="248"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1"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39"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90"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25"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26" w:type="dxa"/>
            <w:tcBorders/>
            <w:shd w:fill="auto" w:val="clear"/>
            <w:vAlign w:val="bottom"/>
          </w:tcPr>
          <w:p>
            <w:pPr>
              <w:pStyle w:val="TableContents"/>
              <w:spacing w:lineRule="atLeast" w:line="180" w:before="0" w:after="283"/>
              <w:rPr/>
            </w:pPr>
            <w:r>
              <w:rPr/>
              <w:t>​</w:t>
            </w:r>
          </w:p>
        </w:tc>
        <w:tc>
          <w:tcPr>
            <w:tcW w:w="626"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9"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830"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3" w:type="dxa"/>
            <w:tcBorders/>
            <w:shd w:fill="auto" w:val="clear"/>
            <w:vAlign w:val="bottom"/>
          </w:tcPr>
          <w:p>
            <w:pPr>
              <w:pStyle w:val="TableContents"/>
              <w:spacing w:lineRule="atLeast" w:line="180" w:before="0" w:after="283"/>
              <w:rPr/>
            </w:pPr>
            <w:r>
              <w:rPr/>
              <w:t>​</w:t>
            </w:r>
          </w:p>
        </w:tc>
        <w:tc>
          <w:tcPr>
            <w:tcW w:w="72" w:type="dxa"/>
            <w:tcBorders/>
            <w:shd w:fill="auto" w:val="clear"/>
            <w:vAlign w:val="bottom"/>
          </w:tcPr>
          <w:p>
            <w:pPr>
              <w:pStyle w:val="TableContents"/>
              <w:spacing w:lineRule="atLeast" w:line="180" w:before="0" w:after="283"/>
              <w:rPr/>
            </w:pPr>
            <w:r>
              <w:rPr/>
              <w:t>​</w:t>
            </w:r>
          </w:p>
        </w:tc>
        <w:tc>
          <w:tcPr>
            <w:tcW w:w="42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3,909</w:t>
            </w:r>
          </w:p>
        </w:tc>
        <w:tc>
          <w:tcPr>
            <w:tcW w:w="584" w:type="dxa"/>
            <w:tcBorders/>
            <w:shd w:fill="auto" w:val="clear"/>
            <w:vAlign w:val="bottom"/>
          </w:tcPr>
          <w:p>
            <w:pPr>
              <w:pStyle w:val="TableContents"/>
              <w:spacing w:lineRule="atLeast" w:line="180" w:before="0" w:after="283"/>
              <w:rPr>
                <w:rFonts w:ascii="arial" w:hAnsi="arial"/>
                <w:sz w:val="12"/>
              </w:rPr>
            </w:pPr>
            <w:r>
              <w:rPr>
                <w:rFonts w:ascii="arial" w:hAnsi="arial"/>
                <w:sz w:val="12"/>
              </w:rPr>
              <w:t>(10)</w:t>
            </w:r>
          </w:p>
        </w:tc>
        <w:tc>
          <w:tcPr>
            <w:tcW w:w="23" w:type="dxa"/>
            <w:tcBorders/>
            <w:shd w:fill="auto" w:val="clear"/>
            <w:vAlign w:val="bottom"/>
          </w:tcPr>
          <w:p>
            <w:pPr>
              <w:pStyle w:val="TableContents"/>
              <w:spacing w:lineRule="atLeast" w:line="180" w:before="0" w:after="283"/>
              <w:rPr/>
            </w:pPr>
            <w:r>
              <w:rPr/>
              <w:t>​</w:t>
            </w:r>
          </w:p>
        </w:tc>
        <w:tc>
          <w:tcPr>
            <w:tcW w:w="27" w:type="dxa"/>
            <w:tcBorders/>
            <w:shd w:fill="auto" w:val="clear"/>
            <w:vAlign w:val="bottom"/>
          </w:tcPr>
          <w:p>
            <w:pPr>
              <w:pStyle w:val="TableContents"/>
              <w:spacing w:lineRule="atLeast" w:line="180" w:before="0" w:after="283"/>
              <w:rPr/>
            </w:pPr>
            <w:r>
              <w:rPr/>
              <w:t>​</w:t>
            </w:r>
          </w:p>
        </w:tc>
        <w:tc>
          <w:tcPr>
            <w:tcW w:w="132" w:type="dxa"/>
            <w:tcBorders/>
            <w:shd w:fill="auto" w:val="clear"/>
            <w:vAlign w:val="bottom"/>
          </w:tcPr>
          <w:p>
            <w:pPr>
              <w:pStyle w:val="TableContents"/>
              <w:spacing w:lineRule="atLeast" w:line="180" w:before="0" w:after="283"/>
              <w:rPr>
                <w:rFonts w:ascii="arial" w:hAnsi="arial"/>
                <w:sz w:val="16"/>
              </w:rPr>
            </w:pPr>
            <w:r>
              <w:rPr>
                <w:rFonts w:ascii="arial" w:hAnsi="arial"/>
                <w:sz w:val="16"/>
              </w:rPr>
              <w:t>$</w:t>
            </w:r>
          </w:p>
        </w:tc>
        <w:tc>
          <w:tcPr>
            <w:tcW w:w="614" w:type="dxa"/>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50,348</w:t>
            </w:r>
          </w:p>
        </w:tc>
        <w:tc>
          <w:tcPr>
            <w:tcW w:w="28"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80"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650"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737"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 w:type="dxa"/>
            <w:tcBorders/>
            <w:shd w:fill="auto" w:val="clear"/>
            <w:vAlign w:val="bottom"/>
          </w:tcPr>
          <w:p>
            <w:pPr>
              <w:pStyle w:val="TableContents"/>
              <w:spacing w:lineRule="atLeast" w:line="180" w:before="0" w:after="283"/>
              <w:rPr/>
            </w:pPr>
            <w:r>
              <w:rPr/>
              <w:t>​</w:t>
            </w:r>
          </w:p>
        </w:tc>
        <w:tc>
          <w:tcPr>
            <w:tcW w:w="24" w:type="dxa"/>
            <w:tcBorders/>
            <w:shd w:fill="auto" w:val="clear"/>
            <w:vAlign w:val="bottom"/>
          </w:tcPr>
          <w:p>
            <w:pPr>
              <w:pStyle w:val="TableContents"/>
              <w:spacing w:lineRule="atLeast" w:line="180" w:before="0" w:after="283"/>
              <w:rPr/>
            </w:pPr>
            <w:r>
              <w:rPr/>
              <w:t>​</w:t>
            </w:r>
          </w:p>
        </w:tc>
      </w:tr>
      <w:tr>
        <w:trPr/>
        <w:tc>
          <w:tcPr>
            <w:tcW w:w="795" w:type="dxa"/>
            <w:tcBorders/>
            <w:shd w:fill="auto" w:val="clear"/>
            <w:vAlign w:val="bottom"/>
          </w:tcPr>
          <w:p>
            <w:pPr>
              <w:pStyle w:val="TableContents"/>
              <w:spacing w:lineRule="atLeast" w:line="180" w:before="0" w:after="283"/>
              <w:rPr/>
            </w:pPr>
            <w:r>
              <w:rPr/>
              <w:t> </w:t>
            </w:r>
          </w:p>
        </w:tc>
        <w:tc>
          <w:tcPr>
            <w:tcW w:w="23" w:type="dxa"/>
            <w:tcBorders/>
            <w:shd w:fill="auto" w:val="clear"/>
            <w:vAlign w:val="bottom"/>
          </w:tcPr>
          <w:p>
            <w:pPr>
              <w:pStyle w:val="TableContents"/>
              <w:spacing w:lineRule="atLeast" w:line="180" w:before="0" w:after="283"/>
              <w:rPr/>
            </w:pPr>
            <w:r>
              <w:rPr/>
              <w:t>​</w:t>
            </w:r>
          </w:p>
        </w:tc>
        <w:tc>
          <w:tcPr>
            <w:tcW w:w="248"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1"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39"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90"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25"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26" w:type="dxa"/>
            <w:tcBorders/>
            <w:shd w:fill="auto" w:val="clear"/>
            <w:vAlign w:val="bottom"/>
          </w:tcPr>
          <w:p>
            <w:pPr>
              <w:pStyle w:val="TableContents"/>
              <w:spacing w:lineRule="atLeast" w:line="180" w:before="0" w:after="283"/>
              <w:rPr/>
            </w:pPr>
            <w:r>
              <w:rPr/>
              <w:t>​</w:t>
            </w:r>
          </w:p>
        </w:tc>
        <w:tc>
          <w:tcPr>
            <w:tcW w:w="626"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9"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830"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3" w:type="dxa"/>
            <w:tcBorders/>
            <w:shd w:fill="auto" w:val="clear"/>
            <w:vAlign w:val="bottom"/>
          </w:tcPr>
          <w:p>
            <w:pPr>
              <w:pStyle w:val="TableContents"/>
              <w:spacing w:lineRule="atLeast" w:line="180" w:before="0" w:after="283"/>
              <w:rPr/>
            </w:pPr>
            <w:r>
              <w:rPr/>
              <w:t>​</w:t>
            </w:r>
          </w:p>
        </w:tc>
        <w:tc>
          <w:tcPr>
            <w:tcW w:w="72" w:type="dxa"/>
            <w:tcBorders/>
            <w:shd w:fill="auto" w:val="clear"/>
            <w:vAlign w:val="bottom"/>
          </w:tcPr>
          <w:p>
            <w:pPr>
              <w:pStyle w:val="TableContents"/>
              <w:spacing w:lineRule="atLeast" w:line="180" w:before="0" w:after="283"/>
              <w:rPr/>
            </w:pPr>
            <w:r>
              <w:rPr/>
              <w:t>​</w:t>
            </w:r>
          </w:p>
        </w:tc>
        <w:tc>
          <w:tcPr>
            <w:tcW w:w="42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584"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27" w:type="dxa"/>
            <w:tcBorders/>
            <w:shd w:fill="auto" w:val="clear"/>
            <w:vAlign w:val="bottom"/>
          </w:tcPr>
          <w:p>
            <w:pPr>
              <w:pStyle w:val="TableContents"/>
              <w:spacing w:lineRule="atLeast" w:line="180" w:before="0" w:after="283"/>
              <w:rPr/>
            </w:pPr>
            <w:r>
              <w:rPr/>
              <w:t>​</w:t>
            </w:r>
          </w:p>
        </w:tc>
        <w:tc>
          <w:tcPr>
            <w:tcW w:w="746"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8"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80"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7,649</w:t>
            </w:r>
          </w:p>
        </w:tc>
        <w:tc>
          <w:tcPr>
            <w:tcW w:w="650" w:type="dxa"/>
            <w:tcBorders/>
            <w:shd w:fill="auto" w:val="clear"/>
            <w:vAlign w:val="bottom"/>
          </w:tcPr>
          <w:p>
            <w:pPr>
              <w:pStyle w:val="TableContents"/>
              <w:spacing w:lineRule="atLeast" w:line="180" w:before="0" w:after="283"/>
              <w:rPr>
                <w:rFonts w:ascii="arial" w:hAnsi="arial"/>
                <w:sz w:val="12"/>
              </w:rPr>
            </w:pPr>
            <w:r>
              <w:rPr>
                <w:rFonts w:ascii="arial" w:hAnsi="arial"/>
                <w:sz w:val="12"/>
              </w:rPr>
              <w:t>(11)</w:t>
            </w:r>
          </w:p>
        </w:tc>
        <w:tc>
          <w:tcPr>
            <w:tcW w:w="23"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13" w:type="dxa"/>
            <w:tcBorders/>
            <w:shd w:fill="auto" w:val="clear"/>
            <w:vAlign w:val="bottom"/>
          </w:tcPr>
          <w:p>
            <w:pPr>
              <w:pStyle w:val="TableContents"/>
              <w:spacing w:lineRule="atLeast" w:line="180" w:before="0" w:after="283"/>
              <w:rPr>
                <w:rFonts w:ascii="arial" w:hAnsi="arial"/>
                <w:sz w:val="16"/>
              </w:rPr>
            </w:pPr>
            <w:r>
              <w:rPr>
                <w:rFonts w:ascii="arial" w:hAnsi="arial"/>
                <w:sz w:val="16"/>
              </w:rPr>
              <w:t>$</w:t>
            </w:r>
          </w:p>
        </w:tc>
        <w:tc>
          <w:tcPr>
            <w:tcW w:w="624" w:type="dxa"/>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35,253</w:t>
            </w:r>
          </w:p>
        </w:tc>
        <w:tc>
          <w:tcPr>
            <w:tcW w:w="25" w:type="dxa"/>
            <w:tcBorders/>
            <w:shd w:fill="auto" w:val="clear"/>
            <w:vAlign w:val="bottom"/>
          </w:tcPr>
          <w:p>
            <w:pPr>
              <w:pStyle w:val="TableContents"/>
              <w:spacing w:lineRule="atLeast" w:line="180" w:before="0" w:after="283"/>
              <w:rPr/>
            </w:pPr>
            <w:r>
              <w:rPr/>
              <w:t>​</w:t>
            </w:r>
          </w:p>
        </w:tc>
        <w:tc>
          <w:tcPr>
            <w:tcW w:w="24" w:type="dxa"/>
            <w:tcBorders/>
            <w:shd w:fill="auto" w:val="clear"/>
            <w:vAlign w:val="bottom"/>
          </w:tcPr>
          <w:p>
            <w:pPr>
              <w:pStyle w:val="TableContents"/>
              <w:spacing w:lineRule="atLeast" w:line="180" w:before="0" w:after="283"/>
              <w:rPr/>
            </w:pPr>
            <w:r>
              <w:rPr/>
              <w:t>​</w:t>
            </w:r>
          </w:p>
        </w:tc>
      </w:tr>
      <w:tr>
        <w:trPr/>
        <w:tc>
          <w:tcPr>
            <w:tcW w:w="795" w:type="dxa"/>
            <w:tcBorders/>
            <w:shd w:fill="auto" w:val="clear"/>
            <w:vAlign w:val="bottom"/>
          </w:tcPr>
          <w:p>
            <w:pPr>
              <w:pStyle w:val="TableContents"/>
              <w:spacing w:lineRule="atLeast" w:line="180" w:before="0" w:after="283"/>
              <w:rPr/>
            </w:pPr>
            <w:r>
              <w:rPr/>
              <w:t> </w:t>
            </w:r>
          </w:p>
        </w:tc>
        <w:tc>
          <w:tcPr>
            <w:tcW w:w="23" w:type="dxa"/>
            <w:tcBorders/>
            <w:shd w:fill="auto" w:val="clear"/>
            <w:vAlign w:val="bottom"/>
          </w:tcPr>
          <w:p>
            <w:pPr>
              <w:pStyle w:val="TableContents"/>
              <w:spacing w:lineRule="atLeast" w:line="180" w:before="0" w:after="283"/>
              <w:rPr/>
            </w:pPr>
            <w:r>
              <w:rPr/>
              <w:t>​</w:t>
            </w:r>
          </w:p>
        </w:tc>
        <w:tc>
          <w:tcPr>
            <w:tcW w:w="248"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1"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39"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90"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25"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26" w:type="dxa"/>
            <w:tcBorders/>
            <w:shd w:fill="auto" w:val="clear"/>
            <w:vAlign w:val="bottom"/>
          </w:tcPr>
          <w:p>
            <w:pPr>
              <w:pStyle w:val="TableContents"/>
              <w:spacing w:lineRule="atLeast" w:line="180" w:before="0" w:after="283"/>
              <w:rPr/>
            </w:pPr>
            <w:r>
              <w:rPr/>
              <w:t>​</w:t>
            </w:r>
          </w:p>
        </w:tc>
        <w:tc>
          <w:tcPr>
            <w:tcW w:w="626"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9"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830"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3" w:type="dxa"/>
            <w:tcBorders/>
            <w:shd w:fill="auto" w:val="clear"/>
            <w:vAlign w:val="bottom"/>
          </w:tcPr>
          <w:p>
            <w:pPr>
              <w:pStyle w:val="TableContents"/>
              <w:spacing w:lineRule="atLeast" w:line="180" w:before="0" w:after="283"/>
              <w:rPr/>
            </w:pPr>
            <w:r>
              <w:rPr/>
              <w:t>​</w:t>
            </w:r>
          </w:p>
        </w:tc>
        <w:tc>
          <w:tcPr>
            <w:tcW w:w="72" w:type="dxa"/>
            <w:tcBorders/>
            <w:shd w:fill="auto" w:val="clear"/>
            <w:vAlign w:val="bottom"/>
          </w:tcPr>
          <w:p>
            <w:pPr>
              <w:pStyle w:val="TableContents"/>
              <w:spacing w:lineRule="atLeast" w:line="180" w:before="0" w:after="283"/>
              <w:rPr/>
            </w:pPr>
            <w:r>
              <w:rPr/>
              <w:t>​</w:t>
            </w:r>
          </w:p>
        </w:tc>
        <w:tc>
          <w:tcPr>
            <w:tcW w:w="42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584"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27" w:type="dxa"/>
            <w:tcBorders/>
            <w:shd w:fill="auto" w:val="clear"/>
            <w:vAlign w:val="bottom"/>
          </w:tcPr>
          <w:p>
            <w:pPr>
              <w:pStyle w:val="TableContents"/>
              <w:spacing w:lineRule="atLeast" w:line="180" w:before="0" w:after="283"/>
              <w:rPr/>
            </w:pPr>
            <w:r>
              <w:rPr/>
              <w:t>​</w:t>
            </w:r>
          </w:p>
        </w:tc>
        <w:tc>
          <w:tcPr>
            <w:tcW w:w="746"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8"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80"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5,099</w:t>
            </w:r>
          </w:p>
        </w:tc>
        <w:tc>
          <w:tcPr>
            <w:tcW w:w="650" w:type="dxa"/>
            <w:tcBorders/>
            <w:shd w:fill="auto" w:val="clear"/>
            <w:vAlign w:val="bottom"/>
          </w:tcPr>
          <w:p>
            <w:pPr>
              <w:pStyle w:val="TableContents"/>
              <w:spacing w:lineRule="atLeast" w:line="180" w:before="0" w:after="283"/>
              <w:rPr>
                <w:rFonts w:ascii="arial" w:hAnsi="arial"/>
                <w:sz w:val="12"/>
              </w:rPr>
            </w:pPr>
            <w:r>
              <w:rPr>
                <w:rFonts w:ascii="arial" w:hAnsi="arial"/>
                <w:sz w:val="12"/>
              </w:rPr>
              <w:t>(12)</w:t>
            </w:r>
          </w:p>
        </w:tc>
        <w:tc>
          <w:tcPr>
            <w:tcW w:w="23"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13" w:type="dxa"/>
            <w:tcBorders/>
            <w:shd w:fill="auto" w:val="clear"/>
            <w:vAlign w:val="bottom"/>
          </w:tcPr>
          <w:p>
            <w:pPr>
              <w:pStyle w:val="TableContents"/>
              <w:spacing w:lineRule="atLeast" w:line="180" w:before="0" w:after="283"/>
              <w:rPr>
                <w:rFonts w:ascii="arial" w:hAnsi="arial"/>
                <w:sz w:val="16"/>
              </w:rPr>
            </w:pPr>
            <w:r>
              <w:rPr>
                <w:rFonts w:ascii="arial" w:hAnsi="arial"/>
                <w:sz w:val="16"/>
              </w:rPr>
              <w:t>$</w:t>
            </w:r>
          </w:p>
        </w:tc>
        <w:tc>
          <w:tcPr>
            <w:tcW w:w="624" w:type="dxa"/>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65,675</w:t>
            </w:r>
          </w:p>
        </w:tc>
        <w:tc>
          <w:tcPr>
            <w:tcW w:w="25" w:type="dxa"/>
            <w:tcBorders/>
            <w:shd w:fill="auto" w:val="clear"/>
            <w:vAlign w:val="bottom"/>
          </w:tcPr>
          <w:p>
            <w:pPr>
              <w:pStyle w:val="TableContents"/>
              <w:spacing w:lineRule="atLeast" w:line="180" w:before="0" w:after="283"/>
              <w:rPr/>
            </w:pPr>
            <w:r>
              <w:rPr/>
              <w:t>​</w:t>
            </w:r>
          </w:p>
        </w:tc>
        <w:tc>
          <w:tcPr>
            <w:tcW w:w="24" w:type="dxa"/>
            <w:tcBorders/>
            <w:shd w:fill="auto" w:val="clear"/>
            <w:vAlign w:val="bottom"/>
          </w:tcPr>
          <w:p>
            <w:pPr>
              <w:pStyle w:val="TableContents"/>
              <w:spacing w:lineRule="atLeast" w:line="180" w:before="0" w:after="283"/>
              <w:rPr/>
            </w:pPr>
            <w:r>
              <w:rPr/>
              <w:t>​</w:t>
            </w:r>
          </w:p>
        </w:tc>
      </w:tr>
      <w:tr>
        <w:trPr/>
        <w:tc>
          <w:tcPr>
            <w:tcW w:w="795" w:type="dxa"/>
            <w:tcBorders/>
            <w:shd w:fill="auto" w:val="clear"/>
            <w:vAlign w:val="bottom"/>
          </w:tcPr>
          <w:p>
            <w:pPr>
              <w:pStyle w:val="TableContents"/>
              <w:spacing w:lineRule="atLeast" w:line="180" w:before="0" w:after="283"/>
              <w:rPr/>
            </w:pPr>
            <w:r>
              <w:rPr/>
              <w:t> </w:t>
            </w:r>
          </w:p>
        </w:tc>
        <w:tc>
          <w:tcPr>
            <w:tcW w:w="23" w:type="dxa"/>
            <w:tcBorders/>
            <w:shd w:fill="auto" w:val="clear"/>
            <w:vAlign w:val="bottom"/>
          </w:tcPr>
          <w:p>
            <w:pPr>
              <w:pStyle w:val="TableContents"/>
              <w:spacing w:lineRule="atLeast" w:line="180" w:before="0" w:after="283"/>
              <w:rPr/>
            </w:pPr>
            <w:r>
              <w:rPr/>
              <w:t>​</w:t>
            </w:r>
          </w:p>
        </w:tc>
        <w:tc>
          <w:tcPr>
            <w:tcW w:w="248"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1"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39"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90"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25"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26" w:type="dxa"/>
            <w:tcBorders/>
            <w:shd w:fill="auto" w:val="clear"/>
            <w:vAlign w:val="bottom"/>
          </w:tcPr>
          <w:p>
            <w:pPr>
              <w:pStyle w:val="TableContents"/>
              <w:spacing w:lineRule="atLeast" w:line="180" w:before="0" w:after="283"/>
              <w:rPr/>
            </w:pPr>
            <w:r>
              <w:rPr/>
              <w:t>​</w:t>
            </w:r>
          </w:p>
        </w:tc>
        <w:tc>
          <w:tcPr>
            <w:tcW w:w="626"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9"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830"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3" w:type="dxa"/>
            <w:tcBorders/>
            <w:shd w:fill="auto" w:val="clear"/>
            <w:vAlign w:val="bottom"/>
          </w:tcPr>
          <w:p>
            <w:pPr>
              <w:pStyle w:val="TableContents"/>
              <w:spacing w:lineRule="atLeast" w:line="180" w:before="0" w:after="283"/>
              <w:rPr/>
            </w:pPr>
            <w:r>
              <w:rPr/>
              <w:t>​</w:t>
            </w:r>
          </w:p>
        </w:tc>
        <w:tc>
          <w:tcPr>
            <w:tcW w:w="72" w:type="dxa"/>
            <w:tcBorders/>
            <w:shd w:fill="auto" w:val="clear"/>
            <w:vAlign w:val="bottom"/>
          </w:tcPr>
          <w:p>
            <w:pPr>
              <w:pStyle w:val="TableContents"/>
              <w:spacing w:lineRule="atLeast" w:line="180" w:before="0" w:after="283"/>
              <w:rPr/>
            </w:pPr>
            <w:r>
              <w:rPr/>
              <w:t>​</w:t>
            </w:r>
          </w:p>
        </w:tc>
        <w:tc>
          <w:tcPr>
            <w:tcW w:w="42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584"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27" w:type="dxa"/>
            <w:tcBorders/>
            <w:shd w:fill="auto" w:val="clear"/>
            <w:vAlign w:val="bottom"/>
          </w:tcPr>
          <w:p>
            <w:pPr>
              <w:pStyle w:val="TableContents"/>
              <w:spacing w:lineRule="atLeast" w:line="180" w:before="0" w:after="283"/>
              <w:rPr/>
            </w:pPr>
            <w:r>
              <w:rPr/>
              <w:t>​</w:t>
            </w:r>
          </w:p>
        </w:tc>
        <w:tc>
          <w:tcPr>
            <w:tcW w:w="746"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8"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80"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9,638</w:t>
            </w:r>
          </w:p>
        </w:tc>
        <w:tc>
          <w:tcPr>
            <w:tcW w:w="650" w:type="dxa"/>
            <w:tcBorders/>
            <w:shd w:fill="auto" w:val="clear"/>
            <w:vAlign w:val="bottom"/>
          </w:tcPr>
          <w:p>
            <w:pPr>
              <w:pStyle w:val="TableContents"/>
              <w:spacing w:lineRule="atLeast" w:line="180" w:before="0" w:after="283"/>
              <w:rPr>
                <w:rFonts w:ascii="arial" w:hAnsi="arial"/>
                <w:sz w:val="12"/>
              </w:rPr>
            </w:pPr>
            <w:r>
              <w:rPr>
                <w:rFonts w:ascii="arial" w:hAnsi="arial"/>
                <w:sz w:val="12"/>
              </w:rPr>
              <w:t>(21)</w:t>
            </w:r>
          </w:p>
        </w:tc>
        <w:tc>
          <w:tcPr>
            <w:tcW w:w="23"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13" w:type="dxa"/>
            <w:tcBorders/>
            <w:shd w:fill="auto" w:val="clear"/>
            <w:vAlign w:val="bottom"/>
          </w:tcPr>
          <w:p>
            <w:pPr>
              <w:pStyle w:val="TableContents"/>
              <w:spacing w:lineRule="atLeast" w:line="180" w:before="0" w:after="283"/>
              <w:rPr>
                <w:rFonts w:ascii="arial" w:hAnsi="arial"/>
                <w:sz w:val="16"/>
              </w:rPr>
            </w:pPr>
            <w:r>
              <w:rPr>
                <w:rFonts w:ascii="arial" w:hAnsi="arial"/>
                <w:sz w:val="16"/>
              </w:rPr>
              <w:t>$</w:t>
            </w:r>
          </w:p>
        </w:tc>
        <w:tc>
          <w:tcPr>
            <w:tcW w:w="624" w:type="dxa"/>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62,069</w:t>
            </w:r>
          </w:p>
        </w:tc>
        <w:tc>
          <w:tcPr>
            <w:tcW w:w="25" w:type="dxa"/>
            <w:tcBorders/>
            <w:shd w:fill="auto" w:val="clear"/>
            <w:vAlign w:val="bottom"/>
          </w:tcPr>
          <w:p>
            <w:pPr>
              <w:pStyle w:val="TableContents"/>
              <w:spacing w:lineRule="atLeast" w:line="180" w:before="0" w:after="283"/>
              <w:rPr/>
            </w:pPr>
            <w:r>
              <w:rPr/>
              <w:t>​</w:t>
            </w:r>
          </w:p>
        </w:tc>
        <w:tc>
          <w:tcPr>
            <w:tcW w:w="24" w:type="dxa"/>
            <w:tcBorders/>
            <w:shd w:fill="auto" w:val="clear"/>
            <w:vAlign w:val="bottom"/>
          </w:tcPr>
          <w:p>
            <w:pPr>
              <w:pStyle w:val="TableContents"/>
              <w:spacing w:lineRule="atLeast" w:line="180" w:before="0" w:after="283"/>
              <w:rPr/>
            </w:pPr>
            <w:r>
              <w:rPr/>
              <w:t>​</w:t>
            </w:r>
          </w:p>
        </w:tc>
      </w:tr>
      <w:tr>
        <w:trPr/>
        <w:tc>
          <w:tcPr>
            <w:tcW w:w="795" w:type="dxa"/>
            <w:tcBorders/>
            <w:shd w:fill="auto" w:val="clear"/>
            <w:vAlign w:val="bottom"/>
          </w:tcPr>
          <w:p>
            <w:pPr>
              <w:pStyle w:val="TableContents"/>
              <w:spacing w:lineRule="atLeast" w:line="180" w:before="0" w:after="283"/>
              <w:rPr/>
            </w:pPr>
            <w:r>
              <w:rPr/>
              <w:t> </w:t>
            </w:r>
          </w:p>
        </w:tc>
        <w:tc>
          <w:tcPr>
            <w:tcW w:w="23" w:type="dxa"/>
            <w:tcBorders/>
            <w:shd w:fill="auto" w:val="clear"/>
            <w:vAlign w:val="bottom"/>
          </w:tcPr>
          <w:p>
            <w:pPr>
              <w:pStyle w:val="TableContents"/>
              <w:spacing w:lineRule="atLeast" w:line="180" w:before="0" w:after="283"/>
              <w:rPr/>
            </w:pPr>
            <w:r>
              <w:rPr/>
              <w:t>​</w:t>
            </w:r>
          </w:p>
        </w:tc>
        <w:tc>
          <w:tcPr>
            <w:tcW w:w="248"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1"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39"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90"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25"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26" w:type="dxa"/>
            <w:tcBorders/>
            <w:shd w:fill="auto" w:val="clear"/>
            <w:vAlign w:val="bottom"/>
          </w:tcPr>
          <w:p>
            <w:pPr>
              <w:pStyle w:val="TableContents"/>
              <w:spacing w:lineRule="atLeast" w:line="180" w:before="0" w:after="283"/>
              <w:rPr/>
            </w:pPr>
            <w:r>
              <w:rPr/>
              <w:t>​</w:t>
            </w:r>
          </w:p>
        </w:tc>
        <w:tc>
          <w:tcPr>
            <w:tcW w:w="626"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9"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830"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3" w:type="dxa"/>
            <w:tcBorders/>
            <w:shd w:fill="auto" w:val="clear"/>
            <w:vAlign w:val="bottom"/>
          </w:tcPr>
          <w:p>
            <w:pPr>
              <w:pStyle w:val="TableContents"/>
              <w:spacing w:lineRule="atLeast" w:line="180" w:before="0" w:after="283"/>
              <w:rPr/>
            </w:pPr>
            <w:r>
              <w:rPr/>
              <w:t>​</w:t>
            </w:r>
          </w:p>
        </w:tc>
        <w:tc>
          <w:tcPr>
            <w:tcW w:w="72" w:type="dxa"/>
            <w:tcBorders/>
            <w:shd w:fill="auto" w:val="clear"/>
            <w:vAlign w:val="bottom"/>
          </w:tcPr>
          <w:p>
            <w:pPr>
              <w:pStyle w:val="TableContents"/>
              <w:spacing w:lineRule="atLeast" w:line="180" w:before="0" w:after="283"/>
              <w:rPr/>
            </w:pPr>
            <w:r>
              <w:rPr/>
              <w:t>​</w:t>
            </w:r>
          </w:p>
        </w:tc>
        <w:tc>
          <w:tcPr>
            <w:tcW w:w="42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584"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27" w:type="dxa"/>
            <w:tcBorders/>
            <w:shd w:fill="auto" w:val="clear"/>
            <w:vAlign w:val="bottom"/>
          </w:tcPr>
          <w:p>
            <w:pPr>
              <w:pStyle w:val="TableContents"/>
              <w:spacing w:lineRule="atLeast" w:line="180" w:before="0" w:after="283"/>
              <w:rPr/>
            </w:pPr>
            <w:r>
              <w:rPr/>
              <w:t>​</w:t>
            </w:r>
          </w:p>
        </w:tc>
        <w:tc>
          <w:tcPr>
            <w:tcW w:w="746"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8"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80"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9,638</w:t>
            </w:r>
          </w:p>
        </w:tc>
        <w:tc>
          <w:tcPr>
            <w:tcW w:w="650" w:type="dxa"/>
            <w:tcBorders/>
            <w:shd w:fill="auto" w:val="clear"/>
            <w:vAlign w:val="bottom"/>
          </w:tcPr>
          <w:p>
            <w:pPr>
              <w:pStyle w:val="TableContents"/>
              <w:spacing w:lineRule="atLeast" w:line="180" w:before="0" w:after="283"/>
              <w:rPr>
                <w:rFonts w:ascii="arial" w:hAnsi="arial"/>
                <w:sz w:val="12"/>
              </w:rPr>
            </w:pPr>
            <w:r>
              <w:rPr>
                <w:rFonts w:ascii="arial" w:hAnsi="arial"/>
                <w:sz w:val="12"/>
              </w:rPr>
              <w:t>(22)</w:t>
            </w:r>
          </w:p>
        </w:tc>
        <w:tc>
          <w:tcPr>
            <w:tcW w:w="23"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13" w:type="dxa"/>
            <w:tcBorders/>
            <w:shd w:fill="auto" w:val="clear"/>
            <w:vAlign w:val="bottom"/>
          </w:tcPr>
          <w:p>
            <w:pPr>
              <w:pStyle w:val="TableContents"/>
              <w:spacing w:lineRule="atLeast" w:line="180" w:before="0" w:after="283"/>
              <w:rPr>
                <w:rFonts w:ascii="arial" w:hAnsi="arial"/>
                <w:sz w:val="16"/>
              </w:rPr>
            </w:pPr>
            <w:r>
              <w:rPr>
                <w:rFonts w:ascii="arial" w:hAnsi="arial"/>
                <w:sz w:val="16"/>
              </w:rPr>
              <w:t>$</w:t>
            </w:r>
          </w:p>
        </w:tc>
        <w:tc>
          <w:tcPr>
            <w:tcW w:w="624" w:type="dxa"/>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124,137</w:t>
            </w:r>
          </w:p>
        </w:tc>
        <w:tc>
          <w:tcPr>
            <w:tcW w:w="25" w:type="dxa"/>
            <w:tcBorders/>
            <w:shd w:fill="auto" w:val="clear"/>
            <w:vAlign w:val="bottom"/>
          </w:tcPr>
          <w:p>
            <w:pPr>
              <w:pStyle w:val="TableContents"/>
              <w:spacing w:lineRule="atLeast" w:line="180" w:before="0" w:after="283"/>
              <w:rPr/>
            </w:pPr>
            <w:r>
              <w:rPr/>
              <w:t>​</w:t>
            </w:r>
          </w:p>
        </w:tc>
        <w:tc>
          <w:tcPr>
            <w:tcW w:w="24" w:type="dxa"/>
            <w:tcBorders/>
            <w:shd w:fill="auto" w:val="clear"/>
            <w:vAlign w:val="bottom"/>
          </w:tcPr>
          <w:p>
            <w:pPr>
              <w:pStyle w:val="TableContents"/>
              <w:spacing w:lineRule="atLeast" w:line="180" w:before="0" w:after="283"/>
              <w:rPr/>
            </w:pPr>
            <w:r>
              <w:rPr/>
              <w:t>​</w:t>
            </w:r>
          </w:p>
        </w:tc>
      </w:tr>
      <w:tr>
        <w:trPr/>
        <w:tc>
          <w:tcPr>
            <w:tcW w:w="795" w:type="dxa"/>
            <w:tcBorders/>
            <w:shd w:fill="auto" w:val="clear"/>
            <w:vAlign w:val="bottom"/>
          </w:tcPr>
          <w:p>
            <w:pPr>
              <w:pStyle w:val="TableContents"/>
              <w:spacing w:lineRule="atLeast" w:line="180" w:before="0" w:after="283"/>
              <w:rPr/>
            </w:pPr>
            <w:r>
              <w:rPr/>
              <w:t> </w:t>
            </w:r>
          </w:p>
        </w:tc>
        <w:tc>
          <w:tcPr>
            <w:tcW w:w="23" w:type="dxa"/>
            <w:tcBorders/>
            <w:shd w:fill="auto" w:val="clear"/>
            <w:vAlign w:val="bottom"/>
          </w:tcPr>
          <w:p>
            <w:pPr>
              <w:pStyle w:val="TableContents"/>
              <w:spacing w:lineRule="atLeast" w:line="180" w:before="0" w:after="283"/>
              <w:rPr/>
            </w:pPr>
            <w:r>
              <w:rPr/>
              <w:t>​</w:t>
            </w:r>
          </w:p>
        </w:tc>
        <w:tc>
          <w:tcPr>
            <w:tcW w:w="248"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1"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39"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90"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25"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26" w:type="dxa"/>
            <w:tcBorders/>
            <w:shd w:fill="auto" w:val="clear"/>
            <w:vAlign w:val="bottom"/>
          </w:tcPr>
          <w:p>
            <w:pPr>
              <w:pStyle w:val="TableContents"/>
              <w:spacing w:lineRule="atLeast" w:line="180" w:before="0" w:after="283"/>
              <w:rPr/>
            </w:pPr>
            <w:r>
              <w:rPr/>
              <w:t>​</w:t>
            </w:r>
          </w:p>
        </w:tc>
        <w:tc>
          <w:tcPr>
            <w:tcW w:w="626"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9"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830"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3" w:type="dxa"/>
            <w:tcBorders/>
            <w:shd w:fill="auto" w:val="clear"/>
            <w:vAlign w:val="bottom"/>
          </w:tcPr>
          <w:p>
            <w:pPr>
              <w:pStyle w:val="TableContents"/>
              <w:spacing w:lineRule="atLeast" w:line="180" w:before="0" w:after="283"/>
              <w:rPr/>
            </w:pPr>
            <w:r>
              <w:rPr/>
              <w:t>​</w:t>
            </w:r>
          </w:p>
        </w:tc>
        <w:tc>
          <w:tcPr>
            <w:tcW w:w="72" w:type="dxa"/>
            <w:tcBorders/>
            <w:shd w:fill="auto" w:val="clear"/>
            <w:vAlign w:val="bottom"/>
          </w:tcPr>
          <w:p>
            <w:pPr>
              <w:pStyle w:val="TableContents"/>
              <w:spacing w:lineRule="atLeast" w:line="180" w:before="0" w:after="283"/>
              <w:rPr/>
            </w:pPr>
            <w:r>
              <w:rPr/>
              <w:t>​</w:t>
            </w:r>
          </w:p>
        </w:tc>
        <w:tc>
          <w:tcPr>
            <w:tcW w:w="42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5,119</w:t>
            </w:r>
          </w:p>
        </w:tc>
        <w:tc>
          <w:tcPr>
            <w:tcW w:w="584" w:type="dxa"/>
            <w:tcBorders/>
            <w:shd w:fill="auto" w:val="clear"/>
            <w:vAlign w:val="bottom"/>
          </w:tcPr>
          <w:p>
            <w:pPr>
              <w:pStyle w:val="TableContents"/>
              <w:spacing w:lineRule="atLeast" w:line="180" w:before="0" w:after="283"/>
              <w:rPr>
                <w:rFonts w:ascii="arial" w:hAnsi="arial"/>
                <w:sz w:val="12"/>
              </w:rPr>
            </w:pPr>
            <w:r>
              <w:rPr>
                <w:rFonts w:ascii="arial" w:hAnsi="arial"/>
                <w:sz w:val="12"/>
              </w:rPr>
              <w:t>(13)</w:t>
            </w:r>
          </w:p>
        </w:tc>
        <w:tc>
          <w:tcPr>
            <w:tcW w:w="23" w:type="dxa"/>
            <w:tcBorders/>
            <w:shd w:fill="auto" w:val="clear"/>
            <w:vAlign w:val="bottom"/>
          </w:tcPr>
          <w:p>
            <w:pPr>
              <w:pStyle w:val="TableContents"/>
              <w:spacing w:lineRule="atLeast" w:line="180" w:before="0" w:after="283"/>
              <w:rPr/>
            </w:pPr>
            <w:r>
              <w:rPr/>
              <w:t>​</w:t>
            </w:r>
          </w:p>
        </w:tc>
        <w:tc>
          <w:tcPr>
            <w:tcW w:w="27" w:type="dxa"/>
            <w:tcBorders/>
            <w:shd w:fill="auto" w:val="clear"/>
            <w:vAlign w:val="bottom"/>
          </w:tcPr>
          <w:p>
            <w:pPr>
              <w:pStyle w:val="TableContents"/>
              <w:spacing w:lineRule="atLeast" w:line="180" w:before="0" w:after="283"/>
              <w:rPr/>
            </w:pPr>
            <w:r>
              <w:rPr/>
              <w:t>​</w:t>
            </w:r>
          </w:p>
        </w:tc>
        <w:tc>
          <w:tcPr>
            <w:tcW w:w="132" w:type="dxa"/>
            <w:tcBorders/>
            <w:shd w:fill="auto" w:val="clear"/>
            <w:vAlign w:val="bottom"/>
          </w:tcPr>
          <w:p>
            <w:pPr>
              <w:pStyle w:val="TableContents"/>
              <w:spacing w:lineRule="atLeast" w:line="180" w:before="0" w:after="283"/>
              <w:rPr>
                <w:rFonts w:ascii="arial" w:hAnsi="arial"/>
                <w:sz w:val="16"/>
              </w:rPr>
            </w:pPr>
            <w:r>
              <w:rPr>
                <w:rFonts w:ascii="arial" w:hAnsi="arial"/>
                <w:sz w:val="16"/>
              </w:rPr>
              <w:t>$</w:t>
            </w:r>
          </w:p>
        </w:tc>
        <w:tc>
          <w:tcPr>
            <w:tcW w:w="614" w:type="dxa"/>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65,933</w:t>
            </w:r>
          </w:p>
        </w:tc>
        <w:tc>
          <w:tcPr>
            <w:tcW w:w="28"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80"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650"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737"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 w:type="dxa"/>
            <w:tcBorders/>
            <w:shd w:fill="auto" w:val="clear"/>
            <w:vAlign w:val="bottom"/>
          </w:tcPr>
          <w:p>
            <w:pPr>
              <w:pStyle w:val="TableContents"/>
              <w:spacing w:lineRule="atLeast" w:line="180" w:before="0" w:after="283"/>
              <w:rPr/>
            </w:pPr>
            <w:r>
              <w:rPr/>
              <w:t>​</w:t>
            </w:r>
          </w:p>
        </w:tc>
        <w:tc>
          <w:tcPr>
            <w:tcW w:w="24" w:type="dxa"/>
            <w:tcBorders/>
            <w:shd w:fill="auto" w:val="clear"/>
            <w:vAlign w:val="bottom"/>
          </w:tcPr>
          <w:p>
            <w:pPr>
              <w:pStyle w:val="TableContents"/>
              <w:spacing w:lineRule="atLeast" w:line="180" w:before="0" w:after="283"/>
              <w:rPr/>
            </w:pPr>
            <w:r>
              <w:rPr/>
              <w:t>​</w:t>
            </w:r>
          </w:p>
        </w:tc>
      </w:tr>
      <w:tr>
        <w:trPr/>
        <w:tc>
          <w:tcPr>
            <w:tcW w:w="795" w:type="dxa"/>
            <w:tcBorders/>
            <w:shd w:fill="auto" w:val="clear"/>
            <w:vAlign w:val="bottom"/>
          </w:tcPr>
          <w:p>
            <w:pPr>
              <w:pStyle w:val="TableContents"/>
              <w:spacing w:lineRule="atLeast" w:line="180" w:before="0" w:after="283"/>
              <w:rPr/>
            </w:pPr>
            <w:r>
              <w:rPr/>
              <w:t> </w:t>
            </w:r>
          </w:p>
        </w:tc>
        <w:tc>
          <w:tcPr>
            <w:tcW w:w="23" w:type="dxa"/>
            <w:tcBorders/>
            <w:shd w:fill="auto" w:val="clear"/>
            <w:vAlign w:val="bottom"/>
          </w:tcPr>
          <w:p>
            <w:pPr>
              <w:pStyle w:val="TableContents"/>
              <w:spacing w:lineRule="atLeast" w:line="180" w:before="0" w:after="283"/>
              <w:rPr/>
            </w:pPr>
            <w:r>
              <w:rPr/>
              <w:t>​</w:t>
            </w:r>
          </w:p>
        </w:tc>
        <w:tc>
          <w:tcPr>
            <w:tcW w:w="248"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1"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39"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90"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25"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26" w:type="dxa"/>
            <w:tcBorders/>
            <w:shd w:fill="auto" w:val="clear"/>
            <w:vAlign w:val="bottom"/>
          </w:tcPr>
          <w:p>
            <w:pPr>
              <w:pStyle w:val="TableContents"/>
              <w:spacing w:lineRule="atLeast" w:line="180" w:before="0" w:after="283"/>
              <w:rPr/>
            </w:pPr>
            <w:r>
              <w:rPr/>
              <w:t>​</w:t>
            </w:r>
          </w:p>
        </w:tc>
        <w:tc>
          <w:tcPr>
            <w:tcW w:w="626"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9"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830"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3" w:type="dxa"/>
            <w:tcBorders/>
            <w:shd w:fill="auto" w:val="clear"/>
            <w:vAlign w:val="bottom"/>
          </w:tcPr>
          <w:p>
            <w:pPr>
              <w:pStyle w:val="TableContents"/>
              <w:spacing w:lineRule="atLeast" w:line="180" w:before="0" w:after="283"/>
              <w:rPr/>
            </w:pPr>
            <w:r>
              <w:rPr/>
              <w:t>​</w:t>
            </w:r>
          </w:p>
        </w:tc>
        <w:tc>
          <w:tcPr>
            <w:tcW w:w="72" w:type="dxa"/>
            <w:tcBorders/>
            <w:shd w:fill="auto" w:val="clear"/>
            <w:vAlign w:val="bottom"/>
          </w:tcPr>
          <w:p>
            <w:pPr>
              <w:pStyle w:val="TableContents"/>
              <w:spacing w:lineRule="atLeast" w:line="180" w:before="0" w:after="283"/>
              <w:rPr/>
            </w:pPr>
            <w:r>
              <w:rPr/>
              <w:t>​</w:t>
            </w:r>
          </w:p>
        </w:tc>
        <w:tc>
          <w:tcPr>
            <w:tcW w:w="42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3,000</w:t>
            </w:r>
          </w:p>
        </w:tc>
        <w:tc>
          <w:tcPr>
            <w:tcW w:w="584" w:type="dxa"/>
            <w:tcBorders/>
            <w:shd w:fill="auto" w:val="clear"/>
            <w:vAlign w:val="bottom"/>
          </w:tcPr>
          <w:p>
            <w:pPr>
              <w:pStyle w:val="TableContents"/>
              <w:spacing w:lineRule="atLeast" w:line="180" w:before="0" w:after="283"/>
              <w:rPr>
                <w:rFonts w:ascii="arial" w:hAnsi="arial"/>
                <w:sz w:val="12"/>
              </w:rPr>
            </w:pPr>
            <w:r>
              <w:rPr>
                <w:rFonts w:ascii="arial" w:hAnsi="arial"/>
                <w:sz w:val="12"/>
              </w:rPr>
              <w:t>(23)</w:t>
            </w:r>
          </w:p>
        </w:tc>
        <w:tc>
          <w:tcPr>
            <w:tcW w:w="23" w:type="dxa"/>
            <w:tcBorders/>
            <w:shd w:fill="auto" w:val="clear"/>
            <w:vAlign w:val="bottom"/>
          </w:tcPr>
          <w:p>
            <w:pPr>
              <w:pStyle w:val="TableContents"/>
              <w:spacing w:lineRule="atLeast" w:line="180" w:before="0" w:after="283"/>
              <w:rPr/>
            </w:pPr>
            <w:r>
              <w:rPr/>
              <w:t>​</w:t>
            </w:r>
          </w:p>
        </w:tc>
        <w:tc>
          <w:tcPr>
            <w:tcW w:w="27" w:type="dxa"/>
            <w:tcBorders/>
            <w:shd w:fill="auto" w:val="clear"/>
            <w:vAlign w:val="bottom"/>
          </w:tcPr>
          <w:p>
            <w:pPr>
              <w:pStyle w:val="TableContents"/>
              <w:spacing w:lineRule="atLeast" w:line="180" w:before="0" w:after="283"/>
              <w:rPr/>
            </w:pPr>
            <w:r>
              <w:rPr/>
              <w:t>​</w:t>
            </w:r>
          </w:p>
        </w:tc>
        <w:tc>
          <w:tcPr>
            <w:tcW w:w="132" w:type="dxa"/>
            <w:tcBorders/>
            <w:shd w:fill="auto" w:val="clear"/>
            <w:vAlign w:val="bottom"/>
          </w:tcPr>
          <w:p>
            <w:pPr>
              <w:pStyle w:val="TableContents"/>
              <w:spacing w:lineRule="atLeast" w:line="180" w:before="0" w:after="283"/>
              <w:rPr>
                <w:rFonts w:ascii="arial" w:hAnsi="arial"/>
                <w:sz w:val="16"/>
              </w:rPr>
            </w:pPr>
            <w:r>
              <w:rPr>
                <w:rFonts w:ascii="arial" w:hAnsi="arial"/>
                <w:sz w:val="16"/>
              </w:rPr>
              <w:t>$</w:t>
            </w:r>
          </w:p>
        </w:tc>
        <w:tc>
          <w:tcPr>
            <w:tcW w:w="614" w:type="dxa"/>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38,640</w:t>
            </w:r>
          </w:p>
        </w:tc>
        <w:tc>
          <w:tcPr>
            <w:tcW w:w="28"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80"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650"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737"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 w:type="dxa"/>
            <w:tcBorders/>
            <w:shd w:fill="auto" w:val="clear"/>
            <w:vAlign w:val="bottom"/>
          </w:tcPr>
          <w:p>
            <w:pPr>
              <w:pStyle w:val="TableContents"/>
              <w:spacing w:lineRule="atLeast" w:line="180" w:before="0" w:after="283"/>
              <w:rPr/>
            </w:pPr>
            <w:r>
              <w:rPr/>
              <w:t>​</w:t>
            </w:r>
          </w:p>
        </w:tc>
        <w:tc>
          <w:tcPr>
            <w:tcW w:w="24" w:type="dxa"/>
            <w:tcBorders/>
            <w:shd w:fill="auto" w:val="clear"/>
            <w:vAlign w:val="bottom"/>
          </w:tcPr>
          <w:p>
            <w:pPr>
              <w:pStyle w:val="TableContents"/>
              <w:spacing w:lineRule="atLeast" w:line="180" w:before="0" w:after="283"/>
              <w:rPr/>
            </w:pPr>
            <w:r>
              <w:rPr/>
              <w:t>​</w:t>
            </w:r>
          </w:p>
        </w:tc>
      </w:tr>
      <w:tr>
        <w:trPr/>
        <w:tc>
          <w:tcPr>
            <w:tcW w:w="795" w:type="dxa"/>
            <w:tcBorders/>
            <w:shd w:fill="auto" w:val="clear"/>
            <w:vAlign w:val="bottom"/>
          </w:tcPr>
          <w:p>
            <w:pPr>
              <w:pStyle w:val="TableContents"/>
              <w:spacing w:lineRule="atLeast" w:line="180" w:before="0" w:after="283"/>
              <w:rPr/>
            </w:pPr>
            <w:r>
              <w:rPr/>
              <w:t> </w:t>
            </w:r>
          </w:p>
        </w:tc>
        <w:tc>
          <w:tcPr>
            <w:tcW w:w="23" w:type="dxa"/>
            <w:tcBorders/>
            <w:shd w:fill="auto" w:val="clear"/>
            <w:vAlign w:val="bottom"/>
          </w:tcPr>
          <w:p>
            <w:pPr>
              <w:pStyle w:val="TableContents"/>
              <w:spacing w:lineRule="atLeast" w:line="180" w:before="0" w:after="283"/>
              <w:rPr/>
            </w:pPr>
            <w:r>
              <w:rPr/>
              <w:t>​</w:t>
            </w:r>
          </w:p>
        </w:tc>
        <w:tc>
          <w:tcPr>
            <w:tcW w:w="248"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1"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39"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90"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25"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26" w:type="dxa"/>
            <w:tcBorders/>
            <w:shd w:fill="auto" w:val="clear"/>
            <w:vAlign w:val="bottom"/>
          </w:tcPr>
          <w:p>
            <w:pPr>
              <w:pStyle w:val="TableContents"/>
              <w:spacing w:lineRule="atLeast" w:line="180" w:before="0" w:after="283"/>
              <w:rPr/>
            </w:pPr>
            <w:r>
              <w:rPr/>
              <w:t>​</w:t>
            </w:r>
          </w:p>
        </w:tc>
        <w:tc>
          <w:tcPr>
            <w:tcW w:w="626"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9"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830"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3" w:type="dxa"/>
            <w:tcBorders/>
            <w:shd w:fill="auto" w:val="clear"/>
            <w:vAlign w:val="bottom"/>
          </w:tcPr>
          <w:p>
            <w:pPr>
              <w:pStyle w:val="TableContents"/>
              <w:spacing w:lineRule="atLeast" w:line="180" w:before="0" w:after="283"/>
              <w:rPr/>
            </w:pPr>
            <w:r>
              <w:rPr/>
              <w:t>​</w:t>
            </w:r>
          </w:p>
        </w:tc>
        <w:tc>
          <w:tcPr>
            <w:tcW w:w="72" w:type="dxa"/>
            <w:tcBorders/>
            <w:shd w:fill="auto" w:val="clear"/>
            <w:vAlign w:val="bottom"/>
          </w:tcPr>
          <w:p>
            <w:pPr>
              <w:pStyle w:val="TableContents"/>
              <w:spacing w:lineRule="atLeast" w:line="180" w:before="0" w:after="283"/>
              <w:rPr/>
            </w:pPr>
            <w:r>
              <w:rPr/>
              <w:t>​</w:t>
            </w:r>
          </w:p>
        </w:tc>
        <w:tc>
          <w:tcPr>
            <w:tcW w:w="42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584"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27" w:type="dxa"/>
            <w:tcBorders/>
            <w:shd w:fill="auto" w:val="clear"/>
            <w:vAlign w:val="bottom"/>
          </w:tcPr>
          <w:p>
            <w:pPr>
              <w:pStyle w:val="TableContents"/>
              <w:spacing w:lineRule="atLeast" w:line="180" w:before="0" w:after="283"/>
              <w:rPr/>
            </w:pPr>
            <w:r>
              <w:rPr/>
              <w:t>​</w:t>
            </w:r>
          </w:p>
        </w:tc>
        <w:tc>
          <w:tcPr>
            <w:tcW w:w="746"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8"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80"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25,000</w:t>
            </w:r>
          </w:p>
        </w:tc>
        <w:tc>
          <w:tcPr>
            <w:tcW w:w="650" w:type="dxa"/>
            <w:tcBorders/>
            <w:shd w:fill="auto" w:val="clear"/>
            <w:vAlign w:val="bottom"/>
          </w:tcPr>
          <w:p>
            <w:pPr>
              <w:pStyle w:val="TableContents"/>
              <w:spacing w:lineRule="atLeast" w:line="180" w:before="0" w:after="283"/>
              <w:rPr>
                <w:rFonts w:ascii="arial" w:hAnsi="arial"/>
                <w:sz w:val="12"/>
              </w:rPr>
            </w:pPr>
            <w:r>
              <w:rPr>
                <w:rFonts w:ascii="arial" w:hAnsi="arial"/>
                <w:sz w:val="12"/>
              </w:rPr>
              <w:t>(16)</w:t>
            </w:r>
          </w:p>
        </w:tc>
        <w:tc>
          <w:tcPr>
            <w:tcW w:w="23"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13" w:type="dxa"/>
            <w:tcBorders/>
            <w:shd w:fill="auto" w:val="clear"/>
            <w:vAlign w:val="bottom"/>
          </w:tcPr>
          <w:p>
            <w:pPr>
              <w:pStyle w:val="TableContents"/>
              <w:spacing w:lineRule="atLeast" w:line="180" w:before="0" w:after="283"/>
              <w:rPr>
                <w:rFonts w:ascii="arial" w:hAnsi="arial"/>
                <w:sz w:val="16"/>
              </w:rPr>
            </w:pPr>
            <w:r>
              <w:rPr>
                <w:rFonts w:ascii="arial" w:hAnsi="arial"/>
                <w:sz w:val="16"/>
              </w:rPr>
              <w:t>$</w:t>
            </w:r>
          </w:p>
        </w:tc>
        <w:tc>
          <w:tcPr>
            <w:tcW w:w="624" w:type="dxa"/>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322,000</w:t>
            </w:r>
          </w:p>
        </w:tc>
        <w:tc>
          <w:tcPr>
            <w:tcW w:w="25" w:type="dxa"/>
            <w:tcBorders/>
            <w:shd w:fill="auto" w:val="clear"/>
            <w:vAlign w:val="bottom"/>
          </w:tcPr>
          <w:p>
            <w:pPr>
              <w:pStyle w:val="TableContents"/>
              <w:spacing w:lineRule="atLeast" w:line="180" w:before="0" w:after="283"/>
              <w:rPr/>
            </w:pPr>
            <w:r>
              <w:rPr/>
              <w:t>​</w:t>
            </w:r>
          </w:p>
        </w:tc>
        <w:tc>
          <w:tcPr>
            <w:tcW w:w="24" w:type="dxa"/>
            <w:tcBorders/>
            <w:shd w:fill="auto" w:val="clear"/>
            <w:vAlign w:val="bottom"/>
          </w:tcPr>
          <w:p>
            <w:pPr>
              <w:pStyle w:val="TableContents"/>
              <w:spacing w:lineRule="atLeast" w:line="180" w:before="0" w:after="283"/>
              <w:rPr/>
            </w:pPr>
            <w:r>
              <w:rPr/>
              <w:t>​</w:t>
            </w:r>
          </w:p>
        </w:tc>
      </w:tr>
      <w:tr>
        <w:trPr/>
        <w:tc>
          <w:tcPr>
            <w:tcW w:w="795" w:type="dxa"/>
            <w:tcBorders/>
            <w:shd w:fill="auto" w:val="clear"/>
            <w:vAlign w:val="bottom"/>
          </w:tcPr>
          <w:p>
            <w:pPr>
              <w:pStyle w:val="TableContents"/>
              <w:spacing w:lineRule="atLeast" w:line="180" w:before="0" w:after="283"/>
              <w:rPr/>
            </w:pPr>
            <w:r>
              <w:rPr/>
              <w:t> </w:t>
            </w:r>
          </w:p>
        </w:tc>
        <w:tc>
          <w:tcPr>
            <w:tcW w:w="23" w:type="dxa"/>
            <w:tcBorders/>
            <w:shd w:fill="auto" w:val="clear"/>
            <w:vAlign w:val="bottom"/>
          </w:tcPr>
          <w:p>
            <w:pPr>
              <w:pStyle w:val="TableContents"/>
              <w:spacing w:lineRule="atLeast" w:line="180" w:before="0" w:after="283"/>
              <w:rPr/>
            </w:pPr>
            <w:r>
              <w:rPr/>
              <w:t>​</w:t>
            </w:r>
          </w:p>
        </w:tc>
        <w:tc>
          <w:tcPr>
            <w:tcW w:w="248"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1"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139"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90"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25"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26" w:type="dxa"/>
            <w:tcBorders/>
            <w:shd w:fill="auto" w:val="clear"/>
            <w:vAlign w:val="bottom"/>
          </w:tcPr>
          <w:p>
            <w:pPr>
              <w:pStyle w:val="TableContents"/>
              <w:spacing w:lineRule="atLeast" w:line="180" w:before="0" w:after="283"/>
              <w:rPr/>
            </w:pPr>
            <w:r>
              <w:rPr/>
              <w:t>​</w:t>
            </w:r>
          </w:p>
        </w:tc>
        <w:tc>
          <w:tcPr>
            <w:tcW w:w="626"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9"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830"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3" w:type="dxa"/>
            <w:tcBorders/>
            <w:shd w:fill="auto" w:val="clear"/>
            <w:vAlign w:val="bottom"/>
          </w:tcPr>
          <w:p>
            <w:pPr>
              <w:pStyle w:val="TableContents"/>
              <w:spacing w:lineRule="atLeast" w:line="180" w:before="0" w:after="283"/>
              <w:rPr/>
            </w:pPr>
            <w:r>
              <w:rPr/>
              <w:t>​</w:t>
            </w:r>
          </w:p>
        </w:tc>
        <w:tc>
          <w:tcPr>
            <w:tcW w:w="72" w:type="dxa"/>
            <w:tcBorders/>
            <w:shd w:fill="auto" w:val="clear"/>
            <w:vAlign w:val="bottom"/>
          </w:tcPr>
          <w:p>
            <w:pPr>
              <w:pStyle w:val="TableContents"/>
              <w:spacing w:lineRule="atLeast" w:line="180" w:before="0" w:after="283"/>
              <w:rPr/>
            </w:pPr>
            <w:r>
              <w:rPr/>
              <w:t>​</w:t>
            </w:r>
          </w:p>
        </w:tc>
        <w:tc>
          <w:tcPr>
            <w:tcW w:w="42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6,250</w:t>
            </w:r>
          </w:p>
        </w:tc>
        <w:tc>
          <w:tcPr>
            <w:tcW w:w="584" w:type="dxa"/>
            <w:tcBorders/>
            <w:shd w:fill="auto" w:val="clear"/>
            <w:vAlign w:val="bottom"/>
          </w:tcPr>
          <w:p>
            <w:pPr>
              <w:pStyle w:val="TableContents"/>
              <w:spacing w:lineRule="atLeast" w:line="180" w:before="0" w:after="283"/>
              <w:rPr>
                <w:rFonts w:ascii="arial" w:hAnsi="arial"/>
                <w:sz w:val="12"/>
              </w:rPr>
            </w:pPr>
            <w:r>
              <w:rPr>
                <w:rFonts w:ascii="arial" w:hAnsi="arial"/>
                <w:sz w:val="12"/>
              </w:rPr>
              <w:t>(17)</w:t>
            </w:r>
          </w:p>
        </w:tc>
        <w:tc>
          <w:tcPr>
            <w:tcW w:w="23" w:type="dxa"/>
            <w:tcBorders/>
            <w:shd w:fill="auto" w:val="clear"/>
            <w:vAlign w:val="bottom"/>
          </w:tcPr>
          <w:p>
            <w:pPr>
              <w:pStyle w:val="TableContents"/>
              <w:spacing w:lineRule="atLeast" w:line="180" w:before="0" w:after="283"/>
              <w:rPr/>
            </w:pPr>
            <w:r>
              <w:rPr/>
              <w:t>​</w:t>
            </w:r>
          </w:p>
        </w:tc>
        <w:tc>
          <w:tcPr>
            <w:tcW w:w="27" w:type="dxa"/>
            <w:tcBorders/>
            <w:shd w:fill="auto" w:val="clear"/>
            <w:vAlign w:val="bottom"/>
          </w:tcPr>
          <w:p>
            <w:pPr>
              <w:pStyle w:val="TableContents"/>
              <w:spacing w:lineRule="atLeast" w:line="180" w:before="0" w:after="283"/>
              <w:rPr/>
            </w:pPr>
            <w:r>
              <w:rPr/>
              <w:t>​</w:t>
            </w:r>
          </w:p>
        </w:tc>
        <w:tc>
          <w:tcPr>
            <w:tcW w:w="132" w:type="dxa"/>
            <w:tcBorders/>
            <w:shd w:fill="auto" w:val="clear"/>
            <w:vAlign w:val="bottom"/>
          </w:tcPr>
          <w:p>
            <w:pPr>
              <w:pStyle w:val="TableContents"/>
              <w:spacing w:lineRule="atLeast" w:line="180" w:before="0" w:after="283"/>
              <w:rPr>
                <w:rFonts w:ascii="arial" w:hAnsi="arial"/>
                <w:sz w:val="16"/>
              </w:rPr>
            </w:pPr>
            <w:r>
              <w:rPr>
                <w:rFonts w:ascii="arial" w:hAnsi="arial"/>
                <w:sz w:val="16"/>
              </w:rPr>
              <w:t>$</w:t>
            </w:r>
          </w:p>
        </w:tc>
        <w:tc>
          <w:tcPr>
            <w:tcW w:w="614" w:type="dxa"/>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80,500</w:t>
            </w:r>
          </w:p>
        </w:tc>
        <w:tc>
          <w:tcPr>
            <w:tcW w:w="28"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80" w:type="dxa"/>
            <w:tcBorders/>
            <w:shd w:fill="auto" w:val="clear"/>
            <w:vAlign w:val="bottom"/>
          </w:tcPr>
          <w:p>
            <w:pPr>
              <w:pStyle w:val="TableContents"/>
              <w:spacing w:lineRule="atLeast" w:line="180" w:before="0" w:after="283"/>
              <w:rPr/>
            </w:pPr>
            <w:r>
              <w:rPr/>
              <w:t>​</w:t>
            </w:r>
          </w:p>
        </w:tc>
        <w:tc>
          <w:tcPr>
            <w:tcW w:w="515"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650"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23" w:type="dxa"/>
            <w:tcBorders/>
            <w:shd w:fill="auto" w:val="clear"/>
            <w:vAlign w:val="bottom"/>
          </w:tcPr>
          <w:p>
            <w:pPr>
              <w:pStyle w:val="TableContents"/>
              <w:spacing w:lineRule="atLeast" w:line="180" w:before="0" w:after="283"/>
              <w:rPr/>
            </w:pPr>
            <w:r>
              <w:rPr/>
              <w:t>​</w:t>
            </w:r>
          </w:p>
        </w:tc>
        <w:tc>
          <w:tcPr>
            <w:tcW w:w="737" w:type="dxa"/>
            <w:gridSpan w:val="2"/>
            <w:tcBorders/>
            <w:shd w:fill="auto"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 w:type="dxa"/>
            <w:tcBorders/>
            <w:shd w:fill="auto" w:val="clear"/>
            <w:vAlign w:val="bottom"/>
          </w:tcPr>
          <w:p>
            <w:pPr>
              <w:pStyle w:val="TableContents"/>
              <w:spacing w:lineRule="atLeast" w:line="180" w:before="0" w:after="283"/>
              <w:rPr/>
            </w:pPr>
            <w:r>
              <w:rPr/>
              <w:t>​</w:t>
            </w:r>
          </w:p>
        </w:tc>
        <w:tc>
          <w:tcPr>
            <w:tcW w:w="24" w:type="dxa"/>
            <w:tcBorders/>
            <w:shd w:fill="auto" w:val="clear"/>
            <w:vAlign w:val="bottom"/>
          </w:tcPr>
          <w:p>
            <w:pPr>
              <w:pStyle w:val="TableContents"/>
              <w:spacing w:lineRule="atLeast" w:line="180" w:before="0" w:after="283"/>
              <w:rPr/>
            </w:pPr>
            <w:r>
              <w:rPr/>
              <w:t>​</w:t>
            </w:r>
          </w:p>
        </w:tc>
      </w:tr>
      <w:tr>
        <w:trPr/>
        <w:tc>
          <w:tcPr>
            <w:tcW w:w="795" w:type="dxa"/>
            <w:tcBorders/>
            <w:shd w:fill="CCEEFF" w:val="clear"/>
            <w:vAlign w:val="bottom"/>
          </w:tcPr>
          <w:p>
            <w:pPr>
              <w:pStyle w:val="TableContents"/>
              <w:spacing w:lineRule="atLeast" w:line="180" w:before="0" w:after="283"/>
              <w:rPr>
                <w:rFonts w:ascii="arial" w:hAnsi="arial"/>
              </w:rPr>
            </w:pPr>
            <w:r>
              <w:rPr>
                <w:rFonts w:ascii="arial" w:hAnsi="arial"/>
              </w:rPr>
              <w:br/>
            </w:r>
            <w:r>
              <w:rPr>
                <w:rFonts w:ascii="arial" w:hAnsi="arial"/>
                <w:sz w:val="16"/>
              </w:rPr>
              <w:t>Gregory J. Ritts</w:t>
            </w:r>
          </w:p>
        </w:tc>
        <w:tc>
          <w:tcPr>
            <w:tcW w:w="23" w:type="dxa"/>
            <w:tcBorders/>
            <w:shd w:fill="CCEEFF" w:val="clear"/>
            <w:vAlign w:val="bottom"/>
          </w:tcPr>
          <w:p>
            <w:pPr>
              <w:pStyle w:val="TableContents"/>
              <w:spacing w:lineRule="atLeast" w:line="180" w:before="0" w:after="283"/>
              <w:rPr>
                <w:rFonts w:ascii="arial" w:hAnsi="arial"/>
                <w:sz w:val="16"/>
              </w:rPr>
            </w:pPr>
            <w:r>
              <w:rPr>
                <w:rFonts w:ascii="arial" w:hAnsi="arial"/>
                <w:sz w:val="16"/>
              </w:rPr>
              <w:br/>
              <w:t>​</w:t>
            </w:r>
          </w:p>
        </w:tc>
        <w:tc>
          <w:tcPr>
            <w:tcW w:w="248" w:type="dxa"/>
            <w:tcBorders/>
            <w:shd w:fill="CCEEFF" w:val="clear"/>
            <w:vAlign w:val="bottom"/>
          </w:tcPr>
          <w:p>
            <w:pPr>
              <w:pStyle w:val="TableContents"/>
              <w:spacing w:lineRule="atLeast" w:line="180" w:before="0" w:after="283"/>
              <w:rPr>
                <w:rFonts w:ascii="arial" w:hAnsi="arial"/>
                <w:sz w:val="16"/>
              </w:rPr>
            </w:pPr>
            <w:r>
              <w:rPr>
                <w:rFonts w:ascii="arial" w:hAnsi="arial"/>
                <w:sz w:val="16"/>
              </w:rPr>
              <w:br/>
              <w:t>​</w:t>
            </w:r>
          </w:p>
        </w:tc>
        <w:tc>
          <w:tcPr>
            <w:tcW w:w="515" w:type="dxa"/>
            <w:gridSpan w:val="2"/>
            <w:tcBorders/>
            <w:shd w:fill="CCEEFF" w:val="clear"/>
            <w:vAlign w:val="bottom"/>
          </w:tcPr>
          <w:p>
            <w:pPr>
              <w:pStyle w:val="TableContents"/>
              <w:spacing w:lineRule="atLeast" w:line="180" w:before="0" w:after="283"/>
              <w:jc w:val="right"/>
              <w:rPr>
                <w:rFonts w:ascii="arial" w:hAnsi="arial"/>
              </w:rPr>
            </w:pPr>
            <w:r>
              <w:rPr>
                <w:rFonts w:ascii="arial" w:hAnsi="arial"/>
              </w:rPr>
              <w:br/>
            </w:r>
            <w:r>
              <w:rPr>
                <w:rFonts w:ascii="arial" w:hAnsi="arial"/>
                <w:sz w:val="16"/>
              </w:rPr>
              <w:t>-</w:t>
            </w:r>
          </w:p>
        </w:tc>
        <w:tc>
          <w:tcPr>
            <w:tcW w:w="251" w:type="dxa"/>
            <w:tcBorders/>
            <w:shd w:fill="CCEEFF" w:val="clear"/>
            <w:vAlign w:val="bottom"/>
          </w:tcPr>
          <w:p>
            <w:pPr>
              <w:pStyle w:val="TableContents"/>
              <w:spacing w:lineRule="atLeast" w:line="180" w:before="0" w:after="283"/>
              <w:rPr>
                <w:rFonts w:ascii="arial" w:hAnsi="arial"/>
                <w:sz w:val="16"/>
              </w:rPr>
            </w:pPr>
            <w:r>
              <w:rPr>
                <w:rFonts w:ascii="arial" w:hAnsi="arial"/>
                <w:sz w:val="16"/>
              </w:rPr>
              <w:br/>
              <w:t>​</w:t>
            </w:r>
          </w:p>
        </w:tc>
        <w:tc>
          <w:tcPr>
            <w:tcW w:w="23" w:type="dxa"/>
            <w:tcBorders/>
            <w:shd w:fill="CCEEFF" w:val="clear"/>
            <w:vAlign w:val="bottom"/>
          </w:tcPr>
          <w:p>
            <w:pPr>
              <w:pStyle w:val="TableContents"/>
              <w:spacing w:lineRule="atLeast" w:line="180" w:before="0" w:after="283"/>
              <w:rPr>
                <w:rFonts w:ascii="arial" w:hAnsi="arial"/>
                <w:sz w:val="16"/>
              </w:rPr>
            </w:pPr>
            <w:r>
              <w:rPr>
                <w:rFonts w:ascii="arial" w:hAnsi="arial"/>
                <w:sz w:val="16"/>
              </w:rPr>
              <w:br/>
              <w:t>​</w:t>
            </w:r>
          </w:p>
        </w:tc>
        <w:tc>
          <w:tcPr>
            <w:tcW w:w="139" w:type="dxa"/>
            <w:tcBorders/>
            <w:shd w:fill="CCEEFF" w:val="clear"/>
            <w:vAlign w:val="bottom"/>
          </w:tcPr>
          <w:p>
            <w:pPr>
              <w:pStyle w:val="TableContents"/>
              <w:spacing w:lineRule="atLeast" w:line="180" w:before="0" w:after="283"/>
              <w:rPr>
                <w:rFonts w:ascii="arial" w:hAnsi="arial"/>
                <w:sz w:val="16"/>
              </w:rPr>
            </w:pPr>
            <w:r>
              <w:rPr>
                <w:rFonts w:ascii="arial" w:hAnsi="arial"/>
                <w:sz w:val="16"/>
              </w:rPr>
              <w:br/>
              <w:t>​</w:t>
            </w:r>
          </w:p>
        </w:tc>
        <w:tc>
          <w:tcPr>
            <w:tcW w:w="515" w:type="dxa"/>
            <w:gridSpan w:val="2"/>
            <w:tcBorders/>
            <w:shd w:fill="CCEEFF" w:val="clear"/>
            <w:vAlign w:val="bottom"/>
          </w:tcPr>
          <w:p>
            <w:pPr>
              <w:pStyle w:val="TableContents"/>
              <w:spacing w:lineRule="atLeast" w:line="180" w:before="0" w:after="283"/>
              <w:jc w:val="right"/>
              <w:rPr>
                <w:rFonts w:ascii="arial" w:hAnsi="arial"/>
              </w:rPr>
            </w:pPr>
            <w:r>
              <w:rPr>
                <w:rFonts w:ascii="arial" w:hAnsi="arial"/>
              </w:rPr>
              <w:br/>
            </w:r>
            <w:r>
              <w:rPr>
                <w:rFonts w:ascii="arial" w:hAnsi="arial"/>
                <w:sz w:val="16"/>
              </w:rPr>
              <w:t>-</w:t>
            </w:r>
          </w:p>
        </w:tc>
        <w:tc>
          <w:tcPr>
            <w:tcW w:w="758" w:type="dxa"/>
            <w:tcBorders/>
            <w:shd w:fill="CCEEFF" w:val="clear"/>
            <w:vAlign w:val="bottom"/>
          </w:tcPr>
          <w:p>
            <w:pPr>
              <w:pStyle w:val="TableContents"/>
              <w:spacing w:lineRule="atLeast" w:line="180" w:before="0" w:after="283"/>
              <w:rPr>
                <w:rFonts w:ascii="arial" w:hAnsi="arial"/>
                <w:sz w:val="16"/>
              </w:rPr>
            </w:pPr>
            <w:r>
              <w:rPr>
                <w:rFonts w:ascii="arial" w:hAnsi="arial"/>
                <w:sz w:val="16"/>
              </w:rPr>
              <w:br/>
              <w:t>​</w:t>
            </w:r>
          </w:p>
        </w:tc>
        <w:tc>
          <w:tcPr>
            <w:tcW w:w="23" w:type="dxa"/>
            <w:tcBorders/>
            <w:shd w:fill="CCEEFF" w:val="clear"/>
            <w:vAlign w:val="bottom"/>
          </w:tcPr>
          <w:p>
            <w:pPr>
              <w:pStyle w:val="TableContents"/>
              <w:spacing w:lineRule="atLeast" w:line="180" w:before="0" w:after="283"/>
              <w:rPr>
                <w:rFonts w:ascii="arial" w:hAnsi="arial"/>
                <w:sz w:val="16"/>
              </w:rPr>
            </w:pPr>
            <w:r>
              <w:rPr>
                <w:rFonts w:ascii="arial" w:hAnsi="arial"/>
                <w:sz w:val="16"/>
              </w:rPr>
              <w:br/>
              <w:t>​</w:t>
            </w:r>
          </w:p>
        </w:tc>
        <w:tc>
          <w:tcPr>
            <w:tcW w:w="90" w:type="dxa"/>
            <w:tcBorders/>
            <w:shd w:fill="CCEEFF" w:val="clear"/>
            <w:vAlign w:val="bottom"/>
          </w:tcPr>
          <w:p>
            <w:pPr>
              <w:pStyle w:val="TableContents"/>
              <w:spacing w:lineRule="atLeast" w:line="180" w:before="0" w:after="283"/>
              <w:rPr>
                <w:rFonts w:ascii="arial" w:hAnsi="arial"/>
                <w:sz w:val="16"/>
              </w:rPr>
            </w:pPr>
            <w:r>
              <w:rPr>
                <w:rFonts w:ascii="arial" w:hAnsi="arial"/>
                <w:sz w:val="16"/>
              </w:rPr>
              <w:br/>
              <w:t>​</w:t>
            </w:r>
          </w:p>
        </w:tc>
        <w:tc>
          <w:tcPr>
            <w:tcW w:w="515" w:type="dxa"/>
            <w:gridSpan w:val="2"/>
            <w:tcBorders/>
            <w:shd w:fill="CCEEFF" w:val="clear"/>
            <w:vAlign w:val="bottom"/>
          </w:tcPr>
          <w:p>
            <w:pPr>
              <w:pStyle w:val="TableContents"/>
              <w:spacing w:lineRule="atLeast" w:line="180" w:before="0" w:after="283"/>
              <w:jc w:val="right"/>
              <w:rPr>
                <w:rFonts w:ascii="arial" w:hAnsi="arial"/>
              </w:rPr>
            </w:pPr>
            <w:r>
              <w:rPr>
                <w:rFonts w:ascii="arial" w:hAnsi="arial"/>
              </w:rPr>
              <w:br/>
            </w:r>
            <w:r>
              <w:rPr>
                <w:rFonts w:ascii="arial" w:hAnsi="arial"/>
                <w:sz w:val="16"/>
              </w:rPr>
              <w:t>7,500</w:t>
            </w:r>
          </w:p>
        </w:tc>
        <w:tc>
          <w:tcPr>
            <w:tcW w:w="725" w:type="dxa"/>
            <w:tcBorders/>
            <w:shd w:fill="CCEEFF" w:val="clear"/>
            <w:vAlign w:val="bottom"/>
          </w:tcPr>
          <w:p>
            <w:pPr>
              <w:pStyle w:val="TableContents"/>
              <w:spacing w:lineRule="atLeast" w:line="180" w:before="0" w:after="283"/>
              <w:rPr>
                <w:rFonts w:ascii="arial" w:hAnsi="arial"/>
                <w:sz w:val="16"/>
              </w:rPr>
            </w:pPr>
            <w:r>
              <w:rPr>
                <w:rFonts w:ascii="arial" w:hAnsi="arial"/>
                <w:sz w:val="16"/>
              </w:rPr>
              <w:br/>
            </w:r>
            <w:r>
              <w:rPr>
                <w:rFonts w:ascii="arial" w:hAnsi="arial"/>
                <w:sz w:val="12"/>
              </w:rPr>
              <w:t>(27)</w:t>
            </w:r>
          </w:p>
        </w:tc>
        <w:tc>
          <w:tcPr>
            <w:tcW w:w="23" w:type="dxa"/>
            <w:tcBorders/>
            <w:shd w:fill="CCEEFF" w:val="clear"/>
            <w:vAlign w:val="bottom"/>
          </w:tcPr>
          <w:p>
            <w:pPr>
              <w:pStyle w:val="TableContents"/>
              <w:spacing w:lineRule="atLeast" w:line="180" w:before="0" w:after="283"/>
              <w:rPr>
                <w:rFonts w:ascii="arial" w:hAnsi="arial"/>
                <w:sz w:val="16"/>
              </w:rPr>
            </w:pPr>
            <w:r>
              <w:rPr>
                <w:rFonts w:ascii="arial" w:hAnsi="arial"/>
                <w:sz w:val="16"/>
              </w:rPr>
              <w:br/>
              <w:t>​</w:t>
            </w:r>
          </w:p>
        </w:tc>
        <w:tc>
          <w:tcPr>
            <w:tcW w:w="26" w:type="dxa"/>
            <w:tcBorders/>
            <w:shd w:fill="CCEEFF" w:val="clear"/>
            <w:vAlign w:val="bottom"/>
          </w:tcPr>
          <w:p>
            <w:pPr>
              <w:pStyle w:val="TableContents"/>
              <w:spacing w:lineRule="atLeast" w:line="180" w:before="0" w:after="283"/>
              <w:rPr>
                <w:rFonts w:ascii="arial" w:hAnsi="arial"/>
              </w:rPr>
            </w:pPr>
            <w:r>
              <w:rPr>
                <w:rFonts w:ascii="arial" w:hAnsi="arial"/>
                <w:sz w:val="16"/>
              </w:rPr>
              <w:br/>
            </w:r>
            <w:r>
              <w:rPr>
                <w:rFonts w:ascii="arial" w:hAnsi="arial"/>
              </w:rPr>
              <w:t>​</w:t>
            </w:r>
          </w:p>
        </w:tc>
        <w:tc>
          <w:tcPr>
            <w:tcW w:w="128" w:type="dxa"/>
            <w:tcBorders/>
            <w:shd w:fill="CCEEFF" w:val="clear"/>
            <w:vAlign w:val="bottom"/>
          </w:tcPr>
          <w:p>
            <w:pPr>
              <w:pStyle w:val="TableContents"/>
              <w:spacing w:lineRule="atLeast" w:line="180" w:before="0" w:after="283"/>
              <w:rPr>
                <w:rFonts w:ascii="arial" w:hAnsi="arial"/>
                <w:sz w:val="16"/>
              </w:rPr>
            </w:pPr>
            <w:r>
              <w:rPr>
                <w:rFonts w:ascii="arial" w:hAnsi="arial"/>
                <w:sz w:val="16"/>
              </w:rPr>
              <w:br/>
              <w:t>$</w:t>
            </w:r>
          </w:p>
        </w:tc>
        <w:tc>
          <w:tcPr>
            <w:tcW w:w="498" w:type="dxa"/>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br/>
              <w:t>96.87</w:t>
            </w:r>
          </w:p>
        </w:tc>
        <w:tc>
          <w:tcPr>
            <w:tcW w:w="29" w:type="dxa"/>
            <w:tcBorders/>
            <w:shd w:fill="CCEEFF" w:val="clear"/>
            <w:vAlign w:val="bottom"/>
          </w:tcPr>
          <w:p>
            <w:pPr>
              <w:pStyle w:val="TableContents"/>
              <w:spacing w:lineRule="atLeast" w:line="180" w:before="0" w:after="283"/>
              <w:rPr>
                <w:rFonts w:ascii="arial" w:hAnsi="arial"/>
                <w:sz w:val="16"/>
              </w:rPr>
            </w:pPr>
            <w:r>
              <w:rPr>
                <w:rFonts w:ascii="arial" w:hAnsi="arial"/>
                <w:sz w:val="16"/>
              </w:rPr>
              <w:br/>
              <w:t>​</w:t>
            </w:r>
          </w:p>
        </w:tc>
        <w:tc>
          <w:tcPr>
            <w:tcW w:w="23" w:type="dxa"/>
            <w:tcBorders/>
            <w:shd w:fill="CCEEFF" w:val="clear"/>
            <w:vAlign w:val="bottom"/>
          </w:tcPr>
          <w:p>
            <w:pPr>
              <w:pStyle w:val="TableContents"/>
              <w:spacing w:lineRule="atLeast" w:line="180" w:before="0" w:after="283"/>
              <w:rPr>
                <w:rFonts w:ascii="arial" w:hAnsi="arial"/>
                <w:sz w:val="16"/>
              </w:rPr>
            </w:pPr>
            <w:r>
              <w:rPr>
                <w:rFonts w:ascii="arial" w:hAnsi="arial"/>
                <w:sz w:val="16"/>
              </w:rPr>
              <w:br/>
              <w:t>​</w:t>
            </w:r>
          </w:p>
        </w:tc>
        <w:tc>
          <w:tcPr>
            <w:tcW w:w="830" w:type="dxa"/>
            <w:gridSpan w:val="2"/>
            <w:tcBorders/>
            <w:shd w:fill="CCEEFF" w:val="clear"/>
            <w:vAlign w:val="bottom"/>
          </w:tcPr>
          <w:p>
            <w:pPr>
              <w:pStyle w:val="TableContents"/>
              <w:spacing w:lineRule="atLeast" w:line="180" w:before="0" w:after="283"/>
              <w:jc w:val="right"/>
              <w:rPr>
                <w:rFonts w:ascii="arial" w:hAnsi="arial"/>
              </w:rPr>
            </w:pPr>
            <w:r>
              <w:rPr>
                <w:rFonts w:ascii="arial" w:hAnsi="arial"/>
              </w:rPr>
              <w:br/>
            </w:r>
            <w:r>
              <w:rPr>
                <w:rFonts w:ascii="arial" w:hAnsi="arial"/>
                <w:sz w:val="16"/>
              </w:rPr>
              <w:t>10/1/2024</w:t>
            </w:r>
          </w:p>
        </w:tc>
        <w:tc>
          <w:tcPr>
            <w:tcW w:w="23" w:type="dxa"/>
            <w:tcBorders/>
            <w:shd w:fill="CCEEFF" w:val="clear"/>
            <w:vAlign w:val="bottom"/>
          </w:tcPr>
          <w:p>
            <w:pPr>
              <w:pStyle w:val="TableContents"/>
              <w:spacing w:lineRule="atLeast" w:line="180" w:before="0" w:after="283"/>
              <w:rPr>
                <w:rFonts w:ascii="arial" w:hAnsi="arial"/>
                <w:sz w:val="16"/>
              </w:rPr>
            </w:pPr>
            <w:r>
              <w:rPr>
                <w:rFonts w:ascii="arial" w:hAnsi="arial"/>
                <w:sz w:val="16"/>
              </w:rPr>
              <w:br/>
              <w:t>​</w:t>
            </w:r>
          </w:p>
        </w:tc>
        <w:tc>
          <w:tcPr>
            <w:tcW w:w="72" w:type="dxa"/>
            <w:tcBorders/>
            <w:shd w:fill="CCEEFF" w:val="clear"/>
            <w:vAlign w:val="bottom"/>
          </w:tcPr>
          <w:p>
            <w:pPr>
              <w:pStyle w:val="TableContents"/>
              <w:spacing w:lineRule="atLeast" w:line="180" w:before="0" w:after="283"/>
              <w:rPr>
                <w:rFonts w:ascii="arial" w:hAnsi="arial"/>
                <w:sz w:val="16"/>
              </w:rPr>
            </w:pPr>
            <w:r>
              <w:rPr>
                <w:rFonts w:ascii="arial" w:hAnsi="arial"/>
                <w:sz w:val="16"/>
              </w:rPr>
              <w:br/>
              <w:t>​</w:t>
            </w:r>
          </w:p>
        </w:tc>
        <w:tc>
          <w:tcPr>
            <w:tcW w:w="425" w:type="dxa"/>
            <w:gridSpan w:val="2"/>
            <w:tcBorders/>
            <w:shd w:fill="CCEEFF" w:val="clear"/>
            <w:vAlign w:val="bottom"/>
          </w:tcPr>
          <w:p>
            <w:pPr>
              <w:pStyle w:val="TableContents"/>
              <w:spacing w:lineRule="atLeast" w:line="180" w:before="0" w:after="283"/>
              <w:jc w:val="right"/>
              <w:rPr>
                <w:rFonts w:ascii="arial" w:hAnsi="arial"/>
              </w:rPr>
            </w:pPr>
            <w:r>
              <w:rPr>
                <w:rFonts w:ascii="arial" w:hAnsi="arial"/>
              </w:rPr>
              <w:br/>
            </w:r>
            <w:r>
              <w:rPr>
                <w:rFonts w:ascii="arial" w:hAnsi="arial"/>
                <w:sz w:val="16"/>
              </w:rPr>
              <w:t>-</w:t>
            </w:r>
          </w:p>
        </w:tc>
        <w:tc>
          <w:tcPr>
            <w:tcW w:w="584" w:type="dxa"/>
            <w:tcBorders/>
            <w:shd w:fill="CCEEFF" w:val="clear"/>
            <w:vAlign w:val="bottom"/>
          </w:tcPr>
          <w:p>
            <w:pPr>
              <w:pStyle w:val="TableContents"/>
              <w:spacing w:lineRule="atLeast" w:line="180" w:before="0" w:after="283"/>
              <w:rPr>
                <w:rFonts w:ascii="arial" w:hAnsi="arial"/>
                <w:sz w:val="16"/>
              </w:rPr>
            </w:pPr>
            <w:r>
              <w:rPr>
                <w:rFonts w:ascii="arial" w:hAnsi="arial"/>
                <w:sz w:val="16"/>
              </w:rPr>
              <w:br/>
              <w:t>​</w:t>
            </w:r>
          </w:p>
        </w:tc>
        <w:tc>
          <w:tcPr>
            <w:tcW w:w="23" w:type="dxa"/>
            <w:tcBorders/>
            <w:shd w:fill="CCEEFF" w:val="clear"/>
            <w:vAlign w:val="bottom"/>
          </w:tcPr>
          <w:p>
            <w:pPr>
              <w:pStyle w:val="TableContents"/>
              <w:spacing w:lineRule="atLeast" w:line="180" w:before="0" w:after="283"/>
              <w:rPr>
                <w:rFonts w:ascii="arial" w:hAnsi="arial"/>
                <w:sz w:val="16"/>
              </w:rPr>
            </w:pPr>
            <w:r>
              <w:rPr>
                <w:rFonts w:ascii="arial" w:hAnsi="arial"/>
                <w:sz w:val="16"/>
              </w:rPr>
              <w:br/>
              <w:t>​</w:t>
            </w:r>
          </w:p>
        </w:tc>
        <w:tc>
          <w:tcPr>
            <w:tcW w:w="27" w:type="dxa"/>
            <w:tcBorders/>
            <w:shd w:fill="CCEEFF" w:val="clear"/>
            <w:vAlign w:val="bottom"/>
          </w:tcPr>
          <w:p>
            <w:pPr>
              <w:pStyle w:val="TableContents"/>
              <w:spacing w:lineRule="atLeast" w:line="180" w:before="0" w:after="283"/>
              <w:rPr>
                <w:rFonts w:ascii="arial" w:hAnsi="arial"/>
                <w:sz w:val="16"/>
              </w:rPr>
            </w:pPr>
            <w:r>
              <w:rPr>
                <w:rFonts w:ascii="arial" w:hAnsi="arial"/>
                <w:sz w:val="16"/>
              </w:rPr>
              <w:br/>
              <w:t>​</w:t>
            </w:r>
          </w:p>
        </w:tc>
        <w:tc>
          <w:tcPr>
            <w:tcW w:w="746" w:type="dxa"/>
            <w:gridSpan w:val="2"/>
            <w:tcBorders/>
            <w:shd w:fill="CCEEFF" w:val="clear"/>
            <w:vAlign w:val="bottom"/>
          </w:tcPr>
          <w:p>
            <w:pPr>
              <w:pStyle w:val="TableContents"/>
              <w:spacing w:lineRule="atLeast" w:line="180" w:before="0" w:after="283"/>
              <w:jc w:val="right"/>
              <w:rPr>
                <w:rFonts w:ascii="arial" w:hAnsi="arial"/>
              </w:rPr>
            </w:pPr>
            <w:r>
              <w:rPr>
                <w:rFonts w:ascii="arial" w:hAnsi="arial"/>
              </w:rPr>
              <w:br/>
            </w:r>
            <w:r>
              <w:rPr>
                <w:rFonts w:ascii="arial" w:hAnsi="arial"/>
                <w:sz w:val="16"/>
              </w:rPr>
              <w:t>-</w:t>
            </w:r>
          </w:p>
        </w:tc>
        <w:tc>
          <w:tcPr>
            <w:tcW w:w="28" w:type="dxa"/>
            <w:tcBorders/>
            <w:shd w:fill="CCEEFF" w:val="clear"/>
            <w:vAlign w:val="bottom"/>
          </w:tcPr>
          <w:p>
            <w:pPr>
              <w:pStyle w:val="TableContents"/>
              <w:spacing w:lineRule="atLeast" w:line="180" w:before="0" w:after="283"/>
              <w:rPr>
                <w:rFonts w:ascii="arial" w:hAnsi="arial"/>
                <w:sz w:val="16"/>
              </w:rPr>
            </w:pPr>
            <w:r>
              <w:rPr>
                <w:rFonts w:ascii="arial" w:hAnsi="arial"/>
                <w:sz w:val="16"/>
              </w:rPr>
              <w:br/>
              <w:t>​</w:t>
            </w:r>
          </w:p>
        </w:tc>
        <w:tc>
          <w:tcPr>
            <w:tcW w:w="23" w:type="dxa"/>
            <w:tcBorders/>
            <w:shd w:fill="CCEEFF" w:val="clear"/>
            <w:vAlign w:val="bottom"/>
          </w:tcPr>
          <w:p>
            <w:pPr>
              <w:pStyle w:val="TableContents"/>
              <w:spacing w:lineRule="atLeast" w:line="180" w:before="0" w:after="283"/>
              <w:rPr>
                <w:rFonts w:ascii="arial" w:hAnsi="arial"/>
                <w:sz w:val="16"/>
              </w:rPr>
            </w:pPr>
            <w:r>
              <w:rPr>
                <w:rFonts w:ascii="arial" w:hAnsi="arial"/>
                <w:sz w:val="16"/>
              </w:rPr>
              <w:br/>
              <w:t>​</w:t>
            </w:r>
          </w:p>
        </w:tc>
        <w:tc>
          <w:tcPr>
            <w:tcW w:w="80" w:type="dxa"/>
            <w:tcBorders/>
            <w:shd w:fill="CCEEFF" w:val="clear"/>
            <w:vAlign w:val="bottom"/>
          </w:tcPr>
          <w:p>
            <w:pPr>
              <w:pStyle w:val="TableContents"/>
              <w:spacing w:lineRule="atLeast" w:line="180" w:before="0" w:after="283"/>
              <w:rPr>
                <w:rFonts w:ascii="arial" w:hAnsi="arial"/>
                <w:sz w:val="16"/>
              </w:rPr>
            </w:pPr>
            <w:r>
              <w:rPr>
                <w:rFonts w:ascii="arial" w:hAnsi="arial"/>
                <w:sz w:val="16"/>
              </w:rPr>
              <w:br/>
              <w:t>​</w:t>
            </w:r>
          </w:p>
        </w:tc>
        <w:tc>
          <w:tcPr>
            <w:tcW w:w="515" w:type="dxa"/>
            <w:gridSpan w:val="2"/>
            <w:tcBorders/>
            <w:shd w:fill="CCEEFF" w:val="clear"/>
            <w:vAlign w:val="bottom"/>
          </w:tcPr>
          <w:p>
            <w:pPr>
              <w:pStyle w:val="TableContents"/>
              <w:spacing w:lineRule="atLeast" w:line="180" w:before="0" w:after="283"/>
              <w:jc w:val="right"/>
              <w:rPr>
                <w:rFonts w:ascii="arial" w:hAnsi="arial"/>
              </w:rPr>
            </w:pPr>
            <w:r>
              <w:rPr>
                <w:rFonts w:ascii="arial" w:hAnsi="arial"/>
              </w:rPr>
              <w:br/>
            </w:r>
            <w:r>
              <w:rPr>
                <w:rFonts w:ascii="arial" w:hAnsi="arial"/>
                <w:sz w:val="16"/>
              </w:rPr>
              <w:t>-</w:t>
            </w:r>
          </w:p>
        </w:tc>
        <w:tc>
          <w:tcPr>
            <w:tcW w:w="650" w:type="dxa"/>
            <w:tcBorders/>
            <w:shd w:fill="CCEEFF" w:val="clear"/>
            <w:vAlign w:val="bottom"/>
          </w:tcPr>
          <w:p>
            <w:pPr>
              <w:pStyle w:val="TableContents"/>
              <w:spacing w:lineRule="atLeast" w:line="180" w:before="0" w:after="283"/>
              <w:rPr>
                <w:rFonts w:ascii="arial" w:hAnsi="arial"/>
                <w:sz w:val="16"/>
              </w:rPr>
            </w:pPr>
            <w:r>
              <w:rPr>
                <w:rFonts w:ascii="arial" w:hAnsi="arial"/>
                <w:sz w:val="16"/>
              </w:rPr>
              <w:br/>
              <w:t>​</w:t>
            </w:r>
          </w:p>
        </w:tc>
        <w:tc>
          <w:tcPr>
            <w:tcW w:w="23" w:type="dxa"/>
            <w:tcBorders/>
            <w:shd w:fill="CCEEFF" w:val="clear"/>
            <w:vAlign w:val="bottom"/>
          </w:tcPr>
          <w:p>
            <w:pPr>
              <w:pStyle w:val="TableContents"/>
              <w:spacing w:lineRule="atLeast" w:line="180" w:before="0" w:after="283"/>
              <w:rPr>
                <w:rFonts w:ascii="arial" w:hAnsi="arial"/>
                <w:sz w:val="16"/>
              </w:rPr>
            </w:pPr>
            <w:r>
              <w:rPr>
                <w:rFonts w:ascii="arial" w:hAnsi="arial"/>
                <w:sz w:val="16"/>
              </w:rPr>
              <w:br/>
              <w:t>​</w:t>
            </w:r>
          </w:p>
        </w:tc>
        <w:tc>
          <w:tcPr>
            <w:tcW w:w="23" w:type="dxa"/>
            <w:tcBorders/>
            <w:shd w:fill="CCEEFF" w:val="clear"/>
            <w:vAlign w:val="bottom"/>
          </w:tcPr>
          <w:p>
            <w:pPr>
              <w:pStyle w:val="TableContents"/>
              <w:spacing w:lineRule="atLeast" w:line="180" w:before="0" w:after="283"/>
              <w:rPr>
                <w:rFonts w:ascii="arial" w:hAnsi="arial"/>
                <w:sz w:val="16"/>
              </w:rPr>
            </w:pPr>
            <w:r>
              <w:rPr>
                <w:rFonts w:ascii="arial" w:hAnsi="arial"/>
                <w:sz w:val="16"/>
              </w:rPr>
              <w:br/>
              <w:t>​</w:t>
            </w:r>
          </w:p>
        </w:tc>
        <w:tc>
          <w:tcPr>
            <w:tcW w:w="737" w:type="dxa"/>
            <w:gridSpan w:val="2"/>
            <w:tcBorders/>
            <w:shd w:fill="CCEEFF" w:val="clear"/>
            <w:vAlign w:val="bottom"/>
          </w:tcPr>
          <w:p>
            <w:pPr>
              <w:pStyle w:val="TableContents"/>
              <w:spacing w:lineRule="atLeast" w:line="180" w:before="0" w:after="283"/>
              <w:jc w:val="right"/>
              <w:rPr>
                <w:rFonts w:ascii="arial" w:hAnsi="arial"/>
              </w:rPr>
            </w:pPr>
            <w:r>
              <w:rPr>
                <w:rFonts w:ascii="arial" w:hAnsi="arial"/>
              </w:rPr>
              <w:br/>
            </w:r>
            <w:r>
              <w:rPr>
                <w:rFonts w:ascii="arial" w:hAnsi="arial"/>
                <w:sz w:val="16"/>
              </w:rPr>
              <w:t>-</w:t>
            </w:r>
          </w:p>
        </w:tc>
        <w:tc>
          <w:tcPr>
            <w:tcW w:w="25" w:type="dxa"/>
            <w:tcBorders/>
            <w:shd w:fill="CCEEFF" w:val="clear"/>
            <w:vAlign w:val="bottom"/>
          </w:tcPr>
          <w:p>
            <w:pPr>
              <w:pStyle w:val="TableContents"/>
              <w:spacing w:lineRule="atLeast" w:line="180" w:before="0" w:after="283"/>
              <w:rPr>
                <w:rFonts w:ascii="arial" w:hAnsi="arial"/>
                <w:sz w:val="16"/>
              </w:rPr>
            </w:pPr>
            <w:r>
              <w:rPr>
                <w:rFonts w:ascii="arial" w:hAnsi="arial"/>
                <w:sz w:val="16"/>
              </w:rPr>
              <w:br/>
              <w:t>​</w:t>
            </w:r>
          </w:p>
        </w:tc>
        <w:tc>
          <w:tcPr>
            <w:tcW w:w="24" w:type="dxa"/>
            <w:tcBorders/>
            <w:shd w:fill="CCEEFF" w:val="clear"/>
            <w:vAlign w:val="bottom"/>
          </w:tcPr>
          <w:p>
            <w:pPr>
              <w:pStyle w:val="TableContents"/>
              <w:spacing w:lineRule="atLeast" w:line="180" w:before="0" w:after="283"/>
              <w:rPr>
                <w:rFonts w:ascii="arial" w:hAnsi="arial"/>
                <w:sz w:val="16"/>
              </w:rPr>
            </w:pPr>
            <w:r>
              <w:rPr>
                <w:rFonts w:ascii="arial" w:hAnsi="arial"/>
                <w:sz w:val="16"/>
              </w:rPr>
              <w:br/>
              <w:t>​</w:t>
            </w:r>
          </w:p>
        </w:tc>
      </w:tr>
      <w:tr>
        <w:trPr/>
        <w:tc>
          <w:tcPr>
            <w:tcW w:w="795" w:type="dxa"/>
            <w:tcBorders/>
            <w:shd w:fill="CCEEFF" w:val="clear"/>
            <w:vAlign w:val="bottom"/>
          </w:tcPr>
          <w:p>
            <w:pPr>
              <w:pStyle w:val="TableContents"/>
              <w:spacing w:lineRule="atLeast" w:line="180" w:before="0" w:after="283"/>
              <w:rPr/>
            </w:pPr>
            <w:r>
              <w:rPr/>
              <w:t> </w:t>
            </w:r>
          </w:p>
        </w:tc>
        <w:tc>
          <w:tcPr>
            <w:tcW w:w="23" w:type="dxa"/>
            <w:tcBorders/>
            <w:shd w:fill="CCEEFF" w:val="clear"/>
            <w:vAlign w:val="bottom"/>
          </w:tcPr>
          <w:p>
            <w:pPr>
              <w:pStyle w:val="TableContents"/>
              <w:spacing w:lineRule="atLeast" w:line="180" w:before="0" w:after="283"/>
              <w:rPr/>
            </w:pPr>
            <w:r>
              <w:rPr/>
              <w:t>​</w:t>
            </w:r>
          </w:p>
        </w:tc>
        <w:tc>
          <w:tcPr>
            <w:tcW w:w="248"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1"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39"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15,000</w:t>
            </w:r>
          </w:p>
        </w:tc>
        <w:tc>
          <w:tcPr>
            <w:tcW w:w="725" w:type="dxa"/>
            <w:tcBorders/>
            <w:shd w:fill="CCEEFF" w:val="clear"/>
            <w:vAlign w:val="bottom"/>
          </w:tcPr>
          <w:p>
            <w:pPr>
              <w:pStyle w:val="TableContents"/>
              <w:spacing w:lineRule="atLeast" w:line="180" w:before="0" w:after="283"/>
              <w:rPr>
                <w:rFonts w:ascii="arial" w:hAnsi="arial"/>
                <w:sz w:val="12"/>
              </w:rPr>
            </w:pPr>
            <w:r>
              <w:rPr>
                <w:rFonts w:ascii="arial" w:hAnsi="arial"/>
                <w:sz w:val="12"/>
              </w:rPr>
              <w:t>(28)</w:t>
            </w:r>
          </w:p>
        </w:tc>
        <w:tc>
          <w:tcPr>
            <w:tcW w:w="23" w:type="dxa"/>
            <w:tcBorders/>
            <w:shd w:fill="CCEEFF" w:val="clear"/>
            <w:vAlign w:val="bottom"/>
          </w:tcPr>
          <w:p>
            <w:pPr>
              <w:pStyle w:val="TableContents"/>
              <w:spacing w:lineRule="atLeast" w:line="180" w:before="0" w:after="283"/>
              <w:rPr/>
            </w:pPr>
            <w:r>
              <w:rPr/>
              <w:t>​</w:t>
            </w:r>
          </w:p>
        </w:tc>
        <w:tc>
          <w:tcPr>
            <w:tcW w:w="26" w:type="dxa"/>
            <w:tcBorders/>
            <w:shd w:fill="CCEEFF" w:val="clear"/>
            <w:vAlign w:val="bottom"/>
          </w:tcPr>
          <w:p>
            <w:pPr>
              <w:pStyle w:val="TableContents"/>
              <w:spacing w:lineRule="atLeast" w:line="180" w:before="0" w:after="283"/>
              <w:rPr/>
            </w:pPr>
            <w:r>
              <w:rPr/>
              <w:t>​</w:t>
            </w:r>
          </w:p>
        </w:tc>
        <w:tc>
          <w:tcPr>
            <w:tcW w:w="128" w:type="dxa"/>
            <w:tcBorders/>
            <w:shd w:fill="CCEEFF" w:val="clear"/>
            <w:vAlign w:val="bottom"/>
          </w:tcPr>
          <w:p>
            <w:pPr>
              <w:pStyle w:val="TableContents"/>
              <w:spacing w:lineRule="atLeast" w:line="180" w:before="0" w:after="283"/>
              <w:rPr>
                <w:rFonts w:ascii="arial" w:hAnsi="arial"/>
                <w:sz w:val="16"/>
              </w:rPr>
            </w:pPr>
            <w:r>
              <w:rPr>
                <w:rFonts w:ascii="arial" w:hAnsi="arial"/>
                <w:sz w:val="16"/>
              </w:rPr>
              <w:t>$</w:t>
            </w:r>
          </w:p>
        </w:tc>
        <w:tc>
          <w:tcPr>
            <w:tcW w:w="498" w:type="dxa"/>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96.87</w:t>
            </w:r>
          </w:p>
        </w:tc>
        <w:tc>
          <w:tcPr>
            <w:tcW w:w="29"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10/1/2024</w:t>
            </w:r>
          </w:p>
        </w:tc>
        <w:tc>
          <w:tcPr>
            <w:tcW w:w="23" w:type="dxa"/>
            <w:tcBorders/>
            <w:shd w:fill="CCEEFF" w:val="clear"/>
            <w:vAlign w:val="bottom"/>
          </w:tcPr>
          <w:p>
            <w:pPr>
              <w:pStyle w:val="TableContents"/>
              <w:spacing w:lineRule="atLeast" w:line="180" w:before="0" w:after="283"/>
              <w:rPr/>
            </w:pPr>
            <w:r>
              <w:rPr/>
              <w:t>​</w:t>
            </w:r>
          </w:p>
        </w:tc>
        <w:tc>
          <w:tcPr>
            <w:tcW w:w="72" w:type="dxa"/>
            <w:tcBorders/>
            <w:shd w:fill="CCEEFF" w:val="clear"/>
            <w:vAlign w:val="bottom"/>
          </w:tcPr>
          <w:p>
            <w:pPr>
              <w:pStyle w:val="TableContents"/>
              <w:spacing w:lineRule="atLeast" w:line="180" w:before="0" w:after="283"/>
              <w:rPr/>
            </w:pPr>
            <w:r>
              <w:rPr/>
              <w:t>​</w:t>
            </w:r>
          </w:p>
        </w:tc>
        <w:tc>
          <w:tcPr>
            <w:tcW w:w="42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584"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7" w:type="dxa"/>
            <w:tcBorders/>
            <w:shd w:fill="CCEEFF" w:val="clear"/>
            <w:vAlign w:val="bottom"/>
          </w:tcPr>
          <w:p>
            <w:pPr>
              <w:pStyle w:val="TableContents"/>
              <w:spacing w:lineRule="atLeast" w:line="180" w:before="0" w:after="283"/>
              <w:rPr/>
            </w:pPr>
            <w:r>
              <w:rPr/>
              <w:t>​</w:t>
            </w:r>
          </w:p>
        </w:tc>
        <w:tc>
          <w:tcPr>
            <w:tcW w:w="746"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65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737"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 w:type="dxa"/>
            <w:tcBorders/>
            <w:shd w:fill="CCEEFF" w:val="clear"/>
            <w:vAlign w:val="bottom"/>
          </w:tcPr>
          <w:p>
            <w:pPr>
              <w:pStyle w:val="TableContents"/>
              <w:spacing w:lineRule="atLeast" w:line="180" w:before="0" w:after="283"/>
              <w:rPr/>
            </w:pPr>
            <w:r>
              <w:rPr/>
              <w:t>​</w:t>
            </w:r>
          </w:p>
        </w:tc>
        <w:tc>
          <w:tcPr>
            <w:tcW w:w="24" w:type="dxa"/>
            <w:tcBorders/>
            <w:shd w:fill="CCEEFF" w:val="clear"/>
            <w:vAlign w:val="bottom"/>
          </w:tcPr>
          <w:p>
            <w:pPr>
              <w:pStyle w:val="TableContents"/>
              <w:spacing w:lineRule="atLeast" w:line="180" w:before="0" w:after="283"/>
              <w:rPr/>
            </w:pPr>
            <w:r>
              <w:rPr/>
              <w:t>​</w:t>
            </w:r>
          </w:p>
        </w:tc>
      </w:tr>
      <w:tr>
        <w:trPr/>
        <w:tc>
          <w:tcPr>
            <w:tcW w:w="795" w:type="dxa"/>
            <w:tcBorders/>
            <w:shd w:fill="CCEEFF" w:val="clear"/>
            <w:vAlign w:val="bottom"/>
          </w:tcPr>
          <w:p>
            <w:pPr>
              <w:pStyle w:val="TableContents"/>
              <w:spacing w:lineRule="atLeast" w:line="180" w:before="0" w:after="283"/>
              <w:rPr/>
            </w:pPr>
            <w:r>
              <w:rPr/>
              <w:t> </w:t>
            </w:r>
          </w:p>
        </w:tc>
        <w:tc>
          <w:tcPr>
            <w:tcW w:w="23" w:type="dxa"/>
            <w:tcBorders/>
            <w:shd w:fill="CCEEFF" w:val="clear"/>
            <w:vAlign w:val="bottom"/>
          </w:tcPr>
          <w:p>
            <w:pPr>
              <w:pStyle w:val="TableContents"/>
              <w:spacing w:lineRule="atLeast" w:line="180" w:before="0" w:after="283"/>
              <w:rPr/>
            </w:pPr>
            <w:r>
              <w:rPr/>
              <w:t>​</w:t>
            </w:r>
          </w:p>
        </w:tc>
        <w:tc>
          <w:tcPr>
            <w:tcW w:w="248"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7,500</w:t>
            </w:r>
          </w:p>
        </w:tc>
        <w:tc>
          <w:tcPr>
            <w:tcW w:w="251"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39"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6" w:type="dxa"/>
            <w:tcBorders/>
            <w:shd w:fill="CCEEFF" w:val="clear"/>
            <w:vAlign w:val="bottom"/>
          </w:tcPr>
          <w:p>
            <w:pPr>
              <w:pStyle w:val="TableContents"/>
              <w:spacing w:lineRule="atLeast" w:line="180" w:before="0" w:after="283"/>
              <w:rPr/>
            </w:pPr>
            <w:r>
              <w:rPr/>
              <w:t>​</w:t>
            </w:r>
          </w:p>
        </w:tc>
        <w:tc>
          <w:tcPr>
            <w:tcW w:w="128" w:type="dxa"/>
            <w:tcBorders/>
            <w:shd w:fill="CCEEFF" w:val="clear"/>
            <w:vAlign w:val="bottom"/>
          </w:tcPr>
          <w:p>
            <w:pPr>
              <w:pStyle w:val="TableContents"/>
              <w:spacing w:lineRule="atLeast" w:line="180" w:before="0" w:after="283"/>
              <w:rPr>
                <w:rFonts w:ascii="arial" w:hAnsi="arial"/>
                <w:sz w:val="16"/>
              </w:rPr>
            </w:pPr>
            <w:r>
              <w:rPr>
                <w:rFonts w:ascii="arial" w:hAnsi="arial"/>
                <w:sz w:val="16"/>
              </w:rPr>
              <w:t>$</w:t>
            </w:r>
          </w:p>
        </w:tc>
        <w:tc>
          <w:tcPr>
            <w:tcW w:w="498" w:type="dxa"/>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96.87</w:t>
            </w:r>
          </w:p>
        </w:tc>
        <w:tc>
          <w:tcPr>
            <w:tcW w:w="29"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10/1/2024</w:t>
            </w:r>
          </w:p>
        </w:tc>
        <w:tc>
          <w:tcPr>
            <w:tcW w:w="23" w:type="dxa"/>
            <w:tcBorders/>
            <w:shd w:fill="CCEEFF" w:val="clear"/>
            <w:vAlign w:val="bottom"/>
          </w:tcPr>
          <w:p>
            <w:pPr>
              <w:pStyle w:val="TableContents"/>
              <w:spacing w:lineRule="atLeast" w:line="180" w:before="0" w:after="283"/>
              <w:rPr/>
            </w:pPr>
            <w:r>
              <w:rPr/>
              <w:t>​</w:t>
            </w:r>
          </w:p>
        </w:tc>
        <w:tc>
          <w:tcPr>
            <w:tcW w:w="72" w:type="dxa"/>
            <w:tcBorders/>
            <w:shd w:fill="CCEEFF" w:val="clear"/>
            <w:vAlign w:val="bottom"/>
          </w:tcPr>
          <w:p>
            <w:pPr>
              <w:pStyle w:val="TableContents"/>
              <w:spacing w:lineRule="atLeast" w:line="180" w:before="0" w:after="283"/>
              <w:rPr/>
            </w:pPr>
            <w:r>
              <w:rPr/>
              <w:t>​</w:t>
            </w:r>
          </w:p>
        </w:tc>
        <w:tc>
          <w:tcPr>
            <w:tcW w:w="42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584"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7" w:type="dxa"/>
            <w:tcBorders/>
            <w:shd w:fill="CCEEFF" w:val="clear"/>
            <w:vAlign w:val="bottom"/>
          </w:tcPr>
          <w:p>
            <w:pPr>
              <w:pStyle w:val="TableContents"/>
              <w:spacing w:lineRule="atLeast" w:line="180" w:before="0" w:after="283"/>
              <w:rPr/>
            </w:pPr>
            <w:r>
              <w:rPr/>
              <w:t>​</w:t>
            </w:r>
          </w:p>
        </w:tc>
        <w:tc>
          <w:tcPr>
            <w:tcW w:w="746"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65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737"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 w:type="dxa"/>
            <w:tcBorders/>
            <w:shd w:fill="CCEEFF" w:val="clear"/>
            <w:vAlign w:val="bottom"/>
          </w:tcPr>
          <w:p>
            <w:pPr>
              <w:pStyle w:val="TableContents"/>
              <w:spacing w:lineRule="atLeast" w:line="180" w:before="0" w:after="283"/>
              <w:rPr/>
            </w:pPr>
            <w:r>
              <w:rPr/>
              <w:t>​</w:t>
            </w:r>
          </w:p>
        </w:tc>
        <w:tc>
          <w:tcPr>
            <w:tcW w:w="24" w:type="dxa"/>
            <w:tcBorders/>
            <w:shd w:fill="CCEEFF" w:val="clear"/>
            <w:vAlign w:val="bottom"/>
          </w:tcPr>
          <w:p>
            <w:pPr>
              <w:pStyle w:val="TableContents"/>
              <w:spacing w:lineRule="atLeast" w:line="180" w:before="0" w:after="283"/>
              <w:rPr/>
            </w:pPr>
            <w:r>
              <w:rPr/>
              <w:t>​</w:t>
            </w:r>
          </w:p>
        </w:tc>
      </w:tr>
      <w:tr>
        <w:trPr/>
        <w:tc>
          <w:tcPr>
            <w:tcW w:w="795" w:type="dxa"/>
            <w:tcBorders/>
            <w:shd w:fill="CCEEFF" w:val="clear"/>
            <w:vAlign w:val="bottom"/>
          </w:tcPr>
          <w:p>
            <w:pPr>
              <w:pStyle w:val="TableContents"/>
              <w:spacing w:lineRule="atLeast" w:line="180" w:before="0" w:after="283"/>
              <w:rPr/>
            </w:pPr>
            <w:r>
              <w:rPr/>
              <w:t> </w:t>
            </w:r>
          </w:p>
        </w:tc>
        <w:tc>
          <w:tcPr>
            <w:tcW w:w="23" w:type="dxa"/>
            <w:tcBorders/>
            <w:shd w:fill="CCEEFF" w:val="clear"/>
            <w:vAlign w:val="bottom"/>
          </w:tcPr>
          <w:p>
            <w:pPr>
              <w:pStyle w:val="TableContents"/>
              <w:spacing w:lineRule="atLeast" w:line="180" w:before="0" w:after="283"/>
              <w:rPr/>
            </w:pPr>
            <w:r>
              <w:rPr/>
              <w:t>​</w:t>
            </w:r>
          </w:p>
        </w:tc>
        <w:tc>
          <w:tcPr>
            <w:tcW w:w="248"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7,800</w:t>
            </w:r>
          </w:p>
        </w:tc>
        <w:tc>
          <w:tcPr>
            <w:tcW w:w="251"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39"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6" w:type="dxa"/>
            <w:tcBorders/>
            <w:shd w:fill="CCEEFF" w:val="clear"/>
            <w:vAlign w:val="bottom"/>
          </w:tcPr>
          <w:p>
            <w:pPr>
              <w:pStyle w:val="TableContents"/>
              <w:spacing w:lineRule="atLeast" w:line="180" w:before="0" w:after="283"/>
              <w:rPr/>
            </w:pPr>
            <w:r>
              <w:rPr/>
              <w:t>​</w:t>
            </w:r>
          </w:p>
        </w:tc>
        <w:tc>
          <w:tcPr>
            <w:tcW w:w="128" w:type="dxa"/>
            <w:tcBorders/>
            <w:shd w:fill="CCEEFF" w:val="clear"/>
            <w:vAlign w:val="bottom"/>
          </w:tcPr>
          <w:p>
            <w:pPr>
              <w:pStyle w:val="TableContents"/>
              <w:spacing w:lineRule="atLeast" w:line="180" w:before="0" w:after="283"/>
              <w:rPr>
                <w:rFonts w:ascii="arial" w:hAnsi="arial"/>
                <w:sz w:val="16"/>
              </w:rPr>
            </w:pPr>
            <w:r>
              <w:rPr>
                <w:rFonts w:ascii="arial" w:hAnsi="arial"/>
                <w:sz w:val="16"/>
              </w:rPr>
              <w:t>$</w:t>
            </w:r>
          </w:p>
        </w:tc>
        <w:tc>
          <w:tcPr>
            <w:tcW w:w="498" w:type="dxa"/>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18.79</w:t>
            </w:r>
          </w:p>
        </w:tc>
        <w:tc>
          <w:tcPr>
            <w:tcW w:w="29"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4/15/2025</w:t>
            </w:r>
          </w:p>
        </w:tc>
        <w:tc>
          <w:tcPr>
            <w:tcW w:w="23" w:type="dxa"/>
            <w:tcBorders/>
            <w:shd w:fill="CCEEFF" w:val="clear"/>
            <w:vAlign w:val="bottom"/>
          </w:tcPr>
          <w:p>
            <w:pPr>
              <w:pStyle w:val="TableContents"/>
              <w:spacing w:lineRule="atLeast" w:line="180" w:before="0" w:after="283"/>
              <w:rPr/>
            </w:pPr>
            <w:r>
              <w:rPr/>
              <w:t>​</w:t>
            </w:r>
          </w:p>
        </w:tc>
        <w:tc>
          <w:tcPr>
            <w:tcW w:w="72" w:type="dxa"/>
            <w:tcBorders/>
            <w:shd w:fill="CCEEFF" w:val="clear"/>
            <w:vAlign w:val="bottom"/>
          </w:tcPr>
          <w:p>
            <w:pPr>
              <w:pStyle w:val="TableContents"/>
              <w:spacing w:lineRule="atLeast" w:line="180" w:before="0" w:after="283"/>
              <w:rPr/>
            </w:pPr>
            <w:r>
              <w:rPr/>
              <w:t>​</w:t>
            </w:r>
          </w:p>
        </w:tc>
        <w:tc>
          <w:tcPr>
            <w:tcW w:w="42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584"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7" w:type="dxa"/>
            <w:tcBorders/>
            <w:shd w:fill="CCEEFF" w:val="clear"/>
            <w:vAlign w:val="bottom"/>
          </w:tcPr>
          <w:p>
            <w:pPr>
              <w:pStyle w:val="TableContents"/>
              <w:spacing w:lineRule="atLeast" w:line="180" w:before="0" w:after="283"/>
              <w:rPr/>
            </w:pPr>
            <w:r>
              <w:rPr/>
              <w:t>​</w:t>
            </w:r>
          </w:p>
        </w:tc>
        <w:tc>
          <w:tcPr>
            <w:tcW w:w="746"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65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737"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 w:type="dxa"/>
            <w:tcBorders/>
            <w:shd w:fill="CCEEFF" w:val="clear"/>
            <w:vAlign w:val="bottom"/>
          </w:tcPr>
          <w:p>
            <w:pPr>
              <w:pStyle w:val="TableContents"/>
              <w:spacing w:lineRule="atLeast" w:line="180" w:before="0" w:after="283"/>
              <w:rPr/>
            </w:pPr>
            <w:r>
              <w:rPr/>
              <w:t>​</w:t>
            </w:r>
          </w:p>
        </w:tc>
        <w:tc>
          <w:tcPr>
            <w:tcW w:w="24" w:type="dxa"/>
            <w:tcBorders/>
            <w:shd w:fill="CCEEFF" w:val="clear"/>
            <w:vAlign w:val="bottom"/>
          </w:tcPr>
          <w:p>
            <w:pPr>
              <w:pStyle w:val="TableContents"/>
              <w:spacing w:lineRule="atLeast" w:line="180" w:before="0" w:after="283"/>
              <w:rPr/>
            </w:pPr>
            <w:r>
              <w:rPr/>
              <w:t>​</w:t>
            </w:r>
          </w:p>
        </w:tc>
      </w:tr>
      <w:tr>
        <w:trPr/>
        <w:tc>
          <w:tcPr>
            <w:tcW w:w="795" w:type="dxa"/>
            <w:tcBorders/>
            <w:shd w:fill="CCEEFF" w:val="clear"/>
            <w:vAlign w:val="bottom"/>
          </w:tcPr>
          <w:p>
            <w:pPr>
              <w:pStyle w:val="TableContents"/>
              <w:spacing w:lineRule="atLeast" w:line="180" w:before="0" w:after="283"/>
              <w:rPr/>
            </w:pPr>
            <w:r>
              <w:rPr/>
              <w:t> </w:t>
            </w:r>
          </w:p>
        </w:tc>
        <w:tc>
          <w:tcPr>
            <w:tcW w:w="23" w:type="dxa"/>
            <w:tcBorders/>
            <w:shd w:fill="CCEEFF" w:val="clear"/>
            <w:vAlign w:val="bottom"/>
          </w:tcPr>
          <w:p>
            <w:pPr>
              <w:pStyle w:val="TableContents"/>
              <w:spacing w:lineRule="atLeast" w:line="180" w:before="0" w:after="283"/>
              <w:rPr/>
            </w:pPr>
            <w:r>
              <w:rPr/>
              <w:t>​</w:t>
            </w:r>
          </w:p>
        </w:tc>
        <w:tc>
          <w:tcPr>
            <w:tcW w:w="248"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1"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39"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1,667</w:t>
            </w:r>
          </w:p>
        </w:tc>
        <w:tc>
          <w:tcPr>
            <w:tcW w:w="725" w:type="dxa"/>
            <w:tcBorders/>
            <w:shd w:fill="CCEEFF" w:val="clear"/>
            <w:vAlign w:val="bottom"/>
          </w:tcPr>
          <w:p>
            <w:pPr>
              <w:pStyle w:val="TableContents"/>
              <w:spacing w:lineRule="atLeast" w:line="180" w:before="0" w:after="283"/>
              <w:rPr>
                <w:rFonts w:ascii="arial" w:hAnsi="arial"/>
                <w:sz w:val="12"/>
              </w:rPr>
            </w:pPr>
            <w:r>
              <w:rPr>
                <w:rFonts w:ascii="arial" w:hAnsi="arial"/>
                <w:sz w:val="12"/>
              </w:rPr>
              <w:t>(29)</w:t>
            </w:r>
          </w:p>
        </w:tc>
        <w:tc>
          <w:tcPr>
            <w:tcW w:w="23" w:type="dxa"/>
            <w:tcBorders/>
            <w:shd w:fill="CCEEFF" w:val="clear"/>
            <w:vAlign w:val="bottom"/>
          </w:tcPr>
          <w:p>
            <w:pPr>
              <w:pStyle w:val="TableContents"/>
              <w:spacing w:lineRule="atLeast" w:line="180" w:before="0" w:after="283"/>
              <w:rPr/>
            </w:pPr>
            <w:r>
              <w:rPr/>
              <w:t>​</w:t>
            </w:r>
          </w:p>
        </w:tc>
        <w:tc>
          <w:tcPr>
            <w:tcW w:w="26" w:type="dxa"/>
            <w:tcBorders/>
            <w:shd w:fill="CCEEFF" w:val="clear"/>
            <w:vAlign w:val="bottom"/>
          </w:tcPr>
          <w:p>
            <w:pPr>
              <w:pStyle w:val="TableContents"/>
              <w:spacing w:lineRule="atLeast" w:line="180" w:before="0" w:after="283"/>
              <w:rPr/>
            </w:pPr>
            <w:r>
              <w:rPr/>
              <w:t>​</w:t>
            </w:r>
          </w:p>
        </w:tc>
        <w:tc>
          <w:tcPr>
            <w:tcW w:w="128" w:type="dxa"/>
            <w:tcBorders/>
            <w:shd w:fill="CCEEFF" w:val="clear"/>
            <w:vAlign w:val="bottom"/>
          </w:tcPr>
          <w:p>
            <w:pPr>
              <w:pStyle w:val="TableContents"/>
              <w:spacing w:lineRule="atLeast" w:line="180" w:before="0" w:after="283"/>
              <w:rPr>
                <w:rFonts w:ascii="arial" w:hAnsi="arial"/>
                <w:sz w:val="16"/>
              </w:rPr>
            </w:pPr>
            <w:r>
              <w:rPr>
                <w:rFonts w:ascii="arial" w:hAnsi="arial"/>
                <w:sz w:val="16"/>
              </w:rPr>
              <w:t>$</w:t>
            </w:r>
          </w:p>
        </w:tc>
        <w:tc>
          <w:tcPr>
            <w:tcW w:w="498" w:type="dxa"/>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32.64</w:t>
            </w:r>
          </w:p>
        </w:tc>
        <w:tc>
          <w:tcPr>
            <w:tcW w:w="29"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8/29/2026</w:t>
            </w:r>
          </w:p>
        </w:tc>
        <w:tc>
          <w:tcPr>
            <w:tcW w:w="23" w:type="dxa"/>
            <w:tcBorders/>
            <w:shd w:fill="CCEEFF" w:val="clear"/>
            <w:vAlign w:val="bottom"/>
          </w:tcPr>
          <w:p>
            <w:pPr>
              <w:pStyle w:val="TableContents"/>
              <w:spacing w:lineRule="atLeast" w:line="180" w:before="0" w:after="283"/>
              <w:rPr/>
            </w:pPr>
            <w:r>
              <w:rPr/>
              <w:t>​</w:t>
            </w:r>
          </w:p>
        </w:tc>
        <w:tc>
          <w:tcPr>
            <w:tcW w:w="72" w:type="dxa"/>
            <w:tcBorders/>
            <w:shd w:fill="CCEEFF" w:val="clear"/>
            <w:vAlign w:val="bottom"/>
          </w:tcPr>
          <w:p>
            <w:pPr>
              <w:pStyle w:val="TableContents"/>
              <w:spacing w:lineRule="atLeast" w:line="180" w:before="0" w:after="283"/>
              <w:rPr/>
            </w:pPr>
            <w:r>
              <w:rPr/>
              <w:t>​</w:t>
            </w:r>
          </w:p>
        </w:tc>
        <w:tc>
          <w:tcPr>
            <w:tcW w:w="42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584"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7" w:type="dxa"/>
            <w:tcBorders/>
            <w:shd w:fill="CCEEFF" w:val="clear"/>
            <w:vAlign w:val="bottom"/>
          </w:tcPr>
          <w:p>
            <w:pPr>
              <w:pStyle w:val="TableContents"/>
              <w:spacing w:lineRule="atLeast" w:line="180" w:before="0" w:after="283"/>
              <w:rPr/>
            </w:pPr>
            <w:r>
              <w:rPr/>
              <w:t>​</w:t>
            </w:r>
          </w:p>
        </w:tc>
        <w:tc>
          <w:tcPr>
            <w:tcW w:w="746"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65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737"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 w:type="dxa"/>
            <w:tcBorders/>
            <w:shd w:fill="CCEEFF" w:val="clear"/>
            <w:vAlign w:val="bottom"/>
          </w:tcPr>
          <w:p>
            <w:pPr>
              <w:pStyle w:val="TableContents"/>
              <w:spacing w:lineRule="atLeast" w:line="180" w:before="0" w:after="283"/>
              <w:rPr/>
            </w:pPr>
            <w:r>
              <w:rPr/>
              <w:t>​</w:t>
            </w:r>
          </w:p>
        </w:tc>
        <w:tc>
          <w:tcPr>
            <w:tcW w:w="24" w:type="dxa"/>
            <w:tcBorders/>
            <w:shd w:fill="CCEEFF" w:val="clear"/>
            <w:vAlign w:val="bottom"/>
          </w:tcPr>
          <w:p>
            <w:pPr>
              <w:pStyle w:val="TableContents"/>
              <w:spacing w:lineRule="atLeast" w:line="180" w:before="0" w:after="283"/>
              <w:rPr/>
            </w:pPr>
            <w:r>
              <w:rPr/>
              <w:t>​</w:t>
            </w:r>
          </w:p>
        </w:tc>
      </w:tr>
      <w:tr>
        <w:trPr/>
        <w:tc>
          <w:tcPr>
            <w:tcW w:w="795" w:type="dxa"/>
            <w:tcBorders/>
            <w:shd w:fill="CCEEFF" w:val="clear"/>
            <w:vAlign w:val="bottom"/>
          </w:tcPr>
          <w:p>
            <w:pPr>
              <w:pStyle w:val="TableContents"/>
              <w:spacing w:lineRule="atLeast" w:line="180" w:before="0" w:after="283"/>
              <w:rPr/>
            </w:pPr>
            <w:r>
              <w:rPr/>
              <w:t> </w:t>
            </w:r>
          </w:p>
        </w:tc>
        <w:tc>
          <w:tcPr>
            <w:tcW w:w="23" w:type="dxa"/>
            <w:tcBorders/>
            <w:shd w:fill="CCEEFF" w:val="clear"/>
            <w:vAlign w:val="bottom"/>
          </w:tcPr>
          <w:p>
            <w:pPr>
              <w:pStyle w:val="TableContents"/>
              <w:spacing w:lineRule="atLeast" w:line="180" w:before="0" w:after="283"/>
              <w:rPr/>
            </w:pPr>
            <w:r>
              <w:rPr/>
              <w:t>​</w:t>
            </w:r>
          </w:p>
        </w:tc>
        <w:tc>
          <w:tcPr>
            <w:tcW w:w="248"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1"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39"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3,333</w:t>
            </w:r>
          </w:p>
        </w:tc>
        <w:tc>
          <w:tcPr>
            <w:tcW w:w="725" w:type="dxa"/>
            <w:tcBorders/>
            <w:shd w:fill="CCEEFF" w:val="clear"/>
            <w:vAlign w:val="bottom"/>
          </w:tcPr>
          <w:p>
            <w:pPr>
              <w:pStyle w:val="TableContents"/>
              <w:spacing w:lineRule="atLeast" w:line="180" w:before="0" w:after="283"/>
              <w:rPr>
                <w:rFonts w:ascii="arial" w:hAnsi="arial"/>
                <w:sz w:val="12"/>
              </w:rPr>
            </w:pPr>
            <w:r>
              <w:rPr>
                <w:rFonts w:ascii="arial" w:hAnsi="arial"/>
                <w:sz w:val="12"/>
              </w:rPr>
              <w:t>(30)</w:t>
            </w:r>
          </w:p>
        </w:tc>
        <w:tc>
          <w:tcPr>
            <w:tcW w:w="23" w:type="dxa"/>
            <w:tcBorders/>
            <w:shd w:fill="CCEEFF" w:val="clear"/>
            <w:vAlign w:val="bottom"/>
          </w:tcPr>
          <w:p>
            <w:pPr>
              <w:pStyle w:val="TableContents"/>
              <w:spacing w:lineRule="atLeast" w:line="180" w:before="0" w:after="283"/>
              <w:rPr/>
            </w:pPr>
            <w:r>
              <w:rPr/>
              <w:t>​</w:t>
            </w:r>
          </w:p>
        </w:tc>
        <w:tc>
          <w:tcPr>
            <w:tcW w:w="26" w:type="dxa"/>
            <w:tcBorders/>
            <w:shd w:fill="CCEEFF" w:val="clear"/>
            <w:vAlign w:val="bottom"/>
          </w:tcPr>
          <w:p>
            <w:pPr>
              <w:pStyle w:val="TableContents"/>
              <w:spacing w:lineRule="atLeast" w:line="180" w:before="0" w:after="283"/>
              <w:rPr/>
            </w:pPr>
            <w:r>
              <w:rPr/>
              <w:t>​</w:t>
            </w:r>
          </w:p>
        </w:tc>
        <w:tc>
          <w:tcPr>
            <w:tcW w:w="128" w:type="dxa"/>
            <w:tcBorders/>
            <w:shd w:fill="CCEEFF" w:val="clear"/>
            <w:vAlign w:val="bottom"/>
          </w:tcPr>
          <w:p>
            <w:pPr>
              <w:pStyle w:val="TableContents"/>
              <w:spacing w:lineRule="atLeast" w:line="180" w:before="0" w:after="283"/>
              <w:rPr>
                <w:rFonts w:ascii="arial" w:hAnsi="arial"/>
                <w:sz w:val="16"/>
              </w:rPr>
            </w:pPr>
            <w:r>
              <w:rPr>
                <w:rFonts w:ascii="arial" w:hAnsi="arial"/>
                <w:sz w:val="16"/>
              </w:rPr>
              <w:t>$</w:t>
            </w:r>
          </w:p>
        </w:tc>
        <w:tc>
          <w:tcPr>
            <w:tcW w:w="498" w:type="dxa"/>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32.64</w:t>
            </w:r>
          </w:p>
        </w:tc>
        <w:tc>
          <w:tcPr>
            <w:tcW w:w="29"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8/29/2026</w:t>
            </w:r>
          </w:p>
        </w:tc>
        <w:tc>
          <w:tcPr>
            <w:tcW w:w="23" w:type="dxa"/>
            <w:tcBorders/>
            <w:shd w:fill="CCEEFF" w:val="clear"/>
            <w:vAlign w:val="bottom"/>
          </w:tcPr>
          <w:p>
            <w:pPr>
              <w:pStyle w:val="TableContents"/>
              <w:spacing w:lineRule="atLeast" w:line="180" w:before="0" w:after="283"/>
              <w:rPr/>
            </w:pPr>
            <w:r>
              <w:rPr/>
              <w:t>​</w:t>
            </w:r>
          </w:p>
        </w:tc>
        <w:tc>
          <w:tcPr>
            <w:tcW w:w="72" w:type="dxa"/>
            <w:tcBorders/>
            <w:shd w:fill="CCEEFF" w:val="clear"/>
            <w:vAlign w:val="bottom"/>
          </w:tcPr>
          <w:p>
            <w:pPr>
              <w:pStyle w:val="TableContents"/>
              <w:spacing w:lineRule="atLeast" w:line="180" w:before="0" w:after="283"/>
              <w:rPr/>
            </w:pPr>
            <w:r>
              <w:rPr/>
              <w:t>​</w:t>
            </w:r>
          </w:p>
        </w:tc>
        <w:tc>
          <w:tcPr>
            <w:tcW w:w="42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584"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7" w:type="dxa"/>
            <w:tcBorders/>
            <w:shd w:fill="CCEEFF" w:val="clear"/>
            <w:vAlign w:val="bottom"/>
          </w:tcPr>
          <w:p>
            <w:pPr>
              <w:pStyle w:val="TableContents"/>
              <w:spacing w:lineRule="atLeast" w:line="180" w:before="0" w:after="283"/>
              <w:rPr/>
            </w:pPr>
            <w:r>
              <w:rPr/>
              <w:t>​</w:t>
            </w:r>
          </w:p>
        </w:tc>
        <w:tc>
          <w:tcPr>
            <w:tcW w:w="746"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65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737"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 w:type="dxa"/>
            <w:tcBorders/>
            <w:shd w:fill="CCEEFF" w:val="clear"/>
            <w:vAlign w:val="bottom"/>
          </w:tcPr>
          <w:p>
            <w:pPr>
              <w:pStyle w:val="TableContents"/>
              <w:spacing w:lineRule="atLeast" w:line="180" w:before="0" w:after="283"/>
              <w:rPr/>
            </w:pPr>
            <w:r>
              <w:rPr/>
              <w:t>​</w:t>
            </w:r>
          </w:p>
        </w:tc>
        <w:tc>
          <w:tcPr>
            <w:tcW w:w="24" w:type="dxa"/>
            <w:tcBorders/>
            <w:shd w:fill="CCEEFF" w:val="clear"/>
            <w:vAlign w:val="bottom"/>
          </w:tcPr>
          <w:p>
            <w:pPr>
              <w:pStyle w:val="TableContents"/>
              <w:spacing w:lineRule="atLeast" w:line="180" w:before="0" w:after="283"/>
              <w:rPr/>
            </w:pPr>
            <w:r>
              <w:rPr/>
              <w:t>​</w:t>
            </w:r>
          </w:p>
        </w:tc>
      </w:tr>
      <w:tr>
        <w:trPr/>
        <w:tc>
          <w:tcPr>
            <w:tcW w:w="795" w:type="dxa"/>
            <w:tcBorders/>
            <w:shd w:fill="CCEEFF" w:val="clear"/>
            <w:vAlign w:val="bottom"/>
          </w:tcPr>
          <w:p>
            <w:pPr>
              <w:pStyle w:val="TableContents"/>
              <w:spacing w:lineRule="atLeast" w:line="180" w:before="0" w:after="283"/>
              <w:rPr/>
            </w:pPr>
            <w:r>
              <w:rPr/>
              <w:t> </w:t>
            </w:r>
          </w:p>
        </w:tc>
        <w:tc>
          <w:tcPr>
            <w:tcW w:w="23" w:type="dxa"/>
            <w:tcBorders/>
            <w:shd w:fill="CCEEFF" w:val="clear"/>
            <w:vAlign w:val="bottom"/>
          </w:tcPr>
          <w:p>
            <w:pPr>
              <w:pStyle w:val="TableContents"/>
              <w:spacing w:lineRule="atLeast" w:line="180" w:before="0" w:after="283"/>
              <w:rPr/>
            </w:pPr>
            <w:r>
              <w:rPr/>
              <w:t>​</w:t>
            </w:r>
          </w:p>
        </w:tc>
        <w:tc>
          <w:tcPr>
            <w:tcW w:w="248"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5,000</w:t>
            </w:r>
          </w:p>
        </w:tc>
        <w:tc>
          <w:tcPr>
            <w:tcW w:w="251"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39"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6" w:type="dxa"/>
            <w:tcBorders/>
            <w:shd w:fill="CCEEFF" w:val="clear"/>
            <w:vAlign w:val="bottom"/>
          </w:tcPr>
          <w:p>
            <w:pPr>
              <w:pStyle w:val="TableContents"/>
              <w:spacing w:lineRule="atLeast" w:line="180" w:before="0" w:after="283"/>
              <w:rPr/>
            </w:pPr>
            <w:r>
              <w:rPr/>
              <w:t>​</w:t>
            </w:r>
          </w:p>
        </w:tc>
        <w:tc>
          <w:tcPr>
            <w:tcW w:w="128" w:type="dxa"/>
            <w:tcBorders/>
            <w:shd w:fill="CCEEFF" w:val="clear"/>
            <w:vAlign w:val="bottom"/>
          </w:tcPr>
          <w:p>
            <w:pPr>
              <w:pStyle w:val="TableContents"/>
              <w:spacing w:lineRule="atLeast" w:line="180" w:before="0" w:after="283"/>
              <w:rPr>
                <w:rFonts w:ascii="arial" w:hAnsi="arial"/>
                <w:sz w:val="16"/>
              </w:rPr>
            </w:pPr>
            <w:r>
              <w:rPr>
                <w:rFonts w:ascii="arial" w:hAnsi="arial"/>
                <w:sz w:val="16"/>
              </w:rPr>
              <w:t>$</w:t>
            </w:r>
          </w:p>
        </w:tc>
        <w:tc>
          <w:tcPr>
            <w:tcW w:w="498" w:type="dxa"/>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32.64</w:t>
            </w:r>
          </w:p>
        </w:tc>
        <w:tc>
          <w:tcPr>
            <w:tcW w:w="29"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8/29/2026</w:t>
            </w:r>
          </w:p>
        </w:tc>
        <w:tc>
          <w:tcPr>
            <w:tcW w:w="23" w:type="dxa"/>
            <w:tcBorders/>
            <w:shd w:fill="CCEEFF" w:val="clear"/>
            <w:vAlign w:val="bottom"/>
          </w:tcPr>
          <w:p>
            <w:pPr>
              <w:pStyle w:val="TableContents"/>
              <w:spacing w:lineRule="atLeast" w:line="180" w:before="0" w:after="283"/>
              <w:rPr/>
            </w:pPr>
            <w:r>
              <w:rPr/>
              <w:t>​</w:t>
            </w:r>
          </w:p>
        </w:tc>
        <w:tc>
          <w:tcPr>
            <w:tcW w:w="72" w:type="dxa"/>
            <w:tcBorders/>
            <w:shd w:fill="CCEEFF" w:val="clear"/>
            <w:vAlign w:val="bottom"/>
          </w:tcPr>
          <w:p>
            <w:pPr>
              <w:pStyle w:val="TableContents"/>
              <w:spacing w:lineRule="atLeast" w:line="180" w:before="0" w:after="283"/>
              <w:rPr/>
            </w:pPr>
            <w:r>
              <w:rPr/>
              <w:t>​</w:t>
            </w:r>
          </w:p>
        </w:tc>
        <w:tc>
          <w:tcPr>
            <w:tcW w:w="42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584"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7" w:type="dxa"/>
            <w:tcBorders/>
            <w:shd w:fill="CCEEFF" w:val="clear"/>
            <w:vAlign w:val="bottom"/>
          </w:tcPr>
          <w:p>
            <w:pPr>
              <w:pStyle w:val="TableContents"/>
              <w:spacing w:lineRule="atLeast" w:line="180" w:before="0" w:after="283"/>
              <w:rPr/>
            </w:pPr>
            <w:r>
              <w:rPr/>
              <w:t>​</w:t>
            </w:r>
          </w:p>
        </w:tc>
        <w:tc>
          <w:tcPr>
            <w:tcW w:w="746"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65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737"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 w:type="dxa"/>
            <w:tcBorders/>
            <w:shd w:fill="CCEEFF" w:val="clear"/>
            <w:vAlign w:val="bottom"/>
          </w:tcPr>
          <w:p>
            <w:pPr>
              <w:pStyle w:val="TableContents"/>
              <w:spacing w:lineRule="atLeast" w:line="180" w:before="0" w:after="283"/>
              <w:rPr/>
            </w:pPr>
            <w:r>
              <w:rPr/>
              <w:t>​</w:t>
            </w:r>
          </w:p>
        </w:tc>
        <w:tc>
          <w:tcPr>
            <w:tcW w:w="24" w:type="dxa"/>
            <w:tcBorders/>
            <w:shd w:fill="CCEEFF" w:val="clear"/>
            <w:vAlign w:val="bottom"/>
          </w:tcPr>
          <w:p>
            <w:pPr>
              <w:pStyle w:val="TableContents"/>
              <w:spacing w:lineRule="atLeast" w:line="180" w:before="0" w:after="283"/>
              <w:rPr/>
            </w:pPr>
            <w:r>
              <w:rPr/>
              <w:t>​</w:t>
            </w:r>
          </w:p>
        </w:tc>
      </w:tr>
      <w:tr>
        <w:trPr/>
        <w:tc>
          <w:tcPr>
            <w:tcW w:w="795" w:type="dxa"/>
            <w:tcBorders/>
            <w:shd w:fill="CCEEFF" w:val="clear"/>
            <w:vAlign w:val="bottom"/>
          </w:tcPr>
          <w:p>
            <w:pPr>
              <w:pStyle w:val="TableContents"/>
              <w:spacing w:lineRule="atLeast" w:line="180" w:before="0" w:after="283"/>
              <w:rPr/>
            </w:pPr>
            <w:r>
              <w:rPr/>
              <w:t> </w:t>
            </w:r>
          </w:p>
        </w:tc>
        <w:tc>
          <w:tcPr>
            <w:tcW w:w="23" w:type="dxa"/>
            <w:tcBorders/>
            <w:shd w:fill="CCEEFF" w:val="clear"/>
            <w:vAlign w:val="bottom"/>
          </w:tcPr>
          <w:p>
            <w:pPr>
              <w:pStyle w:val="TableContents"/>
              <w:spacing w:lineRule="atLeast" w:line="180" w:before="0" w:after="283"/>
              <w:rPr/>
            </w:pPr>
            <w:r>
              <w:rPr/>
              <w:t>​</w:t>
            </w:r>
          </w:p>
        </w:tc>
        <w:tc>
          <w:tcPr>
            <w:tcW w:w="248"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1"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39"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1,421</w:t>
            </w:r>
          </w:p>
        </w:tc>
        <w:tc>
          <w:tcPr>
            <w:tcW w:w="725" w:type="dxa"/>
            <w:tcBorders/>
            <w:shd w:fill="CCEEFF" w:val="clear"/>
            <w:vAlign w:val="bottom"/>
          </w:tcPr>
          <w:p>
            <w:pPr>
              <w:pStyle w:val="TableContents"/>
              <w:spacing w:lineRule="atLeast" w:line="180" w:before="0" w:after="283"/>
              <w:rPr>
                <w:rFonts w:ascii="arial" w:hAnsi="arial"/>
                <w:sz w:val="12"/>
              </w:rPr>
            </w:pPr>
            <w:r>
              <w:rPr>
                <w:rFonts w:ascii="arial" w:hAnsi="arial"/>
                <w:sz w:val="12"/>
              </w:rPr>
              <w:t>(7)</w:t>
            </w:r>
          </w:p>
        </w:tc>
        <w:tc>
          <w:tcPr>
            <w:tcW w:w="23" w:type="dxa"/>
            <w:tcBorders/>
            <w:shd w:fill="CCEEFF" w:val="clear"/>
            <w:vAlign w:val="bottom"/>
          </w:tcPr>
          <w:p>
            <w:pPr>
              <w:pStyle w:val="TableContents"/>
              <w:spacing w:lineRule="atLeast" w:line="180" w:before="0" w:after="283"/>
              <w:rPr/>
            </w:pPr>
            <w:r>
              <w:rPr/>
              <w:t>​</w:t>
            </w:r>
          </w:p>
        </w:tc>
        <w:tc>
          <w:tcPr>
            <w:tcW w:w="26" w:type="dxa"/>
            <w:tcBorders/>
            <w:shd w:fill="CCEEFF" w:val="clear"/>
            <w:vAlign w:val="bottom"/>
          </w:tcPr>
          <w:p>
            <w:pPr>
              <w:pStyle w:val="TableContents"/>
              <w:spacing w:lineRule="atLeast" w:line="180" w:before="0" w:after="283"/>
              <w:rPr/>
            </w:pPr>
            <w:r>
              <w:rPr/>
              <w:t>​</w:t>
            </w:r>
          </w:p>
        </w:tc>
        <w:tc>
          <w:tcPr>
            <w:tcW w:w="128" w:type="dxa"/>
            <w:tcBorders/>
            <w:shd w:fill="CCEEFF" w:val="clear"/>
            <w:vAlign w:val="bottom"/>
          </w:tcPr>
          <w:p>
            <w:pPr>
              <w:pStyle w:val="TableContents"/>
              <w:spacing w:lineRule="atLeast" w:line="180" w:before="0" w:after="283"/>
              <w:rPr>
                <w:rFonts w:ascii="arial" w:hAnsi="arial"/>
                <w:sz w:val="16"/>
              </w:rPr>
            </w:pPr>
            <w:r>
              <w:rPr>
                <w:rFonts w:ascii="arial" w:hAnsi="arial"/>
                <w:sz w:val="16"/>
              </w:rPr>
              <w:t>$</w:t>
            </w:r>
          </w:p>
        </w:tc>
        <w:tc>
          <w:tcPr>
            <w:tcW w:w="498" w:type="dxa"/>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39.13</w:t>
            </w:r>
          </w:p>
        </w:tc>
        <w:tc>
          <w:tcPr>
            <w:tcW w:w="29"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4/7/2027</w:t>
            </w:r>
          </w:p>
        </w:tc>
        <w:tc>
          <w:tcPr>
            <w:tcW w:w="23" w:type="dxa"/>
            <w:tcBorders/>
            <w:shd w:fill="CCEEFF" w:val="clear"/>
            <w:vAlign w:val="bottom"/>
          </w:tcPr>
          <w:p>
            <w:pPr>
              <w:pStyle w:val="TableContents"/>
              <w:spacing w:lineRule="atLeast" w:line="180" w:before="0" w:after="283"/>
              <w:rPr/>
            </w:pPr>
            <w:r>
              <w:rPr/>
              <w:t>​</w:t>
            </w:r>
          </w:p>
        </w:tc>
        <w:tc>
          <w:tcPr>
            <w:tcW w:w="72" w:type="dxa"/>
            <w:tcBorders/>
            <w:shd w:fill="CCEEFF" w:val="clear"/>
            <w:vAlign w:val="bottom"/>
          </w:tcPr>
          <w:p>
            <w:pPr>
              <w:pStyle w:val="TableContents"/>
              <w:spacing w:lineRule="atLeast" w:line="180" w:before="0" w:after="283"/>
              <w:rPr/>
            </w:pPr>
            <w:r>
              <w:rPr/>
              <w:t>​</w:t>
            </w:r>
          </w:p>
        </w:tc>
        <w:tc>
          <w:tcPr>
            <w:tcW w:w="42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584"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7" w:type="dxa"/>
            <w:tcBorders/>
            <w:shd w:fill="CCEEFF" w:val="clear"/>
            <w:vAlign w:val="bottom"/>
          </w:tcPr>
          <w:p>
            <w:pPr>
              <w:pStyle w:val="TableContents"/>
              <w:spacing w:lineRule="atLeast" w:line="180" w:before="0" w:after="283"/>
              <w:rPr/>
            </w:pPr>
            <w:r>
              <w:rPr/>
              <w:t>​</w:t>
            </w:r>
          </w:p>
        </w:tc>
        <w:tc>
          <w:tcPr>
            <w:tcW w:w="746"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65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737"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 w:type="dxa"/>
            <w:tcBorders/>
            <w:shd w:fill="CCEEFF" w:val="clear"/>
            <w:vAlign w:val="bottom"/>
          </w:tcPr>
          <w:p>
            <w:pPr>
              <w:pStyle w:val="TableContents"/>
              <w:spacing w:lineRule="atLeast" w:line="180" w:before="0" w:after="283"/>
              <w:rPr/>
            </w:pPr>
            <w:r>
              <w:rPr/>
              <w:t>​</w:t>
            </w:r>
          </w:p>
        </w:tc>
        <w:tc>
          <w:tcPr>
            <w:tcW w:w="24" w:type="dxa"/>
            <w:tcBorders/>
            <w:shd w:fill="CCEEFF" w:val="clear"/>
            <w:vAlign w:val="bottom"/>
          </w:tcPr>
          <w:p>
            <w:pPr>
              <w:pStyle w:val="TableContents"/>
              <w:spacing w:lineRule="atLeast" w:line="180" w:before="0" w:after="283"/>
              <w:rPr/>
            </w:pPr>
            <w:r>
              <w:rPr/>
              <w:t>​</w:t>
            </w:r>
          </w:p>
        </w:tc>
      </w:tr>
      <w:tr>
        <w:trPr/>
        <w:tc>
          <w:tcPr>
            <w:tcW w:w="795" w:type="dxa"/>
            <w:tcBorders/>
            <w:shd w:fill="CCEEFF" w:val="clear"/>
            <w:vAlign w:val="bottom"/>
          </w:tcPr>
          <w:p>
            <w:pPr>
              <w:pStyle w:val="TableContents"/>
              <w:spacing w:lineRule="atLeast" w:line="180" w:before="0" w:after="283"/>
              <w:rPr/>
            </w:pPr>
            <w:r>
              <w:rPr/>
              <w:t> </w:t>
            </w:r>
          </w:p>
        </w:tc>
        <w:tc>
          <w:tcPr>
            <w:tcW w:w="23" w:type="dxa"/>
            <w:tcBorders/>
            <w:shd w:fill="CCEEFF" w:val="clear"/>
            <w:vAlign w:val="bottom"/>
          </w:tcPr>
          <w:p>
            <w:pPr>
              <w:pStyle w:val="TableContents"/>
              <w:spacing w:lineRule="atLeast" w:line="180" w:before="0" w:after="283"/>
              <w:rPr/>
            </w:pPr>
            <w:r>
              <w:rPr/>
              <w:t>​</w:t>
            </w:r>
          </w:p>
        </w:tc>
        <w:tc>
          <w:tcPr>
            <w:tcW w:w="248"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1"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39"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1,667</w:t>
            </w:r>
          </w:p>
        </w:tc>
        <w:tc>
          <w:tcPr>
            <w:tcW w:w="725" w:type="dxa"/>
            <w:tcBorders/>
            <w:shd w:fill="CCEEFF" w:val="clear"/>
            <w:vAlign w:val="bottom"/>
          </w:tcPr>
          <w:p>
            <w:pPr>
              <w:pStyle w:val="TableContents"/>
              <w:spacing w:lineRule="atLeast" w:line="180" w:before="0" w:after="283"/>
              <w:rPr>
                <w:rFonts w:ascii="arial" w:hAnsi="arial"/>
                <w:sz w:val="12"/>
              </w:rPr>
            </w:pPr>
            <w:r>
              <w:rPr>
                <w:rFonts w:ascii="arial" w:hAnsi="arial"/>
                <w:sz w:val="12"/>
              </w:rPr>
              <w:t>(31)</w:t>
            </w:r>
          </w:p>
        </w:tc>
        <w:tc>
          <w:tcPr>
            <w:tcW w:w="23" w:type="dxa"/>
            <w:tcBorders/>
            <w:shd w:fill="CCEEFF" w:val="clear"/>
            <w:vAlign w:val="bottom"/>
          </w:tcPr>
          <w:p>
            <w:pPr>
              <w:pStyle w:val="TableContents"/>
              <w:spacing w:lineRule="atLeast" w:line="180" w:before="0" w:after="283"/>
              <w:rPr/>
            </w:pPr>
            <w:r>
              <w:rPr/>
              <w:t>​</w:t>
            </w:r>
          </w:p>
        </w:tc>
        <w:tc>
          <w:tcPr>
            <w:tcW w:w="26" w:type="dxa"/>
            <w:tcBorders/>
            <w:shd w:fill="CCEEFF" w:val="clear"/>
            <w:vAlign w:val="bottom"/>
          </w:tcPr>
          <w:p>
            <w:pPr>
              <w:pStyle w:val="TableContents"/>
              <w:spacing w:lineRule="atLeast" w:line="180" w:before="0" w:after="283"/>
              <w:rPr/>
            </w:pPr>
            <w:r>
              <w:rPr/>
              <w:t>​</w:t>
            </w:r>
          </w:p>
        </w:tc>
        <w:tc>
          <w:tcPr>
            <w:tcW w:w="128" w:type="dxa"/>
            <w:tcBorders/>
            <w:shd w:fill="CCEEFF" w:val="clear"/>
            <w:vAlign w:val="bottom"/>
          </w:tcPr>
          <w:p>
            <w:pPr>
              <w:pStyle w:val="TableContents"/>
              <w:spacing w:lineRule="atLeast" w:line="180" w:before="0" w:after="283"/>
              <w:rPr>
                <w:rFonts w:ascii="arial" w:hAnsi="arial"/>
                <w:sz w:val="16"/>
              </w:rPr>
            </w:pPr>
            <w:r>
              <w:rPr>
                <w:rFonts w:ascii="arial" w:hAnsi="arial"/>
                <w:sz w:val="16"/>
              </w:rPr>
              <w:t>$</w:t>
            </w:r>
          </w:p>
        </w:tc>
        <w:tc>
          <w:tcPr>
            <w:tcW w:w="498" w:type="dxa"/>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27.65</w:t>
            </w:r>
          </w:p>
        </w:tc>
        <w:tc>
          <w:tcPr>
            <w:tcW w:w="29"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7/27/2027</w:t>
            </w:r>
          </w:p>
        </w:tc>
        <w:tc>
          <w:tcPr>
            <w:tcW w:w="23" w:type="dxa"/>
            <w:tcBorders/>
            <w:shd w:fill="CCEEFF" w:val="clear"/>
            <w:vAlign w:val="bottom"/>
          </w:tcPr>
          <w:p>
            <w:pPr>
              <w:pStyle w:val="TableContents"/>
              <w:spacing w:lineRule="atLeast" w:line="180" w:before="0" w:after="283"/>
              <w:rPr/>
            </w:pPr>
            <w:r>
              <w:rPr/>
              <w:t>​</w:t>
            </w:r>
          </w:p>
        </w:tc>
        <w:tc>
          <w:tcPr>
            <w:tcW w:w="72" w:type="dxa"/>
            <w:tcBorders/>
            <w:shd w:fill="CCEEFF" w:val="clear"/>
            <w:vAlign w:val="bottom"/>
          </w:tcPr>
          <w:p>
            <w:pPr>
              <w:pStyle w:val="TableContents"/>
              <w:spacing w:lineRule="atLeast" w:line="180" w:before="0" w:after="283"/>
              <w:rPr/>
            </w:pPr>
            <w:r>
              <w:rPr/>
              <w:t>​</w:t>
            </w:r>
          </w:p>
        </w:tc>
        <w:tc>
          <w:tcPr>
            <w:tcW w:w="42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584"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7" w:type="dxa"/>
            <w:tcBorders/>
            <w:shd w:fill="CCEEFF" w:val="clear"/>
            <w:vAlign w:val="bottom"/>
          </w:tcPr>
          <w:p>
            <w:pPr>
              <w:pStyle w:val="TableContents"/>
              <w:spacing w:lineRule="atLeast" w:line="180" w:before="0" w:after="283"/>
              <w:rPr/>
            </w:pPr>
            <w:r>
              <w:rPr/>
              <w:t>​</w:t>
            </w:r>
          </w:p>
        </w:tc>
        <w:tc>
          <w:tcPr>
            <w:tcW w:w="746"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65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737"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 w:type="dxa"/>
            <w:tcBorders/>
            <w:shd w:fill="CCEEFF" w:val="clear"/>
            <w:vAlign w:val="bottom"/>
          </w:tcPr>
          <w:p>
            <w:pPr>
              <w:pStyle w:val="TableContents"/>
              <w:spacing w:lineRule="atLeast" w:line="180" w:before="0" w:after="283"/>
              <w:rPr/>
            </w:pPr>
            <w:r>
              <w:rPr/>
              <w:t>​</w:t>
            </w:r>
          </w:p>
        </w:tc>
        <w:tc>
          <w:tcPr>
            <w:tcW w:w="24" w:type="dxa"/>
            <w:tcBorders/>
            <w:shd w:fill="CCEEFF" w:val="clear"/>
            <w:vAlign w:val="bottom"/>
          </w:tcPr>
          <w:p>
            <w:pPr>
              <w:pStyle w:val="TableContents"/>
              <w:spacing w:lineRule="atLeast" w:line="180" w:before="0" w:after="283"/>
              <w:rPr/>
            </w:pPr>
            <w:r>
              <w:rPr/>
              <w:t>​</w:t>
            </w:r>
          </w:p>
        </w:tc>
      </w:tr>
      <w:tr>
        <w:trPr/>
        <w:tc>
          <w:tcPr>
            <w:tcW w:w="795" w:type="dxa"/>
            <w:tcBorders/>
            <w:shd w:fill="CCEEFF" w:val="clear"/>
            <w:vAlign w:val="bottom"/>
          </w:tcPr>
          <w:p>
            <w:pPr>
              <w:pStyle w:val="TableContents"/>
              <w:spacing w:lineRule="atLeast" w:line="180" w:before="0" w:after="283"/>
              <w:rPr/>
            </w:pPr>
            <w:r>
              <w:rPr/>
              <w:t> </w:t>
            </w:r>
          </w:p>
        </w:tc>
        <w:tc>
          <w:tcPr>
            <w:tcW w:w="23" w:type="dxa"/>
            <w:tcBorders/>
            <w:shd w:fill="CCEEFF" w:val="clear"/>
            <w:vAlign w:val="bottom"/>
          </w:tcPr>
          <w:p>
            <w:pPr>
              <w:pStyle w:val="TableContents"/>
              <w:spacing w:lineRule="atLeast" w:line="180" w:before="0" w:after="283"/>
              <w:rPr/>
            </w:pPr>
            <w:r>
              <w:rPr/>
              <w:t>​</w:t>
            </w:r>
          </w:p>
        </w:tc>
        <w:tc>
          <w:tcPr>
            <w:tcW w:w="248"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1"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39"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3,333</w:t>
            </w:r>
          </w:p>
        </w:tc>
        <w:tc>
          <w:tcPr>
            <w:tcW w:w="725" w:type="dxa"/>
            <w:tcBorders/>
            <w:shd w:fill="CCEEFF" w:val="clear"/>
            <w:vAlign w:val="bottom"/>
          </w:tcPr>
          <w:p>
            <w:pPr>
              <w:pStyle w:val="TableContents"/>
              <w:spacing w:lineRule="atLeast" w:line="180" w:before="0" w:after="283"/>
              <w:rPr>
                <w:rFonts w:ascii="arial" w:hAnsi="arial"/>
                <w:sz w:val="12"/>
              </w:rPr>
            </w:pPr>
            <w:r>
              <w:rPr>
                <w:rFonts w:ascii="arial" w:hAnsi="arial"/>
                <w:sz w:val="12"/>
              </w:rPr>
              <w:t>(32)</w:t>
            </w:r>
          </w:p>
        </w:tc>
        <w:tc>
          <w:tcPr>
            <w:tcW w:w="23" w:type="dxa"/>
            <w:tcBorders/>
            <w:shd w:fill="CCEEFF" w:val="clear"/>
            <w:vAlign w:val="bottom"/>
          </w:tcPr>
          <w:p>
            <w:pPr>
              <w:pStyle w:val="TableContents"/>
              <w:spacing w:lineRule="atLeast" w:line="180" w:before="0" w:after="283"/>
              <w:rPr/>
            </w:pPr>
            <w:r>
              <w:rPr/>
              <w:t>​</w:t>
            </w:r>
          </w:p>
        </w:tc>
        <w:tc>
          <w:tcPr>
            <w:tcW w:w="26" w:type="dxa"/>
            <w:tcBorders/>
            <w:shd w:fill="CCEEFF" w:val="clear"/>
            <w:vAlign w:val="bottom"/>
          </w:tcPr>
          <w:p>
            <w:pPr>
              <w:pStyle w:val="TableContents"/>
              <w:spacing w:lineRule="atLeast" w:line="180" w:before="0" w:after="283"/>
              <w:rPr/>
            </w:pPr>
            <w:r>
              <w:rPr/>
              <w:t>​</w:t>
            </w:r>
          </w:p>
        </w:tc>
        <w:tc>
          <w:tcPr>
            <w:tcW w:w="128" w:type="dxa"/>
            <w:tcBorders/>
            <w:shd w:fill="CCEEFF" w:val="clear"/>
            <w:vAlign w:val="bottom"/>
          </w:tcPr>
          <w:p>
            <w:pPr>
              <w:pStyle w:val="TableContents"/>
              <w:spacing w:lineRule="atLeast" w:line="180" w:before="0" w:after="283"/>
              <w:rPr>
                <w:rFonts w:ascii="arial" w:hAnsi="arial"/>
                <w:sz w:val="16"/>
              </w:rPr>
            </w:pPr>
            <w:r>
              <w:rPr>
                <w:rFonts w:ascii="arial" w:hAnsi="arial"/>
                <w:sz w:val="16"/>
              </w:rPr>
              <w:t>$</w:t>
            </w:r>
          </w:p>
        </w:tc>
        <w:tc>
          <w:tcPr>
            <w:tcW w:w="498" w:type="dxa"/>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27.65</w:t>
            </w:r>
          </w:p>
        </w:tc>
        <w:tc>
          <w:tcPr>
            <w:tcW w:w="29"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7/27/2027</w:t>
            </w:r>
          </w:p>
        </w:tc>
        <w:tc>
          <w:tcPr>
            <w:tcW w:w="23" w:type="dxa"/>
            <w:tcBorders/>
            <w:shd w:fill="CCEEFF" w:val="clear"/>
            <w:vAlign w:val="bottom"/>
          </w:tcPr>
          <w:p>
            <w:pPr>
              <w:pStyle w:val="TableContents"/>
              <w:spacing w:lineRule="atLeast" w:line="180" w:before="0" w:after="283"/>
              <w:rPr/>
            </w:pPr>
            <w:r>
              <w:rPr/>
              <w:t>​</w:t>
            </w:r>
          </w:p>
        </w:tc>
        <w:tc>
          <w:tcPr>
            <w:tcW w:w="72" w:type="dxa"/>
            <w:tcBorders/>
            <w:shd w:fill="CCEEFF" w:val="clear"/>
            <w:vAlign w:val="bottom"/>
          </w:tcPr>
          <w:p>
            <w:pPr>
              <w:pStyle w:val="TableContents"/>
              <w:spacing w:lineRule="atLeast" w:line="180" w:before="0" w:after="283"/>
              <w:rPr/>
            </w:pPr>
            <w:r>
              <w:rPr/>
              <w:t>​</w:t>
            </w:r>
          </w:p>
        </w:tc>
        <w:tc>
          <w:tcPr>
            <w:tcW w:w="42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584"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7" w:type="dxa"/>
            <w:tcBorders/>
            <w:shd w:fill="CCEEFF" w:val="clear"/>
            <w:vAlign w:val="bottom"/>
          </w:tcPr>
          <w:p>
            <w:pPr>
              <w:pStyle w:val="TableContents"/>
              <w:spacing w:lineRule="atLeast" w:line="180" w:before="0" w:after="283"/>
              <w:rPr/>
            </w:pPr>
            <w:r>
              <w:rPr/>
              <w:t>​</w:t>
            </w:r>
          </w:p>
        </w:tc>
        <w:tc>
          <w:tcPr>
            <w:tcW w:w="746"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65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737"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 w:type="dxa"/>
            <w:tcBorders/>
            <w:shd w:fill="CCEEFF" w:val="clear"/>
            <w:vAlign w:val="bottom"/>
          </w:tcPr>
          <w:p>
            <w:pPr>
              <w:pStyle w:val="TableContents"/>
              <w:spacing w:lineRule="atLeast" w:line="180" w:before="0" w:after="283"/>
              <w:rPr/>
            </w:pPr>
            <w:r>
              <w:rPr/>
              <w:t>​</w:t>
            </w:r>
          </w:p>
        </w:tc>
        <w:tc>
          <w:tcPr>
            <w:tcW w:w="24" w:type="dxa"/>
            <w:tcBorders/>
            <w:shd w:fill="CCEEFF" w:val="clear"/>
            <w:vAlign w:val="bottom"/>
          </w:tcPr>
          <w:p>
            <w:pPr>
              <w:pStyle w:val="TableContents"/>
              <w:spacing w:lineRule="atLeast" w:line="180" w:before="0" w:after="283"/>
              <w:rPr/>
            </w:pPr>
            <w:r>
              <w:rPr/>
              <w:t>​</w:t>
            </w:r>
          </w:p>
        </w:tc>
      </w:tr>
      <w:tr>
        <w:trPr/>
        <w:tc>
          <w:tcPr>
            <w:tcW w:w="795" w:type="dxa"/>
            <w:tcBorders/>
            <w:shd w:fill="CCEEFF" w:val="clear"/>
            <w:vAlign w:val="bottom"/>
          </w:tcPr>
          <w:p>
            <w:pPr>
              <w:pStyle w:val="TableContents"/>
              <w:spacing w:lineRule="atLeast" w:line="180" w:before="0" w:after="283"/>
              <w:rPr/>
            </w:pPr>
            <w:r>
              <w:rPr/>
              <w:t> </w:t>
            </w:r>
          </w:p>
        </w:tc>
        <w:tc>
          <w:tcPr>
            <w:tcW w:w="23" w:type="dxa"/>
            <w:tcBorders/>
            <w:shd w:fill="CCEEFF" w:val="clear"/>
            <w:vAlign w:val="bottom"/>
          </w:tcPr>
          <w:p>
            <w:pPr>
              <w:pStyle w:val="TableContents"/>
              <w:spacing w:lineRule="atLeast" w:line="180" w:before="0" w:after="283"/>
              <w:rPr/>
            </w:pPr>
            <w:r>
              <w:rPr/>
              <w:t>​</w:t>
            </w:r>
          </w:p>
        </w:tc>
        <w:tc>
          <w:tcPr>
            <w:tcW w:w="248"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7,420</w:t>
            </w:r>
          </w:p>
        </w:tc>
        <w:tc>
          <w:tcPr>
            <w:tcW w:w="251"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39"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7,420</w:t>
            </w:r>
          </w:p>
        </w:tc>
        <w:tc>
          <w:tcPr>
            <w:tcW w:w="758" w:type="dxa"/>
            <w:tcBorders/>
            <w:shd w:fill="CCEEFF" w:val="clear"/>
            <w:vAlign w:val="bottom"/>
          </w:tcPr>
          <w:p>
            <w:pPr>
              <w:pStyle w:val="TableContents"/>
              <w:spacing w:lineRule="atLeast" w:line="180" w:before="0" w:after="283"/>
              <w:rPr>
                <w:rFonts w:ascii="arial" w:hAnsi="arial"/>
                <w:sz w:val="12"/>
              </w:rPr>
            </w:pPr>
            <w:r>
              <w:rPr>
                <w:rFonts w:ascii="arial" w:hAnsi="arial"/>
                <w:sz w:val="12"/>
              </w:rPr>
              <w:t>(8)</w:t>
            </w:r>
          </w:p>
        </w:tc>
        <w:tc>
          <w:tcPr>
            <w:tcW w:w="23"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6" w:type="dxa"/>
            <w:tcBorders/>
            <w:shd w:fill="CCEEFF" w:val="clear"/>
            <w:vAlign w:val="bottom"/>
          </w:tcPr>
          <w:p>
            <w:pPr>
              <w:pStyle w:val="TableContents"/>
              <w:spacing w:lineRule="atLeast" w:line="180" w:before="0" w:after="283"/>
              <w:rPr/>
            </w:pPr>
            <w:r>
              <w:rPr/>
              <w:t>​</w:t>
            </w:r>
          </w:p>
        </w:tc>
        <w:tc>
          <w:tcPr>
            <w:tcW w:w="128" w:type="dxa"/>
            <w:tcBorders/>
            <w:shd w:fill="CCEEFF" w:val="clear"/>
            <w:vAlign w:val="bottom"/>
          </w:tcPr>
          <w:p>
            <w:pPr>
              <w:pStyle w:val="TableContents"/>
              <w:spacing w:lineRule="atLeast" w:line="180" w:before="0" w:after="283"/>
              <w:rPr>
                <w:rFonts w:ascii="arial" w:hAnsi="arial"/>
                <w:sz w:val="16"/>
              </w:rPr>
            </w:pPr>
            <w:r>
              <w:rPr>
                <w:rFonts w:ascii="arial" w:hAnsi="arial"/>
                <w:sz w:val="16"/>
              </w:rPr>
              <w:t>$</w:t>
            </w:r>
          </w:p>
        </w:tc>
        <w:tc>
          <w:tcPr>
            <w:tcW w:w="498" w:type="dxa"/>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24.82</w:t>
            </w:r>
          </w:p>
        </w:tc>
        <w:tc>
          <w:tcPr>
            <w:tcW w:w="29"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2/12/2028</w:t>
            </w:r>
          </w:p>
        </w:tc>
        <w:tc>
          <w:tcPr>
            <w:tcW w:w="23" w:type="dxa"/>
            <w:tcBorders/>
            <w:shd w:fill="CCEEFF" w:val="clear"/>
            <w:vAlign w:val="bottom"/>
          </w:tcPr>
          <w:p>
            <w:pPr>
              <w:pStyle w:val="TableContents"/>
              <w:spacing w:lineRule="atLeast" w:line="180" w:before="0" w:after="283"/>
              <w:rPr/>
            </w:pPr>
            <w:r>
              <w:rPr/>
              <w:t>​</w:t>
            </w:r>
          </w:p>
        </w:tc>
        <w:tc>
          <w:tcPr>
            <w:tcW w:w="72" w:type="dxa"/>
            <w:tcBorders/>
            <w:shd w:fill="CCEEFF" w:val="clear"/>
            <w:vAlign w:val="bottom"/>
          </w:tcPr>
          <w:p>
            <w:pPr>
              <w:pStyle w:val="TableContents"/>
              <w:spacing w:lineRule="atLeast" w:line="180" w:before="0" w:after="283"/>
              <w:rPr/>
            </w:pPr>
            <w:r>
              <w:rPr/>
              <w:t>​</w:t>
            </w:r>
          </w:p>
        </w:tc>
        <w:tc>
          <w:tcPr>
            <w:tcW w:w="42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584"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7" w:type="dxa"/>
            <w:tcBorders/>
            <w:shd w:fill="CCEEFF" w:val="clear"/>
            <w:vAlign w:val="bottom"/>
          </w:tcPr>
          <w:p>
            <w:pPr>
              <w:pStyle w:val="TableContents"/>
              <w:spacing w:lineRule="atLeast" w:line="180" w:before="0" w:after="283"/>
              <w:rPr/>
            </w:pPr>
            <w:r>
              <w:rPr/>
              <w:t>​</w:t>
            </w:r>
          </w:p>
        </w:tc>
        <w:tc>
          <w:tcPr>
            <w:tcW w:w="746"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65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737"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 w:type="dxa"/>
            <w:tcBorders/>
            <w:shd w:fill="CCEEFF" w:val="clear"/>
            <w:vAlign w:val="bottom"/>
          </w:tcPr>
          <w:p>
            <w:pPr>
              <w:pStyle w:val="TableContents"/>
              <w:spacing w:lineRule="atLeast" w:line="180" w:before="0" w:after="283"/>
              <w:rPr/>
            </w:pPr>
            <w:r>
              <w:rPr/>
              <w:t>​</w:t>
            </w:r>
          </w:p>
        </w:tc>
        <w:tc>
          <w:tcPr>
            <w:tcW w:w="24" w:type="dxa"/>
            <w:tcBorders/>
            <w:shd w:fill="CCEEFF" w:val="clear"/>
            <w:vAlign w:val="bottom"/>
          </w:tcPr>
          <w:p>
            <w:pPr>
              <w:pStyle w:val="TableContents"/>
              <w:spacing w:lineRule="atLeast" w:line="180" w:before="0" w:after="283"/>
              <w:rPr/>
            </w:pPr>
            <w:r>
              <w:rPr/>
              <w:t>​</w:t>
            </w:r>
          </w:p>
        </w:tc>
      </w:tr>
      <w:tr>
        <w:trPr/>
        <w:tc>
          <w:tcPr>
            <w:tcW w:w="795" w:type="dxa"/>
            <w:tcBorders/>
            <w:shd w:fill="CCEEFF" w:val="clear"/>
            <w:vAlign w:val="bottom"/>
          </w:tcPr>
          <w:p>
            <w:pPr>
              <w:pStyle w:val="TableContents"/>
              <w:spacing w:lineRule="atLeast" w:line="180" w:before="0" w:after="283"/>
              <w:rPr/>
            </w:pPr>
            <w:r>
              <w:rPr/>
              <w:t> </w:t>
            </w:r>
          </w:p>
        </w:tc>
        <w:tc>
          <w:tcPr>
            <w:tcW w:w="23" w:type="dxa"/>
            <w:tcBorders/>
            <w:shd w:fill="CCEEFF" w:val="clear"/>
            <w:vAlign w:val="bottom"/>
          </w:tcPr>
          <w:p>
            <w:pPr>
              <w:pStyle w:val="TableContents"/>
              <w:spacing w:lineRule="atLeast" w:line="180" w:before="0" w:after="283"/>
              <w:rPr/>
            </w:pPr>
            <w:r>
              <w:rPr/>
              <w:t>​</w:t>
            </w:r>
          </w:p>
        </w:tc>
        <w:tc>
          <w:tcPr>
            <w:tcW w:w="248"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1"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39"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6" w:type="dxa"/>
            <w:tcBorders/>
            <w:shd w:fill="CCEEFF" w:val="clear"/>
            <w:vAlign w:val="bottom"/>
          </w:tcPr>
          <w:p>
            <w:pPr>
              <w:pStyle w:val="TableContents"/>
              <w:spacing w:lineRule="atLeast" w:line="180" w:before="0" w:after="283"/>
              <w:rPr/>
            </w:pPr>
            <w:r>
              <w:rPr/>
              <w:t>​</w:t>
            </w:r>
          </w:p>
        </w:tc>
        <w:tc>
          <w:tcPr>
            <w:tcW w:w="626"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9"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3" w:type="dxa"/>
            <w:tcBorders/>
            <w:shd w:fill="CCEEFF" w:val="clear"/>
            <w:vAlign w:val="bottom"/>
          </w:tcPr>
          <w:p>
            <w:pPr>
              <w:pStyle w:val="TableContents"/>
              <w:spacing w:lineRule="atLeast" w:line="180" w:before="0" w:after="283"/>
              <w:rPr/>
            </w:pPr>
            <w:r>
              <w:rPr/>
              <w:t>​</w:t>
            </w:r>
          </w:p>
        </w:tc>
        <w:tc>
          <w:tcPr>
            <w:tcW w:w="72" w:type="dxa"/>
            <w:tcBorders/>
            <w:shd w:fill="CCEEFF" w:val="clear"/>
            <w:vAlign w:val="bottom"/>
          </w:tcPr>
          <w:p>
            <w:pPr>
              <w:pStyle w:val="TableContents"/>
              <w:spacing w:lineRule="atLeast" w:line="180" w:before="0" w:after="283"/>
              <w:rPr/>
            </w:pPr>
            <w:r>
              <w:rPr/>
              <w:t>​</w:t>
            </w:r>
          </w:p>
        </w:tc>
        <w:tc>
          <w:tcPr>
            <w:tcW w:w="42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3,750</w:t>
            </w:r>
          </w:p>
        </w:tc>
        <w:tc>
          <w:tcPr>
            <w:tcW w:w="584" w:type="dxa"/>
            <w:tcBorders/>
            <w:shd w:fill="CCEEFF" w:val="clear"/>
            <w:vAlign w:val="bottom"/>
          </w:tcPr>
          <w:p>
            <w:pPr>
              <w:pStyle w:val="TableContents"/>
              <w:spacing w:lineRule="atLeast" w:line="180" w:before="0" w:after="283"/>
              <w:rPr>
                <w:rFonts w:ascii="arial" w:hAnsi="arial"/>
                <w:sz w:val="12"/>
              </w:rPr>
            </w:pPr>
            <w:r>
              <w:rPr>
                <w:rFonts w:ascii="arial" w:hAnsi="arial"/>
                <w:sz w:val="12"/>
              </w:rPr>
              <w:t>(33)</w:t>
            </w:r>
          </w:p>
        </w:tc>
        <w:tc>
          <w:tcPr>
            <w:tcW w:w="23" w:type="dxa"/>
            <w:tcBorders/>
            <w:shd w:fill="CCEEFF" w:val="clear"/>
            <w:vAlign w:val="bottom"/>
          </w:tcPr>
          <w:p>
            <w:pPr>
              <w:pStyle w:val="TableContents"/>
              <w:spacing w:lineRule="atLeast" w:line="180" w:before="0" w:after="283"/>
              <w:rPr/>
            </w:pPr>
            <w:r>
              <w:rPr/>
              <w:t>​</w:t>
            </w:r>
          </w:p>
        </w:tc>
        <w:tc>
          <w:tcPr>
            <w:tcW w:w="27" w:type="dxa"/>
            <w:tcBorders/>
            <w:shd w:fill="CCEEFF" w:val="clear"/>
            <w:vAlign w:val="bottom"/>
          </w:tcPr>
          <w:p>
            <w:pPr>
              <w:pStyle w:val="TableContents"/>
              <w:spacing w:lineRule="atLeast" w:line="180" w:before="0" w:after="283"/>
              <w:rPr/>
            </w:pPr>
            <w:r>
              <w:rPr/>
              <w:t>​</w:t>
            </w:r>
          </w:p>
        </w:tc>
        <w:tc>
          <w:tcPr>
            <w:tcW w:w="132" w:type="dxa"/>
            <w:tcBorders/>
            <w:shd w:fill="CCEEFF" w:val="clear"/>
            <w:vAlign w:val="bottom"/>
          </w:tcPr>
          <w:p>
            <w:pPr>
              <w:pStyle w:val="TableContents"/>
              <w:spacing w:lineRule="atLeast" w:line="180" w:before="0" w:after="283"/>
              <w:rPr>
                <w:rFonts w:ascii="arial" w:hAnsi="arial"/>
                <w:sz w:val="16"/>
              </w:rPr>
            </w:pPr>
            <w:r>
              <w:rPr>
                <w:rFonts w:ascii="arial" w:hAnsi="arial"/>
                <w:sz w:val="16"/>
              </w:rPr>
              <w:t>$</w:t>
            </w:r>
          </w:p>
        </w:tc>
        <w:tc>
          <w:tcPr>
            <w:tcW w:w="614" w:type="dxa"/>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48,300</w:t>
            </w:r>
          </w:p>
        </w:tc>
        <w:tc>
          <w:tcPr>
            <w:tcW w:w="2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65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737"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 w:type="dxa"/>
            <w:tcBorders/>
            <w:shd w:fill="CCEEFF" w:val="clear"/>
            <w:vAlign w:val="bottom"/>
          </w:tcPr>
          <w:p>
            <w:pPr>
              <w:pStyle w:val="TableContents"/>
              <w:spacing w:lineRule="atLeast" w:line="180" w:before="0" w:after="283"/>
              <w:rPr/>
            </w:pPr>
            <w:r>
              <w:rPr/>
              <w:t>​</w:t>
            </w:r>
          </w:p>
        </w:tc>
        <w:tc>
          <w:tcPr>
            <w:tcW w:w="24" w:type="dxa"/>
            <w:tcBorders/>
            <w:shd w:fill="CCEEFF" w:val="clear"/>
            <w:vAlign w:val="bottom"/>
          </w:tcPr>
          <w:p>
            <w:pPr>
              <w:pStyle w:val="TableContents"/>
              <w:spacing w:lineRule="atLeast" w:line="180" w:before="0" w:after="283"/>
              <w:rPr/>
            </w:pPr>
            <w:r>
              <w:rPr/>
              <w:t>​</w:t>
            </w:r>
          </w:p>
        </w:tc>
      </w:tr>
      <w:tr>
        <w:trPr/>
        <w:tc>
          <w:tcPr>
            <w:tcW w:w="795" w:type="dxa"/>
            <w:tcBorders/>
            <w:shd w:fill="CCEEFF" w:val="clear"/>
            <w:vAlign w:val="bottom"/>
          </w:tcPr>
          <w:p>
            <w:pPr>
              <w:pStyle w:val="TableContents"/>
              <w:spacing w:lineRule="atLeast" w:line="180" w:before="0" w:after="283"/>
              <w:rPr/>
            </w:pPr>
            <w:r>
              <w:rPr/>
              <w:t> </w:t>
            </w:r>
          </w:p>
        </w:tc>
        <w:tc>
          <w:tcPr>
            <w:tcW w:w="23" w:type="dxa"/>
            <w:tcBorders/>
            <w:shd w:fill="CCEEFF" w:val="clear"/>
            <w:vAlign w:val="bottom"/>
          </w:tcPr>
          <w:p>
            <w:pPr>
              <w:pStyle w:val="TableContents"/>
              <w:spacing w:lineRule="atLeast" w:line="180" w:before="0" w:after="283"/>
              <w:rPr/>
            </w:pPr>
            <w:r>
              <w:rPr/>
              <w:t>​</w:t>
            </w:r>
          </w:p>
        </w:tc>
        <w:tc>
          <w:tcPr>
            <w:tcW w:w="248"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1"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39"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6" w:type="dxa"/>
            <w:tcBorders/>
            <w:shd w:fill="CCEEFF" w:val="clear"/>
            <w:vAlign w:val="bottom"/>
          </w:tcPr>
          <w:p>
            <w:pPr>
              <w:pStyle w:val="TableContents"/>
              <w:spacing w:lineRule="atLeast" w:line="180" w:before="0" w:after="283"/>
              <w:rPr/>
            </w:pPr>
            <w:r>
              <w:rPr/>
              <w:t>​</w:t>
            </w:r>
          </w:p>
        </w:tc>
        <w:tc>
          <w:tcPr>
            <w:tcW w:w="626"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9"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3" w:type="dxa"/>
            <w:tcBorders/>
            <w:shd w:fill="CCEEFF" w:val="clear"/>
            <w:vAlign w:val="bottom"/>
          </w:tcPr>
          <w:p>
            <w:pPr>
              <w:pStyle w:val="TableContents"/>
              <w:spacing w:lineRule="atLeast" w:line="180" w:before="0" w:after="283"/>
              <w:rPr/>
            </w:pPr>
            <w:r>
              <w:rPr/>
              <w:t>​</w:t>
            </w:r>
          </w:p>
        </w:tc>
        <w:tc>
          <w:tcPr>
            <w:tcW w:w="72" w:type="dxa"/>
            <w:tcBorders/>
            <w:shd w:fill="CCEEFF" w:val="clear"/>
            <w:vAlign w:val="bottom"/>
          </w:tcPr>
          <w:p>
            <w:pPr>
              <w:pStyle w:val="TableContents"/>
              <w:spacing w:lineRule="atLeast" w:line="180" w:before="0" w:after="283"/>
              <w:rPr/>
            </w:pPr>
            <w:r>
              <w:rPr/>
              <w:t>​</w:t>
            </w:r>
          </w:p>
        </w:tc>
        <w:tc>
          <w:tcPr>
            <w:tcW w:w="42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2,124</w:t>
            </w:r>
          </w:p>
        </w:tc>
        <w:tc>
          <w:tcPr>
            <w:tcW w:w="584" w:type="dxa"/>
            <w:tcBorders/>
            <w:shd w:fill="CCEEFF" w:val="clear"/>
            <w:vAlign w:val="bottom"/>
          </w:tcPr>
          <w:p>
            <w:pPr>
              <w:pStyle w:val="TableContents"/>
              <w:spacing w:lineRule="atLeast" w:line="180" w:before="0" w:after="283"/>
              <w:rPr>
                <w:rFonts w:ascii="arial" w:hAnsi="arial"/>
                <w:sz w:val="12"/>
              </w:rPr>
            </w:pPr>
            <w:r>
              <w:rPr>
                <w:rFonts w:ascii="arial" w:hAnsi="arial"/>
                <w:sz w:val="12"/>
              </w:rPr>
              <w:t>(9)</w:t>
            </w:r>
          </w:p>
        </w:tc>
        <w:tc>
          <w:tcPr>
            <w:tcW w:w="23" w:type="dxa"/>
            <w:tcBorders/>
            <w:shd w:fill="CCEEFF" w:val="clear"/>
            <w:vAlign w:val="bottom"/>
          </w:tcPr>
          <w:p>
            <w:pPr>
              <w:pStyle w:val="TableContents"/>
              <w:spacing w:lineRule="atLeast" w:line="180" w:before="0" w:after="283"/>
              <w:rPr/>
            </w:pPr>
            <w:r>
              <w:rPr/>
              <w:t>​</w:t>
            </w:r>
          </w:p>
        </w:tc>
        <w:tc>
          <w:tcPr>
            <w:tcW w:w="27" w:type="dxa"/>
            <w:tcBorders/>
            <w:shd w:fill="CCEEFF" w:val="clear"/>
            <w:vAlign w:val="bottom"/>
          </w:tcPr>
          <w:p>
            <w:pPr>
              <w:pStyle w:val="TableContents"/>
              <w:spacing w:lineRule="atLeast" w:line="180" w:before="0" w:after="283"/>
              <w:rPr/>
            </w:pPr>
            <w:r>
              <w:rPr/>
              <w:t>​</w:t>
            </w:r>
          </w:p>
        </w:tc>
        <w:tc>
          <w:tcPr>
            <w:tcW w:w="132" w:type="dxa"/>
            <w:tcBorders/>
            <w:shd w:fill="CCEEFF" w:val="clear"/>
            <w:vAlign w:val="bottom"/>
          </w:tcPr>
          <w:p>
            <w:pPr>
              <w:pStyle w:val="TableContents"/>
              <w:spacing w:lineRule="atLeast" w:line="180" w:before="0" w:after="283"/>
              <w:rPr>
                <w:rFonts w:ascii="arial" w:hAnsi="arial"/>
                <w:sz w:val="16"/>
              </w:rPr>
            </w:pPr>
            <w:r>
              <w:rPr>
                <w:rFonts w:ascii="arial" w:hAnsi="arial"/>
                <w:sz w:val="16"/>
              </w:rPr>
              <w:t>$</w:t>
            </w:r>
          </w:p>
        </w:tc>
        <w:tc>
          <w:tcPr>
            <w:tcW w:w="614" w:type="dxa"/>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27,357</w:t>
            </w:r>
          </w:p>
        </w:tc>
        <w:tc>
          <w:tcPr>
            <w:tcW w:w="2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65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737"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 w:type="dxa"/>
            <w:tcBorders/>
            <w:shd w:fill="CCEEFF" w:val="clear"/>
            <w:vAlign w:val="bottom"/>
          </w:tcPr>
          <w:p>
            <w:pPr>
              <w:pStyle w:val="TableContents"/>
              <w:spacing w:lineRule="atLeast" w:line="180" w:before="0" w:after="283"/>
              <w:rPr/>
            </w:pPr>
            <w:r>
              <w:rPr/>
              <w:t>​</w:t>
            </w:r>
          </w:p>
        </w:tc>
        <w:tc>
          <w:tcPr>
            <w:tcW w:w="24" w:type="dxa"/>
            <w:tcBorders/>
            <w:shd w:fill="CCEEFF" w:val="clear"/>
            <w:vAlign w:val="bottom"/>
          </w:tcPr>
          <w:p>
            <w:pPr>
              <w:pStyle w:val="TableContents"/>
              <w:spacing w:lineRule="atLeast" w:line="180" w:before="0" w:after="283"/>
              <w:rPr/>
            </w:pPr>
            <w:r>
              <w:rPr/>
              <w:t>​</w:t>
            </w:r>
          </w:p>
        </w:tc>
      </w:tr>
      <w:tr>
        <w:trPr/>
        <w:tc>
          <w:tcPr>
            <w:tcW w:w="795" w:type="dxa"/>
            <w:tcBorders/>
            <w:shd w:fill="CCEEFF" w:val="clear"/>
            <w:vAlign w:val="bottom"/>
          </w:tcPr>
          <w:p>
            <w:pPr>
              <w:pStyle w:val="TableContents"/>
              <w:spacing w:lineRule="atLeast" w:line="180" w:before="0" w:after="283"/>
              <w:rPr/>
            </w:pPr>
            <w:r>
              <w:rPr/>
              <w:t> </w:t>
            </w:r>
          </w:p>
        </w:tc>
        <w:tc>
          <w:tcPr>
            <w:tcW w:w="23" w:type="dxa"/>
            <w:tcBorders/>
            <w:shd w:fill="CCEEFF" w:val="clear"/>
            <w:vAlign w:val="bottom"/>
          </w:tcPr>
          <w:p>
            <w:pPr>
              <w:pStyle w:val="TableContents"/>
              <w:spacing w:lineRule="atLeast" w:line="180" w:before="0" w:after="283"/>
              <w:rPr/>
            </w:pPr>
            <w:r>
              <w:rPr/>
              <w:t>​</w:t>
            </w:r>
          </w:p>
        </w:tc>
        <w:tc>
          <w:tcPr>
            <w:tcW w:w="248"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1"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39"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6" w:type="dxa"/>
            <w:tcBorders/>
            <w:shd w:fill="CCEEFF" w:val="clear"/>
            <w:vAlign w:val="bottom"/>
          </w:tcPr>
          <w:p>
            <w:pPr>
              <w:pStyle w:val="TableContents"/>
              <w:spacing w:lineRule="atLeast" w:line="180" w:before="0" w:after="283"/>
              <w:rPr/>
            </w:pPr>
            <w:r>
              <w:rPr/>
              <w:t>​</w:t>
            </w:r>
          </w:p>
        </w:tc>
        <w:tc>
          <w:tcPr>
            <w:tcW w:w="626"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9"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3" w:type="dxa"/>
            <w:tcBorders/>
            <w:shd w:fill="CCEEFF" w:val="clear"/>
            <w:vAlign w:val="bottom"/>
          </w:tcPr>
          <w:p>
            <w:pPr>
              <w:pStyle w:val="TableContents"/>
              <w:spacing w:lineRule="atLeast" w:line="180" w:before="0" w:after="283"/>
              <w:rPr/>
            </w:pPr>
            <w:r>
              <w:rPr/>
              <w:t>​</w:t>
            </w:r>
          </w:p>
        </w:tc>
        <w:tc>
          <w:tcPr>
            <w:tcW w:w="72" w:type="dxa"/>
            <w:tcBorders/>
            <w:shd w:fill="CCEEFF" w:val="clear"/>
            <w:vAlign w:val="bottom"/>
          </w:tcPr>
          <w:p>
            <w:pPr>
              <w:pStyle w:val="TableContents"/>
              <w:spacing w:lineRule="atLeast" w:line="180" w:before="0" w:after="283"/>
              <w:rPr/>
            </w:pPr>
            <w:r>
              <w:rPr/>
              <w:t>​</w:t>
            </w:r>
          </w:p>
        </w:tc>
        <w:tc>
          <w:tcPr>
            <w:tcW w:w="42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2,776</w:t>
            </w:r>
          </w:p>
        </w:tc>
        <w:tc>
          <w:tcPr>
            <w:tcW w:w="584" w:type="dxa"/>
            <w:tcBorders/>
            <w:shd w:fill="CCEEFF" w:val="clear"/>
            <w:vAlign w:val="bottom"/>
          </w:tcPr>
          <w:p>
            <w:pPr>
              <w:pStyle w:val="TableContents"/>
              <w:spacing w:lineRule="atLeast" w:line="180" w:before="0" w:after="283"/>
              <w:rPr>
                <w:rFonts w:ascii="arial" w:hAnsi="arial"/>
                <w:sz w:val="12"/>
              </w:rPr>
            </w:pPr>
            <w:r>
              <w:rPr>
                <w:rFonts w:ascii="arial" w:hAnsi="arial"/>
                <w:sz w:val="12"/>
              </w:rPr>
              <w:t>(10)</w:t>
            </w:r>
          </w:p>
        </w:tc>
        <w:tc>
          <w:tcPr>
            <w:tcW w:w="23" w:type="dxa"/>
            <w:tcBorders/>
            <w:shd w:fill="CCEEFF" w:val="clear"/>
            <w:vAlign w:val="bottom"/>
          </w:tcPr>
          <w:p>
            <w:pPr>
              <w:pStyle w:val="TableContents"/>
              <w:spacing w:lineRule="atLeast" w:line="180" w:before="0" w:after="283"/>
              <w:rPr/>
            </w:pPr>
            <w:r>
              <w:rPr/>
              <w:t>​</w:t>
            </w:r>
          </w:p>
        </w:tc>
        <w:tc>
          <w:tcPr>
            <w:tcW w:w="27" w:type="dxa"/>
            <w:tcBorders/>
            <w:shd w:fill="CCEEFF" w:val="clear"/>
            <w:vAlign w:val="bottom"/>
          </w:tcPr>
          <w:p>
            <w:pPr>
              <w:pStyle w:val="TableContents"/>
              <w:spacing w:lineRule="atLeast" w:line="180" w:before="0" w:after="283"/>
              <w:rPr/>
            </w:pPr>
            <w:r>
              <w:rPr/>
              <w:t>​</w:t>
            </w:r>
          </w:p>
        </w:tc>
        <w:tc>
          <w:tcPr>
            <w:tcW w:w="132" w:type="dxa"/>
            <w:tcBorders/>
            <w:shd w:fill="CCEEFF" w:val="clear"/>
            <w:vAlign w:val="bottom"/>
          </w:tcPr>
          <w:p>
            <w:pPr>
              <w:pStyle w:val="TableContents"/>
              <w:spacing w:lineRule="atLeast" w:line="180" w:before="0" w:after="283"/>
              <w:rPr>
                <w:rFonts w:ascii="arial" w:hAnsi="arial"/>
                <w:sz w:val="16"/>
              </w:rPr>
            </w:pPr>
            <w:r>
              <w:rPr>
                <w:rFonts w:ascii="arial" w:hAnsi="arial"/>
                <w:sz w:val="16"/>
              </w:rPr>
              <w:t>$</w:t>
            </w:r>
          </w:p>
        </w:tc>
        <w:tc>
          <w:tcPr>
            <w:tcW w:w="614" w:type="dxa"/>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35,755</w:t>
            </w:r>
          </w:p>
        </w:tc>
        <w:tc>
          <w:tcPr>
            <w:tcW w:w="2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65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737"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 w:type="dxa"/>
            <w:tcBorders/>
            <w:shd w:fill="CCEEFF" w:val="clear"/>
            <w:vAlign w:val="bottom"/>
          </w:tcPr>
          <w:p>
            <w:pPr>
              <w:pStyle w:val="TableContents"/>
              <w:spacing w:lineRule="atLeast" w:line="180" w:before="0" w:after="283"/>
              <w:rPr/>
            </w:pPr>
            <w:r>
              <w:rPr/>
              <w:t>​</w:t>
            </w:r>
          </w:p>
        </w:tc>
        <w:tc>
          <w:tcPr>
            <w:tcW w:w="24" w:type="dxa"/>
            <w:tcBorders/>
            <w:shd w:fill="CCEEFF" w:val="clear"/>
            <w:vAlign w:val="bottom"/>
          </w:tcPr>
          <w:p>
            <w:pPr>
              <w:pStyle w:val="TableContents"/>
              <w:spacing w:lineRule="atLeast" w:line="180" w:before="0" w:after="283"/>
              <w:rPr/>
            </w:pPr>
            <w:r>
              <w:rPr/>
              <w:t>​</w:t>
            </w:r>
          </w:p>
        </w:tc>
      </w:tr>
      <w:tr>
        <w:trPr/>
        <w:tc>
          <w:tcPr>
            <w:tcW w:w="795" w:type="dxa"/>
            <w:tcBorders/>
            <w:shd w:fill="CCEEFF" w:val="clear"/>
            <w:vAlign w:val="bottom"/>
          </w:tcPr>
          <w:p>
            <w:pPr>
              <w:pStyle w:val="TableContents"/>
              <w:spacing w:lineRule="atLeast" w:line="180" w:before="0" w:after="283"/>
              <w:rPr/>
            </w:pPr>
            <w:r>
              <w:rPr/>
              <w:t> </w:t>
            </w:r>
          </w:p>
        </w:tc>
        <w:tc>
          <w:tcPr>
            <w:tcW w:w="23" w:type="dxa"/>
            <w:tcBorders/>
            <w:shd w:fill="CCEEFF" w:val="clear"/>
            <w:vAlign w:val="bottom"/>
          </w:tcPr>
          <w:p>
            <w:pPr>
              <w:pStyle w:val="TableContents"/>
              <w:spacing w:lineRule="atLeast" w:line="180" w:before="0" w:after="283"/>
              <w:rPr/>
            </w:pPr>
            <w:r>
              <w:rPr/>
              <w:t>​</w:t>
            </w:r>
          </w:p>
        </w:tc>
        <w:tc>
          <w:tcPr>
            <w:tcW w:w="248"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1"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39"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6" w:type="dxa"/>
            <w:tcBorders/>
            <w:shd w:fill="CCEEFF" w:val="clear"/>
            <w:vAlign w:val="bottom"/>
          </w:tcPr>
          <w:p>
            <w:pPr>
              <w:pStyle w:val="TableContents"/>
              <w:spacing w:lineRule="atLeast" w:line="180" w:before="0" w:after="283"/>
              <w:rPr/>
            </w:pPr>
            <w:r>
              <w:rPr/>
              <w:t>​</w:t>
            </w:r>
          </w:p>
        </w:tc>
        <w:tc>
          <w:tcPr>
            <w:tcW w:w="626"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9"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3" w:type="dxa"/>
            <w:tcBorders/>
            <w:shd w:fill="CCEEFF" w:val="clear"/>
            <w:vAlign w:val="bottom"/>
          </w:tcPr>
          <w:p>
            <w:pPr>
              <w:pStyle w:val="TableContents"/>
              <w:spacing w:lineRule="atLeast" w:line="180" w:before="0" w:after="283"/>
              <w:rPr/>
            </w:pPr>
            <w:r>
              <w:rPr/>
              <w:t>​</w:t>
            </w:r>
          </w:p>
        </w:tc>
        <w:tc>
          <w:tcPr>
            <w:tcW w:w="72" w:type="dxa"/>
            <w:tcBorders/>
            <w:shd w:fill="CCEEFF" w:val="clear"/>
            <w:vAlign w:val="bottom"/>
          </w:tcPr>
          <w:p>
            <w:pPr>
              <w:pStyle w:val="TableContents"/>
              <w:spacing w:lineRule="atLeast" w:line="180" w:before="0" w:after="283"/>
              <w:rPr/>
            </w:pPr>
            <w:r>
              <w:rPr/>
              <w:t>​</w:t>
            </w:r>
          </w:p>
        </w:tc>
        <w:tc>
          <w:tcPr>
            <w:tcW w:w="42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584"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7" w:type="dxa"/>
            <w:tcBorders/>
            <w:shd w:fill="CCEEFF" w:val="clear"/>
            <w:vAlign w:val="bottom"/>
          </w:tcPr>
          <w:p>
            <w:pPr>
              <w:pStyle w:val="TableContents"/>
              <w:spacing w:lineRule="atLeast" w:line="180" w:before="0" w:after="283"/>
              <w:rPr/>
            </w:pPr>
            <w:r>
              <w:rPr/>
              <w:t>​</w:t>
            </w:r>
          </w:p>
        </w:tc>
        <w:tc>
          <w:tcPr>
            <w:tcW w:w="746"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4,793</w:t>
            </w:r>
          </w:p>
        </w:tc>
        <w:tc>
          <w:tcPr>
            <w:tcW w:w="650" w:type="dxa"/>
            <w:tcBorders/>
            <w:shd w:fill="CCEEFF" w:val="clear"/>
            <w:vAlign w:val="bottom"/>
          </w:tcPr>
          <w:p>
            <w:pPr>
              <w:pStyle w:val="TableContents"/>
              <w:spacing w:lineRule="atLeast" w:line="180" w:before="0" w:after="283"/>
              <w:rPr>
                <w:rFonts w:ascii="arial" w:hAnsi="arial"/>
                <w:sz w:val="12"/>
              </w:rPr>
            </w:pPr>
            <w:r>
              <w:rPr>
                <w:rFonts w:ascii="arial" w:hAnsi="arial"/>
                <w:sz w:val="12"/>
              </w:rPr>
              <w:t>(11)</w:t>
            </w:r>
          </w:p>
        </w:tc>
        <w:tc>
          <w:tcPr>
            <w:tcW w:w="23"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13" w:type="dxa"/>
            <w:tcBorders/>
            <w:shd w:fill="CCEEFF" w:val="clear"/>
            <w:vAlign w:val="bottom"/>
          </w:tcPr>
          <w:p>
            <w:pPr>
              <w:pStyle w:val="TableContents"/>
              <w:spacing w:lineRule="atLeast" w:line="180" w:before="0" w:after="283"/>
              <w:rPr>
                <w:rFonts w:ascii="arial" w:hAnsi="arial"/>
                <w:sz w:val="16"/>
              </w:rPr>
            </w:pPr>
            <w:r>
              <w:rPr>
                <w:rFonts w:ascii="arial" w:hAnsi="arial"/>
                <w:sz w:val="16"/>
              </w:rPr>
              <w:t>$</w:t>
            </w:r>
          </w:p>
        </w:tc>
        <w:tc>
          <w:tcPr>
            <w:tcW w:w="624" w:type="dxa"/>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22,089</w:t>
            </w:r>
          </w:p>
        </w:tc>
        <w:tc>
          <w:tcPr>
            <w:tcW w:w="25" w:type="dxa"/>
            <w:tcBorders/>
            <w:shd w:fill="CCEEFF" w:val="clear"/>
            <w:vAlign w:val="bottom"/>
          </w:tcPr>
          <w:p>
            <w:pPr>
              <w:pStyle w:val="TableContents"/>
              <w:spacing w:lineRule="atLeast" w:line="180" w:before="0" w:after="283"/>
              <w:rPr/>
            </w:pPr>
            <w:r>
              <w:rPr/>
              <w:t>​</w:t>
            </w:r>
          </w:p>
        </w:tc>
        <w:tc>
          <w:tcPr>
            <w:tcW w:w="24" w:type="dxa"/>
            <w:tcBorders/>
            <w:shd w:fill="CCEEFF" w:val="clear"/>
            <w:vAlign w:val="bottom"/>
          </w:tcPr>
          <w:p>
            <w:pPr>
              <w:pStyle w:val="TableContents"/>
              <w:spacing w:lineRule="atLeast" w:line="180" w:before="0" w:after="283"/>
              <w:rPr/>
            </w:pPr>
            <w:r>
              <w:rPr/>
              <w:t>​</w:t>
            </w:r>
          </w:p>
        </w:tc>
      </w:tr>
      <w:tr>
        <w:trPr/>
        <w:tc>
          <w:tcPr>
            <w:tcW w:w="795" w:type="dxa"/>
            <w:tcBorders/>
            <w:shd w:fill="CCEEFF" w:val="clear"/>
            <w:vAlign w:val="bottom"/>
          </w:tcPr>
          <w:p>
            <w:pPr>
              <w:pStyle w:val="TableContents"/>
              <w:spacing w:lineRule="atLeast" w:line="180" w:before="0" w:after="283"/>
              <w:rPr/>
            </w:pPr>
            <w:r>
              <w:rPr/>
              <w:t> </w:t>
            </w:r>
          </w:p>
        </w:tc>
        <w:tc>
          <w:tcPr>
            <w:tcW w:w="23" w:type="dxa"/>
            <w:tcBorders/>
            <w:shd w:fill="CCEEFF" w:val="clear"/>
            <w:vAlign w:val="bottom"/>
          </w:tcPr>
          <w:p>
            <w:pPr>
              <w:pStyle w:val="TableContents"/>
              <w:spacing w:lineRule="atLeast" w:line="180" w:before="0" w:after="283"/>
              <w:rPr/>
            </w:pPr>
            <w:r>
              <w:rPr/>
              <w:t>​</w:t>
            </w:r>
          </w:p>
        </w:tc>
        <w:tc>
          <w:tcPr>
            <w:tcW w:w="248"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1"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39"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6" w:type="dxa"/>
            <w:tcBorders/>
            <w:shd w:fill="CCEEFF" w:val="clear"/>
            <w:vAlign w:val="bottom"/>
          </w:tcPr>
          <w:p>
            <w:pPr>
              <w:pStyle w:val="TableContents"/>
              <w:spacing w:lineRule="atLeast" w:line="180" w:before="0" w:after="283"/>
              <w:rPr/>
            </w:pPr>
            <w:r>
              <w:rPr/>
              <w:t>​</w:t>
            </w:r>
          </w:p>
        </w:tc>
        <w:tc>
          <w:tcPr>
            <w:tcW w:w="626"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9"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3" w:type="dxa"/>
            <w:tcBorders/>
            <w:shd w:fill="CCEEFF" w:val="clear"/>
            <w:vAlign w:val="bottom"/>
          </w:tcPr>
          <w:p>
            <w:pPr>
              <w:pStyle w:val="TableContents"/>
              <w:spacing w:lineRule="atLeast" w:line="180" w:before="0" w:after="283"/>
              <w:rPr/>
            </w:pPr>
            <w:r>
              <w:rPr/>
              <w:t>​</w:t>
            </w:r>
          </w:p>
        </w:tc>
        <w:tc>
          <w:tcPr>
            <w:tcW w:w="72" w:type="dxa"/>
            <w:tcBorders/>
            <w:shd w:fill="CCEEFF" w:val="clear"/>
            <w:vAlign w:val="bottom"/>
          </w:tcPr>
          <w:p>
            <w:pPr>
              <w:pStyle w:val="TableContents"/>
              <w:spacing w:lineRule="atLeast" w:line="180" w:before="0" w:after="283"/>
              <w:rPr/>
            </w:pPr>
            <w:r>
              <w:rPr/>
              <w:t>​</w:t>
            </w:r>
          </w:p>
        </w:tc>
        <w:tc>
          <w:tcPr>
            <w:tcW w:w="42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584"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7" w:type="dxa"/>
            <w:tcBorders/>
            <w:shd w:fill="CCEEFF" w:val="clear"/>
            <w:vAlign w:val="bottom"/>
          </w:tcPr>
          <w:p>
            <w:pPr>
              <w:pStyle w:val="TableContents"/>
              <w:spacing w:lineRule="atLeast" w:line="180" w:before="0" w:after="283"/>
              <w:rPr/>
            </w:pPr>
            <w:r>
              <w:rPr/>
              <w:t>​</w:t>
            </w:r>
          </w:p>
        </w:tc>
        <w:tc>
          <w:tcPr>
            <w:tcW w:w="746"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3,195</w:t>
            </w:r>
          </w:p>
        </w:tc>
        <w:tc>
          <w:tcPr>
            <w:tcW w:w="650" w:type="dxa"/>
            <w:tcBorders/>
            <w:shd w:fill="CCEEFF" w:val="clear"/>
            <w:vAlign w:val="bottom"/>
          </w:tcPr>
          <w:p>
            <w:pPr>
              <w:pStyle w:val="TableContents"/>
              <w:spacing w:lineRule="atLeast" w:line="180" w:before="0" w:after="283"/>
              <w:rPr>
                <w:rFonts w:ascii="arial" w:hAnsi="arial"/>
                <w:sz w:val="12"/>
              </w:rPr>
            </w:pPr>
            <w:r>
              <w:rPr>
                <w:rFonts w:ascii="arial" w:hAnsi="arial"/>
                <w:sz w:val="12"/>
              </w:rPr>
              <w:t>(12)</w:t>
            </w:r>
          </w:p>
        </w:tc>
        <w:tc>
          <w:tcPr>
            <w:tcW w:w="23"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13" w:type="dxa"/>
            <w:tcBorders/>
            <w:shd w:fill="CCEEFF" w:val="clear"/>
            <w:vAlign w:val="bottom"/>
          </w:tcPr>
          <w:p>
            <w:pPr>
              <w:pStyle w:val="TableContents"/>
              <w:spacing w:lineRule="atLeast" w:line="180" w:before="0" w:after="283"/>
              <w:rPr>
                <w:rFonts w:ascii="arial" w:hAnsi="arial"/>
                <w:sz w:val="16"/>
              </w:rPr>
            </w:pPr>
            <w:r>
              <w:rPr>
                <w:rFonts w:ascii="arial" w:hAnsi="arial"/>
                <w:sz w:val="16"/>
              </w:rPr>
              <w:t>$</w:t>
            </w:r>
          </w:p>
        </w:tc>
        <w:tc>
          <w:tcPr>
            <w:tcW w:w="624" w:type="dxa"/>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41,152</w:t>
            </w:r>
          </w:p>
        </w:tc>
        <w:tc>
          <w:tcPr>
            <w:tcW w:w="25" w:type="dxa"/>
            <w:tcBorders/>
            <w:shd w:fill="CCEEFF" w:val="clear"/>
            <w:vAlign w:val="bottom"/>
          </w:tcPr>
          <w:p>
            <w:pPr>
              <w:pStyle w:val="TableContents"/>
              <w:spacing w:lineRule="atLeast" w:line="180" w:before="0" w:after="283"/>
              <w:rPr/>
            </w:pPr>
            <w:r>
              <w:rPr/>
              <w:t>​</w:t>
            </w:r>
          </w:p>
        </w:tc>
        <w:tc>
          <w:tcPr>
            <w:tcW w:w="24" w:type="dxa"/>
            <w:tcBorders/>
            <w:shd w:fill="CCEEFF" w:val="clear"/>
            <w:vAlign w:val="bottom"/>
          </w:tcPr>
          <w:p>
            <w:pPr>
              <w:pStyle w:val="TableContents"/>
              <w:spacing w:lineRule="atLeast" w:line="180" w:before="0" w:after="283"/>
              <w:rPr/>
            </w:pPr>
            <w:r>
              <w:rPr/>
              <w:t>​</w:t>
            </w:r>
          </w:p>
        </w:tc>
      </w:tr>
      <w:tr>
        <w:trPr/>
        <w:tc>
          <w:tcPr>
            <w:tcW w:w="795" w:type="dxa"/>
            <w:tcBorders/>
            <w:shd w:fill="CCEEFF" w:val="clear"/>
            <w:vAlign w:val="bottom"/>
          </w:tcPr>
          <w:p>
            <w:pPr>
              <w:pStyle w:val="TableContents"/>
              <w:spacing w:lineRule="atLeast" w:line="180" w:before="0" w:after="283"/>
              <w:rPr/>
            </w:pPr>
            <w:r>
              <w:rPr/>
              <w:t> </w:t>
            </w:r>
          </w:p>
        </w:tc>
        <w:tc>
          <w:tcPr>
            <w:tcW w:w="23" w:type="dxa"/>
            <w:tcBorders/>
            <w:shd w:fill="CCEEFF" w:val="clear"/>
            <w:vAlign w:val="bottom"/>
          </w:tcPr>
          <w:p>
            <w:pPr>
              <w:pStyle w:val="TableContents"/>
              <w:spacing w:lineRule="atLeast" w:line="180" w:before="0" w:after="283"/>
              <w:rPr/>
            </w:pPr>
            <w:r>
              <w:rPr/>
              <w:t>​</w:t>
            </w:r>
          </w:p>
        </w:tc>
        <w:tc>
          <w:tcPr>
            <w:tcW w:w="248"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1"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39"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6" w:type="dxa"/>
            <w:tcBorders/>
            <w:shd w:fill="CCEEFF" w:val="clear"/>
            <w:vAlign w:val="bottom"/>
          </w:tcPr>
          <w:p>
            <w:pPr>
              <w:pStyle w:val="TableContents"/>
              <w:spacing w:lineRule="atLeast" w:line="180" w:before="0" w:after="283"/>
              <w:rPr/>
            </w:pPr>
            <w:r>
              <w:rPr/>
              <w:t>​</w:t>
            </w:r>
          </w:p>
        </w:tc>
        <w:tc>
          <w:tcPr>
            <w:tcW w:w="626"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9"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3" w:type="dxa"/>
            <w:tcBorders/>
            <w:shd w:fill="CCEEFF" w:val="clear"/>
            <w:vAlign w:val="bottom"/>
          </w:tcPr>
          <w:p>
            <w:pPr>
              <w:pStyle w:val="TableContents"/>
              <w:spacing w:lineRule="atLeast" w:line="180" w:before="0" w:after="283"/>
              <w:rPr/>
            </w:pPr>
            <w:r>
              <w:rPr/>
              <w:t>​</w:t>
            </w:r>
          </w:p>
        </w:tc>
        <w:tc>
          <w:tcPr>
            <w:tcW w:w="72" w:type="dxa"/>
            <w:tcBorders/>
            <w:shd w:fill="CCEEFF" w:val="clear"/>
            <w:vAlign w:val="bottom"/>
          </w:tcPr>
          <w:p>
            <w:pPr>
              <w:pStyle w:val="TableContents"/>
              <w:spacing w:lineRule="atLeast" w:line="180" w:before="0" w:after="283"/>
              <w:rPr/>
            </w:pPr>
            <w:r>
              <w:rPr/>
              <w:t>​</w:t>
            </w:r>
          </w:p>
        </w:tc>
        <w:tc>
          <w:tcPr>
            <w:tcW w:w="42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584"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7" w:type="dxa"/>
            <w:tcBorders/>
            <w:shd w:fill="CCEEFF" w:val="clear"/>
            <w:vAlign w:val="bottom"/>
          </w:tcPr>
          <w:p>
            <w:pPr>
              <w:pStyle w:val="TableContents"/>
              <w:spacing w:lineRule="atLeast" w:line="180" w:before="0" w:after="283"/>
              <w:rPr/>
            </w:pPr>
            <w:r>
              <w:rPr/>
              <w:t>​</w:t>
            </w:r>
          </w:p>
        </w:tc>
        <w:tc>
          <w:tcPr>
            <w:tcW w:w="746"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6,316</w:t>
            </w:r>
          </w:p>
        </w:tc>
        <w:tc>
          <w:tcPr>
            <w:tcW w:w="650" w:type="dxa"/>
            <w:tcBorders/>
            <w:shd w:fill="CCEEFF" w:val="clear"/>
            <w:vAlign w:val="bottom"/>
          </w:tcPr>
          <w:p>
            <w:pPr>
              <w:pStyle w:val="TableContents"/>
              <w:spacing w:lineRule="atLeast" w:line="180" w:before="0" w:after="283"/>
              <w:rPr>
                <w:rFonts w:ascii="arial" w:hAnsi="arial"/>
                <w:sz w:val="12"/>
              </w:rPr>
            </w:pPr>
            <w:r>
              <w:rPr>
                <w:rFonts w:ascii="arial" w:hAnsi="arial"/>
                <w:sz w:val="12"/>
              </w:rPr>
              <w:t>(21)</w:t>
            </w:r>
          </w:p>
        </w:tc>
        <w:tc>
          <w:tcPr>
            <w:tcW w:w="23"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13" w:type="dxa"/>
            <w:tcBorders/>
            <w:shd w:fill="CCEEFF" w:val="clear"/>
            <w:vAlign w:val="bottom"/>
          </w:tcPr>
          <w:p>
            <w:pPr>
              <w:pStyle w:val="TableContents"/>
              <w:spacing w:lineRule="atLeast" w:line="180" w:before="0" w:after="283"/>
              <w:rPr>
                <w:rFonts w:ascii="arial" w:hAnsi="arial"/>
                <w:sz w:val="16"/>
              </w:rPr>
            </w:pPr>
            <w:r>
              <w:rPr>
                <w:rFonts w:ascii="arial" w:hAnsi="arial"/>
                <w:sz w:val="16"/>
              </w:rPr>
              <w:t>$</w:t>
            </w:r>
          </w:p>
        </w:tc>
        <w:tc>
          <w:tcPr>
            <w:tcW w:w="624" w:type="dxa"/>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40,675</w:t>
            </w:r>
          </w:p>
        </w:tc>
        <w:tc>
          <w:tcPr>
            <w:tcW w:w="25" w:type="dxa"/>
            <w:tcBorders/>
            <w:shd w:fill="CCEEFF" w:val="clear"/>
            <w:vAlign w:val="bottom"/>
          </w:tcPr>
          <w:p>
            <w:pPr>
              <w:pStyle w:val="TableContents"/>
              <w:spacing w:lineRule="atLeast" w:line="180" w:before="0" w:after="283"/>
              <w:rPr/>
            </w:pPr>
            <w:r>
              <w:rPr/>
              <w:t>​</w:t>
            </w:r>
          </w:p>
        </w:tc>
        <w:tc>
          <w:tcPr>
            <w:tcW w:w="24" w:type="dxa"/>
            <w:tcBorders/>
            <w:shd w:fill="CCEEFF" w:val="clear"/>
            <w:vAlign w:val="bottom"/>
          </w:tcPr>
          <w:p>
            <w:pPr>
              <w:pStyle w:val="TableContents"/>
              <w:spacing w:lineRule="atLeast" w:line="180" w:before="0" w:after="283"/>
              <w:rPr/>
            </w:pPr>
            <w:r>
              <w:rPr/>
              <w:t>​</w:t>
            </w:r>
          </w:p>
        </w:tc>
      </w:tr>
      <w:tr>
        <w:trPr/>
        <w:tc>
          <w:tcPr>
            <w:tcW w:w="795" w:type="dxa"/>
            <w:tcBorders/>
            <w:shd w:fill="CCEEFF" w:val="clear"/>
            <w:vAlign w:val="bottom"/>
          </w:tcPr>
          <w:p>
            <w:pPr>
              <w:pStyle w:val="TableContents"/>
              <w:spacing w:lineRule="atLeast" w:line="180" w:before="0" w:after="283"/>
              <w:rPr/>
            </w:pPr>
            <w:r>
              <w:rPr/>
              <w:t> </w:t>
            </w:r>
          </w:p>
        </w:tc>
        <w:tc>
          <w:tcPr>
            <w:tcW w:w="23" w:type="dxa"/>
            <w:tcBorders/>
            <w:shd w:fill="CCEEFF" w:val="clear"/>
            <w:vAlign w:val="bottom"/>
          </w:tcPr>
          <w:p>
            <w:pPr>
              <w:pStyle w:val="TableContents"/>
              <w:spacing w:lineRule="atLeast" w:line="180" w:before="0" w:after="283"/>
              <w:rPr/>
            </w:pPr>
            <w:r>
              <w:rPr/>
              <w:t>​</w:t>
            </w:r>
          </w:p>
        </w:tc>
        <w:tc>
          <w:tcPr>
            <w:tcW w:w="248"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1"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39"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6" w:type="dxa"/>
            <w:tcBorders/>
            <w:shd w:fill="CCEEFF" w:val="clear"/>
            <w:vAlign w:val="bottom"/>
          </w:tcPr>
          <w:p>
            <w:pPr>
              <w:pStyle w:val="TableContents"/>
              <w:spacing w:lineRule="atLeast" w:line="180" w:before="0" w:after="283"/>
              <w:rPr/>
            </w:pPr>
            <w:r>
              <w:rPr/>
              <w:t>​</w:t>
            </w:r>
          </w:p>
        </w:tc>
        <w:tc>
          <w:tcPr>
            <w:tcW w:w="626"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9"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3" w:type="dxa"/>
            <w:tcBorders/>
            <w:shd w:fill="CCEEFF" w:val="clear"/>
            <w:vAlign w:val="bottom"/>
          </w:tcPr>
          <w:p>
            <w:pPr>
              <w:pStyle w:val="TableContents"/>
              <w:spacing w:lineRule="atLeast" w:line="180" w:before="0" w:after="283"/>
              <w:rPr/>
            </w:pPr>
            <w:r>
              <w:rPr/>
              <w:t>​</w:t>
            </w:r>
          </w:p>
        </w:tc>
        <w:tc>
          <w:tcPr>
            <w:tcW w:w="72" w:type="dxa"/>
            <w:tcBorders/>
            <w:shd w:fill="CCEEFF" w:val="clear"/>
            <w:vAlign w:val="bottom"/>
          </w:tcPr>
          <w:p>
            <w:pPr>
              <w:pStyle w:val="TableContents"/>
              <w:spacing w:lineRule="atLeast" w:line="180" w:before="0" w:after="283"/>
              <w:rPr/>
            </w:pPr>
            <w:r>
              <w:rPr/>
              <w:t>​</w:t>
            </w:r>
          </w:p>
        </w:tc>
        <w:tc>
          <w:tcPr>
            <w:tcW w:w="42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584"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7" w:type="dxa"/>
            <w:tcBorders/>
            <w:shd w:fill="CCEEFF" w:val="clear"/>
            <w:vAlign w:val="bottom"/>
          </w:tcPr>
          <w:p>
            <w:pPr>
              <w:pStyle w:val="TableContents"/>
              <w:spacing w:lineRule="atLeast" w:line="180" w:before="0" w:after="283"/>
              <w:rPr/>
            </w:pPr>
            <w:r>
              <w:rPr/>
              <w:t>​</w:t>
            </w:r>
          </w:p>
        </w:tc>
        <w:tc>
          <w:tcPr>
            <w:tcW w:w="746"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6,316</w:t>
            </w:r>
          </w:p>
        </w:tc>
        <w:tc>
          <w:tcPr>
            <w:tcW w:w="650" w:type="dxa"/>
            <w:tcBorders/>
            <w:shd w:fill="CCEEFF" w:val="clear"/>
            <w:vAlign w:val="bottom"/>
          </w:tcPr>
          <w:p>
            <w:pPr>
              <w:pStyle w:val="TableContents"/>
              <w:spacing w:lineRule="atLeast" w:line="180" w:before="0" w:after="283"/>
              <w:rPr>
                <w:rFonts w:ascii="arial" w:hAnsi="arial"/>
                <w:sz w:val="12"/>
              </w:rPr>
            </w:pPr>
            <w:r>
              <w:rPr>
                <w:rFonts w:ascii="arial" w:hAnsi="arial"/>
                <w:sz w:val="12"/>
              </w:rPr>
              <w:t>(22)</w:t>
            </w:r>
          </w:p>
        </w:tc>
        <w:tc>
          <w:tcPr>
            <w:tcW w:w="23"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13" w:type="dxa"/>
            <w:tcBorders/>
            <w:shd w:fill="CCEEFF" w:val="clear"/>
            <w:vAlign w:val="bottom"/>
          </w:tcPr>
          <w:p>
            <w:pPr>
              <w:pStyle w:val="TableContents"/>
              <w:spacing w:lineRule="atLeast" w:line="180" w:before="0" w:after="283"/>
              <w:rPr>
                <w:rFonts w:ascii="arial" w:hAnsi="arial"/>
                <w:sz w:val="16"/>
              </w:rPr>
            </w:pPr>
            <w:r>
              <w:rPr>
                <w:rFonts w:ascii="arial" w:hAnsi="arial"/>
                <w:sz w:val="16"/>
              </w:rPr>
              <w:t>$</w:t>
            </w:r>
          </w:p>
        </w:tc>
        <w:tc>
          <w:tcPr>
            <w:tcW w:w="624" w:type="dxa"/>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81,350</w:t>
            </w:r>
          </w:p>
        </w:tc>
        <w:tc>
          <w:tcPr>
            <w:tcW w:w="25" w:type="dxa"/>
            <w:tcBorders/>
            <w:shd w:fill="CCEEFF" w:val="clear"/>
            <w:vAlign w:val="bottom"/>
          </w:tcPr>
          <w:p>
            <w:pPr>
              <w:pStyle w:val="TableContents"/>
              <w:spacing w:lineRule="atLeast" w:line="180" w:before="0" w:after="283"/>
              <w:rPr/>
            </w:pPr>
            <w:r>
              <w:rPr/>
              <w:t>​</w:t>
            </w:r>
          </w:p>
        </w:tc>
        <w:tc>
          <w:tcPr>
            <w:tcW w:w="24" w:type="dxa"/>
            <w:tcBorders/>
            <w:shd w:fill="CCEEFF" w:val="clear"/>
            <w:vAlign w:val="bottom"/>
          </w:tcPr>
          <w:p>
            <w:pPr>
              <w:pStyle w:val="TableContents"/>
              <w:spacing w:lineRule="atLeast" w:line="180" w:before="0" w:after="283"/>
              <w:rPr/>
            </w:pPr>
            <w:r>
              <w:rPr/>
              <w:t>​</w:t>
            </w:r>
          </w:p>
        </w:tc>
      </w:tr>
      <w:tr>
        <w:trPr/>
        <w:tc>
          <w:tcPr>
            <w:tcW w:w="795" w:type="dxa"/>
            <w:tcBorders/>
            <w:shd w:fill="CCEEFF" w:val="clear"/>
            <w:vAlign w:val="bottom"/>
          </w:tcPr>
          <w:p>
            <w:pPr>
              <w:pStyle w:val="TableContents"/>
              <w:spacing w:lineRule="atLeast" w:line="180" w:before="0" w:after="283"/>
              <w:rPr/>
            </w:pPr>
            <w:r>
              <w:rPr/>
              <w:t> </w:t>
            </w:r>
          </w:p>
        </w:tc>
        <w:tc>
          <w:tcPr>
            <w:tcW w:w="23" w:type="dxa"/>
            <w:tcBorders/>
            <w:shd w:fill="CCEEFF" w:val="clear"/>
            <w:vAlign w:val="bottom"/>
          </w:tcPr>
          <w:p>
            <w:pPr>
              <w:pStyle w:val="TableContents"/>
              <w:spacing w:lineRule="atLeast" w:line="180" w:before="0" w:after="283"/>
              <w:rPr/>
            </w:pPr>
            <w:r>
              <w:rPr/>
              <w:t>​</w:t>
            </w:r>
          </w:p>
        </w:tc>
        <w:tc>
          <w:tcPr>
            <w:tcW w:w="248"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1"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39"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6" w:type="dxa"/>
            <w:tcBorders/>
            <w:shd w:fill="CCEEFF" w:val="clear"/>
            <w:vAlign w:val="bottom"/>
          </w:tcPr>
          <w:p>
            <w:pPr>
              <w:pStyle w:val="TableContents"/>
              <w:spacing w:lineRule="atLeast" w:line="180" w:before="0" w:after="283"/>
              <w:rPr/>
            </w:pPr>
            <w:r>
              <w:rPr/>
              <w:t>​</w:t>
            </w:r>
          </w:p>
        </w:tc>
        <w:tc>
          <w:tcPr>
            <w:tcW w:w="626"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9"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3" w:type="dxa"/>
            <w:tcBorders/>
            <w:shd w:fill="CCEEFF" w:val="clear"/>
            <w:vAlign w:val="bottom"/>
          </w:tcPr>
          <w:p>
            <w:pPr>
              <w:pStyle w:val="TableContents"/>
              <w:spacing w:lineRule="atLeast" w:line="180" w:before="0" w:after="283"/>
              <w:rPr/>
            </w:pPr>
            <w:r>
              <w:rPr/>
              <w:t>​</w:t>
            </w:r>
          </w:p>
        </w:tc>
        <w:tc>
          <w:tcPr>
            <w:tcW w:w="72" w:type="dxa"/>
            <w:tcBorders/>
            <w:shd w:fill="CCEEFF" w:val="clear"/>
            <w:vAlign w:val="bottom"/>
          </w:tcPr>
          <w:p>
            <w:pPr>
              <w:pStyle w:val="TableContents"/>
              <w:spacing w:lineRule="atLeast" w:line="180" w:before="0" w:after="283"/>
              <w:rPr/>
            </w:pPr>
            <w:r>
              <w:rPr/>
              <w:t>​</w:t>
            </w:r>
          </w:p>
        </w:tc>
        <w:tc>
          <w:tcPr>
            <w:tcW w:w="42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4,373</w:t>
            </w:r>
          </w:p>
        </w:tc>
        <w:tc>
          <w:tcPr>
            <w:tcW w:w="584" w:type="dxa"/>
            <w:tcBorders/>
            <w:shd w:fill="CCEEFF" w:val="clear"/>
            <w:vAlign w:val="bottom"/>
          </w:tcPr>
          <w:p>
            <w:pPr>
              <w:pStyle w:val="TableContents"/>
              <w:spacing w:lineRule="atLeast" w:line="180" w:before="0" w:after="283"/>
              <w:rPr>
                <w:rFonts w:ascii="arial" w:hAnsi="arial"/>
                <w:sz w:val="12"/>
              </w:rPr>
            </w:pPr>
            <w:r>
              <w:rPr>
                <w:rFonts w:ascii="arial" w:hAnsi="arial"/>
                <w:sz w:val="12"/>
              </w:rPr>
              <w:t>(13)</w:t>
            </w:r>
          </w:p>
        </w:tc>
        <w:tc>
          <w:tcPr>
            <w:tcW w:w="23" w:type="dxa"/>
            <w:tcBorders/>
            <w:shd w:fill="CCEEFF" w:val="clear"/>
            <w:vAlign w:val="bottom"/>
          </w:tcPr>
          <w:p>
            <w:pPr>
              <w:pStyle w:val="TableContents"/>
              <w:spacing w:lineRule="atLeast" w:line="180" w:before="0" w:after="283"/>
              <w:rPr/>
            </w:pPr>
            <w:r>
              <w:rPr/>
              <w:t>​</w:t>
            </w:r>
          </w:p>
        </w:tc>
        <w:tc>
          <w:tcPr>
            <w:tcW w:w="27" w:type="dxa"/>
            <w:tcBorders/>
            <w:shd w:fill="CCEEFF" w:val="clear"/>
            <w:vAlign w:val="bottom"/>
          </w:tcPr>
          <w:p>
            <w:pPr>
              <w:pStyle w:val="TableContents"/>
              <w:spacing w:lineRule="atLeast" w:line="180" w:before="0" w:after="283"/>
              <w:rPr/>
            </w:pPr>
            <w:r>
              <w:rPr/>
              <w:t>​</w:t>
            </w:r>
          </w:p>
        </w:tc>
        <w:tc>
          <w:tcPr>
            <w:tcW w:w="132" w:type="dxa"/>
            <w:tcBorders/>
            <w:shd w:fill="CCEEFF" w:val="clear"/>
            <w:vAlign w:val="bottom"/>
          </w:tcPr>
          <w:p>
            <w:pPr>
              <w:pStyle w:val="TableContents"/>
              <w:spacing w:lineRule="atLeast" w:line="180" w:before="0" w:after="283"/>
              <w:rPr>
                <w:rFonts w:ascii="arial" w:hAnsi="arial"/>
                <w:sz w:val="16"/>
              </w:rPr>
            </w:pPr>
            <w:r>
              <w:rPr>
                <w:rFonts w:ascii="arial" w:hAnsi="arial"/>
                <w:sz w:val="16"/>
              </w:rPr>
              <w:t>$</w:t>
            </w:r>
          </w:p>
        </w:tc>
        <w:tc>
          <w:tcPr>
            <w:tcW w:w="614" w:type="dxa"/>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56,324</w:t>
            </w:r>
          </w:p>
        </w:tc>
        <w:tc>
          <w:tcPr>
            <w:tcW w:w="2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65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737"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 w:type="dxa"/>
            <w:tcBorders/>
            <w:shd w:fill="CCEEFF" w:val="clear"/>
            <w:vAlign w:val="bottom"/>
          </w:tcPr>
          <w:p>
            <w:pPr>
              <w:pStyle w:val="TableContents"/>
              <w:spacing w:lineRule="atLeast" w:line="180" w:before="0" w:after="283"/>
              <w:rPr/>
            </w:pPr>
            <w:r>
              <w:rPr/>
              <w:t>​</w:t>
            </w:r>
          </w:p>
        </w:tc>
        <w:tc>
          <w:tcPr>
            <w:tcW w:w="24" w:type="dxa"/>
            <w:tcBorders/>
            <w:shd w:fill="CCEEFF" w:val="clear"/>
            <w:vAlign w:val="bottom"/>
          </w:tcPr>
          <w:p>
            <w:pPr>
              <w:pStyle w:val="TableContents"/>
              <w:spacing w:lineRule="atLeast" w:line="180" w:before="0" w:after="283"/>
              <w:rPr/>
            </w:pPr>
            <w:r>
              <w:rPr/>
              <w:t>​</w:t>
            </w:r>
          </w:p>
        </w:tc>
      </w:tr>
      <w:tr>
        <w:trPr/>
        <w:tc>
          <w:tcPr>
            <w:tcW w:w="795" w:type="dxa"/>
            <w:tcBorders/>
            <w:shd w:fill="CCEEFF" w:val="clear"/>
            <w:vAlign w:val="bottom"/>
          </w:tcPr>
          <w:p>
            <w:pPr>
              <w:pStyle w:val="TableContents"/>
              <w:spacing w:lineRule="atLeast" w:line="180" w:before="0" w:after="283"/>
              <w:rPr/>
            </w:pPr>
            <w:r>
              <w:rPr/>
              <w:t> </w:t>
            </w:r>
          </w:p>
        </w:tc>
        <w:tc>
          <w:tcPr>
            <w:tcW w:w="23" w:type="dxa"/>
            <w:tcBorders/>
            <w:shd w:fill="CCEEFF" w:val="clear"/>
            <w:vAlign w:val="bottom"/>
          </w:tcPr>
          <w:p>
            <w:pPr>
              <w:pStyle w:val="TableContents"/>
              <w:spacing w:lineRule="atLeast" w:line="180" w:before="0" w:after="283"/>
              <w:rPr/>
            </w:pPr>
            <w:r>
              <w:rPr/>
              <w:t>​</w:t>
            </w:r>
          </w:p>
        </w:tc>
        <w:tc>
          <w:tcPr>
            <w:tcW w:w="248"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1"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39"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6" w:type="dxa"/>
            <w:tcBorders/>
            <w:shd w:fill="CCEEFF" w:val="clear"/>
            <w:vAlign w:val="bottom"/>
          </w:tcPr>
          <w:p>
            <w:pPr>
              <w:pStyle w:val="TableContents"/>
              <w:spacing w:lineRule="atLeast" w:line="180" w:before="0" w:after="283"/>
              <w:rPr/>
            </w:pPr>
            <w:r>
              <w:rPr/>
              <w:t>​</w:t>
            </w:r>
          </w:p>
        </w:tc>
        <w:tc>
          <w:tcPr>
            <w:tcW w:w="626"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9"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3" w:type="dxa"/>
            <w:tcBorders/>
            <w:shd w:fill="CCEEFF" w:val="clear"/>
            <w:vAlign w:val="bottom"/>
          </w:tcPr>
          <w:p>
            <w:pPr>
              <w:pStyle w:val="TableContents"/>
              <w:spacing w:lineRule="atLeast" w:line="180" w:before="0" w:after="283"/>
              <w:rPr/>
            </w:pPr>
            <w:r>
              <w:rPr/>
              <w:t>​</w:t>
            </w:r>
          </w:p>
        </w:tc>
        <w:tc>
          <w:tcPr>
            <w:tcW w:w="72" w:type="dxa"/>
            <w:tcBorders/>
            <w:shd w:fill="CCEEFF" w:val="clear"/>
            <w:vAlign w:val="bottom"/>
          </w:tcPr>
          <w:p>
            <w:pPr>
              <w:pStyle w:val="TableContents"/>
              <w:spacing w:lineRule="atLeast" w:line="180" w:before="0" w:after="283"/>
              <w:rPr/>
            </w:pPr>
            <w:r>
              <w:rPr/>
              <w:t>​</w:t>
            </w:r>
          </w:p>
        </w:tc>
        <w:tc>
          <w:tcPr>
            <w:tcW w:w="42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584"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7" w:type="dxa"/>
            <w:tcBorders/>
            <w:shd w:fill="CCEEFF" w:val="clear"/>
            <w:vAlign w:val="bottom"/>
          </w:tcPr>
          <w:p>
            <w:pPr>
              <w:pStyle w:val="TableContents"/>
              <w:spacing w:lineRule="atLeast" w:line="180" w:before="0" w:after="283"/>
              <w:rPr/>
            </w:pPr>
            <w:r>
              <w:rPr/>
              <w:t>​</w:t>
            </w:r>
          </w:p>
        </w:tc>
        <w:tc>
          <w:tcPr>
            <w:tcW w:w="746"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19,000</w:t>
            </w:r>
          </w:p>
        </w:tc>
        <w:tc>
          <w:tcPr>
            <w:tcW w:w="650" w:type="dxa"/>
            <w:tcBorders/>
            <w:shd w:fill="CCEEFF" w:val="clear"/>
            <w:vAlign w:val="bottom"/>
          </w:tcPr>
          <w:p>
            <w:pPr>
              <w:pStyle w:val="TableContents"/>
              <w:spacing w:lineRule="atLeast" w:line="180" w:before="0" w:after="283"/>
              <w:rPr>
                <w:rFonts w:ascii="arial" w:hAnsi="arial"/>
                <w:sz w:val="12"/>
              </w:rPr>
            </w:pPr>
            <w:r>
              <w:rPr>
                <w:rFonts w:ascii="arial" w:hAnsi="arial"/>
                <w:sz w:val="12"/>
              </w:rPr>
              <w:t>(16)</w:t>
            </w:r>
          </w:p>
        </w:tc>
        <w:tc>
          <w:tcPr>
            <w:tcW w:w="23"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13" w:type="dxa"/>
            <w:tcBorders/>
            <w:shd w:fill="CCEEFF" w:val="clear"/>
            <w:vAlign w:val="bottom"/>
          </w:tcPr>
          <w:p>
            <w:pPr>
              <w:pStyle w:val="TableContents"/>
              <w:spacing w:lineRule="atLeast" w:line="180" w:before="0" w:after="283"/>
              <w:rPr>
                <w:rFonts w:ascii="arial" w:hAnsi="arial"/>
                <w:sz w:val="16"/>
              </w:rPr>
            </w:pPr>
            <w:r>
              <w:rPr>
                <w:rFonts w:ascii="arial" w:hAnsi="arial"/>
                <w:sz w:val="16"/>
              </w:rPr>
              <w:t>$</w:t>
            </w:r>
          </w:p>
        </w:tc>
        <w:tc>
          <w:tcPr>
            <w:tcW w:w="624" w:type="dxa"/>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244,720</w:t>
            </w:r>
          </w:p>
        </w:tc>
        <w:tc>
          <w:tcPr>
            <w:tcW w:w="25" w:type="dxa"/>
            <w:tcBorders/>
            <w:shd w:fill="CCEEFF" w:val="clear"/>
            <w:vAlign w:val="bottom"/>
          </w:tcPr>
          <w:p>
            <w:pPr>
              <w:pStyle w:val="TableContents"/>
              <w:spacing w:lineRule="atLeast" w:line="180" w:before="0" w:after="283"/>
              <w:rPr/>
            </w:pPr>
            <w:r>
              <w:rPr/>
              <w:t>​</w:t>
            </w:r>
          </w:p>
        </w:tc>
        <w:tc>
          <w:tcPr>
            <w:tcW w:w="24" w:type="dxa"/>
            <w:tcBorders/>
            <w:shd w:fill="CCEEFF" w:val="clear"/>
            <w:vAlign w:val="bottom"/>
          </w:tcPr>
          <w:p>
            <w:pPr>
              <w:pStyle w:val="TableContents"/>
              <w:spacing w:lineRule="atLeast" w:line="180" w:before="0" w:after="283"/>
              <w:rPr/>
            </w:pPr>
            <w:r>
              <w:rPr/>
              <w:t>​</w:t>
            </w:r>
          </w:p>
        </w:tc>
      </w:tr>
      <w:tr>
        <w:trPr/>
        <w:tc>
          <w:tcPr>
            <w:tcW w:w="795" w:type="dxa"/>
            <w:tcBorders/>
            <w:shd w:fill="CCEEFF" w:val="clear"/>
            <w:vAlign w:val="bottom"/>
          </w:tcPr>
          <w:p>
            <w:pPr>
              <w:pStyle w:val="TableContents"/>
              <w:spacing w:lineRule="atLeast" w:line="180" w:before="0" w:after="283"/>
              <w:rPr/>
            </w:pPr>
            <w:r>
              <w:rPr/>
              <w:t> </w:t>
            </w:r>
          </w:p>
        </w:tc>
        <w:tc>
          <w:tcPr>
            <w:tcW w:w="23" w:type="dxa"/>
            <w:tcBorders/>
            <w:shd w:fill="CCEEFF" w:val="clear"/>
            <w:vAlign w:val="bottom"/>
          </w:tcPr>
          <w:p>
            <w:pPr>
              <w:pStyle w:val="TableContents"/>
              <w:spacing w:lineRule="atLeast" w:line="180" w:before="0" w:after="283"/>
              <w:rPr/>
            </w:pPr>
            <w:r>
              <w:rPr/>
              <w:t>​</w:t>
            </w:r>
          </w:p>
        </w:tc>
        <w:tc>
          <w:tcPr>
            <w:tcW w:w="248"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1"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39"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5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9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7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6" w:type="dxa"/>
            <w:tcBorders/>
            <w:shd w:fill="CCEEFF" w:val="clear"/>
            <w:vAlign w:val="bottom"/>
          </w:tcPr>
          <w:p>
            <w:pPr>
              <w:pStyle w:val="TableContents"/>
              <w:spacing w:lineRule="atLeast" w:line="180" w:before="0" w:after="283"/>
              <w:rPr/>
            </w:pPr>
            <w:r>
              <w:rPr/>
              <w:t>​</w:t>
            </w:r>
          </w:p>
        </w:tc>
        <w:tc>
          <w:tcPr>
            <w:tcW w:w="626"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9"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3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3" w:type="dxa"/>
            <w:tcBorders/>
            <w:shd w:fill="CCEEFF" w:val="clear"/>
            <w:vAlign w:val="bottom"/>
          </w:tcPr>
          <w:p>
            <w:pPr>
              <w:pStyle w:val="TableContents"/>
              <w:spacing w:lineRule="atLeast" w:line="180" w:before="0" w:after="283"/>
              <w:rPr/>
            </w:pPr>
            <w:r>
              <w:rPr/>
              <w:t>​</w:t>
            </w:r>
          </w:p>
        </w:tc>
        <w:tc>
          <w:tcPr>
            <w:tcW w:w="72" w:type="dxa"/>
            <w:tcBorders/>
            <w:shd w:fill="CCEEFF" w:val="clear"/>
            <w:vAlign w:val="bottom"/>
          </w:tcPr>
          <w:p>
            <w:pPr>
              <w:pStyle w:val="TableContents"/>
              <w:spacing w:lineRule="atLeast" w:line="180" w:before="0" w:after="283"/>
              <w:rPr/>
            </w:pPr>
            <w:r>
              <w:rPr/>
              <w:t>​</w:t>
            </w:r>
          </w:p>
        </w:tc>
        <w:tc>
          <w:tcPr>
            <w:tcW w:w="42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4,750</w:t>
            </w:r>
          </w:p>
        </w:tc>
        <w:tc>
          <w:tcPr>
            <w:tcW w:w="584" w:type="dxa"/>
            <w:tcBorders/>
            <w:shd w:fill="CCEEFF" w:val="clear"/>
            <w:vAlign w:val="bottom"/>
          </w:tcPr>
          <w:p>
            <w:pPr>
              <w:pStyle w:val="TableContents"/>
              <w:spacing w:lineRule="atLeast" w:line="180" w:before="0" w:after="283"/>
              <w:rPr>
                <w:rFonts w:ascii="arial" w:hAnsi="arial"/>
                <w:sz w:val="12"/>
              </w:rPr>
            </w:pPr>
            <w:r>
              <w:rPr>
                <w:rFonts w:ascii="arial" w:hAnsi="arial"/>
                <w:sz w:val="12"/>
              </w:rPr>
              <w:t>(17)</w:t>
            </w:r>
          </w:p>
        </w:tc>
        <w:tc>
          <w:tcPr>
            <w:tcW w:w="23" w:type="dxa"/>
            <w:tcBorders/>
            <w:shd w:fill="CCEEFF" w:val="clear"/>
            <w:vAlign w:val="bottom"/>
          </w:tcPr>
          <w:p>
            <w:pPr>
              <w:pStyle w:val="TableContents"/>
              <w:spacing w:lineRule="atLeast" w:line="180" w:before="0" w:after="283"/>
              <w:rPr/>
            </w:pPr>
            <w:r>
              <w:rPr/>
              <w:t>​</w:t>
            </w:r>
          </w:p>
        </w:tc>
        <w:tc>
          <w:tcPr>
            <w:tcW w:w="27" w:type="dxa"/>
            <w:tcBorders/>
            <w:shd w:fill="CCEEFF" w:val="clear"/>
            <w:vAlign w:val="bottom"/>
          </w:tcPr>
          <w:p>
            <w:pPr>
              <w:pStyle w:val="TableContents"/>
              <w:spacing w:lineRule="atLeast" w:line="180" w:before="0" w:after="283"/>
              <w:rPr/>
            </w:pPr>
            <w:r>
              <w:rPr/>
              <w:t>​</w:t>
            </w:r>
          </w:p>
        </w:tc>
        <w:tc>
          <w:tcPr>
            <w:tcW w:w="132" w:type="dxa"/>
            <w:tcBorders/>
            <w:shd w:fill="CCEEFF" w:val="clear"/>
            <w:vAlign w:val="bottom"/>
          </w:tcPr>
          <w:p>
            <w:pPr>
              <w:pStyle w:val="TableContents"/>
              <w:spacing w:lineRule="atLeast" w:line="180" w:before="0" w:after="283"/>
              <w:rPr>
                <w:rFonts w:ascii="arial" w:hAnsi="arial"/>
                <w:sz w:val="16"/>
              </w:rPr>
            </w:pPr>
            <w:r>
              <w:rPr>
                <w:rFonts w:ascii="arial" w:hAnsi="arial"/>
                <w:sz w:val="16"/>
              </w:rPr>
              <w:t>$</w:t>
            </w:r>
          </w:p>
        </w:tc>
        <w:tc>
          <w:tcPr>
            <w:tcW w:w="614" w:type="dxa"/>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61,180</w:t>
            </w:r>
          </w:p>
        </w:tc>
        <w:tc>
          <w:tcPr>
            <w:tcW w:w="28"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80" w:type="dxa"/>
            <w:tcBorders/>
            <w:shd w:fill="CCEEFF" w:val="clear"/>
            <w:vAlign w:val="bottom"/>
          </w:tcPr>
          <w:p>
            <w:pPr>
              <w:pStyle w:val="TableContents"/>
              <w:spacing w:lineRule="atLeast" w:line="180" w:before="0" w:after="283"/>
              <w:rPr/>
            </w:pPr>
            <w:r>
              <w:rPr/>
              <w:t>​</w:t>
            </w:r>
          </w:p>
        </w:tc>
        <w:tc>
          <w:tcPr>
            <w:tcW w:w="5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650"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737"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25" w:type="dxa"/>
            <w:tcBorders/>
            <w:shd w:fill="CCEEFF" w:val="clear"/>
            <w:vAlign w:val="bottom"/>
          </w:tcPr>
          <w:p>
            <w:pPr>
              <w:pStyle w:val="TableContents"/>
              <w:spacing w:lineRule="atLeast" w:line="180" w:before="0" w:after="283"/>
              <w:rPr/>
            </w:pPr>
            <w:r>
              <w:rPr/>
              <w:t>​</w:t>
            </w:r>
          </w:p>
        </w:tc>
        <w:tc>
          <w:tcPr>
            <w:tcW w:w="24" w:type="dxa"/>
            <w:tcBorders/>
            <w:shd w:fill="CCEEFF" w:val="clear"/>
            <w:vAlign w:val="bottom"/>
          </w:tcPr>
          <w:p>
            <w:pPr>
              <w:pStyle w:val="TableContents"/>
              <w:spacing w:lineRule="atLeast" w:line="180" w:before="0" w:after="283"/>
              <w:rPr/>
            </w:pPr>
            <w:r>
              <w:rPr/>
              <w:t>​</w:t>
            </w:r>
          </w:p>
        </w:tc>
      </w:tr>
    </w:tbl>
    <w:p>
      <w:pPr>
        <w:pStyle w:val="HorizontalLine"/>
        <w:pBdr>
          <w:bottom w:val="single" w:sz="6" w:space="0" w:color="000000"/>
        </w:pBdr>
        <w:ind w:left="0" w:right="7552" w:hanging="0"/>
        <w:rPr/>
      </w:pPr>
      <w:r>
        <w:rPr/>
      </w:r>
    </w:p>
    <w:p>
      <w:pPr>
        <w:pStyle w:val="ListHeading"/>
        <w:spacing w:lineRule="atLeast" w:line="180" w:before="0" w:after="0"/>
        <w:jc w:val="left"/>
        <w:rPr>
          <w:rFonts w:ascii="arial" w:hAnsi="arial"/>
          <w:sz w:val="12"/>
        </w:rPr>
      </w:pPr>
      <w:r>
        <w:rPr>
          <w:rFonts w:ascii="arial" w:hAnsi="arial"/>
          <w:sz w:val="12"/>
        </w:rPr>
        <w:t>(1)</w:t>
      </w:r>
    </w:p>
    <w:p>
      <w:pPr>
        <w:pStyle w:val="ListContents"/>
        <w:spacing w:lineRule="atLeast" w:line="180" w:before="0" w:after="283"/>
        <w:jc w:val="left"/>
        <w:rPr>
          <w:rFonts w:ascii="arial" w:hAnsi="arial"/>
          <w:sz w:val="16"/>
        </w:rPr>
      </w:pPr>
      <w:r>
        <w:rPr>
          <w:rFonts w:ascii="arial" w:hAnsi="arial"/>
          <w:sz w:val="16"/>
        </w:rPr>
        <w:t xml:space="preserve">Options awarded for which the performance hurdles have been achieved but remain subject to additional service-based criteria. </w:t>
      </w:r>
    </w:p>
    <w:p>
      <w:pPr>
        <w:pStyle w:val="ListHeading"/>
        <w:spacing w:lineRule="atLeast" w:line="180" w:before="0" w:after="0"/>
        <w:jc w:val="left"/>
        <w:rPr>
          <w:rFonts w:ascii="arial" w:hAnsi="arial"/>
          <w:sz w:val="12"/>
        </w:rPr>
      </w:pPr>
      <w:r>
        <w:rPr>
          <w:rFonts w:ascii="arial" w:hAnsi="arial"/>
          <w:sz w:val="12"/>
        </w:rPr>
        <w:t>(2)</w:t>
      </w:r>
    </w:p>
    <w:p>
      <w:pPr>
        <w:pStyle w:val="ListContents"/>
        <w:spacing w:lineRule="atLeast" w:line="180" w:before="0" w:after="283"/>
        <w:jc w:val="left"/>
        <w:rPr>
          <w:rFonts w:ascii="arial" w:hAnsi="arial"/>
          <w:sz w:val="16"/>
        </w:rPr>
      </w:pPr>
      <w:r>
        <w:rPr>
          <w:rFonts w:ascii="arial" w:hAnsi="arial"/>
          <w:sz w:val="16"/>
        </w:rPr>
        <w:t xml:space="preserve">Options awarded for which the performance hurdles have not been achieved. </w:t>
      </w:r>
    </w:p>
    <w:p>
      <w:pPr>
        <w:pStyle w:val="ListHeading"/>
        <w:spacing w:lineRule="atLeast" w:line="180" w:before="0" w:after="0"/>
        <w:jc w:val="left"/>
        <w:rPr>
          <w:rFonts w:ascii="arial" w:hAnsi="arial"/>
          <w:sz w:val="12"/>
        </w:rPr>
      </w:pPr>
      <w:r>
        <w:rPr>
          <w:rFonts w:ascii="arial" w:hAnsi="arial"/>
          <w:sz w:val="12"/>
        </w:rPr>
        <w:t>(3)</w:t>
      </w:r>
    </w:p>
    <w:p>
      <w:pPr>
        <w:pStyle w:val="ListContents"/>
        <w:spacing w:lineRule="atLeast" w:line="180" w:before="0" w:after="283"/>
        <w:jc w:val="left"/>
        <w:rPr>
          <w:rFonts w:ascii="arial" w:hAnsi="arial"/>
          <w:sz w:val="16"/>
        </w:rPr>
      </w:pPr>
      <w:r>
        <w:rPr>
          <w:rFonts w:ascii="arial" w:hAnsi="arial"/>
          <w:sz w:val="16"/>
        </w:rPr>
        <w:t xml:space="preserve">The exercise price of each outstanding stock option awarded prior to December 21, 2012 was adjusted to reflect the value of Altisource Asset Management Corporation ("AAMC") and RESI common stock distributed to Altisource shareholders in connection with the spin-off transactions completed on December 21, 2012. </w:t>
      </w:r>
    </w:p>
    <w:p>
      <w:pPr>
        <w:pStyle w:val="ListHeading"/>
        <w:spacing w:lineRule="atLeast" w:line="180" w:before="0" w:after="0"/>
        <w:jc w:val="left"/>
        <w:rPr>
          <w:rFonts w:ascii="arial" w:hAnsi="arial"/>
          <w:sz w:val="12"/>
        </w:rPr>
      </w:pPr>
      <w:r>
        <w:rPr>
          <w:rFonts w:ascii="arial" w:hAnsi="arial"/>
          <w:sz w:val="12"/>
        </w:rPr>
        <w:t>(4)</w:t>
      </w:r>
    </w:p>
    <w:p>
      <w:pPr>
        <w:pStyle w:val="ListContents"/>
        <w:spacing w:lineRule="atLeast" w:line="180" w:before="0" w:after="283"/>
        <w:jc w:val="left"/>
        <w:rPr>
          <w:rFonts w:ascii="arial" w:hAnsi="arial"/>
          <w:sz w:val="16"/>
        </w:rPr>
      </w:pPr>
      <w:r>
        <w:rPr>
          <w:rFonts w:ascii="arial" w:hAnsi="arial"/>
          <w:sz w:val="16"/>
        </w:rPr>
        <w:t xml:space="preserve">Restricted shares and RSUs awarded but remain subject to additional service-based vesting criteria. </w:t>
      </w:r>
    </w:p>
    <w:p>
      <w:pPr>
        <w:pStyle w:val="ListHeading"/>
        <w:spacing w:lineRule="atLeast" w:line="180" w:before="0" w:after="0"/>
        <w:jc w:val="left"/>
        <w:rPr>
          <w:rFonts w:ascii="arial" w:hAnsi="arial"/>
          <w:sz w:val="12"/>
        </w:rPr>
      </w:pPr>
      <w:r>
        <w:rPr>
          <w:rFonts w:ascii="arial" w:hAnsi="arial"/>
          <w:sz w:val="12"/>
        </w:rPr>
        <w:t>(5)</w:t>
      </w:r>
    </w:p>
    <w:p>
      <w:pPr>
        <w:pStyle w:val="ListContents"/>
        <w:spacing w:lineRule="atLeast" w:line="180" w:before="0" w:after="283"/>
        <w:jc w:val="left"/>
        <w:rPr>
          <w:rFonts w:ascii="arial" w:hAnsi="arial"/>
          <w:sz w:val="16"/>
        </w:rPr>
      </w:pPr>
      <w:r>
        <w:rPr>
          <w:rFonts w:ascii="arial" w:hAnsi="arial"/>
          <w:sz w:val="16"/>
        </w:rPr>
        <w:t xml:space="preserve">Restricted shares and RSUs awarded for which the performance hurdles have not been achieved. </w:t>
      </w:r>
    </w:p>
    <w:p>
      <w:pPr>
        <w:pStyle w:val="ListHeading"/>
        <w:spacing w:lineRule="atLeast" w:line="180" w:before="0" w:after="0"/>
        <w:jc w:val="left"/>
        <w:rPr>
          <w:rFonts w:ascii="arial" w:hAnsi="arial"/>
          <w:sz w:val="12"/>
        </w:rPr>
      </w:pPr>
      <w:r>
        <w:rPr>
          <w:rFonts w:ascii="arial" w:hAnsi="arial"/>
          <w:sz w:val="12"/>
        </w:rPr>
        <w:t>(6)</w:t>
      </w:r>
    </w:p>
    <w:p>
      <w:pPr>
        <w:pStyle w:val="ListContents"/>
        <w:spacing w:lineRule="atLeast" w:line="180" w:before="0" w:after="283"/>
        <w:jc w:val="left"/>
        <w:rPr>
          <w:rFonts w:ascii="arial" w:hAnsi="arial"/>
          <w:sz w:val="16"/>
        </w:rPr>
      </w:pPr>
      <w:r>
        <w:rPr>
          <w:rFonts w:ascii="arial" w:hAnsi="arial"/>
          <w:sz w:val="16"/>
        </w:rPr>
        <w:t xml:space="preserve">All award values set forth herein have been calculated using the closing common share price of $12.88 for Altisource as of December 31, 2020. </w:t>
      </w:r>
    </w:p>
    <w:p>
      <w:pPr>
        <w:pStyle w:val="ListHeading"/>
        <w:spacing w:lineRule="atLeast" w:line="180" w:before="0" w:after="0"/>
        <w:jc w:val="left"/>
        <w:rPr>
          <w:rFonts w:ascii="arial" w:hAnsi="arial"/>
          <w:sz w:val="12"/>
        </w:rPr>
      </w:pPr>
      <w:r>
        <w:rPr>
          <w:rFonts w:ascii="arial" w:hAnsi="arial"/>
          <w:sz w:val="12"/>
        </w:rPr>
        <w:t>(7)</w:t>
      </w:r>
    </w:p>
    <w:p>
      <w:pPr>
        <w:pStyle w:val="ListContents"/>
        <w:spacing w:lineRule="atLeast" w:line="180" w:before="0" w:after="283"/>
        <w:jc w:val="left"/>
        <w:rPr>
          <w:rFonts w:ascii="arial" w:hAnsi="arial"/>
          <w:sz w:val="16"/>
        </w:rPr>
      </w:pPr>
      <w:r>
        <w:rPr>
          <w:rFonts w:ascii="arial" w:hAnsi="arial"/>
          <w:sz w:val="16"/>
        </w:rPr>
        <w:t xml:space="preserve">These performance-based stock options are scheduled to vest subject to the Company attaining a service revenue threshold in a calendar year during the period from 2017 through year-end 2021. If the Company achieves $1.5 billion in service revenue in a </w:t>
      </w:r>
    </w:p>
    <w:p>
      <w:pPr>
        <w:pStyle w:val="TextBody"/>
        <w:jc w:val="center"/>
        <w:rPr>
          <w:rFonts w:ascii="arial" w:hAnsi="arial"/>
          <w:sz w:val="20"/>
        </w:rPr>
      </w:pPr>
      <w:r>
        <w:rPr>
          <w:rFonts w:ascii="arial" w:hAnsi="arial"/>
          <w:sz w:val="20"/>
        </w:rPr>
        <w:t>61</w:t>
      </w:r>
    </w:p>
    <w:p>
      <w:pPr>
        <w:pStyle w:val="HorizontalLine"/>
        <w:pBdr>
          <w:bottom w:val="single" w:sz="20" w:space="0" w:color="808080"/>
        </w:pBdr>
        <w:rPr/>
      </w:pPr>
      <w:r>
        <w:rPr/>
      </w:r>
      <w:r>
        <w:br w:type="page"/>
      </w:r>
    </w:p>
    <w:p>
      <w:pPr>
        <w:pStyle w:val="TextBody"/>
        <w:rPr/>
      </w:pPr>
      <w:hyperlink w:anchor="bg45301a_main_toc">
        <w:bookmarkStart w:id="117" w:name="page_ea45301_1_62"/>
        <w:bookmarkEnd w:id="117"/>
        <w:r>
          <w:rPr>
            <w:rStyle w:val="InternetLink"/>
            <w:rFonts w:ascii="arial" w:hAnsi="arial"/>
            <w:sz w:val="20"/>
          </w:rPr>
          <w:t>Table of Contents</w:t>
        </w:r>
      </w:hyperlink>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3368"/>
        <w:gridCol w:w="100"/>
        <w:gridCol w:w="6737"/>
      </w:tblGrid>
      <w:tr>
        <w:trPr/>
        <w:tc>
          <w:tcPr>
            <w:tcW w:w="3368" w:type="dxa"/>
            <w:tcBorders/>
            <w:shd w:fill="auto" w:val="clear"/>
            <w:vAlign w:val="center"/>
          </w:tcPr>
          <w:p>
            <w:pPr>
              <w:pStyle w:val="TableContents"/>
              <w:spacing w:before="0" w:after="283"/>
              <w:rPr/>
            </w:pPr>
            <w:r>
              <w:rPr/>
              <w:commentReference w:id="230"/>
            </w:r>
            <w:r>
              <w:rPr/>
              <w:commentReference w:id="231"/>
            </w:r>
            <w:r>
              <w:rPr/>
              <w:commentReference w:id="232"/>
            </w:r>
            <w:r>
              <w:rPr/>
              <w:t>​</w:t>
            </w:r>
          </w:p>
        </w:tc>
        <w:tc>
          <w:tcPr>
            <w:tcW w:w="100" w:type="dxa"/>
            <w:tcBorders/>
            <w:shd w:fill="auto" w:val="clear"/>
            <w:vAlign w:val="center"/>
          </w:tcPr>
          <w:p>
            <w:pPr>
              <w:pStyle w:val="TableContents"/>
              <w:spacing w:before="0" w:after="283"/>
              <w:rPr/>
            </w:pPr>
            <w:r>
              <w:rPr/>
              <w:t>​</w:t>
            </w:r>
          </w:p>
        </w:tc>
        <w:tc>
          <w:tcPr>
            <w:tcW w:w="6737" w:type="dxa"/>
            <w:tcBorders/>
            <w:shd w:fill="auto" w:val="clear"/>
            <w:vAlign w:val="center"/>
          </w:tcPr>
          <w:p>
            <w:pPr>
              <w:pStyle w:val="TableContents"/>
              <w:spacing w:before="0" w:after="283"/>
              <w:rPr/>
            </w:pPr>
            <w:r>
              <w:rPr/>
              <w:t>​</w:t>
            </w:r>
            <w:r>
              <w:rPr>
                <w:rFonts w:eastAsia="arial" w:cs="arial" w:ascii="arial" w:hAnsi="arial"/>
              </w:rPr>
              <w:commentReference w:id="233"/>
            </w:r>
          </w:p>
        </w:tc>
      </w:tr>
      <w:tr>
        <w:trPr/>
        <w:tc>
          <w:tcPr>
            <w:tcW w:w="3368" w:type="dxa"/>
            <w:tcBorders/>
            <w:shd w:fill="auto" w:val="clear"/>
          </w:tcPr>
          <w:p>
            <w:pPr>
              <w:pStyle w:val="TableContents"/>
              <w:rPr/>
            </w:pPr>
            <w:r>
              <w:rPr/>
              <w:t>​</w:t>
            </w:r>
          </w:p>
          <w:p>
            <w:pPr>
              <w:pStyle w:val="TableContents"/>
              <w:spacing w:before="0" w:after="283"/>
              <w:rPr/>
            </w:pPr>
            <w:r>
              <w:rPr/>
              <w:t> </w:t>
            </w:r>
          </w:p>
        </w:tc>
        <w:tc>
          <w:tcPr>
            <w:tcW w:w="100"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drawing>
                <wp:inline distT="0" distB="0" distL="0" distR="0">
                  <wp:extent cx="1971675" cy="1809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embed="rId94"/>
                          <a:stretch>
                            <a:fillRect/>
                          </a:stretch>
                        </pic:blipFill>
                        <pic:spPr bwMode="auto">
                          <a:xfrm>
                            <a:off x="0" y="0"/>
                            <a:ext cx="1971675" cy="180975"/>
                          </a:xfrm>
                          <a:prstGeom prst="rect">
                            <a:avLst/>
                          </a:prstGeom>
                        </pic:spPr>
                      </pic:pic>
                    </a:graphicData>
                  </a:graphic>
                </wp:inline>
              </w:drawing>
            </w:r>
            <w:r>
              <w:rPr/>
              <w:t xml:space="preserve"> </w:t>
            </w:r>
          </w:p>
        </w:tc>
      </w:tr>
      <w:tr>
        <w:trPr/>
        <w:tc>
          <w:tcPr>
            <w:tcW w:w="3368" w:type="dxa"/>
            <w:tcBorders/>
            <w:shd w:fill="auto" w:val="clear"/>
          </w:tcPr>
          <w:p>
            <w:pPr>
              <w:pStyle w:val="TableContents"/>
              <w:rPr/>
            </w:pPr>
            <w:r>
              <w:rPr/>
              <w:t>​</w:t>
            </w:r>
          </w:p>
          <w:p>
            <w:pPr>
              <w:pStyle w:val="TableContents"/>
              <w:spacing w:before="0" w:after="283"/>
              <w:rPr/>
            </w:pPr>
            <w:r>
              <w:rPr/>
              <w:t> </w:t>
            </w:r>
          </w:p>
        </w:tc>
        <w:tc>
          <w:tcPr>
            <w:tcW w:w="100"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t> </w:t>
            </w:r>
          </w:p>
        </w:tc>
      </w:tr>
    </w:tbl>
    <w:p>
      <w:pPr>
        <w:pStyle w:val="TextBody"/>
        <w:rPr/>
      </w:pPr>
      <w:r>
        <w:rPr>
          <w:color w:val="000000"/>
        </w:rPr>
        <w:commentReference w:id="234"/>
      </w:r>
      <w:r>
        <w:rPr>
          <w:color w:val="000000"/>
        </w:rPr>
        <w:t>​</w:t>
      </w:r>
      <w:r>
        <w:rPr/>
        <w:t xml:space="preserve"> </w:t>
      </w:r>
    </w:p>
    <w:p>
      <w:pPr>
        <w:pStyle w:val="TextBody"/>
        <w:numPr>
          <w:ilvl w:val="0"/>
          <w:numId w:val="0"/>
        </w:numPr>
        <w:spacing w:lineRule="atLeast" w:line="180"/>
        <w:ind w:left="707" w:hanging="0"/>
        <w:jc w:val="left"/>
        <w:rPr>
          <w:rFonts w:ascii="arial" w:hAnsi="arial"/>
          <w:sz w:val="16"/>
        </w:rPr>
      </w:pPr>
      <w:r>
        <w:rPr>
          <w:rFonts w:ascii="arial" w:hAnsi="arial"/>
          <w:sz w:val="16"/>
        </w:rPr>
        <w:t xml:space="preserve">calendar year prior to 2021, one hundred and fifty percent (150%) of the target amount of options shall vest on the anniversary of the grant date that immediately follows the calendar year in which such target amount was achieved; no additional options shall vest if the Company again achieves $1.5 billion in service revenue in a calendar year prior to 2021. If the Company does not achieve $1.5 billion of service revenue in a calendar year prior to 2021, the Committee will determine the percentage of options eligible for vesting based on the Company's 2021 levels of performance defined in the applicable award agreement. If the Company's performance is below a threshold level, no options shall be eligible to vest. If the Company's performance falls between pre-determined levels of performance, the percentage of options eligible for vesting will be determined using linear interpolation for performance that falls between such pre-determined levels. Options that are eligible for vesting based on 2021 pre-determined levels of performance will then vest on the fifth anniversary of the grant date (April 7, 2022), subject to continued employment except as otherwise set forth in the award agreements. Options that are determined not to be eligible for vesting will be cancelled and forfeited. </w:t>
      </w:r>
    </w:p>
    <w:p>
      <w:pPr>
        <w:pStyle w:val="ListHeading"/>
        <w:spacing w:lineRule="atLeast" w:line="180" w:before="0" w:after="0"/>
        <w:jc w:val="left"/>
        <w:rPr>
          <w:rFonts w:ascii="arial" w:hAnsi="arial"/>
          <w:sz w:val="12"/>
        </w:rPr>
      </w:pPr>
      <w:r>
        <w:rPr>
          <w:rFonts w:ascii="arial" w:hAnsi="arial"/>
          <w:sz w:val="12"/>
        </w:rPr>
        <w:t>(8)</w:t>
      </w:r>
    </w:p>
    <w:p>
      <w:pPr>
        <w:pStyle w:val="ListContents"/>
        <w:spacing w:lineRule="atLeast" w:line="180" w:before="0" w:after="283"/>
        <w:jc w:val="left"/>
        <w:rPr>
          <w:rFonts w:ascii="arial" w:hAnsi="arial"/>
          <w:sz w:val="16"/>
        </w:rPr>
      </w:pPr>
      <w:r>
        <w:rPr>
          <w:rFonts w:ascii="arial" w:hAnsi="arial"/>
          <w:sz w:val="16"/>
        </w:rPr>
        <w:t xml:space="preserve">Represents the February 12, 2018 LTIP award of performance-based stock options, which were scheduled to vest from 0% to 200%, based upon the Company's achievement against the 2018 LTIP Performance Criteria. On February 25, 2019, the Compensation Committee confirmed that the 2018 LTIP Performance Criteria was met at the outstanding level, and that the award was earned at a level of 200% of the target award and began vesting in three (3) equal annual installments that started on February 12, 2020. </w:t>
      </w:r>
    </w:p>
    <w:p>
      <w:pPr>
        <w:pStyle w:val="ListHeading"/>
        <w:spacing w:lineRule="atLeast" w:line="180" w:before="0" w:after="0"/>
        <w:jc w:val="left"/>
        <w:rPr>
          <w:rFonts w:ascii="arial" w:hAnsi="arial"/>
          <w:sz w:val="12"/>
        </w:rPr>
      </w:pPr>
      <w:r>
        <w:rPr>
          <w:rFonts w:ascii="arial" w:hAnsi="arial"/>
          <w:sz w:val="12"/>
        </w:rPr>
        <w:t>(9)</w:t>
      </w:r>
    </w:p>
    <w:p>
      <w:pPr>
        <w:pStyle w:val="ListContents"/>
        <w:spacing w:lineRule="atLeast" w:line="180" w:before="0" w:after="283"/>
        <w:jc w:val="left"/>
        <w:rPr>
          <w:rFonts w:ascii="arial" w:hAnsi="arial"/>
          <w:sz w:val="16"/>
        </w:rPr>
      </w:pPr>
      <w:r>
        <w:rPr>
          <w:rFonts w:ascii="arial" w:hAnsi="arial"/>
          <w:sz w:val="16"/>
        </w:rPr>
        <w:t xml:space="preserve">RSUs vest in two (2) equal installments on February 12, 2021 and February 12, 2022. </w:t>
      </w:r>
    </w:p>
    <w:p>
      <w:pPr>
        <w:pStyle w:val="ListHeading"/>
        <w:spacing w:lineRule="atLeast" w:line="180" w:before="0" w:after="0"/>
        <w:jc w:val="left"/>
        <w:rPr>
          <w:rFonts w:ascii="arial" w:hAnsi="arial"/>
          <w:sz w:val="12"/>
        </w:rPr>
      </w:pPr>
      <w:r>
        <w:rPr>
          <w:rFonts w:ascii="arial" w:hAnsi="arial"/>
          <w:sz w:val="12"/>
        </w:rPr>
        <w:t>(10)</w:t>
      </w:r>
    </w:p>
    <w:p>
      <w:pPr>
        <w:pStyle w:val="ListContents"/>
        <w:spacing w:lineRule="atLeast" w:line="180" w:before="0" w:after="283"/>
        <w:jc w:val="left"/>
        <w:rPr>
          <w:rFonts w:ascii="arial" w:hAnsi="arial"/>
          <w:sz w:val="16"/>
        </w:rPr>
      </w:pPr>
      <w:r>
        <w:rPr>
          <w:rFonts w:ascii="arial" w:hAnsi="arial"/>
          <w:sz w:val="16"/>
        </w:rPr>
        <w:t xml:space="preserve">Restricted shares vest on February 25, 2021. </w:t>
      </w:r>
    </w:p>
    <w:p>
      <w:pPr>
        <w:pStyle w:val="ListHeading"/>
        <w:spacing w:lineRule="atLeast" w:line="180" w:before="0" w:after="0"/>
        <w:jc w:val="left"/>
        <w:rPr>
          <w:rFonts w:ascii="arial" w:hAnsi="arial"/>
          <w:sz w:val="12"/>
        </w:rPr>
      </w:pPr>
      <w:r>
        <w:rPr>
          <w:rFonts w:ascii="arial" w:hAnsi="arial"/>
          <w:sz w:val="12"/>
        </w:rPr>
        <w:t>(11)</w:t>
      </w:r>
    </w:p>
    <w:p>
      <w:pPr>
        <w:pStyle w:val="ListContents"/>
        <w:spacing w:lineRule="atLeast" w:line="180" w:before="0" w:after="283"/>
        <w:jc w:val="left"/>
        <w:rPr>
          <w:rFonts w:ascii="arial" w:hAnsi="arial"/>
          <w:sz w:val="16"/>
        </w:rPr>
      </w:pPr>
      <w:r>
        <w:rPr>
          <w:rFonts w:ascii="arial" w:hAnsi="arial"/>
          <w:sz w:val="16"/>
        </w:rPr>
        <w:t xml:space="preserve">Represents March 21, 2019 award of performance-based RSUs granted pursuant to our 2019 LTIP and our 2009 Equity Incentive Plan. The number of Type II performance-based RSUs that vest will be determined based on a two-step process. In the first step, the initial target levels (the "Initial Award Size") will be multiplied by the Company's average level of performance versus pre-established goals for 2019, 2020 and 2021. The 2020 goal relates to the amended scorecard metric of "Development of and progress against the plan to reduce Company costs", with the maximum level of achievement for 2020 performance set at eighty percent (80%), with the actual level of achievement to be determined by the Compensation Committee. The 2019 and 2021 goals are tied to 2019 and 2021 adjusted EPS (a non-GAAP measure). Based on the Company's level of performance versus the adjusted EPS goals over the two-year period (2019 and 2021), the achievement level can be between zero percent (0%) up to one hundred fifty percent (150%). In the second step, the Initial Award Size will be modified based on Altisource's TSR versus the return of the Russell 3000 stock market index during the performance period (2019 to 2021), resulting in a final earned award equal to zero percent (0%) up to one hundred ninety percent (190%) of the Initial Award Size (when originally granted, the final earned award that was possible was two hundred twenty five percent of the Initial Award Size but was reduced as a result of the reduction in the maximum level of achievement for the 2020 scorecard metric). Any earned Type II performance-based RSUs will cliff vest entirely on the third anniversary of the grant date and will be settled in shares or, at the Company's option, cash, subject to continued employment unless otherwise provided in the applicable award agreement. </w:t>
      </w:r>
    </w:p>
    <w:p>
      <w:pPr>
        <w:pStyle w:val="ListHeading"/>
        <w:spacing w:lineRule="atLeast" w:line="180" w:before="0" w:after="0"/>
        <w:jc w:val="left"/>
        <w:rPr>
          <w:rFonts w:ascii="arial" w:hAnsi="arial"/>
          <w:sz w:val="12"/>
        </w:rPr>
      </w:pPr>
      <w:r>
        <w:rPr>
          <w:rFonts w:ascii="arial" w:hAnsi="arial"/>
          <w:sz w:val="12"/>
        </w:rPr>
        <w:t>(12)</w:t>
      </w:r>
    </w:p>
    <w:p>
      <w:pPr>
        <w:pStyle w:val="ListContents"/>
        <w:spacing w:lineRule="atLeast" w:line="180" w:before="0" w:after="283"/>
        <w:jc w:val="left"/>
        <w:rPr>
          <w:rFonts w:ascii="arial" w:hAnsi="arial"/>
          <w:sz w:val="16"/>
        </w:rPr>
      </w:pPr>
      <w:r>
        <w:rPr>
          <w:rFonts w:ascii="arial" w:hAnsi="arial"/>
          <w:sz w:val="16"/>
        </w:rPr>
        <w:t xml:space="preserve">Represents March 21, 2019 award of performance-based RSUs, which vest in two (2) equal installments on March 21, 2021 and March 21, 2022, subject each year to the executive officer meeting a minimum performance level of fifty percent (50%) on his or her annual scorecard for the 2020 and 2021 service years. </w:t>
      </w:r>
    </w:p>
    <w:p>
      <w:pPr>
        <w:pStyle w:val="ListHeading"/>
        <w:spacing w:lineRule="atLeast" w:line="180" w:before="0" w:after="0"/>
        <w:jc w:val="left"/>
        <w:rPr>
          <w:rFonts w:ascii="arial" w:hAnsi="arial"/>
          <w:sz w:val="12"/>
        </w:rPr>
      </w:pPr>
      <w:r>
        <w:rPr>
          <w:rFonts w:ascii="arial" w:hAnsi="arial"/>
          <w:sz w:val="12"/>
        </w:rPr>
        <w:t>(13)</w:t>
      </w:r>
    </w:p>
    <w:p>
      <w:pPr>
        <w:pStyle w:val="ListContents"/>
        <w:spacing w:lineRule="atLeast" w:line="180" w:before="0" w:after="283"/>
        <w:jc w:val="left"/>
        <w:rPr>
          <w:rFonts w:ascii="arial" w:hAnsi="arial"/>
          <w:sz w:val="16"/>
        </w:rPr>
      </w:pPr>
      <w:r>
        <w:rPr>
          <w:rFonts w:ascii="arial" w:hAnsi="arial"/>
          <w:sz w:val="16"/>
        </w:rPr>
        <w:t xml:space="preserve">RSUs vest in two (2) equal installments on February 26, 2021 and February 26, 2022. </w:t>
      </w:r>
    </w:p>
    <w:p>
      <w:pPr>
        <w:pStyle w:val="ListHeading"/>
        <w:spacing w:lineRule="atLeast" w:line="180" w:before="0" w:after="0"/>
        <w:jc w:val="left"/>
        <w:rPr>
          <w:rFonts w:ascii="arial" w:hAnsi="arial"/>
          <w:sz w:val="12"/>
        </w:rPr>
      </w:pPr>
      <w:r>
        <w:rPr>
          <w:rFonts w:ascii="arial" w:hAnsi="arial"/>
          <w:sz w:val="12"/>
        </w:rPr>
        <w:t>(14)</w:t>
      </w:r>
    </w:p>
    <w:p>
      <w:pPr>
        <w:pStyle w:val="ListContents"/>
        <w:spacing w:lineRule="atLeast" w:line="180" w:before="0" w:after="283"/>
        <w:jc w:val="left"/>
        <w:rPr>
          <w:rFonts w:ascii="arial" w:hAnsi="arial"/>
          <w:sz w:val="16"/>
        </w:rPr>
      </w:pPr>
      <w:r>
        <w:rPr>
          <w:rFonts w:ascii="arial" w:hAnsi="arial"/>
          <w:sz w:val="16"/>
        </w:rPr>
        <w:t xml:space="preserve">Represents February 27, 2020 award of performance-based RSUs, granted pursuant to our 2020 LTIP and our 2009 Equity Incentive Plan. The number of Type II performance-based RSUs that vest will be determined based on a two-step process. In the first step, the initial target levels (the "Initial Award Size") will be multiplied by the Company's average level of performance versus pre-established goals for 2020, 2021 and 2022. The 2020 goal relates to the amended scorecard metric of "Development of and progress against the plan to reduce Company costs", with the maximum level of achievement for 2020 performance set at eighty percent (80%), with the actual level of achievement to be determined by the Compensation Committee. The 2021 and 2022 goals are tied to 2021 and 2022 adjusted EPS (a non-GAAP measure). Based on the Company's level of performance versus the adjusted EPS goals over the two-year period (2021 and 2022), the achievement level can be between zero percent (0%) up to one hundred fifty percent (150%). In the second step, the Initial Award Size will be modified based on Altisource's TSR versus the return of the Russell 3000 stock market index during the performance period (2020 to 2022), resulting in a final earned award equal to zero percent (0%) up to one hundred ninety percent (190%) of the Initial Award Size (when originally granted, the final earned award that was possible was two hundred twenty five percent of the Initial Award Size but was reduced as a result of the reduction in the maximum level of achievement for the 2020 scorecard metric). Any earned Type II performance-based RSUs will cliff vest entirely on the third anniversary of the grant date and will be settled in shares or, at the Company's option, cash, subject to continued employment unless otherwise provided in the applicable award agreement. </w:t>
      </w:r>
    </w:p>
    <w:p>
      <w:pPr>
        <w:pStyle w:val="ListHeading"/>
        <w:spacing w:lineRule="atLeast" w:line="180" w:before="0" w:after="0"/>
        <w:jc w:val="left"/>
        <w:rPr>
          <w:rFonts w:ascii="arial" w:hAnsi="arial"/>
          <w:sz w:val="12"/>
        </w:rPr>
      </w:pPr>
      <w:r>
        <w:rPr>
          <w:rFonts w:ascii="arial" w:hAnsi="arial"/>
          <w:sz w:val="12"/>
        </w:rPr>
        <w:t>(15)</w:t>
      </w:r>
    </w:p>
    <w:p>
      <w:pPr>
        <w:pStyle w:val="ListContents"/>
        <w:spacing w:lineRule="atLeast" w:line="180" w:before="0" w:after="283"/>
        <w:jc w:val="left"/>
        <w:rPr>
          <w:rFonts w:ascii="arial" w:hAnsi="arial"/>
          <w:sz w:val="16"/>
        </w:rPr>
      </w:pPr>
      <w:r>
        <w:rPr>
          <w:rFonts w:ascii="arial" w:hAnsi="arial"/>
          <w:sz w:val="16"/>
        </w:rPr>
        <w:t xml:space="preserve">Represents February 27, 2020 award of performance-based RSUs, which vest in three (3) equal installments on February 27, 2021, February 27, 2022 and February 27, 2023, subject each year to the executive officer meeting a minimum performance level of fifty percent (50%) on his or her annual scorecard for the 2020,2021 and 2022 service years. </w:t>
      </w:r>
    </w:p>
    <w:p>
      <w:pPr>
        <w:pStyle w:val="TextBody"/>
        <w:jc w:val="center"/>
        <w:rPr>
          <w:rFonts w:ascii="arial" w:hAnsi="arial"/>
          <w:sz w:val="20"/>
        </w:rPr>
      </w:pPr>
      <w:r>
        <w:rPr>
          <w:rFonts w:ascii="arial" w:hAnsi="arial"/>
          <w:sz w:val="20"/>
        </w:rPr>
        <w:t>62</w:t>
      </w:r>
    </w:p>
    <w:p>
      <w:pPr>
        <w:pStyle w:val="HorizontalLine"/>
        <w:pBdr>
          <w:bottom w:val="single" w:sz="20" w:space="0" w:color="808080"/>
        </w:pBdr>
        <w:rPr/>
      </w:pPr>
      <w:r>
        <w:rPr/>
      </w:r>
      <w:r>
        <w:br w:type="page"/>
      </w:r>
    </w:p>
    <w:p>
      <w:pPr>
        <w:pStyle w:val="TextBody"/>
        <w:rPr/>
      </w:pPr>
      <w:hyperlink w:anchor="bg45301a_main_toc">
        <w:bookmarkStart w:id="118" w:name="page_ea45301_1_63"/>
        <w:bookmarkEnd w:id="118"/>
        <w:r>
          <w:rPr>
            <w:rStyle w:val="InternetLink"/>
            <w:rFonts w:ascii="arial" w:hAnsi="arial"/>
            <w:sz w:val="20"/>
          </w:rPr>
          <w:t>Table of Contents</w:t>
        </w:r>
      </w:hyperlink>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3368"/>
        <w:gridCol w:w="100"/>
        <w:gridCol w:w="6737"/>
      </w:tblGrid>
      <w:tr>
        <w:trPr/>
        <w:tc>
          <w:tcPr>
            <w:tcW w:w="3368" w:type="dxa"/>
            <w:tcBorders/>
            <w:shd w:fill="auto" w:val="clear"/>
            <w:vAlign w:val="center"/>
          </w:tcPr>
          <w:p>
            <w:pPr>
              <w:pStyle w:val="TableContents"/>
              <w:spacing w:before="0" w:after="283"/>
              <w:rPr/>
            </w:pPr>
            <w:r>
              <w:rPr/>
              <w:commentReference w:id="235"/>
            </w:r>
            <w:r>
              <w:rPr/>
              <w:commentReference w:id="236"/>
            </w:r>
            <w:r>
              <w:rPr/>
              <w:commentReference w:id="237"/>
            </w:r>
            <w:r>
              <w:rPr/>
              <w:t>​</w:t>
            </w:r>
          </w:p>
        </w:tc>
        <w:tc>
          <w:tcPr>
            <w:tcW w:w="100" w:type="dxa"/>
            <w:tcBorders/>
            <w:shd w:fill="auto" w:val="clear"/>
            <w:vAlign w:val="center"/>
          </w:tcPr>
          <w:p>
            <w:pPr>
              <w:pStyle w:val="TableContents"/>
              <w:spacing w:before="0" w:after="283"/>
              <w:rPr/>
            </w:pPr>
            <w:r>
              <w:rPr/>
              <w:t>​</w:t>
            </w:r>
          </w:p>
        </w:tc>
        <w:tc>
          <w:tcPr>
            <w:tcW w:w="6737" w:type="dxa"/>
            <w:tcBorders/>
            <w:shd w:fill="auto" w:val="clear"/>
            <w:vAlign w:val="center"/>
          </w:tcPr>
          <w:p>
            <w:pPr>
              <w:pStyle w:val="TableContents"/>
              <w:spacing w:before="0" w:after="283"/>
              <w:rPr/>
            </w:pPr>
            <w:r>
              <w:rPr/>
              <w:t>​</w:t>
            </w:r>
            <w:r>
              <w:rPr>
                <w:rFonts w:eastAsia="arial" w:cs="arial" w:ascii="arial" w:hAnsi="arial"/>
              </w:rPr>
              <w:commentReference w:id="238"/>
            </w:r>
          </w:p>
        </w:tc>
      </w:tr>
      <w:tr>
        <w:trPr/>
        <w:tc>
          <w:tcPr>
            <w:tcW w:w="3368" w:type="dxa"/>
            <w:tcBorders/>
            <w:shd w:fill="auto" w:val="clear"/>
          </w:tcPr>
          <w:p>
            <w:pPr>
              <w:pStyle w:val="TableContents"/>
              <w:rPr/>
            </w:pPr>
            <w:r>
              <w:rPr/>
              <w:t>​</w:t>
            </w:r>
          </w:p>
          <w:p>
            <w:pPr>
              <w:pStyle w:val="TableContents"/>
              <w:spacing w:before="0" w:after="283"/>
              <w:rPr/>
            </w:pPr>
            <w:r>
              <w:rPr/>
              <w:t> </w:t>
            </w:r>
          </w:p>
        </w:tc>
        <w:tc>
          <w:tcPr>
            <w:tcW w:w="100"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drawing>
                <wp:inline distT="0" distB="0" distL="0" distR="0">
                  <wp:extent cx="1971675" cy="1809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embed="rId95"/>
                          <a:stretch>
                            <a:fillRect/>
                          </a:stretch>
                        </pic:blipFill>
                        <pic:spPr bwMode="auto">
                          <a:xfrm>
                            <a:off x="0" y="0"/>
                            <a:ext cx="1971675" cy="180975"/>
                          </a:xfrm>
                          <a:prstGeom prst="rect">
                            <a:avLst/>
                          </a:prstGeom>
                        </pic:spPr>
                      </pic:pic>
                    </a:graphicData>
                  </a:graphic>
                </wp:inline>
              </w:drawing>
            </w:r>
            <w:r>
              <w:rPr/>
              <w:t xml:space="preserve"> </w:t>
            </w:r>
          </w:p>
        </w:tc>
      </w:tr>
      <w:tr>
        <w:trPr/>
        <w:tc>
          <w:tcPr>
            <w:tcW w:w="3368" w:type="dxa"/>
            <w:tcBorders/>
            <w:shd w:fill="auto" w:val="clear"/>
          </w:tcPr>
          <w:p>
            <w:pPr>
              <w:pStyle w:val="TableContents"/>
              <w:rPr/>
            </w:pPr>
            <w:r>
              <w:rPr/>
              <w:t>​</w:t>
            </w:r>
          </w:p>
          <w:p>
            <w:pPr>
              <w:pStyle w:val="TableContents"/>
              <w:spacing w:before="0" w:after="283"/>
              <w:rPr/>
            </w:pPr>
            <w:r>
              <w:rPr/>
              <w:t> </w:t>
            </w:r>
          </w:p>
        </w:tc>
        <w:tc>
          <w:tcPr>
            <w:tcW w:w="100"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t> </w:t>
            </w:r>
          </w:p>
        </w:tc>
      </w:tr>
    </w:tbl>
    <w:p>
      <w:pPr>
        <w:pStyle w:val="TextBody"/>
        <w:rPr/>
      </w:pPr>
      <w:r>
        <w:rPr>
          <w:color w:val="000000"/>
        </w:rPr>
        <w:commentReference w:id="239"/>
      </w:r>
      <w:r>
        <w:rPr>
          <w:color w:val="000000"/>
        </w:rPr>
        <w:t>​</w:t>
      </w:r>
      <w:r>
        <w:rPr/>
        <w:t xml:space="preserve"> </w:t>
      </w:r>
    </w:p>
    <w:p>
      <w:pPr>
        <w:pStyle w:val="ListHeading"/>
        <w:spacing w:lineRule="atLeast" w:line="180" w:before="0" w:after="0"/>
        <w:jc w:val="left"/>
        <w:rPr>
          <w:rFonts w:ascii="arial" w:hAnsi="arial"/>
          <w:sz w:val="12"/>
        </w:rPr>
      </w:pPr>
      <w:r>
        <w:rPr>
          <w:rFonts w:ascii="arial" w:hAnsi="arial"/>
          <w:sz w:val="12"/>
        </w:rPr>
        <w:t>(16)</w:t>
      </w:r>
    </w:p>
    <w:p>
      <w:pPr>
        <w:pStyle w:val="ListContents"/>
        <w:spacing w:lineRule="atLeast" w:line="180" w:before="0" w:after="283"/>
        <w:jc w:val="left"/>
        <w:rPr>
          <w:rFonts w:ascii="arial" w:hAnsi="arial"/>
        </w:rPr>
      </w:pPr>
      <w:r>
        <w:rPr>
          <w:rFonts w:ascii="arial" w:hAnsi="arial"/>
          <w:sz w:val="16"/>
        </w:rPr>
        <w:t>Granted pursuant to our 2009 Equity Incentive Plan. Performance-based RSU awards are scheduled to vest as follows:</w:t>
      </w:r>
      <w:r>
        <w:rPr>
          <w:rFonts w:ascii="arial" w:hAnsi="arial"/>
        </w:rPr>
        <w:t xml:space="preserve"> </w:t>
      </w:r>
    </w:p>
    <w:p>
      <w:pPr>
        <w:pStyle w:val="ListHeading"/>
        <w:spacing w:lineRule="atLeast" w:line="180" w:before="0" w:after="0"/>
        <w:ind w:left="567" w:right="0" w:hanging="0"/>
        <w:jc w:val="left"/>
        <w:rPr>
          <w:rFonts w:ascii="arial" w:hAnsi="arial"/>
          <w:sz w:val="16"/>
        </w:rPr>
      </w:pPr>
      <w:r>
        <w:rPr>
          <w:rFonts w:ascii="arial" w:hAnsi="arial"/>
          <w:sz w:val="16"/>
        </w:rPr>
        <w:t></w:t>
      </w:r>
    </w:p>
    <w:p>
      <w:pPr>
        <w:pStyle w:val="ListContents"/>
        <w:spacing w:lineRule="atLeast" w:line="180" w:before="0" w:after="283"/>
        <w:ind w:left="1134" w:right="0" w:hanging="0"/>
        <w:jc w:val="left"/>
        <w:rPr>
          <w:rFonts w:ascii="arial" w:hAnsi="arial"/>
          <w:sz w:val="16"/>
        </w:rPr>
      </w:pPr>
      <w:r>
        <w:rPr>
          <w:rFonts w:ascii="arial" w:hAnsi="arial"/>
          <w:sz w:val="16"/>
        </w:rPr>
        <w:t xml:space="preserve">10% of the award will begin to vest once the average closing price of Altisource's common stock is at or above $20 per share over a period of 30 calendar days (55% above the closing price of Altisource's common stock as of the grant date) </w:t>
      </w:r>
    </w:p>
    <w:p>
      <w:pPr>
        <w:pStyle w:val="ListHeading"/>
        <w:spacing w:lineRule="atLeast" w:line="180" w:before="0" w:after="0"/>
        <w:ind w:left="567" w:right="0" w:hanging="0"/>
        <w:jc w:val="left"/>
        <w:rPr>
          <w:rFonts w:ascii="arial" w:hAnsi="arial"/>
          <w:sz w:val="16"/>
        </w:rPr>
      </w:pPr>
      <w:r>
        <w:rPr>
          <w:rFonts w:ascii="arial" w:hAnsi="arial"/>
          <w:sz w:val="16"/>
        </w:rPr>
        <w:t></w:t>
      </w:r>
    </w:p>
    <w:p>
      <w:pPr>
        <w:pStyle w:val="ListContents"/>
        <w:spacing w:lineRule="atLeast" w:line="180" w:before="0" w:after="283"/>
        <w:ind w:left="1134" w:right="0" w:hanging="0"/>
        <w:jc w:val="left"/>
        <w:rPr>
          <w:rFonts w:ascii="arial" w:hAnsi="arial"/>
          <w:sz w:val="16"/>
        </w:rPr>
      </w:pPr>
      <w:r>
        <w:rPr>
          <w:rFonts w:ascii="arial" w:hAnsi="arial"/>
          <w:sz w:val="16"/>
        </w:rPr>
        <w:t xml:space="preserve">30% of the award will begin to vest once the average closing price of Altisource's common stock is at or above $25 per share over a period of 30 calendar days (93% above the closing price of Altisource's common stock as of the grant date) </w:t>
      </w:r>
    </w:p>
    <w:p>
      <w:pPr>
        <w:pStyle w:val="ListHeading"/>
        <w:spacing w:lineRule="atLeast" w:line="180" w:before="0" w:after="0"/>
        <w:ind w:left="567" w:right="0" w:hanging="0"/>
        <w:jc w:val="left"/>
        <w:rPr>
          <w:rFonts w:ascii="arial" w:hAnsi="arial"/>
          <w:sz w:val="16"/>
        </w:rPr>
      </w:pPr>
      <w:r>
        <w:rPr>
          <w:rFonts w:ascii="arial" w:hAnsi="arial"/>
          <w:sz w:val="16"/>
        </w:rPr>
        <w:t></w:t>
      </w:r>
    </w:p>
    <w:p>
      <w:pPr>
        <w:pStyle w:val="ListContents"/>
        <w:spacing w:lineRule="atLeast" w:line="180" w:before="0" w:after="283"/>
        <w:ind w:left="1134" w:right="0" w:hanging="0"/>
        <w:jc w:val="left"/>
        <w:rPr>
          <w:rFonts w:ascii="arial" w:hAnsi="arial"/>
          <w:sz w:val="16"/>
        </w:rPr>
      </w:pPr>
      <w:r>
        <w:rPr>
          <w:rFonts w:ascii="arial" w:hAnsi="arial"/>
          <w:sz w:val="16"/>
        </w:rPr>
        <w:t xml:space="preserve">40% of the award will begin to vest once the average closing price of Altisource's common stock is at or above $35 per share over a period of 30 calendar days (171% above the closing price of Altisource's common stock as of the grant date) </w:t>
      </w:r>
    </w:p>
    <w:p>
      <w:pPr>
        <w:pStyle w:val="ListHeading"/>
        <w:spacing w:lineRule="atLeast" w:line="180" w:before="0" w:after="0"/>
        <w:jc w:val="left"/>
        <w:rPr>
          <w:rFonts w:ascii="arial" w:hAnsi="arial"/>
          <w:sz w:val="12"/>
        </w:rPr>
      </w:pPr>
      <w:r>
        <w:rPr>
          <w:rFonts w:ascii="arial" w:hAnsi="arial"/>
          <w:sz w:val="12"/>
        </w:rPr>
        <w:t>(17)</w:t>
      </w:r>
    </w:p>
    <w:p>
      <w:pPr>
        <w:pStyle w:val="ListContents"/>
        <w:spacing w:lineRule="atLeast" w:line="180" w:before="0" w:after="283"/>
        <w:jc w:val="left"/>
        <w:rPr>
          <w:rFonts w:ascii="arial" w:hAnsi="arial"/>
          <w:sz w:val="16"/>
        </w:rPr>
      </w:pPr>
      <w:r>
        <w:rPr>
          <w:rFonts w:ascii="arial" w:hAnsi="arial"/>
          <w:sz w:val="16"/>
        </w:rPr>
        <w:t xml:space="preserve">Time-based RSU awards are scheduled to vest in three (3) equal installments on October 01, 2021, October 01, 2022 and October 01, 2023. </w:t>
      </w:r>
    </w:p>
    <w:p>
      <w:pPr>
        <w:pStyle w:val="ListHeading"/>
        <w:spacing w:lineRule="atLeast" w:line="180" w:before="0" w:after="0"/>
        <w:jc w:val="left"/>
        <w:rPr>
          <w:rFonts w:ascii="arial" w:hAnsi="arial"/>
          <w:sz w:val="12"/>
        </w:rPr>
      </w:pPr>
      <w:r>
        <w:rPr>
          <w:rFonts w:ascii="arial" w:hAnsi="arial"/>
          <w:sz w:val="12"/>
        </w:rPr>
        <w:t>(18)</w:t>
      </w:r>
    </w:p>
    <w:p>
      <w:pPr>
        <w:pStyle w:val="ListContents"/>
        <w:spacing w:lineRule="atLeast" w:line="180" w:before="0" w:after="283"/>
        <w:jc w:val="left"/>
        <w:rPr>
          <w:rFonts w:ascii="arial" w:hAnsi="arial"/>
          <w:sz w:val="16"/>
        </w:rPr>
      </w:pPr>
      <w:r>
        <w:rPr>
          <w:rFonts w:ascii="arial" w:hAnsi="arial"/>
          <w:sz w:val="16"/>
        </w:rPr>
        <w:t xml:space="preserve">Twenty-five percent (25%) of options vest upon Altisource achieving a stock price of $190.29 and an annual rate of return of twenty-five percent (25%) over the exercise price, with the balance vesting twenty-five percent (25%) each subsequent anniversary thereof. </w:t>
      </w:r>
    </w:p>
    <w:p>
      <w:pPr>
        <w:pStyle w:val="ListHeading"/>
        <w:spacing w:lineRule="atLeast" w:line="180" w:before="0" w:after="0"/>
        <w:jc w:val="left"/>
        <w:rPr>
          <w:rFonts w:ascii="arial" w:hAnsi="arial"/>
          <w:sz w:val="12"/>
        </w:rPr>
      </w:pPr>
      <w:r>
        <w:rPr>
          <w:rFonts w:ascii="arial" w:hAnsi="arial"/>
          <w:sz w:val="12"/>
        </w:rPr>
        <w:t>(19)</w:t>
      </w:r>
    </w:p>
    <w:p>
      <w:pPr>
        <w:pStyle w:val="ListContents"/>
        <w:spacing w:lineRule="atLeast" w:line="180" w:before="0" w:after="283"/>
        <w:jc w:val="left"/>
        <w:rPr>
          <w:rFonts w:ascii="arial" w:hAnsi="arial"/>
          <w:sz w:val="16"/>
        </w:rPr>
      </w:pPr>
      <w:r>
        <w:rPr>
          <w:rFonts w:ascii="arial" w:hAnsi="arial"/>
          <w:sz w:val="16"/>
        </w:rPr>
        <w:t xml:space="preserve">Twenty-five percent (25%) of options vest upon Altisource achieving a stock price of $65.67 and an annual rate of return of twenty-five percent (25%) over the exercise price with the balance vesting twenty-five percent (25%) each subsequent anniversary thereof. </w:t>
      </w:r>
    </w:p>
    <w:p>
      <w:pPr>
        <w:pStyle w:val="ListHeading"/>
        <w:spacing w:lineRule="atLeast" w:line="180" w:before="0" w:after="0"/>
        <w:jc w:val="left"/>
        <w:rPr>
          <w:rFonts w:ascii="arial" w:hAnsi="arial"/>
          <w:sz w:val="12"/>
        </w:rPr>
      </w:pPr>
      <w:r>
        <w:rPr>
          <w:rFonts w:ascii="arial" w:hAnsi="arial"/>
          <w:sz w:val="12"/>
        </w:rPr>
        <w:t>(20)</w:t>
      </w:r>
    </w:p>
    <w:p>
      <w:pPr>
        <w:pStyle w:val="ListContents"/>
        <w:spacing w:lineRule="atLeast" w:line="180" w:before="0" w:after="283"/>
        <w:jc w:val="left"/>
        <w:rPr>
          <w:rFonts w:ascii="arial" w:hAnsi="arial"/>
          <w:sz w:val="16"/>
        </w:rPr>
      </w:pPr>
      <w:r>
        <w:rPr>
          <w:rFonts w:ascii="arial" w:hAnsi="arial"/>
          <w:sz w:val="16"/>
        </w:rPr>
        <w:t xml:space="preserve">RSUs vest in two (2) equal installments on January 29, 2021 and January 29, 2022. </w:t>
      </w:r>
    </w:p>
    <w:p>
      <w:pPr>
        <w:pStyle w:val="ListHeading"/>
        <w:spacing w:lineRule="atLeast" w:line="180" w:before="0" w:after="0"/>
        <w:jc w:val="left"/>
        <w:rPr>
          <w:rFonts w:ascii="arial" w:hAnsi="arial"/>
          <w:sz w:val="12"/>
        </w:rPr>
      </w:pPr>
      <w:r>
        <w:rPr>
          <w:rFonts w:ascii="arial" w:hAnsi="arial"/>
          <w:sz w:val="12"/>
        </w:rPr>
        <w:t>(21)</w:t>
      </w:r>
    </w:p>
    <w:p>
      <w:pPr>
        <w:pStyle w:val="ListContents"/>
        <w:spacing w:lineRule="atLeast" w:line="180" w:before="0" w:after="283"/>
        <w:jc w:val="left"/>
        <w:rPr>
          <w:rFonts w:ascii="arial" w:hAnsi="arial"/>
          <w:sz w:val="16"/>
        </w:rPr>
      </w:pPr>
      <w:r>
        <w:rPr>
          <w:rFonts w:ascii="arial" w:hAnsi="arial"/>
          <w:sz w:val="16"/>
        </w:rPr>
        <w:t xml:space="preserve">Represents January 24, 2020 award of performance-based RSUs, granted pursuant to our 2020 LTIP and our 2009 Equity Incentive Plan. The number of Type II performance-based RSUs that vest will be determined based on a two-step process. In the first step, the initial target levels (the "Initial Award Size") will be multiplied by the Company's average level of performance versus pre-established goals for 2020, 2021 and 2022. The 2020 goal relates to the amended scorecard metric of "Development of and progress against the plan to reduce Company costs", with the maximum level of achievement for 2020 performance set at eighty percent (80%), with the actual level of achievement to be determined by the Compensation Committee. The 2021 and 2022 goals are tied to 2021 and 2022 adjusted EPS (a non-GAAP measure). Based on the Company's level of performance versus the adjusted EPS goals over the two-year period (2021 and 2022), the achievement level can be between zero percent (0%) up to one hundred fifty percent (150%). In the second step, the Initial Award Size will be modified based on Altisource's TSR versus the return of the Russell 3000 stock market index during the performance period (2020 to 2022), resulting in a final earned award equal to zero percent (0%) up to one hundred ninety percent (190%) of the Initial Award Size (when originally granted, the final earned award that was possible was two hundred twenty five percent of the Initial Award Size but was reduced as a result of the reduction in the maximum level of achievement for the 2020 scorecard metric). Any earned Type II performance-based RSUs will cliff vest entirely on the third anniversary of the grant date and will be settled in shares or, at the Company's option, cash, subject to continued employment unless otherwise provided in the applicable award agreement. </w:t>
      </w:r>
    </w:p>
    <w:p>
      <w:pPr>
        <w:pStyle w:val="ListHeading"/>
        <w:spacing w:lineRule="atLeast" w:line="180" w:before="0" w:after="0"/>
        <w:jc w:val="left"/>
        <w:rPr>
          <w:rFonts w:ascii="arial" w:hAnsi="arial"/>
          <w:sz w:val="12"/>
        </w:rPr>
      </w:pPr>
      <w:r>
        <w:rPr>
          <w:rFonts w:ascii="arial" w:hAnsi="arial"/>
          <w:sz w:val="12"/>
        </w:rPr>
        <w:t>(22)</w:t>
      </w:r>
    </w:p>
    <w:p>
      <w:pPr>
        <w:pStyle w:val="ListContents"/>
        <w:spacing w:lineRule="atLeast" w:line="180" w:before="0" w:after="283"/>
        <w:jc w:val="left"/>
        <w:rPr>
          <w:rFonts w:ascii="arial" w:hAnsi="arial"/>
          <w:sz w:val="16"/>
        </w:rPr>
      </w:pPr>
      <w:r>
        <w:rPr>
          <w:rFonts w:ascii="arial" w:hAnsi="arial"/>
          <w:sz w:val="16"/>
        </w:rPr>
        <w:t xml:space="preserve">Represents January 24, 2020 award of performance-based RSUs, which vest in three (3) equal installments on January 24, 2021, January 24, 2022 and January 24, 2023, subject each year to the executive officer meeting a minimum performance level of fifty percent (50%) on his or her annual scorecard for the 2020,2021 and 2022 service years. </w:t>
      </w:r>
    </w:p>
    <w:p>
      <w:pPr>
        <w:pStyle w:val="ListHeading"/>
        <w:spacing w:lineRule="atLeast" w:line="180" w:before="0" w:after="0"/>
        <w:jc w:val="left"/>
        <w:rPr>
          <w:rFonts w:ascii="arial" w:hAnsi="arial"/>
          <w:sz w:val="12"/>
        </w:rPr>
      </w:pPr>
      <w:r>
        <w:rPr>
          <w:rFonts w:ascii="arial" w:hAnsi="arial"/>
          <w:sz w:val="12"/>
        </w:rPr>
        <w:t>(23)</w:t>
      </w:r>
    </w:p>
    <w:p>
      <w:pPr>
        <w:pStyle w:val="ListContents"/>
        <w:spacing w:lineRule="atLeast" w:line="180" w:before="0" w:after="283"/>
        <w:jc w:val="left"/>
        <w:rPr>
          <w:rFonts w:ascii="arial" w:hAnsi="arial"/>
          <w:sz w:val="16"/>
        </w:rPr>
      </w:pPr>
      <w:r>
        <w:rPr>
          <w:rFonts w:ascii="arial" w:hAnsi="arial"/>
          <w:sz w:val="16"/>
        </w:rPr>
        <w:t xml:space="preserve">Time-based RSU awards are scheduled to vest in three (3) equal installments on February 26,2021, February 26, 2022 and February 26,2023. </w:t>
      </w:r>
    </w:p>
    <w:p>
      <w:pPr>
        <w:pStyle w:val="ListHeading"/>
        <w:spacing w:lineRule="atLeast" w:line="180" w:before="0" w:after="0"/>
        <w:jc w:val="left"/>
        <w:rPr>
          <w:rFonts w:ascii="arial" w:hAnsi="arial"/>
          <w:sz w:val="12"/>
        </w:rPr>
      </w:pPr>
      <w:r>
        <w:rPr>
          <w:rFonts w:ascii="arial" w:hAnsi="arial"/>
          <w:sz w:val="12"/>
        </w:rPr>
        <w:t>(24)</w:t>
      </w:r>
    </w:p>
    <w:p>
      <w:pPr>
        <w:pStyle w:val="ListContents"/>
        <w:spacing w:lineRule="atLeast" w:line="180" w:before="0" w:after="283"/>
        <w:jc w:val="left"/>
        <w:rPr>
          <w:rFonts w:ascii="arial" w:hAnsi="arial"/>
          <w:sz w:val="16"/>
        </w:rPr>
      </w:pPr>
      <w:r>
        <w:rPr>
          <w:rFonts w:ascii="arial" w:hAnsi="arial"/>
          <w:sz w:val="16"/>
        </w:rPr>
        <w:t xml:space="preserve">One third of options vest upon Altisource achieving a stock price of $77.79 and an annual rate of return of twenty-five percent (25%) over the exercise price with the balance vesting one-third each subsequent anniversary thereof. </w:t>
      </w:r>
    </w:p>
    <w:p>
      <w:pPr>
        <w:pStyle w:val="ListHeading"/>
        <w:spacing w:lineRule="atLeast" w:line="180" w:before="0" w:after="0"/>
        <w:jc w:val="left"/>
        <w:rPr>
          <w:rFonts w:ascii="arial" w:hAnsi="arial"/>
          <w:sz w:val="12"/>
        </w:rPr>
      </w:pPr>
      <w:r>
        <w:rPr>
          <w:rFonts w:ascii="arial" w:hAnsi="arial"/>
          <w:sz w:val="12"/>
        </w:rPr>
        <w:t>(25)</w:t>
      </w:r>
    </w:p>
    <w:p>
      <w:pPr>
        <w:pStyle w:val="ListContents"/>
        <w:spacing w:lineRule="atLeast" w:line="180" w:before="0" w:after="283"/>
        <w:jc w:val="left"/>
        <w:rPr>
          <w:rFonts w:ascii="arial" w:hAnsi="arial"/>
          <w:sz w:val="16"/>
        </w:rPr>
      </w:pPr>
      <w:r>
        <w:rPr>
          <w:rFonts w:ascii="arial" w:hAnsi="arial"/>
          <w:sz w:val="16"/>
        </w:rPr>
        <w:t xml:space="preserve">One third of options vest upon Altisource achieving a stock price of $51.86 and an annual rate of return of twenty percent (20%) over the exercise price with the balance vesting one-third each subsequent anniversary thereof. </w:t>
      </w:r>
    </w:p>
    <w:p>
      <w:pPr>
        <w:pStyle w:val="ListHeading"/>
        <w:spacing w:lineRule="atLeast" w:line="180" w:before="0" w:after="0"/>
        <w:jc w:val="left"/>
        <w:rPr>
          <w:rFonts w:ascii="arial" w:hAnsi="arial"/>
          <w:sz w:val="12"/>
        </w:rPr>
      </w:pPr>
      <w:r>
        <w:rPr>
          <w:rFonts w:ascii="arial" w:hAnsi="arial"/>
          <w:sz w:val="12"/>
        </w:rPr>
        <w:t>(26)</w:t>
      </w:r>
    </w:p>
    <w:p>
      <w:pPr>
        <w:pStyle w:val="ListContents"/>
        <w:spacing w:lineRule="atLeast" w:line="180" w:before="0" w:after="283"/>
        <w:jc w:val="left"/>
        <w:rPr>
          <w:rFonts w:ascii="arial" w:hAnsi="arial"/>
          <w:sz w:val="16"/>
        </w:rPr>
      </w:pPr>
      <w:r>
        <w:rPr>
          <w:rFonts w:ascii="arial" w:hAnsi="arial"/>
          <w:sz w:val="16"/>
        </w:rPr>
        <w:t xml:space="preserve">RSUs vest on November 12, 2021. </w:t>
      </w:r>
    </w:p>
    <w:p>
      <w:pPr>
        <w:pStyle w:val="ListHeading"/>
        <w:spacing w:lineRule="atLeast" w:line="180" w:before="0" w:after="0"/>
        <w:jc w:val="left"/>
        <w:rPr>
          <w:rFonts w:ascii="arial" w:hAnsi="arial"/>
          <w:sz w:val="12"/>
        </w:rPr>
      </w:pPr>
      <w:r>
        <w:rPr>
          <w:rFonts w:ascii="arial" w:hAnsi="arial"/>
          <w:sz w:val="12"/>
        </w:rPr>
        <w:t>(27)</w:t>
      </w:r>
    </w:p>
    <w:p>
      <w:pPr>
        <w:pStyle w:val="ListContents"/>
        <w:spacing w:lineRule="atLeast" w:line="180" w:before="0" w:after="283"/>
        <w:jc w:val="left"/>
        <w:rPr>
          <w:rFonts w:ascii="arial" w:hAnsi="arial"/>
          <w:sz w:val="16"/>
        </w:rPr>
      </w:pPr>
      <w:r>
        <w:rPr>
          <w:rFonts w:ascii="arial" w:hAnsi="arial"/>
          <w:sz w:val="16"/>
        </w:rPr>
        <w:t xml:space="preserve">Twenty-five percent (25%) of options vest upon Altisource achieving a stock price of $290.61 and an annual rate of return of twenty percent (20%) over the exercise price with the balance vesting twenty-five percent (25%) each subsequent anniversary thereof. </w:t>
      </w:r>
    </w:p>
    <w:p>
      <w:pPr>
        <w:pStyle w:val="ListHeading"/>
        <w:spacing w:lineRule="atLeast" w:line="180" w:before="0" w:after="0"/>
        <w:jc w:val="left"/>
        <w:rPr>
          <w:rFonts w:ascii="arial" w:hAnsi="arial"/>
          <w:sz w:val="12"/>
        </w:rPr>
      </w:pPr>
      <w:r>
        <w:rPr>
          <w:rFonts w:ascii="arial" w:hAnsi="arial"/>
          <w:sz w:val="12"/>
        </w:rPr>
        <w:t>(28)</w:t>
      </w:r>
    </w:p>
    <w:p>
      <w:pPr>
        <w:pStyle w:val="ListContents"/>
        <w:spacing w:lineRule="atLeast" w:line="180" w:before="0" w:after="283"/>
        <w:jc w:val="left"/>
        <w:rPr>
          <w:rFonts w:ascii="arial" w:hAnsi="arial"/>
          <w:sz w:val="16"/>
        </w:rPr>
      </w:pPr>
      <w:r>
        <w:rPr>
          <w:rFonts w:ascii="arial" w:hAnsi="arial"/>
          <w:sz w:val="16"/>
        </w:rPr>
        <w:t xml:space="preserve">Twenty-five percent (25%) of options vest upon Altisource achieving a stock price of $193.74 and an annual rate of return of twenty percent (20%) over the exercise price with the balance vesting twenty-five percent (25%) each subsequent anniversary thereof. </w:t>
      </w:r>
    </w:p>
    <w:p>
      <w:pPr>
        <w:pStyle w:val="ListHeading"/>
        <w:spacing w:lineRule="atLeast" w:line="180" w:before="0" w:after="0"/>
        <w:jc w:val="left"/>
        <w:rPr>
          <w:rFonts w:ascii="arial" w:hAnsi="arial"/>
          <w:sz w:val="12"/>
        </w:rPr>
      </w:pPr>
      <w:r>
        <w:rPr>
          <w:rFonts w:ascii="arial" w:hAnsi="arial"/>
          <w:sz w:val="12"/>
        </w:rPr>
        <w:t>(29)</w:t>
      </w:r>
    </w:p>
    <w:p>
      <w:pPr>
        <w:pStyle w:val="ListContents"/>
        <w:spacing w:lineRule="atLeast" w:line="180" w:before="0" w:after="283"/>
        <w:jc w:val="left"/>
        <w:rPr>
          <w:rFonts w:ascii="arial" w:hAnsi="arial"/>
          <w:sz w:val="16"/>
        </w:rPr>
      </w:pPr>
      <w:r>
        <w:rPr>
          <w:rFonts w:ascii="arial" w:hAnsi="arial"/>
          <w:sz w:val="16"/>
        </w:rPr>
        <w:t xml:space="preserve">One-third of options vest upon Altisource achieving a stock price of $97.92 and an annual rate of return of twenty-five percent (25%) over the exercise price with the balance vesting one-third each subsequent anniversary thereof. </w:t>
      </w:r>
    </w:p>
    <w:p>
      <w:pPr>
        <w:pStyle w:val="ListHeading"/>
        <w:spacing w:lineRule="atLeast" w:line="180" w:before="0" w:after="0"/>
        <w:jc w:val="left"/>
        <w:rPr>
          <w:rFonts w:ascii="arial" w:hAnsi="arial"/>
          <w:sz w:val="12"/>
        </w:rPr>
      </w:pPr>
      <w:r>
        <w:rPr>
          <w:rFonts w:ascii="arial" w:hAnsi="arial"/>
          <w:sz w:val="12"/>
        </w:rPr>
        <w:t>(30)</w:t>
      </w:r>
    </w:p>
    <w:p>
      <w:pPr>
        <w:pStyle w:val="ListContents"/>
        <w:spacing w:lineRule="atLeast" w:line="180" w:before="0" w:after="283"/>
        <w:jc w:val="left"/>
        <w:rPr>
          <w:rFonts w:ascii="arial" w:hAnsi="arial"/>
          <w:sz w:val="16"/>
        </w:rPr>
      </w:pPr>
      <w:r>
        <w:rPr>
          <w:rFonts w:ascii="arial" w:hAnsi="arial"/>
          <w:sz w:val="16"/>
        </w:rPr>
        <w:t xml:space="preserve">One-third of options vest upon Altisource achieving a stock price of $65.28 and an annual rate of return of twenty percent (20%) over the exercise price with the balance vesting one-third each subsequent anniversary thereof. </w:t>
      </w:r>
    </w:p>
    <w:p>
      <w:pPr>
        <w:pStyle w:val="TextBody"/>
        <w:jc w:val="center"/>
        <w:rPr>
          <w:rFonts w:ascii="arial" w:hAnsi="arial"/>
          <w:sz w:val="20"/>
        </w:rPr>
      </w:pPr>
      <w:r>
        <w:rPr>
          <w:rFonts w:ascii="arial" w:hAnsi="arial"/>
          <w:sz w:val="20"/>
        </w:rPr>
        <w:t>63</w:t>
      </w:r>
    </w:p>
    <w:p>
      <w:pPr>
        <w:pStyle w:val="HorizontalLine"/>
        <w:pBdr>
          <w:bottom w:val="single" w:sz="20" w:space="0" w:color="808080"/>
        </w:pBdr>
        <w:rPr/>
      </w:pPr>
      <w:r>
        <w:rPr/>
      </w:r>
      <w:r>
        <w:br w:type="page"/>
      </w:r>
    </w:p>
    <w:p>
      <w:pPr>
        <w:pStyle w:val="TextBody"/>
        <w:rPr/>
      </w:pPr>
      <w:hyperlink w:anchor="bg45301a_main_toc">
        <w:bookmarkStart w:id="119" w:name="page_ea45301_1_64"/>
        <w:bookmarkEnd w:id="119"/>
        <w:r>
          <w:rPr>
            <w:rStyle w:val="InternetLink"/>
            <w:rFonts w:ascii="arial" w:hAnsi="arial"/>
            <w:sz w:val="20"/>
          </w:rPr>
          <w:t>Table of Contents</w:t>
        </w:r>
      </w:hyperlink>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3368"/>
        <w:gridCol w:w="100"/>
        <w:gridCol w:w="6737"/>
      </w:tblGrid>
      <w:tr>
        <w:trPr/>
        <w:tc>
          <w:tcPr>
            <w:tcW w:w="3368" w:type="dxa"/>
            <w:tcBorders/>
            <w:shd w:fill="auto" w:val="clear"/>
            <w:vAlign w:val="center"/>
          </w:tcPr>
          <w:p>
            <w:pPr>
              <w:pStyle w:val="TableContents"/>
              <w:spacing w:before="0" w:after="283"/>
              <w:rPr/>
            </w:pPr>
            <w:r>
              <w:rPr/>
              <w:commentReference w:id="240"/>
            </w:r>
            <w:r>
              <w:rPr/>
              <w:commentReference w:id="241"/>
            </w:r>
            <w:r>
              <w:rPr/>
              <w:commentReference w:id="242"/>
            </w:r>
            <w:r>
              <w:rPr/>
              <w:t>​</w:t>
            </w:r>
          </w:p>
        </w:tc>
        <w:tc>
          <w:tcPr>
            <w:tcW w:w="100" w:type="dxa"/>
            <w:tcBorders/>
            <w:shd w:fill="auto" w:val="clear"/>
            <w:vAlign w:val="center"/>
          </w:tcPr>
          <w:p>
            <w:pPr>
              <w:pStyle w:val="TableContents"/>
              <w:spacing w:before="0" w:after="283"/>
              <w:rPr/>
            </w:pPr>
            <w:r>
              <w:rPr/>
              <w:t>​</w:t>
            </w:r>
          </w:p>
        </w:tc>
        <w:tc>
          <w:tcPr>
            <w:tcW w:w="6737" w:type="dxa"/>
            <w:tcBorders/>
            <w:shd w:fill="auto" w:val="clear"/>
            <w:vAlign w:val="center"/>
          </w:tcPr>
          <w:p>
            <w:pPr>
              <w:pStyle w:val="TableContents"/>
              <w:spacing w:before="0" w:after="283"/>
              <w:rPr/>
            </w:pPr>
            <w:r>
              <w:rPr/>
              <w:t>​</w:t>
            </w:r>
            <w:r>
              <w:rPr>
                <w:rFonts w:eastAsia="arial" w:cs="arial" w:ascii="arial" w:hAnsi="arial"/>
              </w:rPr>
              <w:commentReference w:id="243"/>
            </w:r>
          </w:p>
        </w:tc>
      </w:tr>
      <w:tr>
        <w:trPr/>
        <w:tc>
          <w:tcPr>
            <w:tcW w:w="3368" w:type="dxa"/>
            <w:tcBorders/>
            <w:shd w:fill="auto" w:val="clear"/>
          </w:tcPr>
          <w:p>
            <w:pPr>
              <w:pStyle w:val="TableContents"/>
              <w:rPr/>
            </w:pPr>
            <w:r>
              <w:rPr/>
              <w:t>​</w:t>
            </w:r>
          </w:p>
          <w:p>
            <w:pPr>
              <w:pStyle w:val="TableContents"/>
              <w:spacing w:before="0" w:after="283"/>
              <w:rPr/>
            </w:pPr>
            <w:r>
              <w:rPr/>
              <w:t> </w:t>
            </w:r>
          </w:p>
        </w:tc>
        <w:tc>
          <w:tcPr>
            <w:tcW w:w="100"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drawing>
                <wp:inline distT="0" distB="0" distL="0" distR="0">
                  <wp:extent cx="1971675" cy="1809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embed="rId96"/>
                          <a:stretch>
                            <a:fillRect/>
                          </a:stretch>
                        </pic:blipFill>
                        <pic:spPr bwMode="auto">
                          <a:xfrm>
                            <a:off x="0" y="0"/>
                            <a:ext cx="1971675" cy="180975"/>
                          </a:xfrm>
                          <a:prstGeom prst="rect">
                            <a:avLst/>
                          </a:prstGeom>
                        </pic:spPr>
                      </pic:pic>
                    </a:graphicData>
                  </a:graphic>
                </wp:inline>
              </w:drawing>
            </w:r>
            <w:r>
              <w:rPr/>
              <w:t xml:space="preserve"> </w:t>
            </w:r>
          </w:p>
        </w:tc>
      </w:tr>
      <w:tr>
        <w:trPr/>
        <w:tc>
          <w:tcPr>
            <w:tcW w:w="3368" w:type="dxa"/>
            <w:tcBorders/>
            <w:shd w:fill="auto" w:val="clear"/>
          </w:tcPr>
          <w:p>
            <w:pPr>
              <w:pStyle w:val="TableContents"/>
              <w:rPr/>
            </w:pPr>
            <w:r>
              <w:rPr/>
              <w:t>​</w:t>
            </w:r>
          </w:p>
          <w:p>
            <w:pPr>
              <w:pStyle w:val="TableContents"/>
              <w:spacing w:before="0" w:after="283"/>
              <w:rPr/>
            </w:pPr>
            <w:r>
              <w:rPr/>
              <w:t> </w:t>
            </w:r>
          </w:p>
        </w:tc>
        <w:tc>
          <w:tcPr>
            <w:tcW w:w="100"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t> </w:t>
            </w:r>
          </w:p>
        </w:tc>
      </w:tr>
    </w:tbl>
    <w:p>
      <w:pPr>
        <w:pStyle w:val="TextBody"/>
        <w:rPr/>
      </w:pPr>
      <w:r>
        <w:rPr>
          <w:color w:val="000000"/>
        </w:rPr>
        <w:commentReference w:id="244"/>
      </w:r>
      <w:r>
        <w:rPr>
          <w:color w:val="000000"/>
        </w:rPr>
        <w:t>​</w:t>
      </w:r>
      <w:r>
        <w:rPr/>
        <w:t xml:space="preserve"> </w:t>
      </w:r>
    </w:p>
    <w:p>
      <w:pPr>
        <w:pStyle w:val="ListHeading"/>
        <w:spacing w:lineRule="atLeast" w:line="180" w:before="0" w:after="0"/>
        <w:jc w:val="left"/>
        <w:rPr>
          <w:rFonts w:ascii="arial" w:hAnsi="arial"/>
          <w:sz w:val="12"/>
        </w:rPr>
      </w:pPr>
      <w:r>
        <w:rPr>
          <w:rFonts w:ascii="arial" w:hAnsi="arial"/>
          <w:sz w:val="12"/>
        </w:rPr>
        <w:t>(31)</w:t>
      </w:r>
    </w:p>
    <w:p>
      <w:pPr>
        <w:pStyle w:val="ListContents"/>
        <w:spacing w:lineRule="atLeast" w:line="180" w:before="0" w:after="283"/>
        <w:jc w:val="left"/>
        <w:rPr>
          <w:rFonts w:ascii="arial" w:hAnsi="arial"/>
          <w:sz w:val="16"/>
        </w:rPr>
      </w:pPr>
      <w:r>
        <w:rPr>
          <w:rFonts w:ascii="arial" w:hAnsi="arial"/>
          <w:sz w:val="16"/>
        </w:rPr>
        <w:t xml:space="preserve">One-third of options vest upon Altisource achieving a stock price of $82.95 and an annual rate of return of twenty-five percent (25%) over the exercise price with the balance vesting one-third each subsequent anniversary thereof. </w:t>
      </w:r>
    </w:p>
    <w:p>
      <w:pPr>
        <w:pStyle w:val="ListHeading"/>
        <w:spacing w:lineRule="atLeast" w:line="180" w:before="0" w:after="0"/>
        <w:jc w:val="left"/>
        <w:rPr>
          <w:rFonts w:ascii="arial" w:hAnsi="arial"/>
          <w:sz w:val="12"/>
        </w:rPr>
      </w:pPr>
      <w:r>
        <w:rPr>
          <w:rFonts w:ascii="arial" w:hAnsi="arial"/>
          <w:sz w:val="12"/>
        </w:rPr>
        <w:t>(32)</w:t>
      </w:r>
    </w:p>
    <w:p>
      <w:pPr>
        <w:pStyle w:val="ListContents"/>
        <w:spacing w:lineRule="atLeast" w:line="180" w:before="0" w:after="283"/>
        <w:jc w:val="left"/>
        <w:rPr>
          <w:rFonts w:ascii="arial" w:hAnsi="arial"/>
          <w:sz w:val="16"/>
        </w:rPr>
      </w:pPr>
      <w:r>
        <w:rPr>
          <w:rFonts w:ascii="arial" w:hAnsi="arial"/>
          <w:sz w:val="16"/>
        </w:rPr>
        <w:t xml:space="preserve">One-third of options vest upon Altisource achieving a stock price of $55.30 and an annual rate of return of twenty percent (20%) over the exercise price with the balance vesting one-third each subsequent anniversary thereof. </w:t>
      </w:r>
    </w:p>
    <w:p>
      <w:pPr>
        <w:pStyle w:val="ListHeading"/>
        <w:spacing w:lineRule="atLeast" w:line="180" w:before="0" w:after="0"/>
        <w:jc w:val="left"/>
        <w:rPr>
          <w:rFonts w:ascii="arial" w:hAnsi="arial"/>
          <w:sz w:val="12"/>
        </w:rPr>
      </w:pPr>
      <w:r>
        <w:rPr>
          <w:rFonts w:ascii="arial" w:hAnsi="arial"/>
          <w:sz w:val="12"/>
        </w:rPr>
        <w:t>(33)</w:t>
      </w:r>
    </w:p>
    <w:p>
      <w:pPr>
        <w:pStyle w:val="ListContents"/>
        <w:spacing w:lineRule="atLeast" w:line="180" w:before="0" w:after="283"/>
        <w:jc w:val="left"/>
        <w:rPr>
          <w:rFonts w:ascii="arial" w:hAnsi="arial"/>
          <w:sz w:val="16"/>
        </w:rPr>
      </w:pPr>
      <w:r>
        <w:rPr>
          <w:rFonts w:ascii="arial" w:hAnsi="arial"/>
          <w:sz w:val="16"/>
        </w:rPr>
        <w:t xml:space="preserve">Restricted shares vest on November 13, 2021. </w:t>
      </w:r>
    </w:p>
    <w:p>
      <w:pPr>
        <w:pStyle w:val="TextBody"/>
        <w:ind w:left="220" w:right="0" w:hanging="220"/>
        <w:rPr>
          <w:rFonts w:ascii="arial" w:hAnsi="arial"/>
          <w:b/>
          <w:sz w:val="20"/>
        </w:rPr>
      </w:pPr>
      <w:r>
        <w:rPr>
          <w:rFonts w:ascii="arial" w:hAnsi="arial"/>
          <w:b/>
          <w:sz w:val="20"/>
        </w:rPr>
        <w:t xml:space="preserve">Option Exercises and Stock Vested During 2020 </w:t>
      </w:r>
    </w:p>
    <w:p>
      <w:pPr>
        <w:pStyle w:val="TextBody"/>
        <w:rPr>
          <w:rFonts w:ascii="arial" w:hAnsi="arial"/>
          <w:sz w:val="20"/>
        </w:rPr>
      </w:pPr>
      <w:r>
        <w:rPr>
          <w:rFonts w:ascii="arial" w:hAnsi="arial"/>
          <w:sz w:val="20"/>
        </w:rPr>
        <w:t xml:space="preserve">The following table provides information regarding the vesting of restricted shares and RSU awards during the fiscal year ended December 31, 2020 for our Named Executive Officers (there were no stock option exercises in 2020): </w:t>
      </w:r>
    </w:p>
    <w:tbl>
      <w:tblPr>
        <w:tblW w:w="5000" w:type="pct"/>
        <w:jc w:val="center"/>
        <w:tblInd w:w="0" w:type="dxa"/>
        <w:tblCellMar>
          <w:top w:w="0" w:type="dxa"/>
          <w:left w:w="0" w:type="dxa"/>
          <w:bottom w:w="0" w:type="dxa"/>
          <w:right w:w="0" w:type="dxa"/>
        </w:tblCellMar>
      </w:tblPr>
      <w:tblGrid>
        <w:gridCol w:w="8029"/>
        <w:gridCol w:w="23"/>
        <w:gridCol w:w="360"/>
        <w:gridCol w:w="113"/>
        <w:gridCol w:w="492"/>
        <w:gridCol w:w="260"/>
        <w:gridCol w:w="23"/>
        <w:gridCol w:w="23"/>
        <w:gridCol w:w="125"/>
        <w:gridCol w:w="710"/>
        <w:gridCol w:w="23"/>
        <w:gridCol w:w="24"/>
      </w:tblGrid>
      <w:tr>
        <w:trPr/>
        <w:tc>
          <w:tcPr>
            <w:tcW w:w="8029"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4" w:type="dxa"/>
            <w:tcBorders/>
            <w:shd w:fill="auto" w:val="clear"/>
            <w:vAlign w:val="center"/>
          </w:tcPr>
          <w:p>
            <w:pPr>
              <w:pStyle w:val="TableContents"/>
              <w:spacing w:before="0" w:after="283"/>
              <w:rPr>
                <w:sz w:val="4"/>
                <w:szCs w:val="4"/>
              </w:rPr>
            </w:pPr>
            <w:r>
              <w:rPr>
                <w:sz w:val="4"/>
                <w:szCs w:val="4"/>
              </w:rPr>
            </w:r>
          </w:p>
        </w:tc>
      </w:tr>
      <w:tr>
        <w:trPr/>
        <w:tc>
          <w:tcPr>
            <w:tcW w:w="8029" w:type="dxa"/>
            <w:tcBorders/>
            <w:shd w:fill="auto" w:val="clear"/>
            <w:vAlign w:val="bottom"/>
          </w:tcPr>
          <w:p>
            <w:pPr>
              <w:pStyle w:val="TableHeading"/>
              <w:spacing w:before="0" w:after="283"/>
              <w:jc w:val="left"/>
              <w:rPr/>
            </w:pPr>
            <w:r>
              <w:rPr/>
              <w:t> </w:t>
            </w:r>
          </w:p>
        </w:tc>
        <w:tc>
          <w:tcPr>
            <w:tcW w:w="23" w:type="dxa"/>
            <w:tcBorders/>
            <w:shd w:fill="auto" w:val="clear"/>
            <w:vAlign w:val="bottom"/>
          </w:tcPr>
          <w:p>
            <w:pPr>
              <w:pStyle w:val="TableHeading"/>
              <w:suppressLineNumbers/>
              <w:spacing w:before="0" w:after="283"/>
              <w:jc w:val="center"/>
              <w:rPr/>
            </w:pPr>
            <w:r>
              <w:rPr/>
              <w:t>​</w:t>
            </w:r>
          </w:p>
        </w:tc>
        <w:tc>
          <w:tcPr>
            <w:tcW w:w="2129" w:type="dxa"/>
            <w:gridSpan w:val="9"/>
            <w:tcBorders>
              <w:bottom w:val="single" w:sz="8" w:space="0" w:color="000000"/>
            </w:tcBorders>
            <w:shd w:fill="auto" w:val="clear"/>
            <w:tcMar>
              <w:bottom w:w="28" w:type="dxa"/>
            </w:tcMar>
            <w:vAlign w:val="bottom"/>
          </w:tcPr>
          <w:p>
            <w:pPr>
              <w:pStyle w:val="TableHeading"/>
              <w:spacing w:before="0" w:after="283"/>
              <w:jc w:val="center"/>
              <w:rPr>
                <w:rFonts w:ascii="arial" w:hAnsi="arial"/>
                <w:b/>
                <w:sz w:val="20"/>
              </w:rPr>
            </w:pPr>
            <w:r>
              <w:rPr>
                <w:rFonts w:ascii="arial" w:hAnsi="arial"/>
                <w:b/>
                <w:sz w:val="20"/>
              </w:rPr>
              <w:t xml:space="preserve">Stock Awards </w:t>
            </w:r>
          </w:p>
        </w:tc>
        <w:tc>
          <w:tcPr>
            <w:tcW w:w="24" w:type="dxa"/>
            <w:tcBorders/>
            <w:shd w:fill="auto" w:val="clear"/>
            <w:vAlign w:val="bottom"/>
          </w:tcPr>
          <w:p>
            <w:pPr>
              <w:pStyle w:val="TableHeading"/>
              <w:suppressLineNumbers/>
              <w:spacing w:before="0" w:after="283"/>
              <w:jc w:val="center"/>
              <w:rPr/>
            </w:pPr>
            <w:r>
              <w:rPr/>
              <w:t>​</w:t>
            </w:r>
          </w:p>
        </w:tc>
      </w:tr>
      <w:tr>
        <w:trPr/>
        <w:tc>
          <w:tcPr>
            <w:tcW w:w="8029" w:type="dxa"/>
            <w:tcBorders>
              <w:bottom w:val="single" w:sz="8" w:space="0" w:color="000000"/>
            </w:tcBorders>
            <w:shd w:fill="auto" w:val="clear"/>
            <w:tcMar>
              <w:bottom w:w="28" w:type="dxa"/>
            </w:tcMar>
            <w:vAlign w:val="bottom"/>
          </w:tcPr>
          <w:p>
            <w:pPr>
              <w:pStyle w:val="TableHeading"/>
              <w:spacing w:before="0" w:after="283"/>
              <w:jc w:val="center"/>
              <w:rPr>
                <w:rFonts w:ascii="arial" w:hAnsi="arial"/>
                <w:b/>
                <w:sz w:val="20"/>
              </w:rPr>
            </w:pPr>
            <w:r>
              <w:rPr>
                <w:rFonts w:ascii="arial" w:hAnsi="arial"/>
                <w:b/>
                <w:sz w:val="20"/>
              </w:rPr>
              <w:t xml:space="preserve">Name </w:t>
            </w:r>
          </w:p>
        </w:tc>
        <w:tc>
          <w:tcPr>
            <w:tcW w:w="23" w:type="dxa"/>
            <w:tcBorders/>
            <w:shd w:fill="auto" w:val="clear"/>
            <w:vAlign w:val="bottom"/>
          </w:tcPr>
          <w:p>
            <w:pPr>
              <w:pStyle w:val="TableHeading"/>
              <w:suppressLineNumbers/>
              <w:spacing w:before="0" w:after="283"/>
              <w:jc w:val="center"/>
              <w:rPr/>
            </w:pPr>
            <w:r>
              <w:rPr/>
              <w:t>​</w:t>
            </w:r>
          </w:p>
        </w:tc>
        <w:tc>
          <w:tcPr>
            <w:tcW w:w="1225" w:type="dxa"/>
            <w:gridSpan w:val="4"/>
            <w:tcBorders>
              <w:bottom w:val="single" w:sz="8" w:space="0" w:color="000000"/>
            </w:tcBorders>
            <w:shd w:fill="auto" w:val="clear"/>
            <w:tcMar>
              <w:bottom w:w="28" w:type="dxa"/>
            </w:tcMar>
            <w:vAlign w:val="bottom"/>
          </w:tcPr>
          <w:p>
            <w:pPr>
              <w:pStyle w:val="TableHeading"/>
              <w:spacing w:before="0" w:after="283"/>
              <w:jc w:val="center"/>
              <w:rPr>
                <w:rFonts w:ascii="arial" w:hAnsi="arial"/>
                <w:b/>
                <w:sz w:val="20"/>
              </w:rPr>
            </w:pPr>
            <w:r>
              <w:rPr>
                <w:rFonts w:ascii="arial" w:hAnsi="arial"/>
                <w:b/>
                <w:sz w:val="20"/>
              </w:rPr>
              <w:t>Number of Shares</w:t>
              <w:br/>
              <w:t>Acquired on</w:t>
              <w:br/>
              <w:t xml:space="preserve">Vesting </w:t>
            </w:r>
          </w:p>
        </w:tc>
        <w:tc>
          <w:tcPr>
            <w:tcW w:w="23" w:type="dxa"/>
            <w:tcBorders/>
            <w:shd w:fill="auto" w:val="clear"/>
            <w:vAlign w:val="bottom"/>
          </w:tcPr>
          <w:p>
            <w:pPr>
              <w:pStyle w:val="TableHeading"/>
              <w:suppressLineNumbers/>
              <w:spacing w:before="0" w:after="283"/>
              <w:jc w:val="center"/>
              <w:rPr/>
            </w:pPr>
            <w:r>
              <w:rPr/>
              <w:t>​</w:t>
            </w:r>
          </w:p>
        </w:tc>
        <w:tc>
          <w:tcPr>
            <w:tcW w:w="881" w:type="dxa"/>
            <w:gridSpan w:val="4"/>
            <w:tcBorders>
              <w:bottom w:val="single" w:sz="8" w:space="0" w:color="000000"/>
            </w:tcBorders>
            <w:shd w:fill="auto" w:val="clear"/>
            <w:tcMar>
              <w:bottom w:w="28" w:type="dxa"/>
            </w:tcMar>
            <w:vAlign w:val="bottom"/>
          </w:tcPr>
          <w:p>
            <w:pPr>
              <w:pStyle w:val="TableHeading"/>
              <w:spacing w:before="0" w:after="283"/>
              <w:jc w:val="center"/>
              <w:rPr>
                <w:rFonts w:ascii="arial" w:hAnsi="arial"/>
                <w:b/>
                <w:sz w:val="20"/>
              </w:rPr>
            </w:pPr>
            <w:r>
              <w:rPr>
                <w:rFonts w:ascii="arial" w:hAnsi="arial"/>
                <w:b/>
                <w:sz w:val="20"/>
              </w:rPr>
              <w:t>Value Realized</w:t>
              <w:br/>
              <w:t>on Vesting</w:t>
            </w:r>
            <w:r>
              <w:rPr>
                <w:rFonts w:ascii="arial" w:hAnsi="arial"/>
                <w:b/>
                <w:position w:val="7"/>
                <w:sz w:val="16"/>
                <w:sz w:val="20"/>
              </w:rPr>
              <w:t>(1)</w:t>
            </w:r>
            <w:r>
              <w:rPr>
                <w:rFonts w:ascii="arial" w:hAnsi="arial"/>
                <w:b/>
                <w:sz w:val="20"/>
              </w:rPr>
              <w:t xml:space="preserve"> </w:t>
            </w:r>
          </w:p>
        </w:tc>
        <w:tc>
          <w:tcPr>
            <w:tcW w:w="24" w:type="dxa"/>
            <w:tcBorders/>
            <w:shd w:fill="auto" w:val="clear"/>
            <w:vAlign w:val="bottom"/>
          </w:tcPr>
          <w:p>
            <w:pPr>
              <w:pStyle w:val="TableHeading"/>
              <w:suppressLineNumbers/>
              <w:spacing w:before="0" w:after="283"/>
              <w:jc w:val="center"/>
              <w:rPr/>
            </w:pPr>
            <w:r>
              <w:rPr/>
              <w:t>​</w:t>
            </w:r>
          </w:p>
        </w:tc>
      </w:tr>
      <w:tr>
        <w:trPr/>
        <w:tc>
          <w:tcPr>
            <w:tcW w:w="8029" w:type="dxa"/>
            <w:tcBorders/>
            <w:shd w:fill="CCEEFF" w:val="clear"/>
            <w:vAlign w:val="bottom"/>
          </w:tcPr>
          <w:p>
            <w:pPr>
              <w:pStyle w:val="TableContents"/>
              <w:spacing w:before="0" w:after="283"/>
              <w:ind w:left="200" w:right="0" w:hanging="200"/>
              <w:rPr>
                <w:rFonts w:ascii="arial" w:hAnsi="arial"/>
                <w:sz w:val="20"/>
              </w:rPr>
            </w:pPr>
            <w:r>
              <w:rPr>
                <w:rFonts w:ascii="arial" w:hAnsi="arial"/>
                <w:sz w:val="20"/>
              </w:rPr>
              <w:t>William B. Shepro</w:t>
            </w:r>
          </w:p>
        </w:tc>
        <w:tc>
          <w:tcPr>
            <w:tcW w:w="23" w:type="dxa"/>
            <w:tcBorders/>
            <w:shd w:fill="CCEEFF" w:val="clear"/>
            <w:vAlign w:val="bottom"/>
          </w:tcPr>
          <w:p>
            <w:pPr>
              <w:pStyle w:val="TableContents"/>
              <w:spacing w:before="0" w:after="283"/>
              <w:rPr/>
            </w:pPr>
            <w:r>
              <w:rPr/>
              <w:t>​</w:t>
            </w:r>
          </w:p>
        </w:tc>
        <w:tc>
          <w:tcPr>
            <w:tcW w:w="360" w:type="dxa"/>
            <w:tcBorders/>
            <w:shd w:fill="CCEEFF" w:val="clear"/>
            <w:vAlign w:val="bottom"/>
          </w:tcPr>
          <w:p>
            <w:pPr>
              <w:pStyle w:val="TableContents"/>
              <w:spacing w:before="0" w:after="283"/>
              <w:rPr/>
            </w:pPr>
            <w:r>
              <w:rPr/>
              <w:t>​</w:t>
            </w:r>
          </w:p>
        </w:tc>
        <w:tc>
          <w:tcPr>
            <w:tcW w:w="605"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4,309</w:t>
            </w:r>
          </w:p>
        </w:tc>
        <w:tc>
          <w:tcPr>
            <w:tcW w:w="260" w:type="dxa"/>
            <w:tcBorders/>
            <w:shd w:fill="CCEEFF" w:val="clear"/>
            <w:vAlign w:val="bottom"/>
          </w:tcPr>
          <w:p>
            <w:pPr>
              <w:pStyle w:val="TableContents"/>
              <w:spacing w:before="0" w:after="283"/>
              <w:rPr>
                <w:rFonts w:ascii="arial" w:hAnsi="arial"/>
                <w:position w:val="7"/>
                <w:sz w:val="16"/>
                <w:sz w:val="20"/>
              </w:rPr>
            </w:pPr>
            <w:r>
              <w:rPr>
                <w:rFonts w:ascii="arial" w:hAnsi="arial"/>
                <w:position w:val="7"/>
                <w:sz w:val="16"/>
                <w:sz w:val="20"/>
              </w:rPr>
              <w:t>(2)</w:t>
            </w:r>
          </w:p>
        </w:tc>
        <w:tc>
          <w:tcPr>
            <w:tcW w:w="23" w:type="dxa"/>
            <w:tcBorders/>
            <w:shd w:fill="CCEEFF" w:val="clear"/>
            <w:vAlign w:val="bottom"/>
          </w:tcPr>
          <w:p>
            <w:pPr>
              <w:pStyle w:val="TableContents"/>
              <w:spacing w:before="0" w:after="283"/>
              <w:rPr>
                <w:position w:val="8"/>
                <w:sz w:val="19"/>
              </w:rPr>
            </w:pPr>
            <w:r>
              <w:rPr>
                <w:position w:val="8"/>
                <w:sz w:val="19"/>
              </w:rPr>
              <w:t>​</w:t>
            </w:r>
          </w:p>
        </w:tc>
        <w:tc>
          <w:tcPr>
            <w:tcW w:w="23" w:type="dxa"/>
            <w:tcBorders/>
            <w:shd w:fill="CCEEFF" w:val="clear"/>
            <w:vAlign w:val="bottom"/>
          </w:tcPr>
          <w:p>
            <w:pPr>
              <w:pStyle w:val="TableContents"/>
              <w:spacing w:before="0" w:after="283"/>
              <w:rPr/>
            </w:pPr>
            <w:r>
              <w:rPr/>
              <w:t>​</w:t>
            </w:r>
          </w:p>
        </w:tc>
        <w:tc>
          <w:tcPr>
            <w:tcW w:w="125" w:type="dxa"/>
            <w:tcBorders/>
            <w:shd w:fill="CCEEFF" w:val="clear"/>
            <w:vAlign w:val="bottom"/>
          </w:tcPr>
          <w:p>
            <w:pPr>
              <w:pStyle w:val="TableContents"/>
              <w:spacing w:before="0" w:after="283"/>
              <w:rPr>
                <w:rFonts w:ascii="arial" w:hAnsi="arial"/>
                <w:sz w:val="20"/>
              </w:rPr>
            </w:pPr>
            <w:r>
              <w:rPr>
                <w:rFonts w:ascii="arial" w:hAnsi="arial"/>
                <w:sz w:val="20"/>
              </w:rPr>
              <w:t>$</w:t>
            </w:r>
          </w:p>
        </w:tc>
        <w:tc>
          <w:tcPr>
            <w:tcW w:w="710" w:type="dxa"/>
            <w:tcBorders/>
            <w:shd w:fill="CCEEFF" w:val="clear"/>
            <w:vAlign w:val="bottom"/>
          </w:tcPr>
          <w:p>
            <w:pPr>
              <w:pStyle w:val="TableContents"/>
              <w:spacing w:before="0" w:after="283"/>
              <w:jc w:val="right"/>
              <w:rPr>
                <w:rFonts w:ascii="arial" w:hAnsi="arial"/>
                <w:sz w:val="20"/>
              </w:rPr>
            </w:pPr>
            <w:r>
              <w:rPr>
                <w:rFonts w:ascii="arial" w:hAnsi="arial"/>
                <w:sz w:val="20"/>
              </w:rPr>
              <w:t>31,844</w:t>
            </w:r>
          </w:p>
        </w:tc>
        <w:tc>
          <w:tcPr>
            <w:tcW w:w="23" w:type="dxa"/>
            <w:tcBorders/>
            <w:shd w:fill="CCEEFF" w:val="clear"/>
            <w:vAlign w:val="bottom"/>
          </w:tcPr>
          <w:p>
            <w:pPr>
              <w:pStyle w:val="TableContents"/>
              <w:spacing w:before="0" w:after="283"/>
              <w:rPr/>
            </w:pPr>
            <w:r>
              <w:rPr/>
              <w:t>​</w:t>
            </w:r>
          </w:p>
        </w:tc>
        <w:tc>
          <w:tcPr>
            <w:tcW w:w="24" w:type="dxa"/>
            <w:tcBorders/>
            <w:shd w:fill="CCEEFF" w:val="clear"/>
            <w:vAlign w:val="bottom"/>
          </w:tcPr>
          <w:p>
            <w:pPr>
              <w:pStyle w:val="TableContents"/>
              <w:spacing w:before="0" w:after="283"/>
              <w:rPr/>
            </w:pPr>
            <w:r>
              <w:rPr/>
              <w:t>​</w:t>
            </w:r>
          </w:p>
        </w:tc>
      </w:tr>
      <w:tr>
        <w:trPr/>
        <w:tc>
          <w:tcPr>
            <w:tcW w:w="8029" w:type="dxa"/>
            <w:tcBorders/>
            <w:shd w:fill="CCEEFF" w:val="clear"/>
            <w:vAlign w:val="bottom"/>
          </w:tcPr>
          <w:p>
            <w:pPr>
              <w:pStyle w:val="TableContents"/>
              <w:spacing w:before="0" w:after="283"/>
              <w:ind w:left="200" w:right="0" w:hanging="200"/>
              <w:rPr>
                <w:sz w:val="4"/>
                <w:szCs w:val="4"/>
              </w:rPr>
            </w:pPr>
            <w:r>
              <w:rPr>
                <w:sz w:val="4"/>
                <w:szCs w:val="4"/>
              </w:rPr>
            </w:r>
          </w:p>
        </w:tc>
        <w:tc>
          <w:tcPr>
            <w:tcW w:w="23" w:type="dxa"/>
            <w:tcBorders/>
            <w:shd w:fill="CCEEFF" w:val="clear"/>
            <w:vAlign w:val="bottom"/>
          </w:tcPr>
          <w:p>
            <w:pPr>
              <w:pStyle w:val="TableContents"/>
              <w:spacing w:before="0" w:after="283"/>
              <w:rPr/>
            </w:pPr>
            <w:r>
              <w:rPr/>
              <w:t>​</w:t>
            </w:r>
          </w:p>
        </w:tc>
        <w:tc>
          <w:tcPr>
            <w:tcW w:w="360" w:type="dxa"/>
            <w:tcBorders/>
            <w:shd w:fill="CCEEFF" w:val="clear"/>
            <w:vAlign w:val="bottom"/>
          </w:tcPr>
          <w:p>
            <w:pPr>
              <w:pStyle w:val="TableContents"/>
              <w:spacing w:before="0" w:after="283"/>
              <w:rPr/>
            </w:pPr>
            <w:r>
              <w:rPr/>
              <w:t>​</w:t>
            </w:r>
          </w:p>
        </w:tc>
        <w:tc>
          <w:tcPr>
            <w:tcW w:w="605"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25,000</w:t>
            </w:r>
          </w:p>
        </w:tc>
        <w:tc>
          <w:tcPr>
            <w:tcW w:w="260" w:type="dxa"/>
            <w:tcBorders/>
            <w:shd w:fill="CCEEFF" w:val="clear"/>
            <w:vAlign w:val="bottom"/>
          </w:tcPr>
          <w:p>
            <w:pPr>
              <w:pStyle w:val="TableContents"/>
              <w:spacing w:before="0" w:after="283"/>
              <w:rPr>
                <w:rFonts w:ascii="arial" w:hAnsi="arial"/>
                <w:position w:val="7"/>
                <w:sz w:val="16"/>
                <w:sz w:val="20"/>
              </w:rPr>
            </w:pPr>
            <w:r>
              <w:rPr>
                <w:rFonts w:ascii="arial" w:hAnsi="arial"/>
                <w:position w:val="7"/>
                <w:sz w:val="16"/>
                <w:sz w:val="20"/>
              </w:rPr>
              <w:t>(3)</w:t>
            </w:r>
          </w:p>
        </w:tc>
        <w:tc>
          <w:tcPr>
            <w:tcW w:w="23" w:type="dxa"/>
            <w:tcBorders/>
            <w:shd w:fill="CCEEFF" w:val="clear"/>
            <w:vAlign w:val="bottom"/>
          </w:tcPr>
          <w:p>
            <w:pPr>
              <w:pStyle w:val="TableContents"/>
              <w:spacing w:before="0" w:after="283"/>
              <w:rPr>
                <w:position w:val="8"/>
                <w:sz w:val="19"/>
              </w:rPr>
            </w:pPr>
            <w:r>
              <w:rPr>
                <w:position w:val="8"/>
                <w:sz w:val="19"/>
              </w:rPr>
              <w:t>​</w:t>
            </w:r>
          </w:p>
        </w:tc>
        <w:tc>
          <w:tcPr>
            <w:tcW w:w="23" w:type="dxa"/>
            <w:tcBorders/>
            <w:shd w:fill="CCEEFF" w:val="clear"/>
            <w:vAlign w:val="bottom"/>
          </w:tcPr>
          <w:p>
            <w:pPr>
              <w:pStyle w:val="TableContents"/>
              <w:spacing w:before="0" w:after="283"/>
              <w:rPr/>
            </w:pPr>
            <w:r>
              <w:rPr/>
              <w:t>​</w:t>
            </w:r>
          </w:p>
        </w:tc>
        <w:tc>
          <w:tcPr>
            <w:tcW w:w="125" w:type="dxa"/>
            <w:tcBorders/>
            <w:shd w:fill="CCEEFF" w:val="clear"/>
            <w:vAlign w:val="bottom"/>
          </w:tcPr>
          <w:p>
            <w:pPr>
              <w:pStyle w:val="TableContents"/>
              <w:spacing w:before="0" w:after="283"/>
              <w:rPr>
                <w:rFonts w:ascii="arial" w:hAnsi="arial"/>
                <w:sz w:val="20"/>
              </w:rPr>
            </w:pPr>
            <w:r>
              <w:rPr>
                <w:rFonts w:ascii="arial" w:hAnsi="arial"/>
                <w:sz w:val="20"/>
              </w:rPr>
              <w:t>$</w:t>
            </w:r>
          </w:p>
        </w:tc>
        <w:tc>
          <w:tcPr>
            <w:tcW w:w="710" w:type="dxa"/>
            <w:tcBorders/>
            <w:shd w:fill="CCEEFF" w:val="clear"/>
            <w:vAlign w:val="bottom"/>
          </w:tcPr>
          <w:p>
            <w:pPr>
              <w:pStyle w:val="TableContents"/>
              <w:spacing w:before="0" w:after="283"/>
              <w:jc w:val="right"/>
              <w:rPr>
                <w:rFonts w:ascii="arial" w:hAnsi="arial"/>
                <w:sz w:val="20"/>
              </w:rPr>
            </w:pPr>
            <w:r>
              <w:rPr>
                <w:rFonts w:ascii="arial" w:hAnsi="arial"/>
                <w:sz w:val="20"/>
              </w:rPr>
              <w:t>490,000</w:t>
            </w:r>
          </w:p>
        </w:tc>
        <w:tc>
          <w:tcPr>
            <w:tcW w:w="23" w:type="dxa"/>
            <w:tcBorders/>
            <w:shd w:fill="CCEEFF" w:val="clear"/>
            <w:vAlign w:val="bottom"/>
          </w:tcPr>
          <w:p>
            <w:pPr>
              <w:pStyle w:val="TableContents"/>
              <w:spacing w:before="0" w:after="283"/>
              <w:rPr/>
            </w:pPr>
            <w:r>
              <w:rPr/>
              <w:t>​</w:t>
            </w:r>
          </w:p>
        </w:tc>
        <w:tc>
          <w:tcPr>
            <w:tcW w:w="24" w:type="dxa"/>
            <w:tcBorders/>
            <w:shd w:fill="CCEEFF" w:val="clear"/>
            <w:vAlign w:val="bottom"/>
          </w:tcPr>
          <w:p>
            <w:pPr>
              <w:pStyle w:val="TableContents"/>
              <w:spacing w:before="0" w:after="283"/>
              <w:rPr/>
            </w:pPr>
            <w:r>
              <w:rPr/>
              <w:t>​</w:t>
            </w:r>
          </w:p>
        </w:tc>
      </w:tr>
      <w:tr>
        <w:trPr/>
        <w:tc>
          <w:tcPr>
            <w:tcW w:w="8029" w:type="dxa"/>
            <w:tcBorders/>
            <w:shd w:fill="CCEEFF" w:val="clear"/>
            <w:vAlign w:val="bottom"/>
          </w:tcPr>
          <w:p>
            <w:pPr>
              <w:pStyle w:val="TableContents"/>
              <w:spacing w:before="0" w:after="283"/>
              <w:ind w:left="200" w:right="0" w:hanging="200"/>
              <w:rPr>
                <w:sz w:val="4"/>
                <w:szCs w:val="4"/>
              </w:rPr>
            </w:pPr>
            <w:r>
              <w:rPr>
                <w:sz w:val="4"/>
                <w:szCs w:val="4"/>
              </w:rPr>
            </w:r>
          </w:p>
        </w:tc>
        <w:tc>
          <w:tcPr>
            <w:tcW w:w="23" w:type="dxa"/>
            <w:tcBorders/>
            <w:shd w:fill="CCEEFF" w:val="clear"/>
            <w:vAlign w:val="bottom"/>
          </w:tcPr>
          <w:p>
            <w:pPr>
              <w:pStyle w:val="TableContents"/>
              <w:spacing w:before="0" w:after="283"/>
              <w:rPr/>
            </w:pPr>
            <w:r>
              <w:rPr/>
              <w:t>​</w:t>
            </w:r>
          </w:p>
        </w:tc>
        <w:tc>
          <w:tcPr>
            <w:tcW w:w="360" w:type="dxa"/>
            <w:tcBorders/>
            <w:shd w:fill="CCEEFF" w:val="clear"/>
            <w:vAlign w:val="bottom"/>
          </w:tcPr>
          <w:p>
            <w:pPr>
              <w:pStyle w:val="TableContents"/>
              <w:spacing w:before="0" w:after="283"/>
              <w:rPr/>
            </w:pPr>
            <w:r>
              <w:rPr/>
              <w:t>​</w:t>
            </w:r>
          </w:p>
        </w:tc>
        <w:tc>
          <w:tcPr>
            <w:tcW w:w="605"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19,221</w:t>
            </w:r>
          </w:p>
        </w:tc>
        <w:tc>
          <w:tcPr>
            <w:tcW w:w="260" w:type="dxa"/>
            <w:tcBorders/>
            <w:shd w:fill="CCEEFF" w:val="clear"/>
            <w:vAlign w:val="bottom"/>
          </w:tcPr>
          <w:p>
            <w:pPr>
              <w:pStyle w:val="TableContents"/>
              <w:spacing w:before="0" w:after="283"/>
              <w:rPr>
                <w:rFonts w:ascii="arial" w:hAnsi="arial"/>
                <w:position w:val="7"/>
                <w:sz w:val="16"/>
                <w:sz w:val="20"/>
              </w:rPr>
            </w:pPr>
            <w:r>
              <w:rPr>
                <w:rFonts w:ascii="arial" w:hAnsi="arial"/>
                <w:position w:val="7"/>
                <w:sz w:val="16"/>
                <w:sz w:val="20"/>
              </w:rPr>
              <w:t>(4)</w:t>
            </w:r>
          </w:p>
        </w:tc>
        <w:tc>
          <w:tcPr>
            <w:tcW w:w="23" w:type="dxa"/>
            <w:tcBorders/>
            <w:shd w:fill="CCEEFF" w:val="clear"/>
            <w:vAlign w:val="bottom"/>
          </w:tcPr>
          <w:p>
            <w:pPr>
              <w:pStyle w:val="TableContents"/>
              <w:spacing w:before="0" w:after="283"/>
              <w:rPr>
                <w:position w:val="8"/>
                <w:sz w:val="19"/>
              </w:rPr>
            </w:pPr>
            <w:r>
              <w:rPr>
                <w:position w:val="8"/>
                <w:sz w:val="19"/>
              </w:rPr>
              <w:t>​</w:t>
            </w:r>
          </w:p>
        </w:tc>
        <w:tc>
          <w:tcPr>
            <w:tcW w:w="23" w:type="dxa"/>
            <w:tcBorders/>
            <w:shd w:fill="CCEEFF" w:val="clear"/>
            <w:vAlign w:val="bottom"/>
          </w:tcPr>
          <w:p>
            <w:pPr>
              <w:pStyle w:val="TableContents"/>
              <w:spacing w:before="0" w:after="283"/>
              <w:rPr/>
            </w:pPr>
            <w:r>
              <w:rPr/>
              <w:t>​</w:t>
            </w:r>
          </w:p>
        </w:tc>
        <w:tc>
          <w:tcPr>
            <w:tcW w:w="125" w:type="dxa"/>
            <w:tcBorders/>
            <w:shd w:fill="CCEEFF" w:val="clear"/>
            <w:vAlign w:val="bottom"/>
          </w:tcPr>
          <w:p>
            <w:pPr>
              <w:pStyle w:val="TableContents"/>
              <w:spacing w:before="0" w:after="283"/>
              <w:rPr>
                <w:rFonts w:ascii="arial" w:hAnsi="arial"/>
                <w:sz w:val="20"/>
              </w:rPr>
            </w:pPr>
            <w:r>
              <w:rPr>
                <w:rFonts w:ascii="arial" w:hAnsi="arial"/>
                <w:sz w:val="20"/>
              </w:rPr>
              <w:t>$</w:t>
            </w:r>
          </w:p>
        </w:tc>
        <w:tc>
          <w:tcPr>
            <w:tcW w:w="710" w:type="dxa"/>
            <w:tcBorders/>
            <w:shd w:fill="CCEEFF" w:val="clear"/>
            <w:vAlign w:val="bottom"/>
          </w:tcPr>
          <w:p>
            <w:pPr>
              <w:pStyle w:val="TableContents"/>
              <w:spacing w:before="0" w:after="283"/>
              <w:jc w:val="right"/>
              <w:rPr>
                <w:rFonts w:ascii="arial" w:hAnsi="arial"/>
                <w:sz w:val="20"/>
              </w:rPr>
            </w:pPr>
            <w:r>
              <w:rPr>
                <w:rFonts w:ascii="arial" w:hAnsi="arial"/>
                <w:sz w:val="20"/>
              </w:rPr>
              <w:t>363,469</w:t>
            </w:r>
          </w:p>
        </w:tc>
        <w:tc>
          <w:tcPr>
            <w:tcW w:w="23" w:type="dxa"/>
            <w:tcBorders/>
            <w:shd w:fill="CCEEFF" w:val="clear"/>
            <w:vAlign w:val="bottom"/>
          </w:tcPr>
          <w:p>
            <w:pPr>
              <w:pStyle w:val="TableContents"/>
              <w:spacing w:before="0" w:after="283"/>
              <w:rPr/>
            </w:pPr>
            <w:r>
              <w:rPr/>
              <w:t>​</w:t>
            </w:r>
          </w:p>
        </w:tc>
        <w:tc>
          <w:tcPr>
            <w:tcW w:w="24" w:type="dxa"/>
            <w:tcBorders/>
            <w:shd w:fill="CCEEFF" w:val="clear"/>
            <w:vAlign w:val="bottom"/>
          </w:tcPr>
          <w:p>
            <w:pPr>
              <w:pStyle w:val="TableContents"/>
              <w:spacing w:before="0" w:after="283"/>
              <w:rPr/>
            </w:pPr>
            <w:r>
              <w:rPr/>
              <w:t>​</w:t>
            </w:r>
          </w:p>
        </w:tc>
      </w:tr>
      <w:tr>
        <w:trPr/>
        <w:tc>
          <w:tcPr>
            <w:tcW w:w="8029" w:type="dxa"/>
            <w:tcBorders/>
            <w:shd w:fill="CCEEFF" w:val="clear"/>
            <w:vAlign w:val="bottom"/>
          </w:tcPr>
          <w:p>
            <w:pPr>
              <w:pStyle w:val="TableContents"/>
              <w:spacing w:before="0" w:after="283"/>
              <w:ind w:left="200" w:right="0" w:hanging="200"/>
              <w:rPr>
                <w:sz w:val="4"/>
                <w:szCs w:val="4"/>
              </w:rPr>
            </w:pPr>
            <w:r>
              <w:rPr>
                <w:sz w:val="4"/>
                <w:szCs w:val="4"/>
              </w:rPr>
            </w:r>
          </w:p>
        </w:tc>
        <w:tc>
          <w:tcPr>
            <w:tcW w:w="23" w:type="dxa"/>
            <w:tcBorders/>
            <w:shd w:fill="CCEEFF" w:val="clear"/>
            <w:vAlign w:val="bottom"/>
          </w:tcPr>
          <w:p>
            <w:pPr>
              <w:pStyle w:val="TableContents"/>
              <w:spacing w:before="0" w:after="283"/>
              <w:rPr/>
            </w:pPr>
            <w:r>
              <w:rPr/>
              <w:t>​</w:t>
            </w:r>
          </w:p>
        </w:tc>
        <w:tc>
          <w:tcPr>
            <w:tcW w:w="360" w:type="dxa"/>
            <w:tcBorders/>
            <w:shd w:fill="CCEEFF" w:val="clear"/>
            <w:vAlign w:val="bottom"/>
          </w:tcPr>
          <w:p>
            <w:pPr>
              <w:pStyle w:val="TableContents"/>
              <w:spacing w:before="0" w:after="283"/>
              <w:rPr/>
            </w:pPr>
            <w:r>
              <w:rPr/>
              <w:t>​</w:t>
            </w:r>
          </w:p>
        </w:tc>
        <w:tc>
          <w:tcPr>
            <w:tcW w:w="605"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8,183</w:t>
            </w:r>
          </w:p>
        </w:tc>
        <w:tc>
          <w:tcPr>
            <w:tcW w:w="260" w:type="dxa"/>
            <w:tcBorders/>
            <w:shd w:fill="CCEEFF" w:val="clear"/>
            <w:vAlign w:val="bottom"/>
          </w:tcPr>
          <w:p>
            <w:pPr>
              <w:pStyle w:val="TableContents"/>
              <w:spacing w:before="0" w:after="283"/>
              <w:rPr>
                <w:rFonts w:ascii="arial" w:hAnsi="arial"/>
                <w:position w:val="7"/>
                <w:sz w:val="16"/>
                <w:sz w:val="20"/>
              </w:rPr>
            </w:pPr>
            <w:r>
              <w:rPr>
                <w:rFonts w:ascii="arial" w:hAnsi="arial"/>
                <w:position w:val="7"/>
                <w:sz w:val="16"/>
                <w:sz w:val="20"/>
              </w:rPr>
              <w:t>(5)</w:t>
            </w:r>
          </w:p>
        </w:tc>
        <w:tc>
          <w:tcPr>
            <w:tcW w:w="23" w:type="dxa"/>
            <w:tcBorders/>
            <w:shd w:fill="CCEEFF" w:val="clear"/>
            <w:vAlign w:val="bottom"/>
          </w:tcPr>
          <w:p>
            <w:pPr>
              <w:pStyle w:val="TableContents"/>
              <w:spacing w:before="0" w:after="283"/>
              <w:rPr>
                <w:position w:val="8"/>
                <w:sz w:val="19"/>
              </w:rPr>
            </w:pPr>
            <w:r>
              <w:rPr>
                <w:position w:val="8"/>
                <w:sz w:val="19"/>
              </w:rPr>
              <w:t>​</w:t>
            </w:r>
          </w:p>
        </w:tc>
        <w:tc>
          <w:tcPr>
            <w:tcW w:w="23" w:type="dxa"/>
            <w:tcBorders/>
            <w:shd w:fill="CCEEFF" w:val="clear"/>
            <w:vAlign w:val="bottom"/>
          </w:tcPr>
          <w:p>
            <w:pPr>
              <w:pStyle w:val="TableContents"/>
              <w:spacing w:before="0" w:after="283"/>
              <w:rPr/>
            </w:pPr>
            <w:r>
              <w:rPr/>
              <w:t>​</w:t>
            </w:r>
          </w:p>
        </w:tc>
        <w:tc>
          <w:tcPr>
            <w:tcW w:w="125" w:type="dxa"/>
            <w:tcBorders/>
            <w:shd w:fill="CCEEFF" w:val="clear"/>
            <w:vAlign w:val="bottom"/>
          </w:tcPr>
          <w:p>
            <w:pPr>
              <w:pStyle w:val="TableContents"/>
              <w:spacing w:before="0" w:after="283"/>
              <w:rPr>
                <w:rFonts w:ascii="arial" w:hAnsi="arial"/>
                <w:sz w:val="20"/>
              </w:rPr>
            </w:pPr>
            <w:r>
              <w:rPr>
                <w:rFonts w:ascii="arial" w:hAnsi="arial"/>
                <w:sz w:val="20"/>
              </w:rPr>
              <w:t>$</w:t>
            </w:r>
          </w:p>
        </w:tc>
        <w:tc>
          <w:tcPr>
            <w:tcW w:w="710" w:type="dxa"/>
            <w:tcBorders/>
            <w:shd w:fill="CCEEFF" w:val="clear"/>
            <w:vAlign w:val="bottom"/>
          </w:tcPr>
          <w:p>
            <w:pPr>
              <w:pStyle w:val="TableContents"/>
              <w:spacing w:before="0" w:after="283"/>
              <w:jc w:val="right"/>
              <w:rPr>
                <w:rFonts w:ascii="arial" w:hAnsi="arial"/>
                <w:sz w:val="20"/>
              </w:rPr>
            </w:pPr>
            <w:r>
              <w:rPr>
                <w:rFonts w:ascii="arial" w:hAnsi="arial"/>
                <w:sz w:val="20"/>
              </w:rPr>
              <w:t>67,592</w:t>
            </w:r>
          </w:p>
        </w:tc>
        <w:tc>
          <w:tcPr>
            <w:tcW w:w="23" w:type="dxa"/>
            <w:tcBorders/>
            <w:shd w:fill="CCEEFF" w:val="clear"/>
            <w:vAlign w:val="bottom"/>
          </w:tcPr>
          <w:p>
            <w:pPr>
              <w:pStyle w:val="TableContents"/>
              <w:spacing w:before="0" w:after="283"/>
              <w:rPr/>
            </w:pPr>
            <w:r>
              <w:rPr/>
              <w:t>​</w:t>
            </w:r>
          </w:p>
        </w:tc>
        <w:tc>
          <w:tcPr>
            <w:tcW w:w="24" w:type="dxa"/>
            <w:tcBorders/>
            <w:shd w:fill="CCEEFF" w:val="clear"/>
            <w:vAlign w:val="bottom"/>
          </w:tcPr>
          <w:p>
            <w:pPr>
              <w:pStyle w:val="TableContents"/>
              <w:spacing w:before="0" w:after="283"/>
              <w:rPr/>
            </w:pPr>
            <w:r>
              <w:rPr/>
              <w:t>​</w:t>
            </w:r>
          </w:p>
        </w:tc>
      </w:tr>
      <w:tr>
        <w:trPr/>
        <w:tc>
          <w:tcPr>
            <w:tcW w:w="8029" w:type="dxa"/>
            <w:tcBorders/>
            <w:shd w:fill="auto" w:val="clear"/>
            <w:vAlign w:val="bottom"/>
          </w:tcPr>
          <w:p>
            <w:pPr>
              <w:pStyle w:val="TableContents"/>
              <w:spacing w:before="0" w:after="283"/>
              <w:ind w:left="200" w:right="0" w:hanging="200"/>
              <w:rPr>
                <w:rFonts w:ascii="arial" w:hAnsi="arial"/>
                <w:sz w:val="20"/>
              </w:rPr>
            </w:pPr>
            <w:r>
              <w:rPr>
                <w:rFonts w:ascii="arial" w:hAnsi="arial"/>
                <w:sz w:val="20"/>
              </w:rPr>
              <w:t>Kevin J. Wilcox</w:t>
            </w:r>
          </w:p>
        </w:tc>
        <w:tc>
          <w:tcPr>
            <w:tcW w:w="23" w:type="dxa"/>
            <w:tcBorders/>
            <w:shd w:fill="auto" w:val="clear"/>
            <w:vAlign w:val="bottom"/>
          </w:tcPr>
          <w:p>
            <w:pPr>
              <w:pStyle w:val="TableContents"/>
              <w:spacing w:before="0" w:after="283"/>
              <w:rPr/>
            </w:pPr>
            <w:r>
              <w:rPr/>
              <w:t>​</w:t>
            </w:r>
          </w:p>
        </w:tc>
        <w:tc>
          <w:tcPr>
            <w:tcW w:w="360" w:type="dxa"/>
            <w:tcBorders/>
            <w:shd w:fill="auto" w:val="clear"/>
            <w:vAlign w:val="bottom"/>
          </w:tcPr>
          <w:p>
            <w:pPr>
              <w:pStyle w:val="TableContents"/>
              <w:spacing w:before="0" w:after="283"/>
              <w:rPr/>
            </w:pPr>
            <w:r>
              <w:rPr/>
              <w:t>​</w:t>
            </w:r>
          </w:p>
        </w:tc>
        <w:tc>
          <w:tcPr>
            <w:tcW w:w="605" w:type="dxa"/>
            <w:gridSpan w:val="2"/>
            <w:tcBorders/>
            <w:shd w:fill="auto" w:val="clear"/>
            <w:vAlign w:val="bottom"/>
          </w:tcPr>
          <w:p>
            <w:pPr>
              <w:pStyle w:val="TableContents"/>
              <w:spacing w:before="0" w:after="283"/>
              <w:jc w:val="right"/>
              <w:rPr>
                <w:rFonts w:ascii="arial" w:hAnsi="arial"/>
                <w:sz w:val="20"/>
              </w:rPr>
            </w:pPr>
            <w:r>
              <w:rPr>
                <w:rFonts w:ascii="arial" w:hAnsi="arial"/>
                <w:sz w:val="20"/>
              </w:rPr>
              <w:t>1.005</w:t>
            </w:r>
          </w:p>
        </w:tc>
        <w:tc>
          <w:tcPr>
            <w:tcW w:w="260" w:type="dxa"/>
            <w:tcBorders/>
            <w:shd w:fill="auto" w:val="clear"/>
            <w:vAlign w:val="bottom"/>
          </w:tcPr>
          <w:p>
            <w:pPr>
              <w:pStyle w:val="TableContents"/>
              <w:spacing w:before="0" w:after="283"/>
              <w:rPr>
                <w:rFonts w:ascii="arial" w:hAnsi="arial"/>
                <w:position w:val="7"/>
                <w:sz w:val="16"/>
                <w:sz w:val="20"/>
              </w:rPr>
            </w:pPr>
            <w:r>
              <w:rPr>
                <w:rFonts w:ascii="arial" w:hAnsi="arial"/>
                <w:position w:val="7"/>
                <w:sz w:val="16"/>
                <w:sz w:val="20"/>
              </w:rPr>
              <w:t>(6)</w:t>
            </w:r>
          </w:p>
        </w:tc>
        <w:tc>
          <w:tcPr>
            <w:tcW w:w="23" w:type="dxa"/>
            <w:tcBorders/>
            <w:shd w:fill="auto" w:val="clear"/>
            <w:vAlign w:val="bottom"/>
          </w:tcPr>
          <w:p>
            <w:pPr>
              <w:pStyle w:val="TableContents"/>
              <w:spacing w:before="0" w:after="283"/>
              <w:rPr>
                <w:position w:val="8"/>
                <w:sz w:val="19"/>
              </w:rPr>
            </w:pPr>
            <w:r>
              <w:rPr>
                <w:position w:val="8"/>
                <w:sz w:val="19"/>
              </w:rPr>
              <w:t>​</w:t>
            </w:r>
          </w:p>
        </w:tc>
        <w:tc>
          <w:tcPr>
            <w:tcW w:w="23" w:type="dxa"/>
            <w:tcBorders/>
            <w:shd w:fill="auto" w:val="clear"/>
            <w:vAlign w:val="bottom"/>
          </w:tcPr>
          <w:p>
            <w:pPr>
              <w:pStyle w:val="TableContents"/>
              <w:spacing w:before="0" w:after="283"/>
              <w:rPr/>
            </w:pPr>
            <w:r>
              <w:rPr/>
              <w:t>​</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710" w:type="dxa"/>
            <w:tcBorders/>
            <w:shd w:fill="auto" w:val="clear"/>
            <w:vAlign w:val="bottom"/>
          </w:tcPr>
          <w:p>
            <w:pPr>
              <w:pStyle w:val="TableContents"/>
              <w:spacing w:before="0" w:after="283"/>
              <w:jc w:val="right"/>
              <w:rPr>
                <w:rFonts w:ascii="arial" w:hAnsi="arial"/>
                <w:sz w:val="20"/>
              </w:rPr>
            </w:pPr>
            <w:r>
              <w:rPr>
                <w:rFonts w:ascii="arial" w:hAnsi="arial"/>
                <w:sz w:val="20"/>
              </w:rPr>
              <w:t>7,427</w:t>
            </w:r>
          </w:p>
        </w:tc>
        <w:tc>
          <w:tcPr>
            <w:tcW w:w="23"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8029" w:type="dxa"/>
            <w:tcBorders/>
            <w:shd w:fill="auto" w:val="clear"/>
            <w:vAlign w:val="bottom"/>
          </w:tcPr>
          <w:p>
            <w:pPr>
              <w:pStyle w:val="TableContents"/>
              <w:spacing w:before="0" w:after="283"/>
              <w:ind w:left="200" w:right="0" w:hanging="200"/>
              <w:rPr>
                <w:sz w:val="4"/>
                <w:szCs w:val="4"/>
              </w:rPr>
            </w:pPr>
            <w:r>
              <w:rPr>
                <w:sz w:val="4"/>
                <w:szCs w:val="4"/>
              </w:rPr>
            </w:r>
          </w:p>
        </w:tc>
        <w:tc>
          <w:tcPr>
            <w:tcW w:w="23" w:type="dxa"/>
            <w:tcBorders/>
            <w:shd w:fill="auto" w:val="clear"/>
            <w:vAlign w:val="bottom"/>
          </w:tcPr>
          <w:p>
            <w:pPr>
              <w:pStyle w:val="TableContents"/>
              <w:spacing w:before="0" w:after="283"/>
              <w:rPr/>
            </w:pPr>
            <w:r>
              <w:rPr/>
              <w:t>​</w:t>
            </w:r>
          </w:p>
        </w:tc>
        <w:tc>
          <w:tcPr>
            <w:tcW w:w="360" w:type="dxa"/>
            <w:tcBorders/>
            <w:shd w:fill="auto" w:val="clear"/>
            <w:vAlign w:val="bottom"/>
          </w:tcPr>
          <w:p>
            <w:pPr>
              <w:pStyle w:val="TableContents"/>
              <w:spacing w:before="0" w:after="283"/>
              <w:rPr/>
            </w:pPr>
            <w:r>
              <w:rPr/>
              <w:t>​</w:t>
            </w:r>
          </w:p>
        </w:tc>
        <w:tc>
          <w:tcPr>
            <w:tcW w:w="605" w:type="dxa"/>
            <w:gridSpan w:val="2"/>
            <w:tcBorders/>
            <w:shd w:fill="auto" w:val="clear"/>
            <w:vAlign w:val="bottom"/>
          </w:tcPr>
          <w:p>
            <w:pPr>
              <w:pStyle w:val="TableContents"/>
              <w:spacing w:before="0" w:after="283"/>
              <w:jc w:val="right"/>
              <w:rPr>
                <w:rFonts w:ascii="arial" w:hAnsi="arial"/>
                <w:sz w:val="20"/>
              </w:rPr>
            </w:pPr>
            <w:r>
              <w:rPr>
                <w:rFonts w:ascii="arial" w:hAnsi="arial"/>
                <w:sz w:val="20"/>
              </w:rPr>
              <w:t>12,500</w:t>
            </w:r>
          </w:p>
        </w:tc>
        <w:tc>
          <w:tcPr>
            <w:tcW w:w="260" w:type="dxa"/>
            <w:tcBorders/>
            <w:shd w:fill="auto" w:val="clear"/>
            <w:vAlign w:val="bottom"/>
          </w:tcPr>
          <w:p>
            <w:pPr>
              <w:pStyle w:val="TableContents"/>
              <w:spacing w:before="0" w:after="283"/>
              <w:rPr>
                <w:rFonts w:ascii="arial" w:hAnsi="arial"/>
                <w:position w:val="7"/>
                <w:sz w:val="16"/>
                <w:sz w:val="20"/>
              </w:rPr>
            </w:pPr>
            <w:r>
              <w:rPr>
                <w:rFonts w:ascii="arial" w:hAnsi="arial"/>
                <w:position w:val="7"/>
                <w:sz w:val="16"/>
                <w:sz w:val="20"/>
              </w:rPr>
              <w:t>(7)</w:t>
            </w:r>
          </w:p>
        </w:tc>
        <w:tc>
          <w:tcPr>
            <w:tcW w:w="23" w:type="dxa"/>
            <w:tcBorders/>
            <w:shd w:fill="auto" w:val="clear"/>
            <w:vAlign w:val="bottom"/>
          </w:tcPr>
          <w:p>
            <w:pPr>
              <w:pStyle w:val="TableContents"/>
              <w:spacing w:before="0" w:after="283"/>
              <w:rPr>
                <w:position w:val="8"/>
                <w:sz w:val="19"/>
              </w:rPr>
            </w:pPr>
            <w:r>
              <w:rPr>
                <w:position w:val="8"/>
                <w:sz w:val="19"/>
              </w:rPr>
              <w:t>​</w:t>
            </w:r>
          </w:p>
        </w:tc>
        <w:tc>
          <w:tcPr>
            <w:tcW w:w="23" w:type="dxa"/>
            <w:tcBorders/>
            <w:shd w:fill="auto" w:val="clear"/>
            <w:vAlign w:val="bottom"/>
          </w:tcPr>
          <w:p>
            <w:pPr>
              <w:pStyle w:val="TableContents"/>
              <w:spacing w:before="0" w:after="283"/>
              <w:rPr/>
            </w:pPr>
            <w:r>
              <w:rPr/>
              <w:t>​</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710" w:type="dxa"/>
            <w:tcBorders/>
            <w:shd w:fill="auto" w:val="clear"/>
            <w:vAlign w:val="bottom"/>
          </w:tcPr>
          <w:p>
            <w:pPr>
              <w:pStyle w:val="TableContents"/>
              <w:spacing w:before="0" w:after="283"/>
              <w:jc w:val="right"/>
              <w:rPr>
                <w:rFonts w:ascii="arial" w:hAnsi="arial"/>
                <w:sz w:val="20"/>
              </w:rPr>
            </w:pPr>
            <w:r>
              <w:rPr>
                <w:rFonts w:ascii="arial" w:hAnsi="arial"/>
                <w:sz w:val="20"/>
              </w:rPr>
              <w:t>245,000</w:t>
            </w:r>
          </w:p>
        </w:tc>
        <w:tc>
          <w:tcPr>
            <w:tcW w:w="23"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8029" w:type="dxa"/>
            <w:tcBorders/>
            <w:shd w:fill="auto" w:val="clear"/>
            <w:vAlign w:val="bottom"/>
          </w:tcPr>
          <w:p>
            <w:pPr>
              <w:pStyle w:val="TableContents"/>
              <w:spacing w:before="0" w:after="283"/>
              <w:ind w:left="200" w:right="0" w:hanging="200"/>
              <w:rPr>
                <w:sz w:val="4"/>
                <w:szCs w:val="4"/>
              </w:rPr>
            </w:pPr>
            <w:r>
              <w:rPr>
                <w:sz w:val="4"/>
                <w:szCs w:val="4"/>
              </w:rPr>
            </w:r>
          </w:p>
        </w:tc>
        <w:tc>
          <w:tcPr>
            <w:tcW w:w="23" w:type="dxa"/>
            <w:tcBorders/>
            <w:shd w:fill="auto" w:val="clear"/>
            <w:vAlign w:val="bottom"/>
          </w:tcPr>
          <w:p>
            <w:pPr>
              <w:pStyle w:val="TableContents"/>
              <w:spacing w:before="0" w:after="283"/>
              <w:rPr/>
            </w:pPr>
            <w:r>
              <w:rPr/>
              <w:t>​</w:t>
            </w:r>
          </w:p>
        </w:tc>
        <w:tc>
          <w:tcPr>
            <w:tcW w:w="360" w:type="dxa"/>
            <w:tcBorders/>
            <w:shd w:fill="auto" w:val="clear"/>
            <w:vAlign w:val="bottom"/>
          </w:tcPr>
          <w:p>
            <w:pPr>
              <w:pStyle w:val="TableContents"/>
              <w:spacing w:before="0" w:after="283"/>
              <w:rPr/>
            </w:pPr>
            <w:r>
              <w:rPr/>
              <w:t>​</w:t>
            </w:r>
          </w:p>
        </w:tc>
        <w:tc>
          <w:tcPr>
            <w:tcW w:w="605" w:type="dxa"/>
            <w:gridSpan w:val="2"/>
            <w:tcBorders/>
            <w:shd w:fill="auto" w:val="clear"/>
            <w:vAlign w:val="bottom"/>
          </w:tcPr>
          <w:p>
            <w:pPr>
              <w:pStyle w:val="TableContents"/>
              <w:spacing w:before="0" w:after="283"/>
              <w:jc w:val="right"/>
              <w:rPr>
                <w:rFonts w:ascii="arial" w:hAnsi="arial"/>
                <w:sz w:val="20"/>
              </w:rPr>
            </w:pPr>
            <w:r>
              <w:rPr>
                <w:rFonts w:ascii="arial" w:hAnsi="arial"/>
                <w:sz w:val="20"/>
              </w:rPr>
              <w:t>25,000</w:t>
            </w:r>
          </w:p>
        </w:tc>
        <w:tc>
          <w:tcPr>
            <w:tcW w:w="260" w:type="dxa"/>
            <w:tcBorders/>
            <w:shd w:fill="auto" w:val="clear"/>
            <w:vAlign w:val="bottom"/>
          </w:tcPr>
          <w:p>
            <w:pPr>
              <w:pStyle w:val="TableContents"/>
              <w:spacing w:before="0" w:after="283"/>
              <w:rPr>
                <w:rFonts w:ascii="arial" w:hAnsi="arial"/>
                <w:position w:val="7"/>
                <w:sz w:val="16"/>
                <w:sz w:val="20"/>
              </w:rPr>
            </w:pPr>
            <w:r>
              <w:rPr>
                <w:rFonts w:ascii="arial" w:hAnsi="arial"/>
                <w:position w:val="7"/>
                <w:sz w:val="16"/>
                <w:sz w:val="20"/>
              </w:rPr>
              <w:t>(8)</w:t>
            </w:r>
          </w:p>
        </w:tc>
        <w:tc>
          <w:tcPr>
            <w:tcW w:w="23" w:type="dxa"/>
            <w:tcBorders/>
            <w:shd w:fill="auto" w:val="clear"/>
            <w:vAlign w:val="bottom"/>
          </w:tcPr>
          <w:p>
            <w:pPr>
              <w:pStyle w:val="TableContents"/>
              <w:spacing w:before="0" w:after="283"/>
              <w:rPr>
                <w:position w:val="8"/>
                <w:sz w:val="19"/>
              </w:rPr>
            </w:pPr>
            <w:r>
              <w:rPr>
                <w:position w:val="8"/>
                <w:sz w:val="19"/>
              </w:rPr>
              <w:t>​</w:t>
            </w:r>
          </w:p>
        </w:tc>
        <w:tc>
          <w:tcPr>
            <w:tcW w:w="23" w:type="dxa"/>
            <w:tcBorders/>
            <w:shd w:fill="auto" w:val="clear"/>
            <w:vAlign w:val="bottom"/>
          </w:tcPr>
          <w:p>
            <w:pPr>
              <w:pStyle w:val="TableContents"/>
              <w:spacing w:before="0" w:after="283"/>
              <w:rPr/>
            </w:pPr>
            <w:r>
              <w:rPr/>
              <w:t>​</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710" w:type="dxa"/>
            <w:tcBorders/>
            <w:shd w:fill="auto" w:val="clear"/>
            <w:vAlign w:val="bottom"/>
          </w:tcPr>
          <w:p>
            <w:pPr>
              <w:pStyle w:val="TableContents"/>
              <w:spacing w:before="0" w:after="283"/>
              <w:jc w:val="right"/>
              <w:rPr>
                <w:rFonts w:ascii="arial" w:hAnsi="arial"/>
                <w:sz w:val="20"/>
              </w:rPr>
            </w:pPr>
            <w:r>
              <w:rPr>
                <w:rFonts w:ascii="arial" w:hAnsi="arial"/>
                <w:sz w:val="20"/>
              </w:rPr>
              <w:t>204,250</w:t>
            </w:r>
          </w:p>
        </w:tc>
        <w:tc>
          <w:tcPr>
            <w:tcW w:w="23"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8029" w:type="dxa"/>
            <w:tcBorders/>
            <w:shd w:fill="auto" w:val="clear"/>
            <w:vAlign w:val="bottom"/>
          </w:tcPr>
          <w:p>
            <w:pPr>
              <w:pStyle w:val="TableContents"/>
              <w:spacing w:before="0" w:after="283"/>
              <w:ind w:left="200" w:right="0" w:hanging="200"/>
              <w:rPr>
                <w:sz w:val="4"/>
                <w:szCs w:val="4"/>
              </w:rPr>
            </w:pPr>
            <w:r>
              <w:rPr>
                <w:sz w:val="4"/>
                <w:szCs w:val="4"/>
              </w:rPr>
            </w:r>
          </w:p>
        </w:tc>
        <w:tc>
          <w:tcPr>
            <w:tcW w:w="23" w:type="dxa"/>
            <w:tcBorders/>
            <w:shd w:fill="auto" w:val="clear"/>
            <w:vAlign w:val="bottom"/>
          </w:tcPr>
          <w:p>
            <w:pPr>
              <w:pStyle w:val="TableContents"/>
              <w:spacing w:before="0" w:after="283"/>
              <w:rPr/>
            </w:pPr>
            <w:r>
              <w:rPr/>
              <w:t>​</w:t>
            </w:r>
          </w:p>
        </w:tc>
        <w:tc>
          <w:tcPr>
            <w:tcW w:w="360" w:type="dxa"/>
            <w:tcBorders/>
            <w:shd w:fill="auto" w:val="clear"/>
            <w:vAlign w:val="bottom"/>
          </w:tcPr>
          <w:p>
            <w:pPr>
              <w:pStyle w:val="TableContents"/>
              <w:spacing w:before="0" w:after="283"/>
              <w:rPr/>
            </w:pPr>
            <w:r>
              <w:rPr/>
              <w:t>​</w:t>
            </w:r>
          </w:p>
        </w:tc>
        <w:tc>
          <w:tcPr>
            <w:tcW w:w="605" w:type="dxa"/>
            <w:gridSpan w:val="2"/>
            <w:tcBorders/>
            <w:shd w:fill="auto" w:val="clear"/>
            <w:vAlign w:val="bottom"/>
          </w:tcPr>
          <w:p>
            <w:pPr>
              <w:pStyle w:val="TableContents"/>
              <w:spacing w:before="0" w:after="283"/>
              <w:jc w:val="right"/>
              <w:rPr>
                <w:rFonts w:ascii="arial" w:hAnsi="arial"/>
                <w:sz w:val="20"/>
              </w:rPr>
            </w:pPr>
            <w:r>
              <w:rPr>
                <w:rFonts w:ascii="arial" w:hAnsi="arial"/>
                <w:sz w:val="20"/>
              </w:rPr>
              <w:t>7,613</w:t>
            </w:r>
          </w:p>
        </w:tc>
        <w:tc>
          <w:tcPr>
            <w:tcW w:w="260" w:type="dxa"/>
            <w:tcBorders/>
            <w:shd w:fill="auto" w:val="clear"/>
            <w:vAlign w:val="bottom"/>
          </w:tcPr>
          <w:p>
            <w:pPr>
              <w:pStyle w:val="TableContents"/>
              <w:spacing w:before="0" w:after="283"/>
              <w:rPr>
                <w:rFonts w:ascii="arial" w:hAnsi="arial"/>
                <w:position w:val="7"/>
                <w:sz w:val="16"/>
                <w:sz w:val="20"/>
              </w:rPr>
            </w:pPr>
            <w:r>
              <w:rPr>
                <w:rFonts w:ascii="arial" w:hAnsi="arial"/>
                <w:position w:val="7"/>
                <w:sz w:val="16"/>
                <w:sz w:val="20"/>
              </w:rPr>
              <w:t>(9)</w:t>
            </w:r>
          </w:p>
        </w:tc>
        <w:tc>
          <w:tcPr>
            <w:tcW w:w="23" w:type="dxa"/>
            <w:tcBorders/>
            <w:shd w:fill="auto" w:val="clear"/>
            <w:vAlign w:val="bottom"/>
          </w:tcPr>
          <w:p>
            <w:pPr>
              <w:pStyle w:val="TableContents"/>
              <w:spacing w:before="0" w:after="283"/>
              <w:rPr>
                <w:position w:val="8"/>
                <w:sz w:val="19"/>
              </w:rPr>
            </w:pPr>
            <w:r>
              <w:rPr>
                <w:position w:val="8"/>
                <w:sz w:val="19"/>
              </w:rPr>
              <w:t>​</w:t>
            </w:r>
          </w:p>
        </w:tc>
        <w:tc>
          <w:tcPr>
            <w:tcW w:w="23" w:type="dxa"/>
            <w:tcBorders/>
            <w:shd w:fill="auto" w:val="clear"/>
            <w:vAlign w:val="bottom"/>
          </w:tcPr>
          <w:p>
            <w:pPr>
              <w:pStyle w:val="TableContents"/>
              <w:spacing w:before="0" w:after="283"/>
              <w:rPr/>
            </w:pPr>
            <w:r>
              <w:rPr/>
              <w:t>​</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710" w:type="dxa"/>
            <w:tcBorders/>
            <w:shd w:fill="auto" w:val="clear"/>
            <w:vAlign w:val="bottom"/>
          </w:tcPr>
          <w:p>
            <w:pPr>
              <w:pStyle w:val="TableContents"/>
              <w:spacing w:before="0" w:after="283"/>
              <w:jc w:val="right"/>
              <w:rPr>
                <w:rFonts w:ascii="arial" w:hAnsi="arial"/>
                <w:sz w:val="20"/>
              </w:rPr>
            </w:pPr>
            <w:r>
              <w:rPr>
                <w:rFonts w:ascii="arial" w:hAnsi="arial"/>
                <w:sz w:val="20"/>
              </w:rPr>
              <w:t>143,962</w:t>
            </w:r>
          </w:p>
        </w:tc>
        <w:tc>
          <w:tcPr>
            <w:tcW w:w="23"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8029" w:type="dxa"/>
            <w:tcBorders/>
            <w:shd w:fill="auto" w:val="clear"/>
            <w:vAlign w:val="bottom"/>
          </w:tcPr>
          <w:p>
            <w:pPr>
              <w:pStyle w:val="TableContents"/>
              <w:spacing w:before="0" w:after="283"/>
              <w:ind w:left="200" w:right="0" w:hanging="200"/>
              <w:rPr>
                <w:sz w:val="4"/>
                <w:szCs w:val="4"/>
              </w:rPr>
            </w:pPr>
            <w:r>
              <w:rPr>
                <w:sz w:val="4"/>
                <w:szCs w:val="4"/>
              </w:rPr>
            </w:r>
          </w:p>
        </w:tc>
        <w:tc>
          <w:tcPr>
            <w:tcW w:w="23" w:type="dxa"/>
            <w:tcBorders/>
            <w:shd w:fill="auto" w:val="clear"/>
            <w:vAlign w:val="bottom"/>
          </w:tcPr>
          <w:p>
            <w:pPr>
              <w:pStyle w:val="TableContents"/>
              <w:spacing w:before="0" w:after="283"/>
              <w:rPr/>
            </w:pPr>
            <w:r>
              <w:rPr/>
              <w:t>​</w:t>
            </w:r>
          </w:p>
        </w:tc>
        <w:tc>
          <w:tcPr>
            <w:tcW w:w="360" w:type="dxa"/>
            <w:tcBorders/>
            <w:shd w:fill="auto" w:val="clear"/>
            <w:vAlign w:val="bottom"/>
          </w:tcPr>
          <w:p>
            <w:pPr>
              <w:pStyle w:val="TableContents"/>
              <w:spacing w:before="0" w:after="283"/>
              <w:rPr/>
            </w:pPr>
            <w:r>
              <w:rPr/>
              <w:t>​</w:t>
            </w:r>
          </w:p>
        </w:tc>
        <w:tc>
          <w:tcPr>
            <w:tcW w:w="605" w:type="dxa"/>
            <w:gridSpan w:val="2"/>
            <w:tcBorders/>
            <w:shd w:fill="auto" w:val="clear"/>
            <w:vAlign w:val="bottom"/>
          </w:tcPr>
          <w:p>
            <w:pPr>
              <w:pStyle w:val="TableContents"/>
              <w:spacing w:before="0" w:after="283"/>
              <w:jc w:val="right"/>
              <w:rPr>
                <w:rFonts w:ascii="arial" w:hAnsi="arial"/>
                <w:sz w:val="20"/>
              </w:rPr>
            </w:pPr>
            <w:r>
              <w:rPr>
                <w:rFonts w:ascii="arial" w:hAnsi="arial"/>
                <w:sz w:val="20"/>
              </w:rPr>
              <w:t>7,613</w:t>
            </w:r>
          </w:p>
        </w:tc>
        <w:tc>
          <w:tcPr>
            <w:tcW w:w="260" w:type="dxa"/>
            <w:tcBorders/>
            <w:shd w:fill="auto" w:val="clear"/>
            <w:vAlign w:val="bottom"/>
          </w:tcPr>
          <w:p>
            <w:pPr>
              <w:pStyle w:val="TableContents"/>
              <w:spacing w:before="0" w:after="283"/>
              <w:rPr>
                <w:rFonts w:ascii="arial" w:hAnsi="arial"/>
                <w:position w:val="7"/>
                <w:sz w:val="16"/>
                <w:sz w:val="20"/>
              </w:rPr>
            </w:pPr>
            <w:r>
              <w:rPr>
                <w:rFonts w:ascii="arial" w:hAnsi="arial"/>
                <w:position w:val="7"/>
                <w:sz w:val="16"/>
                <w:sz w:val="20"/>
              </w:rPr>
              <w:t>(10)</w:t>
            </w:r>
          </w:p>
        </w:tc>
        <w:tc>
          <w:tcPr>
            <w:tcW w:w="23" w:type="dxa"/>
            <w:tcBorders/>
            <w:shd w:fill="auto" w:val="clear"/>
            <w:vAlign w:val="bottom"/>
          </w:tcPr>
          <w:p>
            <w:pPr>
              <w:pStyle w:val="TableContents"/>
              <w:spacing w:before="0" w:after="283"/>
              <w:rPr>
                <w:position w:val="8"/>
                <w:sz w:val="19"/>
              </w:rPr>
            </w:pPr>
            <w:r>
              <w:rPr>
                <w:position w:val="8"/>
                <w:sz w:val="19"/>
              </w:rPr>
              <w:t>​</w:t>
            </w:r>
          </w:p>
        </w:tc>
        <w:tc>
          <w:tcPr>
            <w:tcW w:w="23" w:type="dxa"/>
            <w:tcBorders/>
            <w:shd w:fill="auto" w:val="clear"/>
            <w:vAlign w:val="bottom"/>
          </w:tcPr>
          <w:p>
            <w:pPr>
              <w:pStyle w:val="TableContents"/>
              <w:spacing w:before="0" w:after="283"/>
              <w:rPr/>
            </w:pPr>
            <w:r>
              <w:rPr/>
              <w:t>​</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710" w:type="dxa"/>
            <w:tcBorders/>
            <w:shd w:fill="auto" w:val="clear"/>
            <w:vAlign w:val="bottom"/>
          </w:tcPr>
          <w:p>
            <w:pPr>
              <w:pStyle w:val="TableContents"/>
              <w:spacing w:before="0" w:after="283"/>
              <w:jc w:val="right"/>
              <w:rPr>
                <w:rFonts w:ascii="arial" w:hAnsi="arial"/>
                <w:sz w:val="20"/>
              </w:rPr>
            </w:pPr>
            <w:r>
              <w:rPr>
                <w:rFonts w:ascii="arial" w:hAnsi="arial"/>
                <w:sz w:val="20"/>
              </w:rPr>
              <w:t>62,198</w:t>
            </w:r>
          </w:p>
        </w:tc>
        <w:tc>
          <w:tcPr>
            <w:tcW w:w="23"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8029" w:type="dxa"/>
            <w:tcBorders/>
            <w:shd w:fill="auto" w:val="clear"/>
            <w:vAlign w:val="bottom"/>
          </w:tcPr>
          <w:p>
            <w:pPr>
              <w:pStyle w:val="TableContents"/>
              <w:spacing w:before="0" w:after="283"/>
              <w:ind w:left="200" w:right="0" w:hanging="200"/>
              <w:rPr>
                <w:sz w:val="4"/>
                <w:szCs w:val="4"/>
              </w:rPr>
            </w:pPr>
            <w:r>
              <w:rPr>
                <w:sz w:val="4"/>
                <w:szCs w:val="4"/>
              </w:rPr>
            </w:r>
          </w:p>
        </w:tc>
        <w:tc>
          <w:tcPr>
            <w:tcW w:w="23" w:type="dxa"/>
            <w:tcBorders/>
            <w:shd w:fill="auto" w:val="clear"/>
            <w:vAlign w:val="bottom"/>
          </w:tcPr>
          <w:p>
            <w:pPr>
              <w:pStyle w:val="TableContents"/>
              <w:spacing w:before="0" w:after="283"/>
              <w:rPr/>
            </w:pPr>
            <w:r>
              <w:rPr/>
              <w:t>​</w:t>
            </w:r>
          </w:p>
        </w:tc>
        <w:tc>
          <w:tcPr>
            <w:tcW w:w="360" w:type="dxa"/>
            <w:tcBorders/>
            <w:shd w:fill="auto" w:val="clear"/>
            <w:vAlign w:val="bottom"/>
          </w:tcPr>
          <w:p>
            <w:pPr>
              <w:pStyle w:val="TableContents"/>
              <w:spacing w:before="0" w:after="283"/>
              <w:rPr/>
            </w:pPr>
            <w:r>
              <w:rPr/>
              <w:t>​</w:t>
            </w:r>
          </w:p>
        </w:tc>
        <w:tc>
          <w:tcPr>
            <w:tcW w:w="605" w:type="dxa"/>
            <w:gridSpan w:val="2"/>
            <w:tcBorders/>
            <w:shd w:fill="auto" w:val="clear"/>
            <w:vAlign w:val="bottom"/>
          </w:tcPr>
          <w:p>
            <w:pPr>
              <w:pStyle w:val="TableContents"/>
              <w:spacing w:before="0" w:after="283"/>
              <w:jc w:val="right"/>
              <w:rPr>
                <w:rFonts w:ascii="arial" w:hAnsi="arial"/>
                <w:sz w:val="20"/>
              </w:rPr>
            </w:pPr>
            <w:r>
              <w:rPr>
                <w:rFonts w:ascii="arial" w:hAnsi="arial"/>
                <w:sz w:val="20"/>
              </w:rPr>
              <w:t>3,994</w:t>
            </w:r>
          </w:p>
        </w:tc>
        <w:tc>
          <w:tcPr>
            <w:tcW w:w="260" w:type="dxa"/>
            <w:tcBorders/>
            <w:shd w:fill="auto" w:val="clear"/>
            <w:vAlign w:val="bottom"/>
          </w:tcPr>
          <w:p>
            <w:pPr>
              <w:pStyle w:val="TableContents"/>
              <w:spacing w:before="0" w:after="283"/>
              <w:rPr>
                <w:rFonts w:ascii="arial" w:hAnsi="arial"/>
                <w:position w:val="7"/>
                <w:sz w:val="16"/>
                <w:sz w:val="20"/>
              </w:rPr>
            </w:pPr>
            <w:r>
              <w:rPr>
                <w:rFonts w:ascii="arial" w:hAnsi="arial"/>
                <w:position w:val="7"/>
                <w:sz w:val="16"/>
                <w:sz w:val="20"/>
              </w:rPr>
              <w:t>(11)</w:t>
            </w:r>
          </w:p>
        </w:tc>
        <w:tc>
          <w:tcPr>
            <w:tcW w:w="23" w:type="dxa"/>
            <w:tcBorders/>
            <w:shd w:fill="auto" w:val="clear"/>
            <w:vAlign w:val="bottom"/>
          </w:tcPr>
          <w:p>
            <w:pPr>
              <w:pStyle w:val="TableContents"/>
              <w:spacing w:before="0" w:after="283"/>
              <w:rPr>
                <w:position w:val="8"/>
                <w:sz w:val="19"/>
              </w:rPr>
            </w:pPr>
            <w:r>
              <w:rPr>
                <w:position w:val="8"/>
                <w:sz w:val="19"/>
              </w:rPr>
              <w:t>​</w:t>
            </w:r>
          </w:p>
        </w:tc>
        <w:tc>
          <w:tcPr>
            <w:tcW w:w="23" w:type="dxa"/>
            <w:tcBorders/>
            <w:shd w:fill="auto" w:val="clear"/>
            <w:vAlign w:val="bottom"/>
          </w:tcPr>
          <w:p>
            <w:pPr>
              <w:pStyle w:val="TableContents"/>
              <w:spacing w:before="0" w:after="283"/>
              <w:rPr/>
            </w:pPr>
            <w:r>
              <w:rPr/>
              <w:t>​</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710" w:type="dxa"/>
            <w:tcBorders/>
            <w:shd w:fill="auto" w:val="clear"/>
            <w:vAlign w:val="bottom"/>
          </w:tcPr>
          <w:p>
            <w:pPr>
              <w:pStyle w:val="TableContents"/>
              <w:spacing w:before="0" w:after="283"/>
              <w:jc w:val="right"/>
              <w:rPr>
                <w:rFonts w:ascii="arial" w:hAnsi="arial"/>
                <w:sz w:val="20"/>
              </w:rPr>
            </w:pPr>
            <w:r>
              <w:rPr>
                <w:rFonts w:ascii="arial" w:hAnsi="arial"/>
                <w:sz w:val="20"/>
              </w:rPr>
              <w:t>32,990</w:t>
            </w:r>
          </w:p>
        </w:tc>
        <w:tc>
          <w:tcPr>
            <w:tcW w:w="23"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8029" w:type="dxa"/>
            <w:tcBorders/>
            <w:shd w:fill="auto" w:val="clear"/>
            <w:vAlign w:val="bottom"/>
          </w:tcPr>
          <w:p>
            <w:pPr>
              <w:pStyle w:val="TableContents"/>
              <w:spacing w:before="0" w:after="283"/>
              <w:ind w:left="200" w:right="0" w:hanging="200"/>
              <w:rPr>
                <w:sz w:val="4"/>
                <w:szCs w:val="4"/>
              </w:rPr>
            </w:pPr>
            <w:r>
              <w:rPr>
                <w:sz w:val="4"/>
                <w:szCs w:val="4"/>
              </w:rPr>
            </w:r>
          </w:p>
        </w:tc>
        <w:tc>
          <w:tcPr>
            <w:tcW w:w="23" w:type="dxa"/>
            <w:tcBorders/>
            <w:shd w:fill="auto" w:val="clear"/>
            <w:vAlign w:val="bottom"/>
          </w:tcPr>
          <w:p>
            <w:pPr>
              <w:pStyle w:val="TableContents"/>
              <w:spacing w:before="0" w:after="283"/>
              <w:rPr/>
            </w:pPr>
            <w:r>
              <w:rPr/>
              <w:t>​</w:t>
            </w:r>
          </w:p>
        </w:tc>
        <w:tc>
          <w:tcPr>
            <w:tcW w:w="360" w:type="dxa"/>
            <w:tcBorders/>
            <w:shd w:fill="auto" w:val="clear"/>
            <w:vAlign w:val="bottom"/>
          </w:tcPr>
          <w:p>
            <w:pPr>
              <w:pStyle w:val="TableContents"/>
              <w:spacing w:before="0" w:after="283"/>
              <w:rPr/>
            </w:pPr>
            <w:r>
              <w:rPr/>
              <w:t>​</w:t>
            </w:r>
          </w:p>
        </w:tc>
        <w:tc>
          <w:tcPr>
            <w:tcW w:w="605" w:type="dxa"/>
            <w:gridSpan w:val="2"/>
            <w:tcBorders/>
            <w:shd w:fill="auto" w:val="clear"/>
            <w:vAlign w:val="bottom"/>
          </w:tcPr>
          <w:p>
            <w:pPr>
              <w:pStyle w:val="TableContents"/>
              <w:spacing w:before="0" w:after="283"/>
              <w:jc w:val="right"/>
              <w:rPr>
                <w:rFonts w:ascii="arial" w:hAnsi="arial"/>
                <w:sz w:val="20"/>
              </w:rPr>
            </w:pPr>
            <w:r>
              <w:rPr>
                <w:rFonts w:ascii="arial" w:hAnsi="arial"/>
                <w:sz w:val="20"/>
              </w:rPr>
              <w:t>7,988</w:t>
            </w:r>
          </w:p>
        </w:tc>
        <w:tc>
          <w:tcPr>
            <w:tcW w:w="260" w:type="dxa"/>
            <w:tcBorders/>
            <w:shd w:fill="auto" w:val="clear"/>
            <w:vAlign w:val="bottom"/>
          </w:tcPr>
          <w:p>
            <w:pPr>
              <w:pStyle w:val="TableContents"/>
              <w:spacing w:before="0" w:after="283"/>
              <w:rPr>
                <w:rFonts w:ascii="arial" w:hAnsi="arial"/>
                <w:position w:val="7"/>
                <w:sz w:val="16"/>
                <w:sz w:val="20"/>
              </w:rPr>
            </w:pPr>
            <w:r>
              <w:rPr>
                <w:rFonts w:ascii="arial" w:hAnsi="arial"/>
                <w:position w:val="7"/>
                <w:sz w:val="16"/>
                <w:sz w:val="20"/>
              </w:rPr>
              <w:t>(12)</w:t>
            </w:r>
          </w:p>
        </w:tc>
        <w:tc>
          <w:tcPr>
            <w:tcW w:w="23" w:type="dxa"/>
            <w:tcBorders/>
            <w:shd w:fill="auto" w:val="clear"/>
            <w:vAlign w:val="bottom"/>
          </w:tcPr>
          <w:p>
            <w:pPr>
              <w:pStyle w:val="TableContents"/>
              <w:spacing w:before="0" w:after="283"/>
              <w:rPr>
                <w:position w:val="8"/>
                <w:sz w:val="19"/>
              </w:rPr>
            </w:pPr>
            <w:r>
              <w:rPr>
                <w:position w:val="8"/>
                <w:sz w:val="19"/>
              </w:rPr>
              <w:t>​</w:t>
            </w:r>
          </w:p>
        </w:tc>
        <w:tc>
          <w:tcPr>
            <w:tcW w:w="23" w:type="dxa"/>
            <w:tcBorders/>
            <w:shd w:fill="auto" w:val="clear"/>
            <w:vAlign w:val="bottom"/>
          </w:tcPr>
          <w:p>
            <w:pPr>
              <w:pStyle w:val="TableContents"/>
              <w:spacing w:before="0" w:after="283"/>
              <w:rPr/>
            </w:pPr>
            <w:r>
              <w:rPr/>
              <w:t>​</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710" w:type="dxa"/>
            <w:tcBorders/>
            <w:shd w:fill="auto" w:val="clear"/>
            <w:vAlign w:val="bottom"/>
          </w:tcPr>
          <w:p>
            <w:pPr>
              <w:pStyle w:val="TableContents"/>
              <w:spacing w:before="0" w:after="283"/>
              <w:jc w:val="right"/>
              <w:rPr>
                <w:rFonts w:ascii="arial" w:hAnsi="arial"/>
                <w:sz w:val="20"/>
              </w:rPr>
            </w:pPr>
            <w:r>
              <w:rPr>
                <w:rFonts w:ascii="arial" w:hAnsi="arial"/>
                <w:sz w:val="20"/>
              </w:rPr>
              <w:t>65,262</w:t>
            </w:r>
          </w:p>
        </w:tc>
        <w:tc>
          <w:tcPr>
            <w:tcW w:w="23"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8029" w:type="dxa"/>
            <w:tcBorders/>
            <w:shd w:fill="CCEEFF" w:val="clear"/>
            <w:vAlign w:val="bottom"/>
          </w:tcPr>
          <w:p>
            <w:pPr>
              <w:pStyle w:val="TableContents"/>
              <w:spacing w:before="0" w:after="283"/>
              <w:ind w:left="200" w:right="0" w:hanging="200"/>
              <w:rPr>
                <w:rFonts w:ascii="arial" w:hAnsi="arial"/>
                <w:sz w:val="20"/>
              </w:rPr>
            </w:pPr>
            <w:r>
              <w:rPr>
                <w:rFonts w:ascii="arial" w:hAnsi="arial"/>
                <w:sz w:val="20"/>
              </w:rPr>
              <w:t>Michelle D. Esterman</w:t>
            </w:r>
          </w:p>
        </w:tc>
        <w:tc>
          <w:tcPr>
            <w:tcW w:w="23" w:type="dxa"/>
            <w:tcBorders/>
            <w:shd w:fill="CCEEFF" w:val="clear"/>
            <w:vAlign w:val="bottom"/>
          </w:tcPr>
          <w:p>
            <w:pPr>
              <w:pStyle w:val="TableContents"/>
              <w:spacing w:before="0" w:after="283"/>
              <w:rPr/>
            </w:pPr>
            <w:r>
              <w:rPr/>
              <w:t>​</w:t>
            </w:r>
          </w:p>
        </w:tc>
        <w:tc>
          <w:tcPr>
            <w:tcW w:w="360" w:type="dxa"/>
            <w:tcBorders/>
            <w:shd w:fill="CCEEFF" w:val="clear"/>
            <w:vAlign w:val="bottom"/>
          </w:tcPr>
          <w:p>
            <w:pPr>
              <w:pStyle w:val="TableContents"/>
              <w:spacing w:before="0" w:after="283"/>
              <w:rPr/>
            </w:pPr>
            <w:r>
              <w:rPr/>
              <w:t>​</w:t>
            </w:r>
          </w:p>
        </w:tc>
        <w:tc>
          <w:tcPr>
            <w:tcW w:w="605"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603</w:t>
            </w:r>
          </w:p>
        </w:tc>
        <w:tc>
          <w:tcPr>
            <w:tcW w:w="260" w:type="dxa"/>
            <w:tcBorders/>
            <w:shd w:fill="CCEEFF" w:val="clear"/>
            <w:vAlign w:val="bottom"/>
          </w:tcPr>
          <w:p>
            <w:pPr>
              <w:pStyle w:val="TableContents"/>
              <w:spacing w:before="0" w:after="283"/>
              <w:rPr>
                <w:rFonts w:ascii="arial" w:hAnsi="arial"/>
                <w:position w:val="7"/>
                <w:sz w:val="16"/>
                <w:sz w:val="20"/>
              </w:rPr>
            </w:pPr>
            <w:r>
              <w:rPr>
                <w:rFonts w:ascii="arial" w:hAnsi="arial"/>
                <w:position w:val="7"/>
                <w:sz w:val="16"/>
                <w:sz w:val="20"/>
              </w:rPr>
              <w:t>(13)</w:t>
            </w:r>
          </w:p>
        </w:tc>
        <w:tc>
          <w:tcPr>
            <w:tcW w:w="23" w:type="dxa"/>
            <w:tcBorders/>
            <w:shd w:fill="CCEEFF" w:val="clear"/>
            <w:vAlign w:val="bottom"/>
          </w:tcPr>
          <w:p>
            <w:pPr>
              <w:pStyle w:val="TableContents"/>
              <w:spacing w:before="0" w:after="283"/>
              <w:rPr>
                <w:position w:val="8"/>
                <w:sz w:val="19"/>
              </w:rPr>
            </w:pPr>
            <w:r>
              <w:rPr>
                <w:position w:val="8"/>
                <w:sz w:val="19"/>
              </w:rPr>
              <w:t>​</w:t>
            </w:r>
          </w:p>
        </w:tc>
        <w:tc>
          <w:tcPr>
            <w:tcW w:w="23" w:type="dxa"/>
            <w:tcBorders/>
            <w:shd w:fill="CCEEFF" w:val="clear"/>
            <w:vAlign w:val="bottom"/>
          </w:tcPr>
          <w:p>
            <w:pPr>
              <w:pStyle w:val="TableContents"/>
              <w:spacing w:before="0" w:after="283"/>
              <w:rPr/>
            </w:pPr>
            <w:r>
              <w:rPr/>
              <w:t>​</w:t>
            </w:r>
          </w:p>
        </w:tc>
        <w:tc>
          <w:tcPr>
            <w:tcW w:w="125" w:type="dxa"/>
            <w:tcBorders/>
            <w:shd w:fill="CCEEFF" w:val="clear"/>
            <w:vAlign w:val="bottom"/>
          </w:tcPr>
          <w:p>
            <w:pPr>
              <w:pStyle w:val="TableContents"/>
              <w:spacing w:before="0" w:after="283"/>
              <w:rPr>
                <w:rFonts w:ascii="arial" w:hAnsi="arial"/>
                <w:sz w:val="20"/>
              </w:rPr>
            </w:pPr>
            <w:r>
              <w:rPr>
                <w:rFonts w:ascii="arial" w:hAnsi="arial"/>
                <w:sz w:val="20"/>
              </w:rPr>
              <w:t>$</w:t>
            </w:r>
          </w:p>
        </w:tc>
        <w:tc>
          <w:tcPr>
            <w:tcW w:w="710" w:type="dxa"/>
            <w:tcBorders/>
            <w:shd w:fill="CCEEFF" w:val="clear"/>
            <w:vAlign w:val="bottom"/>
          </w:tcPr>
          <w:p>
            <w:pPr>
              <w:pStyle w:val="TableContents"/>
              <w:spacing w:before="0" w:after="283"/>
              <w:jc w:val="right"/>
              <w:rPr>
                <w:rFonts w:ascii="arial" w:hAnsi="arial"/>
                <w:sz w:val="20"/>
              </w:rPr>
            </w:pPr>
            <w:r>
              <w:rPr>
                <w:rFonts w:ascii="arial" w:hAnsi="arial"/>
                <w:sz w:val="20"/>
              </w:rPr>
              <w:t>4,456</w:t>
            </w:r>
          </w:p>
        </w:tc>
        <w:tc>
          <w:tcPr>
            <w:tcW w:w="23" w:type="dxa"/>
            <w:tcBorders/>
            <w:shd w:fill="CCEEFF" w:val="clear"/>
            <w:vAlign w:val="bottom"/>
          </w:tcPr>
          <w:p>
            <w:pPr>
              <w:pStyle w:val="TableContents"/>
              <w:spacing w:before="0" w:after="283"/>
              <w:rPr/>
            </w:pPr>
            <w:r>
              <w:rPr/>
              <w:t>​</w:t>
            </w:r>
          </w:p>
        </w:tc>
        <w:tc>
          <w:tcPr>
            <w:tcW w:w="24" w:type="dxa"/>
            <w:tcBorders/>
            <w:shd w:fill="CCEEFF" w:val="clear"/>
            <w:vAlign w:val="bottom"/>
          </w:tcPr>
          <w:p>
            <w:pPr>
              <w:pStyle w:val="TableContents"/>
              <w:spacing w:before="0" w:after="283"/>
              <w:rPr/>
            </w:pPr>
            <w:r>
              <w:rPr/>
              <w:t>​</w:t>
            </w:r>
          </w:p>
        </w:tc>
      </w:tr>
      <w:tr>
        <w:trPr/>
        <w:tc>
          <w:tcPr>
            <w:tcW w:w="8029" w:type="dxa"/>
            <w:tcBorders/>
            <w:shd w:fill="CCEEFF" w:val="clear"/>
            <w:vAlign w:val="bottom"/>
          </w:tcPr>
          <w:p>
            <w:pPr>
              <w:pStyle w:val="TableContents"/>
              <w:spacing w:before="0" w:after="283"/>
              <w:ind w:left="200" w:right="0" w:hanging="200"/>
              <w:rPr>
                <w:sz w:val="4"/>
                <w:szCs w:val="4"/>
              </w:rPr>
            </w:pPr>
            <w:r>
              <w:rPr>
                <w:sz w:val="4"/>
                <w:szCs w:val="4"/>
              </w:rPr>
            </w:r>
          </w:p>
        </w:tc>
        <w:tc>
          <w:tcPr>
            <w:tcW w:w="23" w:type="dxa"/>
            <w:tcBorders/>
            <w:shd w:fill="CCEEFF" w:val="clear"/>
            <w:vAlign w:val="bottom"/>
          </w:tcPr>
          <w:p>
            <w:pPr>
              <w:pStyle w:val="TableContents"/>
              <w:spacing w:before="0" w:after="283"/>
              <w:rPr/>
            </w:pPr>
            <w:r>
              <w:rPr/>
              <w:t>​</w:t>
            </w:r>
          </w:p>
        </w:tc>
        <w:tc>
          <w:tcPr>
            <w:tcW w:w="360" w:type="dxa"/>
            <w:tcBorders/>
            <w:shd w:fill="CCEEFF" w:val="clear"/>
            <w:vAlign w:val="bottom"/>
          </w:tcPr>
          <w:p>
            <w:pPr>
              <w:pStyle w:val="TableContents"/>
              <w:spacing w:before="0" w:after="283"/>
              <w:rPr/>
            </w:pPr>
            <w:r>
              <w:rPr/>
              <w:t>​</w:t>
            </w:r>
          </w:p>
        </w:tc>
        <w:tc>
          <w:tcPr>
            <w:tcW w:w="605"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1,240</w:t>
            </w:r>
          </w:p>
        </w:tc>
        <w:tc>
          <w:tcPr>
            <w:tcW w:w="260" w:type="dxa"/>
            <w:tcBorders/>
            <w:shd w:fill="CCEEFF" w:val="clear"/>
            <w:vAlign w:val="bottom"/>
          </w:tcPr>
          <w:p>
            <w:pPr>
              <w:pStyle w:val="TableContents"/>
              <w:spacing w:before="0" w:after="283"/>
              <w:rPr>
                <w:rFonts w:ascii="arial" w:hAnsi="arial"/>
                <w:position w:val="7"/>
                <w:sz w:val="16"/>
                <w:sz w:val="20"/>
              </w:rPr>
            </w:pPr>
            <w:r>
              <w:rPr>
                <w:rFonts w:ascii="arial" w:hAnsi="arial"/>
                <w:position w:val="7"/>
                <w:sz w:val="16"/>
                <w:sz w:val="20"/>
              </w:rPr>
              <w:t>(14)</w:t>
            </w:r>
          </w:p>
        </w:tc>
        <w:tc>
          <w:tcPr>
            <w:tcW w:w="23" w:type="dxa"/>
            <w:tcBorders/>
            <w:shd w:fill="CCEEFF" w:val="clear"/>
            <w:vAlign w:val="bottom"/>
          </w:tcPr>
          <w:p>
            <w:pPr>
              <w:pStyle w:val="TableContents"/>
              <w:spacing w:before="0" w:after="283"/>
              <w:rPr>
                <w:position w:val="8"/>
                <w:sz w:val="19"/>
              </w:rPr>
            </w:pPr>
            <w:r>
              <w:rPr>
                <w:position w:val="8"/>
                <w:sz w:val="19"/>
              </w:rPr>
              <w:t>​</w:t>
            </w:r>
          </w:p>
        </w:tc>
        <w:tc>
          <w:tcPr>
            <w:tcW w:w="23" w:type="dxa"/>
            <w:tcBorders/>
            <w:shd w:fill="CCEEFF" w:val="clear"/>
            <w:vAlign w:val="bottom"/>
          </w:tcPr>
          <w:p>
            <w:pPr>
              <w:pStyle w:val="TableContents"/>
              <w:spacing w:before="0" w:after="283"/>
              <w:rPr/>
            </w:pPr>
            <w:r>
              <w:rPr/>
              <w:t>​</w:t>
            </w:r>
          </w:p>
        </w:tc>
        <w:tc>
          <w:tcPr>
            <w:tcW w:w="125" w:type="dxa"/>
            <w:tcBorders/>
            <w:shd w:fill="CCEEFF" w:val="clear"/>
            <w:vAlign w:val="bottom"/>
          </w:tcPr>
          <w:p>
            <w:pPr>
              <w:pStyle w:val="TableContents"/>
              <w:spacing w:before="0" w:after="283"/>
              <w:rPr>
                <w:rFonts w:ascii="arial" w:hAnsi="arial"/>
                <w:sz w:val="20"/>
              </w:rPr>
            </w:pPr>
            <w:r>
              <w:rPr>
                <w:rFonts w:ascii="arial" w:hAnsi="arial"/>
                <w:sz w:val="20"/>
              </w:rPr>
              <w:t>$</w:t>
            </w:r>
          </w:p>
        </w:tc>
        <w:tc>
          <w:tcPr>
            <w:tcW w:w="710" w:type="dxa"/>
            <w:tcBorders/>
            <w:shd w:fill="CCEEFF" w:val="clear"/>
            <w:vAlign w:val="bottom"/>
          </w:tcPr>
          <w:p>
            <w:pPr>
              <w:pStyle w:val="TableContents"/>
              <w:spacing w:before="0" w:after="283"/>
              <w:jc w:val="right"/>
              <w:rPr>
                <w:rFonts w:ascii="arial" w:hAnsi="arial"/>
                <w:sz w:val="20"/>
              </w:rPr>
            </w:pPr>
            <w:r>
              <w:rPr>
                <w:rFonts w:ascii="arial" w:hAnsi="arial"/>
                <w:sz w:val="20"/>
              </w:rPr>
              <w:t>24,304</w:t>
            </w:r>
          </w:p>
        </w:tc>
        <w:tc>
          <w:tcPr>
            <w:tcW w:w="23" w:type="dxa"/>
            <w:tcBorders/>
            <w:shd w:fill="CCEEFF" w:val="clear"/>
            <w:vAlign w:val="bottom"/>
          </w:tcPr>
          <w:p>
            <w:pPr>
              <w:pStyle w:val="TableContents"/>
              <w:spacing w:before="0" w:after="283"/>
              <w:rPr/>
            </w:pPr>
            <w:r>
              <w:rPr/>
              <w:t>​</w:t>
            </w:r>
          </w:p>
        </w:tc>
        <w:tc>
          <w:tcPr>
            <w:tcW w:w="24" w:type="dxa"/>
            <w:tcBorders/>
            <w:shd w:fill="CCEEFF" w:val="clear"/>
            <w:vAlign w:val="bottom"/>
          </w:tcPr>
          <w:p>
            <w:pPr>
              <w:pStyle w:val="TableContents"/>
              <w:spacing w:before="0" w:after="283"/>
              <w:rPr/>
            </w:pPr>
            <w:r>
              <w:rPr/>
              <w:t>​</w:t>
            </w:r>
          </w:p>
        </w:tc>
      </w:tr>
      <w:tr>
        <w:trPr/>
        <w:tc>
          <w:tcPr>
            <w:tcW w:w="8029" w:type="dxa"/>
            <w:tcBorders/>
            <w:shd w:fill="CCEEFF" w:val="clear"/>
            <w:vAlign w:val="bottom"/>
          </w:tcPr>
          <w:p>
            <w:pPr>
              <w:pStyle w:val="TableContents"/>
              <w:spacing w:before="0" w:after="283"/>
              <w:ind w:left="200" w:right="0" w:hanging="200"/>
              <w:rPr>
                <w:sz w:val="4"/>
                <w:szCs w:val="4"/>
              </w:rPr>
            </w:pPr>
            <w:r>
              <w:rPr>
                <w:sz w:val="4"/>
                <w:szCs w:val="4"/>
              </w:rPr>
            </w:r>
          </w:p>
        </w:tc>
        <w:tc>
          <w:tcPr>
            <w:tcW w:w="23" w:type="dxa"/>
            <w:tcBorders/>
            <w:shd w:fill="CCEEFF" w:val="clear"/>
            <w:vAlign w:val="bottom"/>
          </w:tcPr>
          <w:p>
            <w:pPr>
              <w:pStyle w:val="TableContents"/>
              <w:spacing w:before="0" w:after="283"/>
              <w:rPr/>
            </w:pPr>
            <w:r>
              <w:rPr/>
              <w:t>​</w:t>
            </w:r>
          </w:p>
        </w:tc>
        <w:tc>
          <w:tcPr>
            <w:tcW w:w="360" w:type="dxa"/>
            <w:tcBorders/>
            <w:shd w:fill="CCEEFF" w:val="clear"/>
            <w:vAlign w:val="bottom"/>
          </w:tcPr>
          <w:p>
            <w:pPr>
              <w:pStyle w:val="TableContents"/>
              <w:spacing w:before="0" w:after="283"/>
              <w:rPr/>
            </w:pPr>
            <w:r>
              <w:rPr/>
              <w:t>​</w:t>
            </w:r>
          </w:p>
        </w:tc>
        <w:tc>
          <w:tcPr>
            <w:tcW w:w="605"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5,000</w:t>
            </w:r>
          </w:p>
        </w:tc>
        <w:tc>
          <w:tcPr>
            <w:tcW w:w="260" w:type="dxa"/>
            <w:tcBorders/>
            <w:shd w:fill="CCEEFF" w:val="clear"/>
            <w:vAlign w:val="bottom"/>
          </w:tcPr>
          <w:p>
            <w:pPr>
              <w:pStyle w:val="TableContents"/>
              <w:spacing w:before="0" w:after="283"/>
              <w:rPr>
                <w:rFonts w:ascii="arial" w:hAnsi="arial"/>
                <w:position w:val="7"/>
                <w:sz w:val="16"/>
                <w:sz w:val="20"/>
              </w:rPr>
            </w:pPr>
            <w:r>
              <w:rPr>
                <w:rFonts w:ascii="arial" w:hAnsi="arial"/>
                <w:position w:val="7"/>
                <w:sz w:val="16"/>
                <w:sz w:val="20"/>
              </w:rPr>
              <w:t>(15)</w:t>
            </w:r>
          </w:p>
        </w:tc>
        <w:tc>
          <w:tcPr>
            <w:tcW w:w="23" w:type="dxa"/>
            <w:tcBorders/>
            <w:shd w:fill="CCEEFF" w:val="clear"/>
            <w:vAlign w:val="bottom"/>
          </w:tcPr>
          <w:p>
            <w:pPr>
              <w:pStyle w:val="TableContents"/>
              <w:spacing w:before="0" w:after="283"/>
              <w:rPr>
                <w:position w:val="8"/>
                <w:sz w:val="19"/>
              </w:rPr>
            </w:pPr>
            <w:r>
              <w:rPr>
                <w:position w:val="8"/>
                <w:sz w:val="19"/>
              </w:rPr>
              <w:t>​</w:t>
            </w:r>
          </w:p>
        </w:tc>
        <w:tc>
          <w:tcPr>
            <w:tcW w:w="23" w:type="dxa"/>
            <w:tcBorders/>
            <w:shd w:fill="CCEEFF" w:val="clear"/>
            <w:vAlign w:val="bottom"/>
          </w:tcPr>
          <w:p>
            <w:pPr>
              <w:pStyle w:val="TableContents"/>
              <w:spacing w:before="0" w:after="283"/>
              <w:rPr/>
            </w:pPr>
            <w:r>
              <w:rPr/>
              <w:t>​</w:t>
            </w:r>
          </w:p>
        </w:tc>
        <w:tc>
          <w:tcPr>
            <w:tcW w:w="125" w:type="dxa"/>
            <w:tcBorders/>
            <w:shd w:fill="CCEEFF" w:val="clear"/>
            <w:vAlign w:val="bottom"/>
          </w:tcPr>
          <w:p>
            <w:pPr>
              <w:pStyle w:val="TableContents"/>
              <w:spacing w:before="0" w:after="283"/>
              <w:rPr>
                <w:rFonts w:ascii="arial" w:hAnsi="arial"/>
                <w:sz w:val="20"/>
              </w:rPr>
            </w:pPr>
            <w:r>
              <w:rPr>
                <w:rFonts w:ascii="arial" w:hAnsi="arial"/>
                <w:sz w:val="20"/>
              </w:rPr>
              <w:t>$</w:t>
            </w:r>
          </w:p>
        </w:tc>
        <w:tc>
          <w:tcPr>
            <w:tcW w:w="710" w:type="dxa"/>
            <w:tcBorders/>
            <w:shd w:fill="CCEEFF" w:val="clear"/>
            <w:vAlign w:val="bottom"/>
          </w:tcPr>
          <w:p>
            <w:pPr>
              <w:pStyle w:val="TableContents"/>
              <w:spacing w:before="0" w:after="283"/>
              <w:jc w:val="right"/>
              <w:rPr>
                <w:rFonts w:ascii="arial" w:hAnsi="arial"/>
                <w:sz w:val="20"/>
              </w:rPr>
            </w:pPr>
            <w:r>
              <w:rPr>
                <w:rFonts w:ascii="arial" w:hAnsi="arial"/>
                <w:sz w:val="20"/>
              </w:rPr>
              <w:t>94,700</w:t>
            </w:r>
          </w:p>
        </w:tc>
        <w:tc>
          <w:tcPr>
            <w:tcW w:w="23" w:type="dxa"/>
            <w:tcBorders/>
            <w:shd w:fill="CCEEFF" w:val="clear"/>
            <w:vAlign w:val="bottom"/>
          </w:tcPr>
          <w:p>
            <w:pPr>
              <w:pStyle w:val="TableContents"/>
              <w:spacing w:before="0" w:after="283"/>
              <w:rPr/>
            </w:pPr>
            <w:r>
              <w:rPr/>
              <w:t>​</w:t>
            </w:r>
          </w:p>
        </w:tc>
        <w:tc>
          <w:tcPr>
            <w:tcW w:w="24" w:type="dxa"/>
            <w:tcBorders/>
            <w:shd w:fill="CCEEFF" w:val="clear"/>
            <w:vAlign w:val="bottom"/>
          </w:tcPr>
          <w:p>
            <w:pPr>
              <w:pStyle w:val="TableContents"/>
              <w:spacing w:before="0" w:after="283"/>
              <w:rPr/>
            </w:pPr>
            <w:r>
              <w:rPr/>
              <w:t>​</w:t>
            </w:r>
          </w:p>
        </w:tc>
      </w:tr>
      <w:tr>
        <w:trPr/>
        <w:tc>
          <w:tcPr>
            <w:tcW w:w="8029" w:type="dxa"/>
            <w:tcBorders/>
            <w:shd w:fill="CCEEFF" w:val="clear"/>
            <w:vAlign w:val="bottom"/>
          </w:tcPr>
          <w:p>
            <w:pPr>
              <w:pStyle w:val="TableContents"/>
              <w:spacing w:before="0" w:after="283"/>
              <w:ind w:left="200" w:right="0" w:hanging="200"/>
              <w:rPr>
                <w:sz w:val="4"/>
                <w:szCs w:val="4"/>
              </w:rPr>
            </w:pPr>
            <w:r>
              <w:rPr>
                <w:sz w:val="4"/>
                <w:szCs w:val="4"/>
              </w:rPr>
            </w:r>
          </w:p>
        </w:tc>
        <w:tc>
          <w:tcPr>
            <w:tcW w:w="23" w:type="dxa"/>
            <w:tcBorders/>
            <w:shd w:fill="CCEEFF" w:val="clear"/>
            <w:vAlign w:val="bottom"/>
          </w:tcPr>
          <w:p>
            <w:pPr>
              <w:pStyle w:val="TableContents"/>
              <w:spacing w:before="0" w:after="283"/>
              <w:rPr/>
            </w:pPr>
            <w:r>
              <w:rPr/>
              <w:t>​</w:t>
            </w:r>
          </w:p>
        </w:tc>
        <w:tc>
          <w:tcPr>
            <w:tcW w:w="360" w:type="dxa"/>
            <w:tcBorders/>
            <w:shd w:fill="CCEEFF" w:val="clear"/>
            <w:vAlign w:val="bottom"/>
          </w:tcPr>
          <w:p>
            <w:pPr>
              <w:pStyle w:val="TableContents"/>
              <w:spacing w:before="0" w:after="283"/>
              <w:rPr/>
            </w:pPr>
            <w:r>
              <w:rPr/>
              <w:t>​</w:t>
            </w:r>
          </w:p>
        </w:tc>
        <w:tc>
          <w:tcPr>
            <w:tcW w:w="605"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4,256</w:t>
            </w:r>
          </w:p>
        </w:tc>
        <w:tc>
          <w:tcPr>
            <w:tcW w:w="260" w:type="dxa"/>
            <w:tcBorders/>
            <w:shd w:fill="CCEEFF" w:val="clear"/>
            <w:vAlign w:val="bottom"/>
          </w:tcPr>
          <w:p>
            <w:pPr>
              <w:pStyle w:val="TableContents"/>
              <w:spacing w:before="0" w:after="283"/>
              <w:rPr>
                <w:rFonts w:ascii="arial" w:hAnsi="arial"/>
                <w:position w:val="7"/>
                <w:sz w:val="16"/>
                <w:sz w:val="20"/>
              </w:rPr>
            </w:pPr>
            <w:r>
              <w:rPr>
                <w:rFonts w:ascii="arial" w:hAnsi="arial"/>
                <w:position w:val="7"/>
                <w:sz w:val="16"/>
                <w:sz w:val="20"/>
              </w:rPr>
              <w:t>(16)</w:t>
            </w:r>
          </w:p>
        </w:tc>
        <w:tc>
          <w:tcPr>
            <w:tcW w:w="23" w:type="dxa"/>
            <w:tcBorders/>
            <w:shd w:fill="CCEEFF" w:val="clear"/>
            <w:vAlign w:val="bottom"/>
          </w:tcPr>
          <w:p>
            <w:pPr>
              <w:pStyle w:val="TableContents"/>
              <w:spacing w:before="0" w:after="283"/>
              <w:rPr>
                <w:position w:val="8"/>
                <w:sz w:val="19"/>
              </w:rPr>
            </w:pPr>
            <w:r>
              <w:rPr>
                <w:position w:val="8"/>
                <w:sz w:val="19"/>
              </w:rPr>
              <w:t>​</w:t>
            </w:r>
          </w:p>
        </w:tc>
        <w:tc>
          <w:tcPr>
            <w:tcW w:w="23" w:type="dxa"/>
            <w:tcBorders/>
            <w:shd w:fill="CCEEFF" w:val="clear"/>
            <w:vAlign w:val="bottom"/>
          </w:tcPr>
          <w:p>
            <w:pPr>
              <w:pStyle w:val="TableContents"/>
              <w:spacing w:before="0" w:after="283"/>
              <w:rPr/>
            </w:pPr>
            <w:r>
              <w:rPr/>
              <w:t>​</w:t>
            </w:r>
          </w:p>
        </w:tc>
        <w:tc>
          <w:tcPr>
            <w:tcW w:w="125" w:type="dxa"/>
            <w:tcBorders/>
            <w:shd w:fill="CCEEFF" w:val="clear"/>
            <w:vAlign w:val="bottom"/>
          </w:tcPr>
          <w:p>
            <w:pPr>
              <w:pStyle w:val="TableContents"/>
              <w:spacing w:before="0" w:after="283"/>
              <w:rPr>
                <w:rFonts w:ascii="arial" w:hAnsi="arial"/>
                <w:sz w:val="20"/>
              </w:rPr>
            </w:pPr>
            <w:r>
              <w:rPr>
                <w:rFonts w:ascii="arial" w:hAnsi="arial"/>
                <w:sz w:val="20"/>
              </w:rPr>
              <w:t>$</w:t>
            </w:r>
          </w:p>
        </w:tc>
        <w:tc>
          <w:tcPr>
            <w:tcW w:w="710" w:type="dxa"/>
            <w:tcBorders/>
            <w:shd w:fill="CCEEFF" w:val="clear"/>
            <w:vAlign w:val="bottom"/>
          </w:tcPr>
          <w:p>
            <w:pPr>
              <w:pStyle w:val="TableContents"/>
              <w:spacing w:before="0" w:after="283"/>
              <w:jc w:val="right"/>
              <w:rPr>
                <w:rFonts w:ascii="arial" w:hAnsi="arial"/>
                <w:sz w:val="20"/>
              </w:rPr>
            </w:pPr>
            <w:r>
              <w:rPr>
                <w:rFonts w:ascii="arial" w:hAnsi="arial"/>
                <w:sz w:val="20"/>
              </w:rPr>
              <w:t>80,481</w:t>
            </w:r>
          </w:p>
        </w:tc>
        <w:tc>
          <w:tcPr>
            <w:tcW w:w="23" w:type="dxa"/>
            <w:tcBorders/>
            <w:shd w:fill="CCEEFF" w:val="clear"/>
            <w:vAlign w:val="bottom"/>
          </w:tcPr>
          <w:p>
            <w:pPr>
              <w:pStyle w:val="TableContents"/>
              <w:spacing w:before="0" w:after="283"/>
              <w:rPr/>
            </w:pPr>
            <w:r>
              <w:rPr/>
              <w:t>​</w:t>
            </w:r>
          </w:p>
        </w:tc>
        <w:tc>
          <w:tcPr>
            <w:tcW w:w="24" w:type="dxa"/>
            <w:tcBorders/>
            <w:shd w:fill="CCEEFF" w:val="clear"/>
            <w:vAlign w:val="bottom"/>
          </w:tcPr>
          <w:p>
            <w:pPr>
              <w:pStyle w:val="TableContents"/>
              <w:spacing w:before="0" w:after="283"/>
              <w:rPr/>
            </w:pPr>
            <w:r>
              <w:rPr/>
              <w:t>​</w:t>
            </w:r>
          </w:p>
        </w:tc>
      </w:tr>
      <w:tr>
        <w:trPr/>
        <w:tc>
          <w:tcPr>
            <w:tcW w:w="8029" w:type="dxa"/>
            <w:tcBorders/>
            <w:shd w:fill="CCEEFF" w:val="clear"/>
            <w:vAlign w:val="bottom"/>
          </w:tcPr>
          <w:p>
            <w:pPr>
              <w:pStyle w:val="TableContents"/>
              <w:spacing w:before="0" w:after="283"/>
              <w:ind w:left="200" w:right="0" w:hanging="200"/>
              <w:rPr>
                <w:sz w:val="4"/>
                <w:szCs w:val="4"/>
              </w:rPr>
            </w:pPr>
            <w:r>
              <w:rPr>
                <w:sz w:val="4"/>
                <w:szCs w:val="4"/>
              </w:rPr>
            </w:r>
          </w:p>
        </w:tc>
        <w:tc>
          <w:tcPr>
            <w:tcW w:w="23" w:type="dxa"/>
            <w:tcBorders/>
            <w:shd w:fill="CCEEFF" w:val="clear"/>
            <w:vAlign w:val="bottom"/>
          </w:tcPr>
          <w:p>
            <w:pPr>
              <w:pStyle w:val="TableContents"/>
              <w:spacing w:before="0" w:after="283"/>
              <w:rPr/>
            </w:pPr>
            <w:r>
              <w:rPr/>
              <w:t>​</w:t>
            </w:r>
          </w:p>
        </w:tc>
        <w:tc>
          <w:tcPr>
            <w:tcW w:w="360" w:type="dxa"/>
            <w:tcBorders/>
            <w:shd w:fill="CCEEFF" w:val="clear"/>
            <w:vAlign w:val="bottom"/>
          </w:tcPr>
          <w:p>
            <w:pPr>
              <w:pStyle w:val="TableContents"/>
              <w:spacing w:before="0" w:after="283"/>
              <w:rPr/>
            </w:pPr>
            <w:r>
              <w:rPr/>
              <w:t>​</w:t>
            </w:r>
          </w:p>
        </w:tc>
        <w:tc>
          <w:tcPr>
            <w:tcW w:w="605"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1,864</w:t>
            </w:r>
          </w:p>
        </w:tc>
        <w:tc>
          <w:tcPr>
            <w:tcW w:w="260" w:type="dxa"/>
            <w:tcBorders/>
            <w:shd w:fill="CCEEFF" w:val="clear"/>
            <w:vAlign w:val="bottom"/>
          </w:tcPr>
          <w:p>
            <w:pPr>
              <w:pStyle w:val="TableContents"/>
              <w:spacing w:before="0" w:after="283"/>
              <w:rPr>
                <w:rFonts w:ascii="arial" w:hAnsi="arial"/>
                <w:position w:val="7"/>
                <w:sz w:val="16"/>
                <w:sz w:val="20"/>
              </w:rPr>
            </w:pPr>
            <w:r>
              <w:rPr>
                <w:rFonts w:ascii="arial" w:hAnsi="arial"/>
                <w:position w:val="7"/>
                <w:sz w:val="16"/>
                <w:sz w:val="20"/>
              </w:rPr>
              <w:t>(17)</w:t>
            </w:r>
          </w:p>
        </w:tc>
        <w:tc>
          <w:tcPr>
            <w:tcW w:w="23" w:type="dxa"/>
            <w:tcBorders/>
            <w:shd w:fill="CCEEFF" w:val="clear"/>
            <w:vAlign w:val="bottom"/>
          </w:tcPr>
          <w:p>
            <w:pPr>
              <w:pStyle w:val="TableContents"/>
              <w:spacing w:before="0" w:after="283"/>
              <w:rPr>
                <w:position w:val="8"/>
                <w:sz w:val="19"/>
              </w:rPr>
            </w:pPr>
            <w:r>
              <w:rPr>
                <w:position w:val="8"/>
                <w:sz w:val="19"/>
              </w:rPr>
              <w:t>​</w:t>
            </w:r>
          </w:p>
        </w:tc>
        <w:tc>
          <w:tcPr>
            <w:tcW w:w="23" w:type="dxa"/>
            <w:tcBorders/>
            <w:shd w:fill="CCEEFF" w:val="clear"/>
            <w:vAlign w:val="bottom"/>
          </w:tcPr>
          <w:p>
            <w:pPr>
              <w:pStyle w:val="TableContents"/>
              <w:spacing w:before="0" w:after="283"/>
              <w:rPr/>
            </w:pPr>
            <w:r>
              <w:rPr/>
              <w:t>​</w:t>
            </w:r>
          </w:p>
        </w:tc>
        <w:tc>
          <w:tcPr>
            <w:tcW w:w="125" w:type="dxa"/>
            <w:tcBorders/>
            <w:shd w:fill="CCEEFF" w:val="clear"/>
            <w:vAlign w:val="bottom"/>
          </w:tcPr>
          <w:p>
            <w:pPr>
              <w:pStyle w:val="TableContents"/>
              <w:spacing w:before="0" w:after="283"/>
              <w:rPr>
                <w:rFonts w:ascii="arial" w:hAnsi="arial"/>
                <w:sz w:val="20"/>
              </w:rPr>
            </w:pPr>
            <w:r>
              <w:rPr>
                <w:rFonts w:ascii="arial" w:hAnsi="arial"/>
                <w:sz w:val="20"/>
              </w:rPr>
              <w:t>$</w:t>
            </w:r>
          </w:p>
        </w:tc>
        <w:tc>
          <w:tcPr>
            <w:tcW w:w="710" w:type="dxa"/>
            <w:tcBorders/>
            <w:shd w:fill="CCEEFF" w:val="clear"/>
            <w:vAlign w:val="bottom"/>
          </w:tcPr>
          <w:p>
            <w:pPr>
              <w:pStyle w:val="TableContents"/>
              <w:spacing w:before="0" w:after="283"/>
              <w:jc w:val="right"/>
              <w:rPr>
                <w:rFonts w:ascii="arial" w:hAnsi="arial"/>
                <w:sz w:val="20"/>
              </w:rPr>
            </w:pPr>
            <w:r>
              <w:rPr>
                <w:rFonts w:ascii="arial" w:hAnsi="arial"/>
                <w:sz w:val="20"/>
              </w:rPr>
              <w:t>15,397</w:t>
            </w:r>
          </w:p>
        </w:tc>
        <w:tc>
          <w:tcPr>
            <w:tcW w:w="23" w:type="dxa"/>
            <w:tcBorders/>
            <w:shd w:fill="CCEEFF" w:val="clear"/>
            <w:vAlign w:val="bottom"/>
          </w:tcPr>
          <w:p>
            <w:pPr>
              <w:pStyle w:val="TableContents"/>
              <w:spacing w:before="0" w:after="283"/>
              <w:rPr/>
            </w:pPr>
            <w:r>
              <w:rPr/>
              <w:t>​</w:t>
            </w:r>
          </w:p>
        </w:tc>
        <w:tc>
          <w:tcPr>
            <w:tcW w:w="24" w:type="dxa"/>
            <w:tcBorders/>
            <w:shd w:fill="CCEEFF" w:val="clear"/>
            <w:vAlign w:val="bottom"/>
          </w:tcPr>
          <w:p>
            <w:pPr>
              <w:pStyle w:val="TableContents"/>
              <w:spacing w:before="0" w:after="283"/>
              <w:rPr/>
            </w:pPr>
            <w:r>
              <w:rPr/>
              <w:t>​</w:t>
            </w:r>
          </w:p>
        </w:tc>
      </w:tr>
      <w:tr>
        <w:trPr/>
        <w:tc>
          <w:tcPr>
            <w:tcW w:w="8029" w:type="dxa"/>
            <w:tcBorders/>
            <w:shd w:fill="auto" w:val="clear"/>
            <w:vAlign w:val="bottom"/>
          </w:tcPr>
          <w:p>
            <w:pPr>
              <w:pStyle w:val="TableContents"/>
              <w:spacing w:before="0" w:after="283"/>
              <w:ind w:left="200" w:right="0" w:hanging="200"/>
              <w:rPr>
                <w:rFonts w:ascii="arial" w:hAnsi="arial"/>
                <w:sz w:val="20"/>
              </w:rPr>
            </w:pPr>
            <w:r>
              <w:rPr>
                <w:rFonts w:ascii="arial" w:hAnsi="arial"/>
                <w:sz w:val="20"/>
              </w:rPr>
              <w:t>Marcello Mastioni</w:t>
            </w:r>
          </w:p>
        </w:tc>
        <w:tc>
          <w:tcPr>
            <w:tcW w:w="23" w:type="dxa"/>
            <w:tcBorders/>
            <w:shd w:fill="auto" w:val="clear"/>
            <w:vAlign w:val="bottom"/>
          </w:tcPr>
          <w:p>
            <w:pPr>
              <w:pStyle w:val="TableContents"/>
              <w:spacing w:before="0" w:after="283"/>
              <w:rPr/>
            </w:pPr>
            <w:r>
              <w:rPr/>
              <w:t>​</w:t>
            </w:r>
          </w:p>
        </w:tc>
        <w:tc>
          <w:tcPr>
            <w:tcW w:w="360" w:type="dxa"/>
            <w:tcBorders/>
            <w:shd w:fill="auto" w:val="clear"/>
            <w:vAlign w:val="bottom"/>
          </w:tcPr>
          <w:p>
            <w:pPr>
              <w:pStyle w:val="TableContents"/>
              <w:spacing w:before="0" w:after="283"/>
              <w:rPr/>
            </w:pPr>
            <w:r>
              <w:rPr/>
              <w:t>​</w:t>
            </w:r>
          </w:p>
        </w:tc>
        <w:tc>
          <w:tcPr>
            <w:tcW w:w="605" w:type="dxa"/>
            <w:gridSpan w:val="2"/>
            <w:tcBorders/>
            <w:shd w:fill="auto" w:val="clear"/>
            <w:vAlign w:val="bottom"/>
          </w:tcPr>
          <w:p>
            <w:pPr>
              <w:pStyle w:val="TableContents"/>
              <w:spacing w:before="0" w:after="283"/>
              <w:jc w:val="right"/>
              <w:rPr>
                <w:rFonts w:ascii="arial" w:hAnsi="arial"/>
                <w:sz w:val="20"/>
              </w:rPr>
            </w:pPr>
            <w:r>
              <w:rPr>
                <w:rFonts w:ascii="arial" w:hAnsi="arial"/>
                <w:sz w:val="20"/>
              </w:rPr>
              <w:t>10,000</w:t>
            </w:r>
          </w:p>
        </w:tc>
        <w:tc>
          <w:tcPr>
            <w:tcW w:w="260" w:type="dxa"/>
            <w:tcBorders/>
            <w:shd w:fill="auto" w:val="clear"/>
            <w:vAlign w:val="bottom"/>
          </w:tcPr>
          <w:p>
            <w:pPr>
              <w:pStyle w:val="TableContents"/>
              <w:spacing w:before="0" w:after="283"/>
              <w:rPr>
                <w:rFonts w:ascii="arial" w:hAnsi="arial"/>
                <w:position w:val="7"/>
                <w:sz w:val="16"/>
                <w:sz w:val="20"/>
              </w:rPr>
            </w:pPr>
            <w:r>
              <w:rPr>
                <w:rFonts w:ascii="arial" w:hAnsi="arial"/>
                <w:position w:val="7"/>
                <w:sz w:val="16"/>
                <w:sz w:val="20"/>
              </w:rPr>
              <w:t>(18)</w:t>
            </w:r>
          </w:p>
        </w:tc>
        <w:tc>
          <w:tcPr>
            <w:tcW w:w="23" w:type="dxa"/>
            <w:tcBorders/>
            <w:shd w:fill="auto" w:val="clear"/>
            <w:vAlign w:val="bottom"/>
          </w:tcPr>
          <w:p>
            <w:pPr>
              <w:pStyle w:val="TableContents"/>
              <w:spacing w:before="0" w:after="283"/>
              <w:rPr>
                <w:position w:val="8"/>
                <w:sz w:val="19"/>
              </w:rPr>
            </w:pPr>
            <w:r>
              <w:rPr>
                <w:position w:val="8"/>
                <w:sz w:val="19"/>
              </w:rPr>
              <w:t>​</w:t>
            </w:r>
          </w:p>
        </w:tc>
        <w:tc>
          <w:tcPr>
            <w:tcW w:w="23" w:type="dxa"/>
            <w:tcBorders/>
            <w:shd w:fill="auto" w:val="clear"/>
            <w:vAlign w:val="bottom"/>
          </w:tcPr>
          <w:p>
            <w:pPr>
              <w:pStyle w:val="TableContents"/>
              <w:spacing w:before="0" w:after="283"/>
              <w:rPr/>
            </w:pPr>
            <w:r>
              <w:rPr/>
              <w:t>​</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710" w:type="dxa"/>
            <w:tcBorders/>
            <w:shd w:fill="auto" w:val="clear"/>
            <w:vAlign w:val="bottom"/>
          </w:tcPr>
          <w:p>
            <w:pPr>
              <w:pStyle w:val="TableContents"/>
              <w:spacing w:before="0" w:after="283"/>
              <w:jc w:val="right"/>
              <w:rPr>
                <w:rFonts w:ascii="arial" w:hAnsi="arial"/>
                <w:sz w:val="20"/>
              </w:rPr>
            </w:pPr>
            <w:r>
              <w:rPr>
                <w:rFonts w:ascii="arial" w:hAnsi="arial"/>
                <w:sz w:val="20"/>
              </w:rPr>
              <w:t>134,600</w:t>
            </w:r>
          </w:p>
        </w:tc>
        <w:tc>
          <w:tcPr>
            <w:tcW w:w="23"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8029" w:type="dxa"/>
            <w:tcBorders/>
            <w:shd w:fill="auto" w:val="clear"/>
            <w:vAlign w:val="bottom"/>
          </w:tcPr>
          <w:p>
            <w:pPr>
              <w:pStyle w:val="TableContents"/>
              <w:spacing w:before="0" w:after="283"/>
              <w:ind w:left="200" w:right="0" w:hanging="200"/>
              <w:rPr>
                <w:sz w:val="4"/>
                <w:szCs w:val="4"/>
              </w:rPr>
            </w:pPr>
            <w:r>
              <w:rPr>
                <w:sz w:val="4"/>
                <w:szCs w:val="4"/>
              </w:rPr>
            </w:r>
          </w:p>
        </w:tc>
        <w:tc>
          <w:tcPr>
            <w:tcW w:w="23" w:type="dxa"/>
            <w:tcBorders/>
            <w:shd w:fill="auto" w:val="clear"/>
            <w:vAlign w:val="bottom"/>
          </w:tcPr>
          <w:p>
            <w:pPr>
              <w:pStyle w:val="TableContents"/>
              <w:spacing w:before="0" w:after="283"/>
              <w:rPr/>
            </w:pPr>
            <w:r>
              <w:rPr/>
              <w:t>​</w:t>
            </w:r>
          </w:p>
        </w:tc>
        <w:tc>
          <w:tcPr>
            <w:tcW w:w="360" w:type="dxa"/>
            <w:tcBorders/>
            <w:shd w:fill="auto" w:val="clear"/>
            <w:vAlign w:val="bottom"/>
          </w:tcPr>
          <w:p>
            <w:pPr>
              <w:pStyle w:val="TableContents"/>
              <w:spacing w:before="0" w:after="283"/>
              <w:rPr/>
            </w:pPr>
            <w:r>
              <w:rPr/>
              <w:t>​</w:t>
            </w:r>
          </w:p>
        </w:tc>
        <w:tc>
          <w:tcPr>
            <w:tcW w:w="605" w:type="dxa"/>
            <w:gridSpan w:val="2"/>
            <w:tcBorders/>
            <w:shd w:fill="auto" w:val="clear"/>
            <w:vAlign w:val="bottom"/>
          </w:tcPr>
          <w:p>
            <w:pPr>
              <w:pStyle w:val="TableContents"/>
              <w:spacing w:before="0" w:after="283"/>
              <w:jc w:val="right"/>
              <w:rPr>
                <w:rFonts w:ascii="arial" w:hAnsi="arial"/>
                <w:sz w:val="20"/>
              </w:rPr>
            </w:pPr>
            <w:r>
              <w:rPr>
                <w:rFonts w:ascii="arial" w:hAnsi="arial"/>
                <w:sz w:val="20"/>
              </w:rPr>
              <w:t>1,594</w:t>
            </w:r>
          </w:p>
        </w:tc>
        <w:tc>
          <w:tcPr>
            <w:tcW w:w="260" w:type="dxa"/>
            <w:tcBorders/>
            <w:shd w:fill="auto" w:val="clear"/>
            <w:vAlign w:val="bottom"/>
          </w:tcPr>
          <w:p>
            <w:pPr>
              <w:pStyle w:val="TableContents"/>
              <w:spacing w:before="0" w:after="283"/>
              <w:rPr>
                <w:rFonts w:ascii="arial" w:hAnsi="arial"/>
                <w:position w:val="7"/>
                <w:sz w:val="16"/>
                <w:sz w:val="20"/>
              </w:rPr>
            </w:pPr>
            <w:r>
              <w:rPr>
                <w:rFonts w:ascii="arial" w:hAnsi="arial"/>
                <w:position w:val="7"/>
                <w:sz w:val="16"/>
                <w:sz w:val="20"/>
              </w:rPr>
              <w:t>(19)</w:t>
            </w:r>
          </w:p>
        </w:tc>
        <w:tc>
          <w:tcPr>
            <w:tcW w:w="23" w:type="dxa"/>
            <w:tcBorders/>
            <w:shd w:fill="auto" w:val="clear"/>
            <w:vAlign w:val="bottom"/>
          </w:tcPr>
          <w:p>
            <w:pPr>
              <w:pStyle w:val="TableContents"/>
              <w:spacing w:before="0" w:after="283"/>
              <w:rPr>
                <w:position w:val="8"/>
                <w:sz w:val="19"/>
              </w:rPr>
            </w:pPr>
            <w:r>
              <w:rPr>
                <w:position w:val="8"/>
                <w:sz w:val="19"/>
              </w:rPr>
              <w:t>​</w:t>
            </w:r>
          </w:p>
        </w:tc>
        <w:tc>
          <w:tcPr>
            <w:tcW w:w="23" w:type="dxa"/>
            <w:tcBorders/>
            <w:shd w:fill="auto" w:val="clear"/>
            <w:vAlign w:val="bottom"/>
          </w:tcPr>
          <w:p>
            <w:pPr>
              <w:pStyle w:val="TableContents"/>
              <w:spacing w:before="0" w:after="283"/>
              <w:rPr/>
            </w:pPr>
            <w:r>
              <w:rPr/>
              <w:t>​</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710" w:type="dxa"/>
            <w:tcBorders/>
            <w:shd w:fill="auto" w:val="clear"/>
            <w:vAlign w:val="bottom"/>
          </w:tcPr>
          <w:p>
            <w:pPr>
              <w:pStyle w:val="TableContents"/>
              <w:spacing w:before="0" w:after="283"/>
              <w:jc w:val="right"/>
              <w:rPr>
                <w:rFonts w:ascii="arial" w:hAnsi="arial"/>
                <w:sz w:val="20"/>
              </w:rPr>
            </w:pPr>
            <w:r>
              <w:rPr>
                <w:rFonts w:ascii="arial" w:hAnsi="arial"/>
                <w:sz w:val="20"/>
              </w:rPr>
              <w:t>31,242</w:t>
            </w:r>
          </w:p>
        </w:tc>
        <w:tc>
          <w:tcPr>
            <w:tcW w:w="23"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8029" w:type="dxa"/>
            <w:tcBorders/>
            <w:shd w:fill="auto" w:val="clear"/>
            <w:vAlign w:val="bottom"/>
          </w:tcPr>
          <w:p>
            <w:pPr>
              <w:pStyle w:val="TableContents"/>
              <w:spacing w:before="0" w:after="283"/>
              <w:ind w:left="200" w:right="0" w:hanging="200"/>
              <w:rPr>
                <w:sz w:val="4"/>
                <w:szCs w:val="4"/>
              </w:rPr>
            </w:pPr>
            <w:r>
              <w:rPr>
                <w:sz w:val="4"/>
                <w:szCs w:val="4"/>
              </w:rPr>
            </w:r>
          </w:p>
        </w:tc>
        <w:tc>
          <w:tcPr>
            <w:tcW w:w="23" w:type="dxa"/>
            <w:tcBorders/>
            <w:shd w:fill="auto" w:val="clear"/>
            <w:vAlign w:val="bottom"/>
          </w:tcPr>
          <w:p>
            <w:pPr>
              <w:pStyle w:val="TableContents"/>
              <w:spacing w:before="0" w:after="283"/>
              <w:rPr/>
            </w:pPr>
            <w:r>
              <w:rPr/>
              <w:t>​</w:t>
            </w:r>
          </w:p>
        </w:tc>
        <w:tc>
          <w:tcPr>
            <w:tcW w:w="360" w:type="dxa"/>
            <w:tcBorders/>
            <w:shd w:fill="auto" w:val="clear"/>
            <w:vAlign w:val="bottom"/>
          </w:tcPr>
          <w:p>
            <w:pPr>
              <w:pStyle w:val="TableContents"/>
              <w:spacing w:before="0" w:after="283"/>
              <w:rPr/>
            </w:pPr>
            <w:r>
              <w:rPr/>
              <w:t>​</w:t>
            </w:r>
          </w:p>
        </w:tc>
        <w:tc>
          <w:tcPr>
            <w:tcW w:w="605" w:type="dxa"/>
            <w:gridSpan w:val="2"/>
            <w:tcBorders/>
            <w:shd w:fill="auto" w:val="clear"/>
            <w:vAlign w:val="bottom"/>
          </w:tcPr>
          <w:p>
            <w:pPr>
              <w:pStyle w:val="TableContents"/>
              <w:spacing w:before="0" w:after="283"/>
              <w:jc w:val="right"/>
              <w:rPr>
                <w:rFonts w:ascii="arial" w:hAnsi="arial"/>
                <w:sz w:val="20"/>
              </w:rPr>
            </w:pPr>
            <w:r>
              <w:rPr>
                <w:rFonts w:ascii="arial" w:hAnsi="arial"/>
                <w:sz w:val="20"/>
              </w:rPr>
              <w:t>5,000</w:t>
            </w:r>
          </w:p>
        </w:tc>
        <w:tc>
          <w:tcPr>
            <w:tcW w:w="260" w:type="dxa"/>
            <w:tcBorders/>
            <w:shd w:fill="auto" w:val="clear"/>
            <w:vAlign w:val="bottom"/>
          </w:tcPr>
          <w:p>
            <w:pPr>
              <w:pStyle w:val="TableContents"/>
              <w:spacing w:before="0" w:after="283"/>
              <w:rPr>
                <w:rFonts w:ascii="arial" w:hAnsi="arial"/>
                <w:position w:val="7"/>
                <w:sz w:val="16"/>
                <w:sz w:val="20"/>
              </w:rPr>
            </w:pPr>
            <w:r>
              <w:rPr>
                <w:rFonts w:ascii="arial" w:hAnsi="arial"/>
                <w:position w:val="7"/>
                <w:sz w:val="16"/>
                <w:sz w:val="20"/>
              </w:rPr>
              <w:t>(20)</w:t>
            </w:r>
          </w:p>
        </w:tc>
        <w:tc>
          <w:tcPr>
            <w:tcW w:w="23" w:type="dxa"/>
            <w:tcBorders/>
            <w:shd w:fill="auto" w:val="clear"/>
            <w:vAlign w:val="bottom"/>
          </w:tcPr>
          <w:p>
            <w:pPr>
              <w:pStyle w:val="TableContents"/>
              <w:spacing w:before="0" w:after="283"/>
              <w:rPr>
                <w:position w:val="8"/>
                <w:sz w:val="19"/>
              </w:rPr>
            </w:pPr>
            <w:r>
              <w:rPr>
                <w:position w:val="8"/>
                <w:sz w:val="19"/>
              </w:rPr>
              <w:t>​</w:t>
            </w:r>
          </w:p>
        </w:tc>
        <w:tc>
          <w:tcPr>
            <w:tcW w:w="23" w:type="dxa"/>
            <w:tcBorders/>
            <w:shd w:fill="auto" w:val="clear"/>
            <w:vAlign w:val="bottom"/>
          </w:tcPr>
          <w:p>
            <w:pPr>
              <w:pStyle w:val="TableContents"/>
              <w:spacing w:before="0" w:after="283"/>
              <w:rPr/>
            </w:pPr>
            <w:r>
              <w:rPr/>
              <w:t>​</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710" w:type="dxa"/>
            <w:tcBorders/>
            <w:shd w:fill="auto" w:val="clear"/>
            <w:vAlign w:val="bottom"/>
          </w:tcPr>
          <w:p>
            <w:pPr>
              <w:pStyle w:val="TableContents"/>
              <w:spacing w:before="0" w:after="283"/>
              <w:jc w:val="right"/>
              <w:rPr>
                <w:rFonts w:ascii="arial" w:hAnsi="arial"/>
                <w:sz w:val="20"/>
              </w:rPr>
            </w:pPr>
            <w:r>
              <w:rPr>
                <w:rFonts w:ascii="arial" w:hAnsi="arial"/>
                <w:sz w:val="20"/>
              </w:rPr>
              <w:t>61,250</w:t>
            </w:r>
          </w:p>
        </w:tc>
        <w:tc>
          <w:tcPr>
            <w:tcW w:w="23"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8029" w:type="dxa"/>
            <w:tcBorders/>
            <w:shd w:fill="auto" w:val="clear"/>
            <w:vAlign w:val="bottom"/>
          </w:tcPr>
          <w:p>
            <w:pPr>
              <w:pStyle w:val="TableContents"/>
              <w:spacing w:before="0" w:after="283"/>
              <w:ind w:left="200" w:right="0" w:hanging="200"/>
              <w:rPr>
                <w:sz w:val="4"/>
                <w:szCs w:val="4"/>
              </w:rPr>
            </w:pPr>
            <w:r>
              <w:rPr>
                <w:sz w:val="4"/>
                <w:szCs w:val="4"/>
              </w:rPr>
            </w:r>
          </w:p>
        </w:tc>
        <w:tc>
          <w:tcPr>
            <w:tcW w:w="23" w:type="dxa"/>
            <w:tcBorders/>
            <w:shd w:fill="auto" w:val="clear"/>
            <w:vAlign w:val="bottom"/>
          </w:tcPr>
          <w:p>
            <w:pPr>
              <w:pStyle w:val="TableContents"/>
              <w:spacing w:before="0" w:after="283"/>
              <w:rPr/>
            </w:pPr>
            <w:r>
              <w:rPr/>
              <w:t>​</w:t>
            </w:r>
          </w:p>
        </w:tc>
        <w:tc>
          <w:tcPr>
            <w:tcW w:w="360" w:type="dxa"/>
            <w:tcBorders/>
            <w:shd w:fill="auto" w:val="clear"/>
            <w:vAlign w:val="bottom"/>
          </w:tcPr>
          <w:p>
            <w:pPr>
              <w:pStyle w:val="TableContents"/>
              <w:spacing w:before="0" w:after="283"/>
              <w:rPr/>
            </w:pPr>
            <w:r>
              <w:rPr/>
              <w:t>​</w:t>
            </w:r>
          </w:p>
        </w:tc>
        <w:tc>
          <w:tcPr>
            <w:tcW w:w="605" w:type="dxa"/>
            <w:gridSpan w:val="2"/>
            <w:tcBorders/>
            <w:shd w:fill="auto" w:val="clear"/>
            <w:vAlign w:val="bottom"/>
          </w:tcPr>
          <w:p>
            <w:pPr>
              <w:pStyle w:val="TableContents"/>
              <w:spacing w:before="0" w:after="283"/>
              <w:jc w:val="right"/>
              <w:rPr>
                <w:rFonts w:ascii="arial" w:hAnsi="arial"/>
                <w:sz w:val="20"/>
              </w:rPr>
            </w:pPr>
            <w:r>
              <w:rPr>
                <w:rFonts w:ascii="arial" w:hAnsi="arial"/>
                <w:sz w:val="20"/>
              </w:rPr>
              <w:t>3,910</w:t>
            </w:r>
          </w:p>
        </w:tc>
        <w:tc>
          <w:tcPr>
            <w:tcW w:w="260" w:type="dxa"/>
            <w:tcBorders/>
            <w:shd w:fill="auto" w:val="clear"/>
            <w:vAlign w:val="bottom"/>
          </w:tcPr>
          <w:p>
            <w:pPr>
              <w:pStyle w:val="TableContents"/>
              <w:spacing w:before="0" w:after="283"/>
              <w:rPr>
                <w:rFonts w:ascii="arial" w:hAnsi="arial"/>
                <w:position w:val="7"/>
                <w:sz w:val="16"/>
                <w:sz w:val="20"/>
              </w:rPr>
            </w:pPr>
            <w:r>
              <w:rPr>
                <w:rFonts w:ascii="arial" w:hAnsi="arial"/>
                <w:position w:val="7"/>
                <w:sz w:val="16"/>
                <w:sz w:val="20"/>
              </w:rPr>
              <w:t>(21)</w:t>
            </w:r>
          </w:p>
        </w:tc>
        <w:tc>
          <w:tcPr>
            <w:tcW w:w="23" w:type="dxa"/>
            <w:tcBorders/>
            <w:shd w:fill="auto" w:val="clear"/>
            <w:vAlign w:val="bottom"/>
          </w:tcPr>
          <w:p>
            <w:pPr>
              <w:pStyle w:val="TableContents"/>
              <w:spacing w:before="0" w:after="283"/>
              <w:rPr>
                <w:position w:val="8"/>
                <w:sz w:val="19"/>
              </w:rPr>
            </w:pPr>
            <w:r>
              <w:rPr>
                <w:position w:val="8"/>
                <w:sz w:val="19"/>
              </w:rPr>
              <w:t>​</w:t>
            </w:r>
          </w:p>
        </w:tc>
        <w:tc>
          <w:tcPr>
            <w:tcW w:w="23" w:type="dxa"/>
            <w:tcBorders/>
            <w:shd w:fill="auto" w:val="clear"/>
            <w:vAlign w:val="bottom"/>
          </w:tcPr>
          <w:p>
            <w:pPr>
              <w:pStyle w:val="TableContents"/>
              <w:spacing w:before="0" w:after="283"/>
              <w:rPr/>
            </w:pPr>
            <w:r>
              <w:rPr/>
              <w:t>​</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710" w:type="dxa"/>
            <w:tcBorders/>
            <w:shd w:fill="auto" w:val="clear"/>
            <w:vAlign w:val="bottom"/>
          </w:tcPr>
          <w:p>
            <w:pPr>
              <w:pStyle w:val="TableContents"/>
              <w:spacing w:before="0" w:after="283"/>
              <w:jc w:val="right"/>
              <w:rPr>
                <w:rFonts w:ascii="arial" w:hAnsi="arial"/>
                <w:sz w:val="20"/>
              </w:rPr>
            </w:pPr>
            <w:r>
              <w:rPr>
                <w:rFonts w:ascii="arial" w:hAnsi="arial"/>
                <w:sz w:val="20"/>
              </w:rPr>
              <w:t>73,938</w:t>
            </w:r>
          </w:p>
        </w:tc>
        <w:tc>
          <w:tcPr>
            <w:tcW w:w="23"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8029" w:type="dxa"/>
            <w:tcBorders/>
            <w:shd w:fill="auto" w:val="clear"/>
            <w:vAlign w:val="bottom"/>
          </w:tcPr>
          <w:p>
            <w:pPr>
              <w:pStyle w:val="TableContents"/>
              <w:spacing w:before="0" w:after="283"/>
              <w:ind w:left="200" w:right="0" w:hanging="200"/>
              <w:rPr>
                <w:sz w:val="4"/>
                <w:szCs w:val="4"/>
              </w:rPr>
            </w:pPr>
            <w:r>
              <w:rPr>
                <w:sz w:val="4"/>
                <w:szCs w:val="4"/>
              </w:rPr>
            </w:r>
          </w:p>
        </w:tc>
        <w:tc>
          <w:tcPr>
            <w:tcW w:w="23" w:type="dxa"/>
            <w:tcBorders/>
            <w:shd w:fill="auto" w:val="clear"/>
            <w:vAlign w:val="bottom"/>
          </w:tcPr>
          <w:p>
            <w:pPr>
              <w:pStyle w:val="TableContents"/>
              <w:spacing w:before="0" w:after="283"/>
              <w:rPr/>
            </w:pPr>
            <w:r>
              <w:rPr/>
              <w:t>​</w:t>
            </w:r>
          </w:p>
        </w:tc>
        <w:tc>
          <w:tcPr>
            <w:tcW w:w="360" w:type="dxa"/>
            <w:tcBorders/>
            <w:shd w:fill="auto" w:val="clear"/>
            <w:vAlign w:val="bottom"/>
          </w:tcPr>
          <w:p>
            <w:pPr>
              <w:pStyle w:val="TableContents"/>
              <w:spacing w:before="0" w:after="283"/>
              <w:rPr/>
            </w:pPr>
            <w:r>
              <w:rPr/>
              <w:t>​</w:t>
            </w:r>
          </w:p>
        </w:tc>
        <w:tc>
          <w:tcPr>
            <w:tcW w:w="605" w:type="dxa"/>
            <w:gridSpan w:val="2"/>
            <w:tcBorders/>
            <w:shd w:fill="auto" w:val="clear"/>
            <w:vAlign w:val="bottom"/>
          </w:tcPr>
          <w:p>
            <w:pPr>
              <w:pStyle w:val="TableContents"/>
              <w:spacing w:before="0" w:after="283"/>
              <w:jc w:val="right"/>
              <w:rPr>
                <w:rFonts w:ascii="arial" w:hAnsi="arial"/>
                <w:sz w:val="20"/>
              </w:rPr>
            </w:pPr>
            <w:r>
              <w:rPr>
                <w:rFonts w:ascii="arial" w:hAnsi="arial"/>
                <w:sz w:val="20"/>
              </w:rPr>
              <w:t>2,550</w:t>
            </w:r>
          </w:p>
        </w:tc>
        <w:tc>
          <w:tcPr>
            <w:tcW w:w="260" w:type="dxa"/>
            <w:tcBorders/>
            <w:shd w:fill="auto" w:val="clear"/>
            <w:vAlign w:val="bottom"/>
          </w:tcPr>
          <w:p>
            <w:pPr>
              <w:pStyle w:val="TableContents"/>
              <w:spacing w:before="0" w:after="283"/>
              <w:rPr>
                <w:rFonts w:ascii="arial" w:hAnsi="arial"/>
                <w:position w:val="7"/>
                <w:sz w:val="16"/>
                <w:sz w:val="20"/>
              </w:rPr>
            </w:pPr>
            <w:r>
              <w:rPr>
                <w:rFonts w:ascii="arial" w:hAnsi="arial"/>
                <w:position w:val="7"/>
                <w:sz w:val="16"/>
                <w:sz w:val="20"/>
              </w:rPr>
              <w:t>(22)</w:t>
            </w:r>
          </w:p>
        </w:tc>
        <w:tc>
          <w:tcPr>
            <w:tcW w:w="23" w:type="dxa"/>
            <w:tcBorders/>
            <w:shd w:fill="auto" w:val="clear"/>
            <w:vAlign w:val="bottom"/>
          </w:tcPr>
          <w:p>
            <w:pPr>
              <w:pStyle w:val="TableContents"/>
              <w:spacing w:before="0" w:after="283"/>
              <w:rPr>
                <w:position w:val="8"/>
                <w:sz w:val="19"/>
              </w:rPr>
            </w:pPr>
            <w:r>
              <w:rPr>
                <w:position w:val="8"/>
                <w:sz w:val="19"/>
              </w:rPr>
              <w:t>​</w:t>
            </w:r>
          </w:p>
        </w:tc>
        <w:tc>
          <w:tcPr>
            <w:tcW w:w="23" w:type="dxa"/>
            <w:tcBorders/>
            <w:shd w:fill="auto" w:val="clear"/>
            <w:vAlign w:val="bottom"/>
          </w:tcPr>
          <w:p>
            <w:pPr>
              <w:pStyle w:val="TableContents"/>
              <w:spacing w:before="0" w:after="283"/>
              <w:rPr/>
            </w:pPr>
            <w:r>
              <w:rPr/>
              <w:t>​</w:t>
            </w:r>
          </w:p>
        </w:tc>
        <w:tc>
          <w:tcPr>
            <w:tcW w:w="125" w:type="dxa"/>
            <w:tcBorders/>
            <w:shd w:fill="auto" w:val="clear"/>
            <w:vAlign w:val="bottom"/>
          </w:tcPr>
          <w:p>
            <w:pPr>
              <w:pStyle w:val="TableContents"/>
              <w:spacing w:before="0" w:after="283"/>
              <w:rPr>
                <w:rFonts w:ascii="arial" w:hAnsi="arial"/>
                <w:sz w:val="20"/>
              </w:rPr>
            </w:pPr>
            <w:r>
              <w:rPr>
                <w:rFonts w:ascii="arial" w:hAnsi="arial"/>
                <w:sz w:val="20"/>
              </w:rPr>
              <w:t>$</w:t>
            </w:r>
          </w:p>
        </w:tc>
        <w:tc>
          <w:tcPr>
            <w:tcW w:w="710" w:type="dxa"/>
            <w:tcBorders/>
            <w:shd w:fill="auto" w:val="clear"/>
            <w:vAlign w:val="bottom"/>
          </w:tcPr>
          <w:p>
            <w:pPr>
              <w:pStyle w:val="TableContents"/>
              <w:spacing w:before="0" w:after="283"/>
              <w:jc w:val="right"/>
              <w:rPr>
                <w:rFonts w:ascii="arial" w:hAnsi="arial"/>
                <w:sz w:val="20"/>
              </w:rPr>
            </w:pPr>
            <w:r>
              <w:rPr>
                <w:rFonts w:ascii="arial" w:hAnsi="arial"/>
                <w:sz w:val="20"/>
              </w:rPr>
              <w:t>21,063</w:t>
            </w:r>
          </w:p>
        </w:tc>
        <w:tc>
          <w:tcPr>
            <w:tcW w:w="23"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8029" w:type="dxa"/>
            <w:tcBorders/>
            <w:shd w:fill="CCEEFF" w:val="clear"/>
            <w:vAlign w:val="bottom"/>
          </w:tcPr>
          <w:p>
            <w:pPr>
              <w:pStyle w:val="TableContents"/>
              <w:spacing w:before="0" w:after="283"/>
              <w:ind w:left="200" w:right="0" w:hanging="200"/>
              <w:rPr>
                <w:rFonts w:ascii="arial" w:hAnsi="arial"/>
                <w:sz w:val="20"/>
              </w:rPr>
            </w:pPr>
            <w:r>
              <w:rPr>
                <w:rFonts w:ascii="arial" w:hAnsi="arial"/>
                <w:sz w:val="20"/>
              </w:rPr>
              <w:t>Gregory J. Ritts</w:t>
            </w:r>
          </w:p>
        </w:tc>
        <w:tc>
          <w:tcPr>
            <w:tcW w:w="23" w:type="dxa"/>
            <w:tcBorders/>
            <w:shd w:fill="CCEEFF" w:val="clear"/>
            <w:vAlign w:val="bottom"/>
          </w:tcPr>
          <w:p>
            <w:pPr>
              <w:pStyle w:val="TableContents"/>
              <w:spacing w:before="0" w:after="283"/>
              <w:rPr/>
            </w:pPr>
            <w:r>
              <w:rPr/>
              <w:t>​</w:t>
            </w:r>
          </w:p>
        </w:tc>
        <w:tc>
          <w:tcPr>
            <w:tcW w:w="360" w:type="dxa"/>
            <w:tcBorders/>
            <w:shd w:fill="CCEEFF" w:val="clear"/>
            <w:vAlign w:val="bottom"/>
          </w:tcPr>
          <w:p>
            <w:pPr>
              <w:pStyle w:val="TableContents"/>
              <w:spacing w:before="0" w:after="283"/>
              <w:rPr/>
            </w:pPr>
            <w:r>
              <w:rPr/>
              <w:t>​</w:t>
            </w:r>
          </w:p>
        </w:tc>
        <w:tc>
          <w:tcPr>
            <w:tcW w:w="605"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503</w:t>
            </w:r>
          </w:p>
        </w:tc>
        <w:tc>
          <w:tcPr>
            <w:tcW w:w="260" w:type="dxa"/>
            <w:tcBorders/>
            <w:shd w:fill="CCEEFF" w:val="clear"/>
            <w:vAlign w:val="bottom"/>
          </w:tcPr>
          <w:p>
            <w:pPr>
              <w:pStyle w:val="TableContents"/>
              <w:spacing w:before="0" w:after="283"/>
              <w:rPr>
                <w:rFonts w:ascii="arial" w:hAnsi="arial"/>
                <w:position w:val="7"/>
                <w:sz w:val="16"/>
                <w:sz w:val="20"/>
              </w:rPr>
            </w:pPr>
            <w:r>
              <w:rPr>
                <w:rFonts w:ascii="arial" w:hAnsi="arial"/>
                <w:position w:val="7"/>
                <w:sz w:val="16"/>
                <w:sz w:val="20"/>
              </w:rPr>
              <w:t>(23)</w:t>
            </w:r>
          </w:p>
        </w:tc>
        <w:tc>
          <w:tcPr>
            <w:tcW w:w="23" w:type="dxa"/>
            <w:tcBorders/>
            <w:shd w:fill="CCEEFF" w:val="clear"/>
            <w:vAlign w:val="bottom"/>
          </w:tcPr>
          <w:p>
            <w:pPr>
              <w:pStyle w:val="TableContents"/>
              <w:spacing w:before="0" w:after="283"/>
              <w:rPr>
                <w:position w:val="8"/>
                <w:sz w:val="19"/>
              </w:rPr>
            </w:pPr>
            <w:r>
              <w:rPr>
                <w:position w:val="8"/>
                <w:sz w:val="19"/>
              </w:rPr>
              <w:t>​</w:t>
            </w:r>
          </w:p>
        </w:tc>
        <w:tc>
          <w:tcPr>
            <w:tcW w:w="23" w:type="dxa"/>
            <w:tcBorders/>
            <w:shd w:fill="CCEEFF" w:val="clear"/>
            <w:vAlign w:val="bottom"/>
          </w:tcPr>
          <w:p>
            <w:pPr>
              <w:pStyle w:val="TableContents"/>
              <w:spacing w:before="0" w:after="283"/>
              <w:rPr/>
            </w:pPr>
            <w:r>
              <w:rPr/>
              <w:t>​</w:t>
            </w:r>
          </w:p>
        </w:tc>
        <w:tc>
          <w:tcPr>
            <w:tcW w:w="125" w:type="dxa"/>
            <w:tcBorders/>
            <w:shd w:fill="CCEEFF" w:val="clear"/>
            <w:vAlign w:val="bottom"/>
          </w:tcPr>
          <w:p>
            <w:pPr>
              <w:pStyle w:val="TableContents"/>
              <w:spacing w:before="0" w:after="283"/>
              <w:rPr>
                <w:rFonts w:ascii="arial" w:hAnsi="arial"/>
                <w:sz w:val="20"/>
              </w:rPr>
            </w:pPr>
            <w:r>
              <w:rPr>
                <w:rFonts w:ascii="arial" w:hAnsi="arial"/>
                <w:sz w:val="20"/>
              </w:rPr>
              <w:t>$</w:t>
            </w:r>
          </w:p>
        </w:tc>
        <w:tc>
          <w:tcPr>
            <w:tcW w:w="710" w:type="dxa"/>
            <w:tcBorders/>
            <w:shd w:fill="CCEEFF" w:val="clear"/>
            <w:vAlign w:val="bottom"/>
          </w:tcPr>
          <w:p>
            <w:pPr>
              <w:pStyle w:val="TableContents"/>
              <w:spacing w:before="0" w:after="283"/>
              <w:jc w:val="right"/>
              <w:rPr>
                <w:rFonts w:ascii="arial" w:hAnsi="arial"/>
                <w:sz w:val="20"/>
              </w:rPr>
            </w:pPr>
            <w:r>
              <w:rPr>
                <w:rFonts w:ascii="arial" w:hAnsi="arial"/>
                <w:sz w:val="20"/>
              </w:rPr>
              <w:t>3,717</w:t>
            </w:r>
          </w:p>
        </w:tc>
        <w:tc>
          <w:tcPr>
            <w:tcW w:w="23" w:type="dxa"/>
            <w:tcBorders/>
            <w:shd w:fill="CCEEFF" w:val="clear"/>
            <w:vAlign w:val="bottom"/>
          </w:tcPr>
          <w:p>
            <w:pPr>
              <w:pStyle w:val="TableContents"/>
              <w:spacing w:before="0" w:after="283"/>
              <w:rPr/>
            </w:pPr>
            <w:r>
              <w:rPr/>
              <w:t>​</w:t>
            </w:r>
          </w:p>
        </w:tc>
        <w:tc>
          <w:tcPr>
            <w:tcW w:w="24" w:type="dxa"/>
            <w:tcBorders/>
            <w:shd w:fill="CCEEFF" w:val="clear"/>
            <w:vAlign w:val="bottom"/>
          </w:tcPr>
          <w:p>
            <w:pPr>
              <w:pStyle w:val="TableContents"/>
              <w:spacing w:before="0" w:after="283"/>
              <w:rPr/>
            </w:pPr>
            <w:r>
              <w:rPr/>
              <w:t>​</w:t>
            </w:r>
          </w:p>
        </w:tc>
      </w:tr>
      <w:tr>
        <w:trPr/>
        <w:tc>
          <w:tcPr>
            <w:tcW w:w="8029" w:type="dxa"/>
            <w:tcBorders/>
            <w:shd w:fill="CCEEFF" w:val="clear"/>
            <w:vAlign w:val="bottom"/>
          </w:tcPr>
          <w:p>
            <w:pPr>
              <w:pStyle w:val="TableContents"/>
              <w:spacing w:before="0" w:after="283"/>
              <w:ind w:left="200" w:right="0" w:hanging="200"/>
              <w:rPr>
                <w:sz w:val="4"/>
                <w:szCs w:val="4"/>
              </w:rPr>
            </w:pPr>
            <w:r>
              <w:rPr>
                <w:sz w:val="4"/>
                <w:szCs w:val="4"/>
              </w:rPr>
            </w:r>
          </w:p>
        </w:tc>
        <w:tc>
          <w:tcPr>
            <w:tcW w:w="23" w:type="dxa"/>
            <w:tcBorders/>
            <w:shd w:fill="CCEEFF" w:val="clear"/>
            <w:vAlign w:val="bottom"/>
          </w:tcPr>
          <w:p>
            <w:pPr>
              <w:pStyle w:val="TableContents"/>
              <w:spacing w:before="0" w:after="283"/>
              <w:rPr/>
            </w:pPr>
            <w:r>
              <w:rPr/>
              <w:t>​</w:t>
            </w:r>
          </w:p>
        </w:tc>
        <w:tc>
          <w:tcPr>
            <w:tcW w:w="360" w:type="dxa"/>
            <w:tcBorders/>
            <w:shd w:fill="CCEEFF" w:val="clear"/>
            <w:vAlign w:val="bottom"/>
          </w:tcPr>
          <w:p>
            <w:pPr>
              <w:pStyle w:val="TableContents"/>
              <w:spacing w:before="0" w:after="283"/>
              <w:rPr/>
            </w:pPr>
            <w:r>
              <w:rPr/>
              <w:t>​</w:t>
            </w:r>
          </w:p>
        </w:tc>
        <w:tc>
          <w:tcPr>
            <w:tcW w:w="605"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1,667</w:t>
            </w:r>
          </w:p>
        </w:tc>
        <w:tc>
          <w:tcPr>
            <w:tcW w:w="260" w:type="dxa"/>
            <w:tcBorders/>
            <w:shd w:fill="CCEEFF" w:val="clear"/>
            <w:vAlign w:val="bottom"/>
          </w:tcPr>
          <w:p>
            <w:pPr>
              <w:pStyle w:val="TableContents"/>
              <w:spacing w:before="0" w:after="283"/>
              <w:rPr>
                <w:rFonts w:ascii="arial" w:hAnsi="arial"/>
                <w:position w:val="7"/>
                <w:sz w:val="16"/>
                <w:sz w:val="20"/>
              </w:rPr>
            </w:pPr>
            <w:r>
              <w:rPr>
                <w:rFonts w:ascii="arial" w:hAnsi="arial"/>
                <w:position w:val="7"/>
                <w:sz w:val="16"/>
                <w:sz w:val="20"/>
              </w:rPr>
              <w:t>(24)</w:t>
            </w:r>
          </w:p>
        </w:tc>
        <w:tc>
          <w:tcPr>
            <w:tcW w:w="23" w:type="dxa"/>
            <w:tcBorders/>
            <w:shd w:fill="CCEEFF" w:val="clear"/>
            <w:vAlign w:val="bottom"/>
          </w:tcPr>
          <w:p>
            <w:pPr>
              <w:pStyle w:val="TableContents"/>
              <w:spacing w:before="0" w:after="283"/>
              <w:rPr>
                <w:position w:val="8"/>
                <w:sz w:val="19"/>
              </w:rPr>
            </w:pPr>
            <w:r>
              <w:rPr>
                <w:position w:val="8"/>
                <w:sz w:val="19"/>
              </w:rPr>
              <w:t>​</w:t>
            </w:r>
          </w:p>
        </w:tc>
        <w:tc>
          <w:tcPr>
            <w:tcW w:w="23" w:type="dxa"/>
            <w:tcBorders/>
            <w:shd w:fill="CCEEFF" w:val="clear"/>
            <w:vAlign w:val="bottom"/>
          </w:tcPr>
          <w:p>
            <w:pPr>
              <w:pStyle w:val="TableContents"/>
              <w:spacing w:before="0" w:after="283"/>
              <w:rPr/>
            </w:pPr>
            <w:r>
              <w:rPr/>
              <w:t>​</w:t>
            </w:r>
          </w:p>
        </w:tc>
        <w:tc>
          <w:tcPr>
            <w:tcW w:w="125" w:type="dxa"/>
            <w:tcBorders/>
            <w:shd w:fill="CCEEFF" w:val="clear"/>
            <w:vAlign w:val="bottom"/>
          </w:tcPr>
          <w:p>
            <w:pPr>
              <w:pStyle w:val="TableContents"/>
              <w:spacing w:before="0" w:after="283"/>
              <w:rPr>
                <w:rFonts w:ascii="arial" w:hAnsi="arial"/>
                <w:sz w:val="20"/>
              </w:rPr>
            </w:pPr>
            <w:r>
              <w:rPr>
                <w:rFonts w:ascii="arial" w:hAnsi="arial"/>
                <w:sz w:val="20"/>
              </w:rPr>
              <w:t>$</w:t>
            </w:r>
          </w:p>
        </w:tc>
        <w:tc>
          <w:tcPr>
            <w:tcW w:w="710" w:type="dxa"/>
            <w:tcBorders/>
            <w:shd w:fill="CCEEFF" w:val="clear"/>
            <w:vAlign w:val="bottom"/>
          </w:tcPr>
          <w:p>
            <w:pPr>
              <w:pStyle w:val="TableContents"/>
              <w:spacing w:before="0" w:after="283"/>
              <w:jc w:val="right"/>
              <w:rPr>
                <w:rFonts w:ascii="arial" w:hAnsi="arial"/>
                <w:sz w:val="20"/>
              </w:rPr>
            </w:pPr>
            <w:r>
              <w:rPr>
                <w:rFonts w:ascii="arial" w:hAnsi="arial"/>
                <w:sz w:val="20"/>
              </w:rPr>
              <w:t>22,454</w:t>
            </w:r>
          </w:p>
        </w:tc>
        <w:tc>
          <w:tcPr>
            <w:tcW w:w="23" w:type="dxa"/>
            <w:tcBorders/>
            <w:shd w:fill="CCEEFF" w:val="clear"/>
            <w:vAlign w:val="bottom"/>
          </w:tcPr>
          <w:p>
            <w:pPr>
              <w:pStyle w:val="TableContents"/>
              <w:spacing w:before="0" w:after="283"/>
              <w:rPr/>
            </w:pPr>
            <w:r>
              <w:rPr/>
              <w:t>​</w:t>
            </w:r>
          </w:p>
        </w:tc>
        <w:tc>
          <w:tcPr>
            <w:tcW w:w="24" w:type="dxa"/>
            <w:tcBorders/>
            <w:shd w:fill="CCEEFF" w:val="clear"/>
            <w:vAlign w:val="bottom"/>
          </w:tcPr>
          <w:p>
            <w:pPr>
              <w:pStyle w:val="TableContents"/>
              <w:spacing w:before="0" w:after="283"/>
              <w:rPr/>
            </w:pPr>
            <w:r>
              <w:rPr/>
              <w:t>​</w:t>
            </w:r>
          </w:p>
        </w:tc>
      </w:tr>
      <w:tr>
        <w:trPr/>
        <w:tc>
          <w:tcPr>
            <w:tcW w:w="8029" w:type="dxa"/>
            <w:tcBorders/>
            <w:shd w:fill="CCEEFF" w:val="clear"/>
            <w:vAlign w:val="bottom"/>
          </w:tcPr>
          <w:p>
            <w:pPr>
              <w:pStyle w:val="TableContents"/>
              <w:spacing w:before="0" w:after="283"/>
              <w:ind w:left="200" w:right="0" w:hanging="200"/>
              <w:rPr>
                <w:sz w:val="4"/>
                <w:szCs w:val="4"/>
              </w:rPr>
            </w:pPr>
            <w:r>
              <w:rPr>
                <w:sz w:val="4"/>
                <w:szCs w:val="4"/>
              </w:rPr>
            </w:r>
          </w:p>
        </w:tc>
        <w:tc>
          <w:tcPr>
            <w:tcW w:w="23" w:type="dxa"/>
            <w:tcBorders/>
            <w:shd w:fill="CCEEFF" w:val="clear"/>
            <w:vAlign w:val="bottom"/>
          </w:tcPr>
          <w:p>
            <w:pPr>
              <w:pStyle w:val="TableContents"/>
              <w:spacing w:before="0" w:after="283"/>
              <w:rPr/>
            </w:pPr>
            <w:r>
              <w:rPr/>
              <w:t>​</w:t>
            </w:r>
          </w:p>
        </w:tc>
        <w:tc>
          <w:tcPr>
            <w:tcW w:w="360" w:type="dxa"/>
            <w:tcBorders/>
            <w:shd w:fill="CCEEFF" w:val="clear"/>
            <w:vAlign w:val="bottom"/>
          </w:tcPr>
          <w:p>
            <w:pPr>
              <w:pStyle w:val="TableContents"/>
              <w:spacing w:before="0" w:after="283"/>
              <w:rPr/>
            </w:pPr>
            <w:r>
              <w:rPr/>
              <w:t>​</w:t>
            </w:r>
          </w:p>
        </w:tc>
        <w:tc>
          <w:tcPr>
            <w:tcW w:w="605"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3,750</w:t>
            </w:r>
          </w:p>
        </w:tc>
        <w:tc>
          <w:tcPr>
            <w:tcW w:w="260" w:type="dxa"/>
            <w:tcBorders/>
            <w:shd w:fill="CCEEFF" w:val="clear"/>
            <w:vAlign w:val="bottom"/>
          </w:tcPr>
          <w:p>
            <w:pPr>
              <w:pStyle w:val="TableContents"/>
              <w:spacing w:before="0" w:after="283"/>
              <w:rPr>
                <w:rFonts w:ascii="arial" w:hAnsi="arial"/>
                <w:position w:val="7"/>
                <w:sz w:val="16"/>
                <w:sz w:val="20"/>
              </w:rPr>
            </w:pPr>
            <w:r>
              <w:rPr>
                <w:rFonts w:ascii="arial" w:hAnsi="arial"/>
                <w:position w:val="7"/>
                <w:sz w:val="16"/>
                <w:sz w:val="20"/>
              </w:rPr>
              <w:t>(25)</w:t>
            </w:r>
          </w:p>
        </w:tc>
        <w:tc>
          <w:tcPr>
            <w:tcW w:w="23" w:type="dxa"/>
            <w:tcBorders/>
            <w:shd w:fill="CCEEFF" w:val="clear"/>
            <w:vAlign w:val="bottom"/>
          </w:tcPr>
          <w:p>
            <w:pPr>
              <w:pStyle w:val="TableContents"/>
              <w:spacing w:before="0" w:after="283"/>
              <w:rPr>
                <w:position w:val="8"/>
                <w:sz w:val="19"/>
              </w:rPr>
            </w:pPr>
            <w:r>
              <w:rPr>
                <w:position w:val="8"/>
                <w:sz w:val="19"/>
              </w:rPr>
              <w:t>​</w:t>
            </w:r>
          </w:p>
        </w:tc>
        <w:tc>
          <w:tcPr>
            <w:tcW w:w="23" w:type="dxa"/>
            <w:tcBorders/>
            <w:shd w:fill="CCEEFF" w:val="clear"/>
            <w:vAlign w:val="bottom"/>
          </w:tcPr>
          <w:p>
            <w:pPr>
              <w:pStyle w:val="TableContents"/>
              <w:spacing w:before="0" w:after="283"/>
              <w:rPr/>
            </w:pPr>
            <w:r>
              <w:rPr/>
              <w:t>​</w:t>
            </w:r>
          </w:p>
        </w:tc>
        <w:tc>
          <w:tcPr>
            <w:tcW w:w="125" w:type="dxa"/>
            <w:tcBorders/>
            <w:shd w:fill="CCEEFF" w:val="clear"/>
            <w:vAlign w:val="bottom"/>
          </w:tcPr>
          <w:p>
            <w:pPr>
              <w:pStyle w:val="TableContents"/>
              <w:spacing w:before="0" w:after="283"/>
              <w:rPr>
                <w:rFonts w:ascii="arial" w:hAnsi="arial"/>
                <w:sz w:val="20"/>
              </w:rPr>
            </w:pPr>
            <w:r>
              <w:rPr>
                <w:rFonts w:ascii="arial" w:hAnsi="arial"/>
                <w:sz w:val="20"/>
              </w:rPr>
              <w:t>$</w:t>
            </w:r>
          </w:p>
        </w:tc>
        <w:tc>
          <w:tcPr>
            <w:tcW w:w="710" w:type="dxa"/>
            <w:tcBorders/>
            <w:shd w:fill="CCEEFF" w:val="clear"/>
            <w:vAlign w:val="bottom"/>
          </w:tcPr>
          <w:p>
            <w:pPr>
              <w:pStyle w:val="TableContents"/>
              <w:spacing w:before="0" w:after="283"/>
              <w:jc w:val="right"/>
              <w:rPr>
                <w:rFonts w:ascii="arial" w:hAnsi="arial"/>
                <w:sz w:val="20"/>
              </w:rPr>
            </w:pPr>
            <w:r>
              <w:rPr>
                <w:rFonts w:ascii="arial" w:hAnsi="arial"/>
                <w:sz w:val="20"/>
              </w:rPr>
              <w:t>44,100</w:t>
            </w:r>
          </w:p>
        </w:tc>
        <w:tc>
          <w:tcPr>
            <w:tcW w:w="23" w:type="dxa"/>
            <w:tcBorders/>
            <w:shd w:fill="CCEEFF" w:val="clear"/>
            <w:vAlign w:val="bottom"/>
          </w:tcPr>
          <w:p>
            <w:pPr>
              <w:pStyle w:val="TableContents"/>
              <w:spacing w:before="0" w:after="283"/>
              <w:rPr/>
            </w:pPr>
            <w:r>
              <w:rPr/>
              <w:t>​</w:t>
            </w:r>
          </w:p>
        </w:tc>
        <w:tc>
          <w:tcPr>
            <w:tcW w:w="24" w:type="dxa"/>
            <w:tcBorders/>
            <w:shd w:fill="CCEEFF" w:val="clear"/>
            <w:vAlign w:val="bottom"/>
          </w:tcPr>
          <w:p>
            <w:pPr>
              <w:pStyle w:val="TableContents"/>
              <w:spacing w:before="0" w:after="283"/>
              <w:rPr/>
            </w:pPr>
            <w:r>
              <w:rPr/>
              <w:t>​</w:t>
            </w:r>
          </w:p>
        </w:tc>
      </w:tr>
      <w:tr>
        <w:trPr/>
        <w:tc>
          <w:tcPr>
            <w:tcW w:w="8029" w:type="dxa"/>
            <w:tcBorders/>
            <w:shd w:fill="CCEEFF" w:val="clear"/>
            <w:vAlign w:val="bottom"/>
          </w:tcPr>
          <w:p>
            <w:pPr>
              <w:pStyle w:val="TableContents"/>
              <w:spacing w:before="0" w:after="283"/>
              <w:ind w:left="200" w:right="0" w:hanging="200"/>
              <w:rPr>
                <w:sz w:val="4"/>
                <w:szCs w:val="4"/>
              </w:rPr>
            </w:pPr>
            <w:r>
              <w:rPr>
                <w:sz w:val="4"/>
                <w:szCs w:val="4"/>
              </w:rPr>
            </w:r>
          </w:p>
        </w:tc>
        <w:tc>
          <w:tcPr>
            <w:tcW w:w="23" w:type="dxa"/>
            <w:tcBorders/>
            <w:shd w:fill="CCEEFF" w:val="clear"/>
            <w:vAlign w:val="bottom"/>
          </w:tcPr>
          <w:p>
            <w:pPr>
              <w:pStyle w:val="TableContents"/>
              <w:spacing w:before="0" w:after="283"/>
              <w:rPr/>
            </w:pPr>
            <w:r>
              <w:rPr/>
              <w:t>​</w:t>
            </w:r>
          </w:p>
        </w:tc>
        <w:tc>
          <w:tcPr>
            <w:tcW w:w="360" w:type="dxa"/>
            <w:tcBorders/>
            <w:shd w:fill="CCEEFF" w:val="clear"/>
            <w:vAlign w:val="bottom"/>
          </w:tcPr>
          <w:p>
            <w:pPr>
              <w:pStyle w:val="TableContents"/>
              <w:spacing w:before="0" w:after="283"/>
              <w:rPr/>
            </w:pPr>
            <w:r>
              <w:rPr/>
              <w:t>​</w:t>
            </w:r>
          </w:p>
        </w:tc>
        <w:tc>
          <w:tcPr>
            <w:tcW w:w="605"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1,063</w:t>
            </w:r>
          </w:p>
        </w:tc>
        <w:tc>
          <w:tcPr>
            <w:tcW w:w="260" w:type="dxa"/>
            <w:tcBorders/>
            <w:shd w:fill="CCEEFF" w:val="clear"/>
            <w:vAlign w:val="bottom"/>
          </w:tcPr>
          <w:p>
            <w:pPr>
              <w:pStyle w:val="TableContents"/>
              <w:spacing w:before="0" w:after="283"/>
              <w:rPr>
                <w:rFonts w:ascii="arial" w:hAnsi="arial"/>
                <w:position w:val="7"/>
                <w:sz w:val="16"/>
                <w:sz w:val="20"/>
              </w:rPr>
            </w:pPr>
            <w:r>
              <w:rPr>
                <w:rFonts w:ascii="arial" w:hAnsi="arial"/>
                <w:position w:val="7"/>
                <w:sz w:val="16"/>
                <w:sz w:val="20"/>
              </w:rPr>
              <w:t>(26)</w:t>
            </w:r>
          </w:p>
        </w:tc>
        <w:tc>
          <w:tcPr>
            <w:tcW w:w="23" w:type="dxa"/>
            <w:tcBorders/>
            <w:shd w:fill="CCEEFF" w:val="clear"/>
            <w:vAlign w:val="bottom"/>
          </w:tcPr>
          <w:p>
            <w:pPr>
              <w:pStyle w:val="TableContents"/>
              <w:spacing w:before="0" w:after="283"/>
              <w:rPr>
                <w:position w:val="8"/>
                <w:sz w:val="19"/>
              </w:rPr>
            </w:pPr>
            <w:r>
              <w:rPr>
                <w:position w:val="8"/>
                <w:sz w:val="19"/>
              </w:rPr>
              <w:t>​</w:t>
            </w:r>
          </w:p>
        </w:tc>
        <w:tc>
          <w:tcPr>
            <w:tcW w:w="23" w:type="dxa"/>
            <w:tcBorders/>
            <w:shd w:fill="CCEEFF" w:val="clear"/>
            <w:vAlign w:val="bottom"/>
          </w:tcPr>
          <w:p>
            <w:pPr>
              <w:pStyle w:val="TableContents"/>
              <w:spacing w:before="0" w:after="283"/>
              <w:rPr/>
            </w:pPr>
            <w:r>
              <w:rPr/>
              <w:t>​</w:t>
            </w:r>
          </w:p>
        </w:tc>
        <w:tc>
          <w:tcPr>
            <w:tcW w:w="125" w:type="dxa"/>
            <w:tcBorders/>
            <w:shd w:fill="CCEEFF" w:val="clear"/>
            <w:vAlign w:val="bottom"/>
          </w:tcPr>
          <w:p>
            <w:pPr>
              <w:pStyle w:val="TableContents"/>
              <w:spacing w:before="0" w:after="283"/>
              <w:rPr>
                <w:rFonts w:ascii="arial" w:hAnsi="arial"/>
                <w:sz w:val="20"/>
              </w:rPr>
            </w:pPr>
            <w:r>
              <w:rPr>
                <w:rFonts w:ascii="arial" w:hAnsi="arial"/>
                <w:sz w:val="20"/>
              </w:rPr>
              <w:t>$</w:t>
            </w:r>
          </w:p>
        </w:tc>
        <w:tc>
          <w:tcPr>
            <w:tcW w:w="710" w:type="dxa"/>
            <w:tcBorders/>
            <w:shd w:fill="CCEEFF" w:val="clear"/>
            <w:vAlign w:val="bottom"/>
          </w:tcPr>
          <w:p>
            <w:pPr>
              <w:pStyle w:val="TableContents"/>
              <w:spacing w:before="0" w:after="283"/>
              <w:jc w:val="right"/>
              <w:rPr>
                <w:rFonts w:ascii="arial" w:hAnsi="arial"/>
                <w:sz w:val="20"/>
              </w:rPr>
            </w:pPr>
            <w:r>
              <w:rPr>
                <w:rFonts w:ascii="arial" w:hAnsi="arial"/>
                <w:sz w:val="20"/>
              </w:rPr>
              <w:t>20,835</w:t>
            </w:r>
          </w:p>
        </w:tc>
        <w:tc>
          <w:tcPr>
            <w:tcW w:w="23" w:type="dxa"/>
            <w:tcBorders/>
            <w:shd w:fill="CCEEFF" w:val="clear"/>
            <w:vAlign w:val="bottom"/>
          </w:tcPr>
          <w:p>
            <w:pPr>
              <w:pStyle w:val="TableContents"/>
              <w:spacing w:before="0" w:after="283"/>
              <w:rPr/>
            </w:pPr>
            <w:r>
              <w:rPr/>
              <w:t>​</w:t>
            </w:r>
          </w:p>
        </w:tc>
        <w:tc>
          <w:tcPr>
            <w:tcW w:w="24" w:type="dxa"/>
            <w:tcBorders/>
            <w:shd w:fill="CCEEFF" w:val="clear"/>
            <w:vAlign w:val="bottom"/>
          </w:tcPr>
          <w:p>
            <w:pPr>
              <w:pStyle w:val="TableContents"/>
              <w:spacing w:before="0" w:after="283"/>
              <w:rPr/>
            </w:pPr>
            <w:r>
              <w:rPr/>
              <w:t>​</w:t>
            </w:r>
          </w:p>
        </w:tc>
      </w:tr>
      <w:tr>
        <w:trPr/>
        <w:tc>
          <w:tcPr>
            <w:tcW w:w="8029" w:type="dxa"/>
            <w:tcBorders/>
            <w:shd w:fill="CCEEFF" w:val="clear"/>
            <w:vAlign w:val="bottom"/>
          </w:tcPr>
          <w:p>
            <w:pPr>
              <w:pStyle w:val="TableContents"/>
              <w:spacing w:before="0" w:after="283"/>
              <w:ind w:left="200" w:right="0" w:hanging="200"/>
              <w:rPr>
                <w:sz w:val="4"/>
                <w:szCs w:val="4"/>
              </w:rPr>
            </w:pPr>
            <w:r>
              <w:rPr>
                <w:sz w:val="4"/>
                <w:szCs w:val="4"/>
              </w:rPr>
            </w:r>
          </w:p>
        </w:tc>
        <w:tc>
          <w:tcPr>
            <w:tcW w:w="23" w:type="dxa"/>
            <w:tcBorders/>
            <w:shd w:fill="CCEEFF" w:val="clear"/>
            <w:vAlign w:val="bottom"/>
          </w:tcPr>
          <w:p>
            <w:pPr>
              <w:pStyle w:val="TableContents"/>
              <w:spacing w:before="0" w:after="283"/>
              <w:rPr/>
            </w:pPr>
            <w:r>
              <w:rPr/>
              <w:t>​</w:t>
            </w:r>
          </w:p>
        </w:tc>
        <w:tc>
          <w:tcPr>
            <w:tcW w:w="360" w:type="dxa"/>
            <w:tcBorders/>
            <w:shd w:fill="CCEEFF" w:val="clear"/>
            <w:vAlign w:val="bottom"/>
          </w:tcPr>
          <w:p>
            <w:pPr>
              <w:pStyle w:val="TableContents"/>
              <w:spacing w:before="0" w:after="283"/>
              <w:rPr/>
            </w:pPr>
            <w:r>
              <w:rPr/>
              <w:t>​</w:t>
            </w:r>
          </w:p>
        </w:tc>
        <w:tc>
          <w:tcPr>
            <w:tcW w:w="605"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2,776</w:t>
            </w:r>
          </w:p>
        </w:tc>
        <w:tc>
          <w:tcPr>
            <w:tcW w:w="260" w:type="dxa"/>
            <w:tcBorders/>
            <w:shd w:fill="CCEEFF" w:val="clear"/>
            <w:vAlign w:val="bottom"/>
          </w:tcPr>
          <w:p>
            <w:pPr>
              <w:pStyle w:val="TableContents"/>
              <w:spacing w:before="0" w:after="283"/>
              <w:rPr>
                <w:rFonts w:ascii="arial" w:hAnsi="arial"/>
                <w:position w:val="7"/>
                <w:sz w:val="16"/>
                <w:sz w:val="20"/>
              </w:rPr>
            </w:pPr>
            <w:r>
              <w:rPr>
                <w:rFonts w:ascii="arial" w:hAnsi="arial"/>
                <w:position w:val="7"/>
                <w:sz w:val="16"/>
                <w:sz w:val="20"/>
              </w:rPr>
              <w:t>(27)</w:t>
            </w:r>
          </w:p>
        </w:tc>
        <w:tc>
          <w:tcPr>
            <w:tcW w:w="23" w:type="dxa"/>
            <w:tcBorders/>
            <w:shd w:fill="CCEEFF" w:val="clear"/>
            <w:vAlign w:val="bottom"/>
          </w:tcPr>
          <w:p>
            <w:pPr>
              <w:pStyle w:val="TableContents"/>
              <w:spacing w:before="0" w:after="283"/>
              <w:rPr>
                <w:position w:val="8"/>
                <w:sz w:val="19"/>
              </w:rPr>
            </w:pPr>
            <w:r>
              <w:rPr>
                <w:position w:val="8"/>
                <w:sz w:val="19"/>
              </w:rPr>
              <w:t>​</w:t>
            </w:r>
          </w:p>
        </w:tc>
        <w:tc>
          <w:tcPr>
            <w:tcW w:w="23" w:type="dxa"/>
            <w:tcBorders/>
            <w:shd w:fill="CCEEFF" w:val="clear"/>
            <w:vAlign w:val="bottom"/>
          </w:tcPr>
          <w:p>
            <w:pPr>
              <w:pStyle w:val="TableContents"/>
              <w:spacing w:before="0" w:after="283"/>
              <w:rPr/>
            </w:pPr>
            <w:r>
              <w:rPr/>
              <w:t>​</w:t>
            </w:r>
          </w:p>
        </w:tc>
        <w:tc>
          <w:tcPr>
            <w:tcW w:w="125" w:type="dxa"/>
            <w:tcBorders/>
            <w:shd w:fill="CCEEFF" w:val="clear"/>
            <w:vAlign w:val="bottom"/>
          </w:tcPr>
          <w:p>
            <w:pPr>
              <w:pStyle w:val="TableContents"/>
              <w:spacing w:before="0" w:after="283"/>
              <w:rPr>
                <w:rFonts w:ascii="arial" w:hAnsi="arial"/>
                <w:sz w:val="20"/>
              </w:rPr>
            </w:pPr>
            <w:r>
              <w:rPr>
                <w:rFonts w:ascii="arial" w:hAnsi="arial"/>
                <w:sz w:val="20"/>
              </w:rPr>
              <w:t>$</w:t>
            </w:r>
          </w:p>
        </w:tc>
        <w:tc>
          <w:tcPr>
            <w:tcW w:w="710" w:type="dxa"/>
            <w:tcBorders/>
            <w:shd w:fill="CCEEFF" w:val="clear"/>
            <w:vAlign w:val="bottom"/>
          </w:tcPr>
          <w:p>
            <w:pPr>
              <w:pStyle w:val="TableContents"/>
              <w:spacing w:before="0" w:after="283"/>
              <w:jc w:val="right"/>
              <w:rPr>
                <w:rFonts w:ascii="arial" w:hAnsi="arial"/>
                <w:sz w:val="20"/>
              </w:rPr>
            </w:pPr>
            <w:r>
              <w:rPr>
                <w:rFonts w:ascii="arial" w:hAnsi="arial"/>
                <w:sz w:val="20"/>
              </w:rPr>
              <w:t>52,494</w:t>
            </w:r>
          </w:p>
        </w:tc>
        <w:tc>
          <w:tcPr>
            <w:tcW w:w="23" w:type="dxa"/>
            <w:tcBorders/>
            <w:shd w:fill="CCEEFF" w:val="clear"/>
            <w:vAlign w:val="bottom"/>
          </w:tcPr>
          <w:p>
            <w:pPr>
              <w:pStyle w:val="TableContents"/>
              <w:spacing w:before="0" w:after="283"/>
              <w:rPr/>
            </w:pPr>
            <w:r>
              <w:rPr/>
              <w:t>​</w:t>
            </w:r>
          </w:p>
        </w:tc>
        <w:tc>
          <w:tcPr>
            <w:tcW w:w="24" w:type="dxa"/>
            <w:tcBorders/>
            <w:shd w:fill="CCEEFF" w:val="clear"/>
            <w:vAlign w:val="bottom"/>
          </w:tcPr>
          <w:p>
            <w:pPr>
              <w:pStyle w:val="TableContents"/>
              <w:spacing w:before="0" w:after="283"/>
              <w:rPr/>
            </w:pPr>
            <w:r>
              <w:rPr/>
              <w:t>​</w:t>
            </w:r>
          </w:p>
        </w:tc>
      </w:tr>
      <w:tr>
        <w:trPr/>
        <w:tc>
          <w:tcPr>
            <w:tcW w:w="8029" w:type="dxa"/>
            <w:tcBorders/>
            <w:shd w:fill="CCEEFF" w:val="clear"/>
            <w:vAlign w:val="bottom"/>
          </w:tcPr>
          <w:p>
            <w:pPr>
              <w:pStyle w:val="TableContents"/>
              <w:spacing w:before="0" w:after="283"/>
              <w:ind w:left="200" w:right="0" w:hanging="200"/>
              <w:rPr>
                <w:sz w:val="4"/>
                <w:szCs w:val="4"/>
              </w:rPr>
            </w:pPr>
            <w:r>
              <w:rPr>
                <w:sz w:val="4"/>
                <w:szCs w:val="4"/>
              </w:rPr>
            </w:r>
          </w:p>
        </w:tc>
        <w:tc>
          <w:tcPr>
            <w:tcW w:w="23" w:type="dxa"/>
            <w:tcBorders/>
            <w:shd w:fill="CCEEFF" w:val="clear"/>
            <w:vAlign w:val="bottom"/>
          </w:tcPr>
          <w:p>
            <w:pPr>
              <w:pStyle w:val="TableContents"/>
              <w:spacing w:before="0" w:after="283"/>
              <w:rPr/>
            </w:pPr>
            <w:r>
              <w:rPr/>
              <w:t>​</w:t>
            </w:r>
          </w:p>
        </w:tc>
        <w:tc>
          <w:tcPr>
            <w:tcW w:w="360" w:type="dxa"/>
            <w:tcBorders/>
            <w:shd w:fill="CCEEFF" w:val="clear"/>
            <w:vAlign w:val="bottom"/>
          </w:tcPr>
          <w:p>
            <w:pPr>
              <w:pStyle w:val="TableContents"/>
              <w:spacing w:before="0" w:after="283"/>
              <w:rPr/>
            </w:pPr>
            <w:r>
              <w:rPr/>
              <w:t>​</w:t>
            </w:r>
          </w:p>
        </w:tc>
        <w:tc>
          <w:tcPr>
            <w:tcW w:w="605"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1,598</w:t>
            </w:r>
          </w:p>
        </w:tc>
        <w:tc>
          <w:tcPr>
            <w:tcW w:w="260" w:type="dxa"/>
            <w:tcBorders/>
            <w:shd w:fill="CCEEFF" w:val="clear"/>
            <w:vAlign w:val="bottom"/>
          </w:tcPr>
          <w:p>
            <w:pPr>
              <w:pStyle w:val="TableContents"/>
              <w:spacing w:before="0" w:after="283"/>
              <w:rPr>
                <w:rFonts w:ascii="arial" w:hAnsi="arial"/>
                <w:position w:val="7"/>
                <w:sz w:val="16"/>
                <w:sz w:val="20"/>
              </w:rPr>
            </w:pPr>
            <w:r>
              <w:rPr>
                <w:rFonts w:ascii="arial" w:hAnsi="arial"/>
                <w:position w:val="7"/>
                <w:sz w:val="16"/>
                <w:sz w:val="20"/>
              </w:rPr>
              <w:t>(28)</w:t>
            </w:r>
          </w:p>
        </w:tc>
        <w:tc>
          <w:tcPr>
            <w:tcW w:w="23" w:type="dxa"/>
            <w:tcBorders/>
            <w:shd w:fill="CCEEFF" w:val="clear"/>
            <w:vAlign w:val="bottom"/>
          </w:tcPr>
          <w:p>
            <w:pPr>
              <w:pStyle w:val="TableContents"/>
              <w:spacing w:before="0" w:after="283"/>
              <w:rPr>
                <w:position w:val="8"/>
                <w:sz w:val="19"/>
              </w:rPr>
            </w:pPr>
            <w:r>
              <w:rPr>
                <w:position w:val="8"/>
                <w:sz w:val="19"/>
              </w:rPr>
              <w:t>​</w:t>
            </w:r>
          </w:p>
        </w:tc>
        <w:tc>
          <w:tcPr>
            <w:tcW w:w="23" w:type="dxa"/>
            <w:tcBorders/>
            <w:shd w:fill="CCEEFF" w:val="clear"/>
            <w:vAlign w:val="bottom"/>
          </w:tcPr>
          <w:p>
            <w:pPr>
              <w:pStyle w:val="TableContents"/>
              <w:spacing w:before="0" w:after="283"/>
              <w:rPr/>
            </w:pPr>
            <w:r>
              <w:rPr/>
              <w:t>​</w:t>
            </w:r>
          </w:p>
        </w:tc>
        <w:tc>
          <w:tcPr>
            <w:tcW w:w="125" w:type="dxa"/>
            <w:tcBorders/>
            <w:shd w:fill="CCEEFF" w:val="clear"/>
            <w:vAlign w:val="bottom"/>
          </w:tcPr>
          <w:p>
            <w:pPr>
              <w:pStyle w:val="TableContents"/>
              <w:spacing w:before="0" w:after="283"/>
              <w:rPr>
                <w:rFonts w:ascii="arial" w:hAnsi="arial"/>
                <w:sz w:val="20"/>
              </w:rPr>
            </w:pPr>
            <w:r>
              <w:rPr>
                <w:rFonts w:ascii="arial" w:hAnsi="arial"/>
                <w:sz w:val="20"/>
              </w:rPr>
              <w:t>$</w:t>
            </w:r>
          </w:p>
        </w:tc>
        <w:tc>
          <w:tcPr>
            <w:tcW w:w="710" w:type="dxa"/>
            <w:tcBorders/>
            <w:shd w:fill="CCEEFF" w:val="clear"/>
            <w:vAlign w:val="bottom"/>
          </w:tcPr>
          <w:p>
            <w:pPr>
              <w:pStyle w:val="TableContents"/>
              <w:spacing w:before="0" w:after="283"/>
              <w:jc w:val="right"/>
              <w:rPr>
                <w:rFonts w:ascii="arial" w:hAnsi="arial"/>
                <w:sz w:val="20"/>
              </w:rPr>
            </w:pPr>
            <w:r>
              <w:rPr>
                <w:rFonts w:ascii="arial" w:hAnsi="arial"/>
                <w:sz w:val="20"/>
              </w:rPr>
              <w:t>13,199</w:t>
            </w:r>
          </w:p>
        </w:tc>
        <w:tc>
          <w:tcPr>
            <w:tcW w:w="23" w:type="dxa"/>
            <w:tcBorders/>
            <w:shd w:fill="CCEEFF" w:val="clear"/>
            <w:vAlign w:val="bottom"/>
          </w:tcPr>
          <w:p>
            <w:pPr>
              <w:pStyle w:val="TableContents"/>
              <w:spacing w:before="0" w:after="283"/>
              <w:rPr/>
            </w:pPr>
            <w:r>
              <w:rPr/>
              <w:t>​</w:t>
            </w:r>
          </w:p>
        </w:tc>
        <w:tc>
          <w:tcPr>
            <w:tcW w:w="24" w:type="dxa"/>
            <w:tcBorders/>
            <w:shd w:fill="CCEEFF" w:val="clear"/>
            <w:vAlign w:val="bottom"/>
          </w:tcPr>
          <w:p>
            <w:pPr>
              <w:pStyle w:val="TableContents"/>
              <w:spacing w:before="0" w:after="283"/>
              <w:rPr/>
            </w:pPr>
            <w:r>
              <w:rPr/>
              <w:t>​</w:t>
            </w:r>
          </w:p>
        </w:tc>
      </w:tr>
    </w:tbl>
    <w:p>
      <w:pPr>
        <w:pStyle w:val="HorizontalLine"/>
        <w:pBdr>
          <w:bottom w:val="single" w:sz="6" w:space="0" w:color="000000"/>
        </w:pBdr>
        <w:ind w:left="0" w:right="7552" w:hanging="0"/>
        <w:rPr/>
      </w:pPr>
      <w:r>
        <w:rPr/>
      </w:r>
    </w:p>
    <w:p>
      <w:pPr>
        <w:pStyle w:val="ListHeading"/>
        <w:spacing w:before="0" w:after="0"/>
        <w:jc w:val="left"/>
        <w:rPr>
          <w:rFonts w:ascii="arial" w:hAnsi="arial"/>
          <w:position w:val="7"/>
          <w:sz w:val="16"/>
          <w:sz w:val="20"/>
        </w:rPr>
      </w:pPr>
      <w:r>
        <w:rPr>
          <w:rFonts w:ascii="arial" w:hAnsi="arial"/>
          <w:position w:val="7"/>
          <w:sz w:val="16"/>
          <w:sz w:val="20"/>
        </w:rPr>
        <w:t>(1)</w:t>
      </w:r>
    </w:p>
    <w:p>
      <w:pPr>
        <w:pStyle w:val="ListContents"/>
        <w:spacing w:before="0" w:after="283"/>
        <w:jc w:val="left"/>
        <w:rPr>
          <w:rFonts w:ascii="arial" w:hAnsi="arial"/>
          <w:sz w:val="20"/>
        </w:rPr>
      </w:pPr>
      <w:r>
        <w:rPr>
          <w:rFonts w:ascii="arial" w:hAnsi="arial"/>
          <w:sz w:val="20"/>
        </w:rPr>
        <w:t xml:space="preserve">Based on the actual market price of the Company's common stock at the time the stock awards vested. </w:t>
      </w:r>
    </w:p>
    <w:p>
      <w:pPr>
        <w:pStyle w:val="ListHeading"/>
        <w:spacing w:before="0" w:after="0"/>
        <w:jc w:val="left"/>
        <w:rPr>
          <w:rFonts w:ascii="arial" w:hAnsi="arial"/>
          <w:position w:val="7"/>
          <w:sz w:val="16"/>
          <w:sz w:val="20"/>
        </w:rPr>
      </w:pPr>
      <w:r>
        <w:rPr>
          <w:rFonts w:ascii="arial" w:hAnsi="arial"/>
          <w:position w:val="7"/>
          <w:sz w:val="16"/>
          <w:sz w:val="20"/>
        </w:rPr>
        <w:t>(2)</w:t>
      </w:r>
    </w:p>
    <w:p>
      <w:pPr>
        <w:pStyle w:val="ListContents"/>
        <w:spacing w:before="0" w:after="283"/>
        <w:jc w:val="left"/>
        <w:rPr>
          <w:rFonts w:ascii="arial" w:hAnsi="arial"/>
          <w:sz w:val="20"/>
        </w:rPr>
      </w:pPr>
      <w:r>
        <w:rPr>
          <w:rFonts w:ascii="arial" w:hAnsi="arial"/>
          <w:sz w:val="20"/>
        </w:rPr>
        <w:t xml:space="preserve">4,309 shares were acquired as a result of the vesting of 4,309 RSUs awarded as part of the April 07,2017 RSU award. Mr. Shepro elected to pay the taxes associated and retain the total 4,309 shares. </w:t>
      </w:r>
    </w:p>
    <w:p>
      <w:pPr>
        <w:pStyle w:val="TextBody"/>
        <w:jc w:val="center"/>
        <w:rPr>
          <w:rFonts w:ascii="arial" w:hAnsi="arial"/>
          <w:sz w:val="20"/>
        </w:rPr>
      </w:pPr>
      <w:r>
        <w:rPr>
          <w:rFonts w:ascii="arial" w:hAnsi="arial"/>
          <w:sz w:val="20"/>
        </w:rPr>
        <w:t>64</w:t>
      </w:r>
    </w:p>
    <w:p>
      <w:pPr>
        <w:pStyle w:val="HorizontalLine"/>
        <w:pBdr>
          <w:bottom w:val="single" w:sz="20" w:space="0" w:color="808080"/>
        </w:pBdr>
        <w:rPr/>
      </w:pPr>
      <w:r>
        <w:rPr/>
      </w:r>
      <w:r>
        <w:br w:type="page"/>
      </w:r>
    </w:p>
    <w:p>
      <w:pPr>
        <w:pStyle w:val="TextBody"/>
        <w:rPr/>
      </w:pPr>
      <w:hyperlink w:anchor="bg45301a_main_toc">
        <w:bookmarkStart w:id="120" w:name="page_ea45301_1_65"/>
        <w:bookmarkEnd w:id="120"/>
        <w:r>
          <w:rPr>
            <w:rStyle w:val="InternetLink"/>
            <w:rFonts w:ascii="arial" w:hAnsi="arial"/>
            <w:sz w:val="20"/>
          </w:rPr>
          <w:t>Table of Contents</w:t>
        </w:r>
      </w:hyperlink>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3368"/>
        <w:gridCol w:w="100"/>
        <w:gridCol w:w="6737"/>
      </w:tblGrid>
      <w:tr>
        <w:trPr/>
        <w:tc>
          <w:tcPr>
            <w:tcW w:w="3368" w:type="dxa"/>
            <w:tcBorders/>
            <w:shd w:fill="auto" w:val="clear"/>
            <w:vAlign w:val="center"/>
          </w:tcPr>
          <w:p>
            <w:pPr>
              <w:pStyle w:val="TableContents"/>
              <w:spacing w:before="0" w:after="283"/>
              <w:rPr/>
            </w:pPr>
            <w:r>
              <w:rPr/>
              <w:commentReference w:id="245"/>
            </w:r>
            <w:r>
              <w:rPr/>
              <w:commentReference w:id="246"/>
            </w:r>
            <w:r>
              <w:rPr/>
              <w:commentReference w:id="247"/>
            </w:r>
            <w:r>
              <w:rPr/>
              <w:t>​</w:t>
            </w:r>
          </w:p>
        </w:tc>
        <w:tc>
          <w:tcPr>
            <w:tcW w:w="100" w:type="dxa"/>
            <w:tcBorders/>
            <w:shd w:fill="auto" w:val="clear"/>
            <w:vAlign w:val="center"/>
          </w:tcPr>
          <w:p>
            <w:pPr>
              <w:pStyle w:val="TableContents"/>
              <w:spacing w:before="0" w:after="283"/>
              <w:rPr/>
            </w:pPr>
            <w:r>
              <w:rPr/>
              <w:t>​</w:t>
            </w:r>
          </w:p>
        </w:tc>
        <w:tc>
          <w:tcPr>
            <w:tcW w:w="6737" w:type="dxa"/>
            <w:tcBorders/>
            <w:shd w:fill="auto" w:val="clear"/>
            <w:vAlign w:val="center"/>
          </w:tcPr>
          <w:p>
            <w:pPr>
              <w:pStyle w:val="TableContents"/>
              <w:spacing w:before="0" w:after="283"/>
              <w:rPr/>
            </w:pPr>
            <w:r>
              <w:rPr/>
              <w:t>​</w:t>
            </w:r>
            <w:r>
              <w:rPr>
                <w:rFonts w:eastAsia="arial" w:cs="arial" w:ascii="arial" w:hAnsi="arial"/>
              </w:rPr>
              <w:commentReference w:id="248"/>
            </w:r>
          </w:p>
        </w:tc>
      </w:tr>
      <w:tr>
        <w:trPr/>
        <w:tc>
          <w:tcPr>
            <w:tcW w:w="3368" w:type="dxa"/>
            <w:tcBorders/>
            <w:shd w:fill="auto" w:val="clear"/>
          </w:tcPr>
          <w:p>
            <w:pPr>
              <w:pStyle w:val="TableContents"/>
              <w:rPr/>
            </w:pPr>
            <w:r>
              <w:rPr/>
              <w:t>​</w:t>
            </w:r>
          </w:p>
          <w:p>
            <w:pPr>
              <w:pStyle w:val="TableContents"/>
              <w:spacing w:before="0" w:after="283"/>
              <w:rPr/>
            </w:pPr>
            <w:r>
              <w:rPr/>
              <w:t> </w:t>
            </w:r>
          </w:p>
        </w:tc>
        <w:tc>
          <w:tcPr>
            <w:tcW w:w="100"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drawing>
                <wp:inline distT="0" distB="0" distL="0" distR="0">
                  <wp:extent cx="1971675" cy="1809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embed="rId97"/>
                          <a:stretch>
                            <a:fillRect/>
                          </a:stretch>
                        </pic:blipFill>
                        <pic:spPr bwMode="auto">
                          <a:xfrm>
                            <a:off x="0" y="0"/>
                            <a:ext cx="1971675" cy="180975"/>
                          </a:xfrm>
                          <a:prstGeom prst="rect">
                            <a:avLst/>
                          </a:prstGeom>
                        </pic:spPr>
                      </pic:pic>
                    </a:graphicData>
                  </a:graphic>
                </wp:inline>
              </w:drawing>
            </w:r>
            <w:r>
              <w:rPr/>
              <w:t xml:space="preserve"> </w:t>
            </w:r>
          </w:p>
        </w:tc>
      </w:tr>
      <w:tr>
        <w:trPr/>
        <w:tc>
          <w:tcPr>
            <w:tcW w:w="3368" w:type="dxa"/>
            <w:tcBorders/>
            <w:shd w:fill="auto" w:val="clear"/>
          </w:tcPr>
          <w:p>
            <w:pPr>
              <w:pStyle w:val="TableContents"/>
              <w:rPr/>
            </w:pPr>
            <w:r>
              <w:rPr/>
              <w:t>​</w:t>
            </w:r>
          </w:p>
          <w:p>
            <w:pPr>
              <w:pStyle w:val="TableContents"/>
              <w:spacing w:before="0" w:after="283"/>
              <w:rPr/>
            </w:pPr>
            <w:r>
              <w:rPr/>
              <w:t> </w:t>
            </w:r>
          </w:p>
        </w:tc>
        <w:tc>
          <w:tcPr>
            <w:tcW w:w="100"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t> </w:t>
            </w:r>
          </w:p>
        </w:tc>
      </w:tr>
    </w:tbl>
    <w:p>
      <w:pPr>
        <w:pStyle w:val="TextBody"/>
        <w:rPr/>
      </w:pPr>
      <w:r>
        <w:rPr>
          <w:color w:val="000000"/>
        </w:rPr>
        <w:commentReference w:id="249"/>
      </w:r>
      <w:r>
        <w:rPr>
          <w:color w:val="000000"/>
        </w:rPr>
        <w:t>​</w:t>
      </w:r>
      <w:r>
        <w:rPr/>
        <w:t xml:space="preserve"> </w:t>
      </w:r>
    </w:p>
    <w:p>
      <w:pPr>
        <w:pStyle w:val="ListHeading"/>
        <w:spacing w:before="0" w:after="0"/>
        <w:jc w:val="left"/>
        <w:rPr>
          <w:rFonts w:ascii="arial" w:hAnsi="arial"/>
          <w:position w:val="7"/>
          <w:sz w:val="16"/>
          <w:sz w:val="20"/>
        </w:rPr>
      </w:pPr>
      <w:r>
        <w:rPr>
          <w:rFonts w:ascii="arial" w:hAnsi="arial"/>
          <w:position w:val="7"/>
          <w:sz w:val="16"/>
          <w:sz w:val="20"/>
        </w:rPr>
        <w:t>(3)</w:t>
      </w:r>
    </w:p>
    <w:p>
      <w:pPr>
        <w:pStyle w:val="ListContents"/>
        <w:spacing w:before="0" w:after="283"/>
        <w:jc w:val="left"/>
        <w:rPr>
          <w:rFonts w:ascii="arial" w:hAnsi="arial"/>
          <w:sz w:val="20"/>
        </w:rPr>
      </w:pPr>
      <w:r>
        <w:rPr>
          <w:rFonts w:ascii="arial" w:hAnsi="arial"/>
          <w:sz w:val="20"/>
        </w:rPr>
        <w:t xml:space="preserve">13,205 shares were acquired as a result of the vesting of 25,000 RSUs awarded as part of the February 12,2018 RSU award, of which 11,795 shares were surrendered to pay for tax withholdings. </w:t>
      </w:r>
    </w:p>
    <w:p>
      <w:pPr>
        <w:pStyle w:val="ListHeading"/>
        <w:spacing w:before="0" w:after="0"/>
        <w:jc w:val="left"/>
        <w:rPr>
          <w:rFonts w:ascii="arial" w:hAnsi="arial"/>
          <w:position w:val="7"/>
          <w:sz w:val="16"/>
          <w:sz w:val="20"/>
        </w:rPr>
      </w:pPr>
      <w:r>
        <w:rPr>
          <w:rFonts w:ascii="arial" w:hAnsi="arial"/>
          <w:position w:val="7"/>
          <w:sz w:val="16"/>
          <w:sz w:val="20"/>
        </w:rPr>
        <w:t>(4)</w:t>
      </w:r>
    </w:p>
    <w:p>
      <w:pPr>
        <w:pStyle w:val="ListContents"/>
        <w:spacing w:before="0" w:after="283"/>
        <w:jc w:val="left"/>
        <w:rPr>
          <w:rFonts w:ascii="arial" w:hAnsi="arial"/>
          <w:sz w:val="20"/>
        </w:rPr>
      </w:pPr>
      <w:r>
        <w:rPr>
          <w:rFonts w:ascii="arial" w:hAnsi="arial"/>
          <w:sz w:val="20"/>
        </w:rPr>
        <w:t xml:space="preserve">10,153 shares were acquired as a result of the vesting of 19,221 RSUs awarded as part of the February 25,2019 RSU award, of which 9,068 shares were surrendered to pay for tax withholdings. </w:t>
      </w:r>
    </w:p>
    <w:p>
      <w:pPr>
        <w:pStyle w:val="ListHeading"/>
        <w:spacing w:before="0" w:after="0"/>
        <w:jc w:val="left"/>
        <w:rPr>
          <w:rFonts w:ascii="arial" w:hAnsi="arial"/>
          <w:position w:val="7"/>
          <w:sz w:val="16"/>
          <w:sz w:val="20"/>
        </w:rPr>
      </w:pPr>
      <w:r>
        <w:rPr>
          <w:rFonts w:ascii="arial" w:hAnsi="arial"/>
          <w:position w:val="7"/>
          <w:sz w:val="16"/>
          <w:sz w:val="20"/>
        </w:rPr>
        <w:t>(5)</w:t>
      </w:r>
    </w:p>
    <w:p>
      <w:pPr>
        <w:pStyle w:val="ListContents"/>
        <w:spacing w:before="0" w:after="283"/>
        <w:jc w:val="left"/>
        <w:rPr>
          <w:rFonts w:ascii="arial" w:hAnsi="arial"/>
          <w:sz w:val="20"/>
        </w:rPr>
      </w:pPr>
      <w:r>
        <w:rPr>
          <w:rFonts w:ascii="arial" w:hAnsi="arial"/>
          <w:sz w:val="20"/>
        </w:rPr>
        <w:t xml:space="preserve">4,322 shares were acquired as a result of the vesting of 8,183 RSUs awarded as part of the March 21,2019 RSU award, of which 3,861 shares were surrendered to pay for tax withholdings. </w:t>
      </w:r>
    </w:p>
    <w:p>
      <w:pPr>
        <w:pStyle w:val="ListHeading"/>
        <w:spacing w:before="0" w:after="0"/>
        <w:jc w:val="left"/>
        <w:rPr>
          <w:rFonts w:ascii="arial" w:hAnsi="arial"/>
          <w:position w:val="7"/>
          <w:sz w:val="16"/>
          <w:sz w:val="20"/>
        </w:rPr>
      </w:pPr>
      <w:r>
        <w:rPr>
          <w:rFonts w:ascii="arial" w:hAnsi="arial"/>
          <w:position w:val="7"/>
          <w:sz w:val="16"/>
          <w:sz w:val="20"/>
        </w:rPr>
        <w:t>(6)</w:t>
      </w:r>
    </w:p>
    <w:p>
      <w:pPr>
        <w:pStyle w:val="ListContents"/>
        <w:spacing w:before="0" w:after="283"/>
        <w:jc w:val="left"/>
        <w:rPr>
          <w:rFonts w:ascii="arial" w:hAnsi="arial"/>
          <w:sz w:val="20"/>
        </w:rPr>
      </w:pPr>
      <w:r>
        <w:rPr>
          <w:rFonts w:ascii="arial" w:hAnsi="arial"/>
          <w:sz w:val="20"/>
        </w:rPr>
        <w:t xml:space="preserve">1,005 shares were acquired as a result of the vesting of 1,005 RSUs awarded as part of the April 07,2017 RSU award. Mr. Wilcox elected to pay the taxes associated and retain the total 4,309 shares. </w:t>
      </w:r>
    </w:p>
    <w:p>
      <w:pPr>
        <w:pStyle w:val="ListHeading"/>
        <w:spacing w:before="0" w:after="0"/>
        <w:jc w:val="left"/>
        <w:rPr>
          <w:rFonts w:ascii="arial" w:hAnsi="arial"/>
          <w:position w:val="7"/>
          <w:sz w:val="16"/>
          <w:sz w:val="20"/>
        </w:rPr>
      </w:pPr>
      <w:r>
        <w:rPr>
          <w:rFonts w:ascii="arial" w:hAnsi="arial"/>
          <w:position w:val="7"/>
          <w:sz w:val="16"/>
          <w:sz w:val="20"/>
        </w:rPr>
        <w:t>(7)</w:t>
      </w:r>
    </w:p>
    <w:p>
      <w:pPr>
        <w:pStyle w:val="ListContents"/>
        <w:spacing w:before="0" w:after="283"/>
        <w:jc w:val="left"/>
        <w:rPr>
          <w:rFonts w:ascii="arial" w:hAnsi="arial"/>
          <w:sz w:val="20"/>
        </w:rPr>
      </w:pPr>
      <w:r>
        <w:rPr>
          <w:rFonts w:ascii="arial" w:hAnsi="arial"/>
          <w:sz w:val="20"/>
        </w:rPr>
        <w:t xml:space="preserve">6,603 shares were acquired as a result of the vesting of 12,500 RSUs awarded as part of the February 12,2018 RSU award, of which 5,897 shares were surrendered to pay for tax withholdings. </w:t>
      </w:r>
    </w:p>
    <w:p>
      <w:pPr>
        <w:pStyle w:val="ListHeading"/>
        <w:spacing w:before="0" w:after="0"/>
        <w:jc w:val="left"/>
        <w:rPr>
          <w:rFonts w:ascii="arial" w:hAnsi="arial"/>
          <w:position w:val="7"/>
          <w:sz w:val="16"/>
          <w:sz w:val="20"/>
        </w:rPr>
      </w:pPr>
      <w:r>
        <w:rPr>
          <w:rFonts w:ascii="arial" w:hAnsi="arial"/>
          <w:position w:val="7"/>
          <w:sz w:val="16"/>
          <w:sz w:val="20"/>
        </w:rPr>
        <w:t>(8)</w:t>
      </w:r>
    </w:p>
    <w:p>
      <w:pPr>
        <w:pStyle w:val="ListContents"/>
        <w:spacing w:before="0" w:after="283"/>
        <w:jc w:val="left"/>
        <w:rPr>
          <w:rFonts w:ascii="arial" w:hAnsi="arial"/>
          <w:sz w:val="20"/>
        </w:rPr>
      </w:pPr>
      <w:r>
        <w:rPr>
          <w:rFonts w:ascii="arial" w:hAnsi="arial"/>
          <w:sz w:val="20"/>
        </w:rPr>
        <w:t xml:space="preserve">13,205 shares were acquired as a result of the vesting of 25,000 RSUs awarded as part of the February 12,2018 RSU award, of which 11,795 shares were surrendered to pay for tax withholdings. </w:t>
      </w:r>
    </w:p>
    <w:p>
      <w:pPr>
        <w:pStyle w:val="ListHeading"/>
        <w:spacing w:before="0" w:after="0"/>
        <w:jc w:val="left"/>
        <w:rPr>
          <w:rFonts w:ascii="arial" w:hAnsi="arial"/>
          <w:position w:val="7"/>
          <w:sz w:val="16"/>
          <w:sz w:val="20"/>
        </w:rPr>
      </w:pPr>
      <w:r>
        <w:rPr>
          <w:rFonts w:ascii="arial" w:hAnsi="arial"/>
          <w:position w:val="7"/>
          <w:sz w:val="16"/>
          <w:sz w:val="20"/>
        </w:rPr>
        <w:t>(9)</w:t>
      </w:r>
    </w:p>
    <w:p>
      <w:pPr>
        <w:pStyle w:val="ListContents"/>
        <w:spacing w:before="0" w:after="283"/>
        <w:jc w:val="left"/>
        <w:rPr>
          <w:rFonts w:ascii="arial" w:hAnsi="arial"/>
          <w:sz w:val="20"/>
        </w:rPr>
      </w:pPr>
      <w:r>
        <w:rPr>
          <w:rFonts w:ascii="arial" w:hAnsi="arial"/>
          <w:sz w:val="20"/>
        </w:rPr>
        <w:t xml:space="preserve">4,023 shares were acquired as a result of the vesting of 7,613 RSUs awarded as part of the February 25,2019 RSU award, of which 3,590 shares were surrendered to pay for tax withholdings. </w:t>
      </w:r>
    </w:p>
    <w:p>
      <w:pPr>
        <w:pStyle w:val="ListHeading"/>
        <w:spacing w:before="0" w:after="0"/>
        <w:jc w:val="left"/>
        <w:rPr>
          <w:rFonts w:ascii="arial" w:hAnsi="arial"/>
          <w:position w:val="7"/>
          <w:sz w:val="16"/>
          <w:sz w:val="20"/>
        </w:rPr>
      </w:pPr>
      <w:r>
        <w:rPr>
          <w:rFonts w:ascii="arial" w:hAnsi="arial"/>
          <w:position w:val="7"/>
          <w:sz w:val="16"/>
          <w:sz w:val="20"/>
        </w:rPr>
        <w:t>(10)</w:t>
      </w:r>
    </w:p>
    <w:p>
      <w:pPr>
        <w:pStyle w:val="ListContents"/>
        <w:spacing w:before="0" w:after="283"/>
        <w:jc w:val="left"/>
        <w:rPr>
          <w:rFonts w:ascii="arial" w:hAnsi="arial"/>
          <w:sz w:val="20"/>
        </w:rPr>
      </w:pPr>
      <w:r>
        <w:rPr>
          <w:rFonts w:ascii="arial" w:hAnsi="arial"/>
          <w:sz w:val="20"/>
        </w:rPr>
        <w:t xml:space="preserve">4,021 shares were acquired as a result of the vesting of 7,613 RSUs awarded as part of the February 25,2019 RSU award, of which 3,592 shares were surrendered to pay for tax withholdings. </w:t>
      </w:r>
    </w:p>
    <w:p>
      <w:pPr>
        <w:pStyle w:val="ListHeading"/>
        <w:spacing w:before="0" w:after="0"/>
        <w:jc w:val="left"/>
        <w:rPr>
          <w:rFonts w:ascii="arial" w:hAnsi="arial"/>
          <w:position w:val="7"/>
          <w:sz w:val="16"/>
          <w:sz w:val="20"/>
        </w:rPr>
      </w:pPr>
      <w:r>
        <w:rPr>
          <w:rFonts w:ascii="arial" w:hAnsi="arial"/>
          <w:position w:val="7"/>
          <w:sz w:val="16"/>
          <w:sz w:val="20"/>
        </w:rPr>
        <w:t>(11)</w:t>
      </w:r>
    </w:p>
    <w:p>
      <w:pPr>
        <w:pStyle w:val="ListContents"/>
        <w:spacing w:before="0" w:after="283"/>
        <w:jc w:val="left"/>
        <w:rPr>
          <w:rFonts w:ascii="arial" w:hAnsi="arial"/>
          <w:sz w:val="20"/>
        </w:rPr>
      </w:pPr>
      <w:r>
        <w:rPr>
          <w:rFonts w:ascii="arial" w:hAnsi="arial"/>
          <w:sz w:val="20"/>
        </w:rPr>
        <w:t xml:space="preserve">2,110 shares were acquired as a result of the vesting of 3,994 RSUs awarded as part of the March 21,2019 RSU award, of which 1,884 shares were surrendered to pay for tax withholdings. </w:t>
      </w:r>
    </w:p>
    <w:p>
      <w:pPr>
        <w:pStyle w:val="ListHeading"/>
        <w:spacing w:before="0" w:after="0"/>
        <w:jc w:val="left"/>
        <w:rPr>
          <w:rFonts w:ascii="arial" w:hAnsi="arial"/>
          <w:position w:val="7"/>
          <w:sz w:val="16"/>
          <w:sz w:val="20"/>
        </w:rPr>
      </w:pPr>
      <w:r>
        <w:rPr>
          <w:rFonts w:ascii="arial" w:hAnsi="arial"/>
          <w:position w:val="7"/>
          <w:sz w:val="16"/>
          <w:sz w:val="20"/>
        </w:rPr>
        <w:t>(12)</w:t>
      </w:r>
    </w:p>
    <w:p>
      <w:pPr>
        <w:pStyle w:val="ListContents"/>
        <w:spacing w:before="0" w:after="283"/>
        <w:jc w:val="left"/>
        <w:rPr>
          <w:rFonts w:ascii="arial" w:hAnsi="arial"/>
          <w:sz w:val="20"/>
        </w:rPr>
      </w:pPr>
      <w:r>
        <w:rPr>
          <w:rFonts w:ascii="arial" w:hAnsi="arial"/>
          <w:sz w:val="20"/>
        </w:rPr>
        <w:t xml:space="preserve">4,220 shares were acquired as a result of the vesting of 7,988 RSUs awarded as part of the March 21,2019 RSU award, of which 3768 shares were surrendered to pay for tax withholdings. </w:t>
      </w:r>
    </w:p>
    <w:p>
      <w:pPr>
        <w:pStyle w:val="ListHeading"/>
        <w:spacing w:before="0" w:after="0"/>
        <w:jc w:val="left"/>
        <w:rPr>
          <w:rFonts w:ascii="arial" w:hAnsi="arial"/>
          <w:position w:val="7"/>
          <w:sz w:val="16"/>
          <w:sz w:val="20"/>
        </w:rPr>
      </w:pPr>
      <w:r>
        <w:rPr>
          <w:rFonts w:ascii="arial" w:hAnsi="arial"/>
          <w:position w:val="7"/>
          <w:sz w:val="16"/>
          <w:sz w:val="20"/>
        </w:rPr>
        <w:t>(13)</w:t>
      </w:r>
    </w:p>
    <w:p>
      <w:pPr>
        <w:pStyle w:val="ListContents"/>
        <w:spacing w:before="0" w:after="283"/>
        <w:jc w:val="left"/>
        <w:rPr>
          <w:rFonts w:ascii="arial" w:hAnsi="arial"/>
          <w:sz w:val="20"/>
        </w:rPr>
      </w:pPr>
      <w:r>
        <w:rPr>
          <w:rFonts w:ascii="arial" w:hAnsi="arial"/>
          <w:sz w:val="20"/>
        </w:rPr>
        <w:t xml:space="preserve">418 shares were acquired as a result of the vesting of 603 RSUs awarded as part of the April 07,2017 RSU award, of which 185 shares were surrendered to pay for tax withholdings. </w:t>
      </w:r>
    </w:p>
    <w:p>
      <w:pPr>
        <w:pStyle w:val="ListHeading"/>
        <w:spacing w:before="0" w:after="0"/>
        <w:jc w:val="left"/>
        <w:rPr>
          <w:rFonts w:ascii="arial" w:hAnsi="arial"/>
          <w:position w:val="7"/>
          <w:sz w:val="16"/>
          <w:sz w:val="20"/>
        </w:rPr>
      </w:pPr>
      <w:r>
        <w:rPr>
          <w:rFonts w:ascii="arial" w:hAnsi="arial"/>
          <w:position w:val="7"/>
          <w:sz w:val="16"/>
          <w:sz w:val="20"/>
        </w:rPr>
        <w:t>(14)</w:t>
      </w:r>
    </w:p>
    <w:p>
      <w:pPr>
        <w:pStyle w:val="ListContents"/>
        <w:spacing w:before="0" w:after="283"/>
        <w:jc w:val="left"/>
        <w:rPr>
          <w:rFonts w:ascii="arial" w:hAnsi="arial"/>
          <w:sz w:val="20"/>
        </w:rPr>
      </w:pPr>
      <w:r>
        <w:rPr>
          <w:rFonts w:ascii="arial" w:hAnsi="arial"/>
          <w:sz w:val="20"/>
        </w:rPr>
        <w:t xml:space="preserve">878 shares were acquired as a result of the vesting of 1,240 RSUs awarded as part of the February 12,2018 RSU award, of which 362 shares were surrendered to pay for tax withholdings. </w:t>
      </w:r>
    </w:p>
    <w:p>
      <w:pPr>
        <w:pStyle w:val="ListHeading"/>
        <w:spacing w:before="0" w:after="0"/>
        <w:jc w:val="left"/>
        <w:rPr>
          <w:rFonts w:ascii="arial" w:hAnsi="arial"/>
          <w:position w:val="7"/>
          <w:sz w:val="16"/>
          <w:sz w:val="20"/>
        </w:rPr>
      </w:pPr>
      <w:r>
        <w:rPr>
          <w:rFonts w:ascii="arial" w:hAnsi="arial"/>
          <w:position w:val="7"/>
          <w:sz w:val="16"/>
          <w:sz w:val="20"/>
        </w:rPr>
        <w:t>(15)</w:t>
      </w:r>
    </w:p>
    <w:p>
      <w:pPr>
        <w:pStyle w:val="ListContents"/>
        <w:spacing w:before="0" w:after="283"/>
        <w:jc w:val="left"/>
        <w:rPr>
          <w:rFonts w:ascii="arial" w:hAnsi="arial"/>
          <w:sz w:val="20"/>
        </w:rPr>
      </w:pPr>
      <w:r>
        <w:rPr>
          <w:rFonts w:ascii="arial" w:hAnsi="arial"/>
          <w:sz w:val="20"/>
        </w:rPr>
        <w:t xml:space="preserve">3,230 shares were acquired as a result of the vesting of 5,000 RSUs awarded as part of the January 29,2019 RSU award, of which 1770 shares were surrendered to pay for tax withholdings. </w:t>
      </w:r>
    </w:p>
    <w:p>
      <w:pPr>
        <w:pStyle w:val="ListHeading"/>
        <w:spacing w:before="0" w:after="0"/>
        <w:jc w:val="left"/>
        <w:rPr>
          <w:rFonts w:ascii="arial" w:hAnsi="arial"/>
          <w:position w:val="7"/>
          <w:sz w:val="16"/>
          <w:sz w:val="20"/>
        </w:rPr>
      </w:pPr>
      <w:r>
        <w:rPr>
          <w:rFonts w:ascii="arial" w:hAnsi="arial"/>
          <w:position w:val="7"/>
          <w:sz w:val="16"/>
          <w:sz w:val="20"/>
        </w:rPr>
        <w:t>(16)</w:t>
      </w:r>
    </w:p>
    <w:p>
      <w:pPr>
        <w:pStyle w:val="ListContents"/>
        <w:spacing w:before="0" w:after="283"/>
        <w:jc w:val="left"/>
        <w:rPr>
          <w:rFonts w:ascii="arial" w:hAnsi="arial"/>
          <w:sz w:val="20"/>
        </w:rPr>
      </w:pPr>
      <w:r>
        <w:rPr>
          <w:rFonts w:ascii="arial" w:hAnsi="arial"/>
          <w:sz w:val="20"/>
        </w:rPr>
        <w:t xml:space="preserve">2,975 shares were acquired as a result of the vesting of 4,256 RSUs awarded as part of the February 25,2019 RSU award, of which 1,281 shares were surrendered to pay for tax withholdings. </w:t>
      </w:r>
    </w:p>
    <w:p>
      <w:pPr>
        <w:pStyle w:val="ListHeading"/>
        <w:spacing w:before="0" w:after="0"/>
        <w:jc w:val="left"/>
        <w:rPr>
          <w:rFonts w:ascii="arial" w:hAnsi="arial"/>
          <w:position w:val="7"/>
          <w:sz w:val="16"/>
          <w:sz w:val="20"/>
        </w:rPr>
      </w:pPr>
      <w:r>
        <w:rPr>
          <w:rFonts w:ascii="arial" w:hAnsi="arial"/>
          <w:position w:val="7"/>
          <w:sz w:val="16"/>
          <w:sz w:val="20"/>
        </w:rPr>
        <w:t>(17)</w:t>
      </w:r>
    </w:p>
    <w:p>
      <w:pPr>
        <w:pStyle w:val="ListContents"/>
        <w:spacing w:before="0" w:after="283"/>
        <w:jc w:val="left"/>
        <w:rPr>
          <w:rFonts w:ascii="arial" w:hAnsi="arial"/>
          <w:sz w:val="20"/>
        </w:rPr>
      </w:pPr>
      <w:r>
        <w:rPr>
          <w:rFonts w:ascii="arial" w:hAnsi="arial"/>
          <w:sz w:val="20"/>
        </w:rPr>
        <w:t xml:space="preserve">1,303 shares were acquired as a result of the vesting of 1,864 RSUs awarded as part of the March 21,2019 RSU award, of which 561 shares were surrendered to pay for tax withholdings. </w:t>
      </w:r>
    </w:p>
    <w:p>
      <w:pPr>
        <w:pStyle w:val="ListHeading"/>
        <w:spacing w:before="0" w:after="0"/>
        <w:jc w:val="left"/>
        <w:rPr>
          <w:rFonts w:ascii="arial" w:hAnsi="arial"/>
          <w:position w:val="7"/>
          <w:sz w:val="16"/>
          <w:sz w:val="20"/>
        </w:rPr>
      </w:pPr>
      <w:r>
        <w:rPr>
          <w:rFonts w:ascii="arial" w:hAnsi="arial"/>
          <w:position w:val="7"/>
          <w:sz w:val="16"/>
          <w:sz w:val="20"/>
        </w:rPr>
        <w:t>(18)</w:t>
      </w:r>
    </w:p>
    <w:p>
      <w:pPr>
        <w:pStyle w:val="ListContents"/>
        <w:spacing w:before="0" w:after="283"/>
        <w:jc w:val="left"/>
        <w:rPr>
          <w:rFonts w:ascii="arial" w:hAnsi="arial"/>
          <w:sz w:val="20"/>
        </w:rPr>
      </w:pPr>
      <w:r>
        <w:rPr>
          <w:rFonts w:ascii="arial" w:hAnsi="arial"/>
          <w:sz w:val="20"/>
        </w:rPr>
        <w:t xml:space="preserve">7,792 shares were acquired as a result of the vesting of 10,000 RSUs awarded as part of the August 01,2017 RSU award, of which 2,208 shares were surrendered to pay for tax withholdings. </w:t>
      </w:r>
    </w:p>
    <w:p>
      <w:pPr>
        <w:pStyle w:val="ListHeading"/>
        <w:spacing w:before="0" w:after="0"/>
        <w:jc w:val="left"/>
        <w:rPr>
          <w:rFonts w:ascii="arial" w:hAnsi="arial"/>
          <w:position w:val="7"/>
          <w:sz w:val="16"/>
          <w:sz w:val="20"/>
        </w:rPr>
      </w:pPr>
      <w:r>
        <w:rPr>
          <w:rFonts w:ascii="arial" w:hAnsi="arial"/>
          <w:position w:val="7"/>
          <w:sz w:val="16"/>
          <w:sz w:val="20"/>
        </w:rPr>
        <w:t>(19)</w:t>
      </w:r>
    </w:p>
    <w:p>
      <w:pPr>
        <w:pStyle w:val="ListContents"/>
        <w:spacing w:before="0" w:after="283"/>
        <w:jc w:val="left"/>
        <w:rPr>
          <w:rFonts w:ascii="arial" w:hAnsi="arial"/>
          <w:sz w:val="20"/>
        </w:rPr>
      </w:pPr>
      <w:r>
        <w:rPr>
          <w:rFonts w:ascii="arial" w:hAnsi="arial"/>
          <w:sz w:val="20"/>
        </w:rPr>
        <w:t xml:space="preserve">1,213 shares were acquired as a result of the vesting of 1,594 RSUs awarded as part of the February 12,2018 RSU award, of which 381 shares were surrendered to pay for tax withholdings. </w:t>
      </w:r>
    </w:p>
    <w:p>
      <w:pPr>
        <w:pStyle w:val="ListHeading"/>
        <w:spacing w:before="0" w:after="0"/>
        <w:jc w:val="left"/>
        <w:rPr>
          <w:rFonts w:ascii="arial" w:hAnsi="arial"/>
          <w:position w:val="7"/>
          <w:sz w:val="16"/>
          <w:sz w:val="20"/>
        </w:rPr>
      </w:pPr>
      <w:r>
        <w:rPr>
          <w:rFonts w:ascii="arial" w:hAnsi="arial"/>
          <w:position w:val="7"/>
          <w:sz w:val="16"/>
          <w:sz w:val="20"/>
        </w:rPr>
        <w:t>(20)</w:t>
      </w:r>
    </w:p>
    <w:p>
      <w:pPr>
        <w:pStyle w:val="ListContents"/>
        <w:spacing w:before="0" w:after="283"/>
        <w:jc w:val="left"/>
        <w:rPr>
          <w:rFonts w:ascii="arial" w:hAnsi="arial"/>
          <w:sz w:val="20"/>
        </w:rPr>
      </w:pPr>
      <w:r>
        <w:rPr>
          <w:rFonts w:ascii="arial" w:hAnsi="arial"/>
          <w:sz w:val="20"/>
        </w:rPr>
        <w:t xml:space="preserve">4,371 shares were acquired as a result of the vesting of 5,000 RSUs awarded as part of the November 12,2018 RSU award, of which 629 shares were surrendered to pay for tax withholdings. </w:t>
      </w:r>
    </w:p>
    <w:p>
      <w:pPr>
        <w:pStyle w:val="ListHeading"/>
        <w:spacing w:before="0" w:after="0"/>
        <w:jc w:val="left"/>
        <w:rPr>
          <w:rFonts w:ascii="arial" w:hAnsi="arial"/>
          <w:position w:val="7"/>
          <w:sz w:val="16"/>
          <w:sz w:val="20"/>
        </w:rPr>
      </w:pPr>
      <w:r>
        <w:rPr>
          <w:rFonts w:ascii="arial" w:hAnsi="arial"/>
          <w:position w:val="7"/>
          <w:sz w:val="16"/>
          <w:sz w:val="20"/>
        </w:rPr>
        <w:t>(21)</w:t>
      </w:r>
    </w:p>
    <w:p>
      <w:pPr>
        <w:pStyle w:val="ListContents"/>
        <w:spacing w:before="0" w:after="283"/>
        <w:jc w:val="left"/>
        <w:rPr>
          <w:rFonts w:ascii="arial" w:hAnsi="arial"/>
          <w:sz w:val="20"/>
        </w:rPr>
      </w:pPr>
      <w:r>
        <w:rPr>
          <w:rFonts w:ascii="arial" w:hAnsi="arial"/>
          <w:sz w:val="20"/>
        </w:rPr>
        <w:t xml:space="preserve">3,345 shares were acquired as a result of the vesting of 3,910 RSUs awarded as part of the February 25,2019 RSU award, of which 565 shares were surrendered to pay for tax withholdings. </w:t>
      </w:r>
    </w:p>
    <w:p>
      <w:pPr>
        <w:pStyle w:val="TextBody"/>
        <w:jc w:val="center"/>
        <w:rPr>
          <w:rFonts w:ascii="arial" w:hAnsi="arial"/>
          <w:sz w:val="20"/>
        </w:rPr>
      </w:pPr>
      <w:r>
        <w:rPr>
          <w:rFonts w:ascii="arial" w:hAnsi="arial"/>
          <w:sz w:val="20"/>
        </w:rPr>
        <w:t>65</w:t>
      </w:r>
    </w:p>
    <w:p>
      <w:pPr>
        <w:pStyle w:val="HorizontalLine"/>
        <w:pBdr>
          <w:bottom w:val="single" w:sz="20" w:space="0" w:color="808080"/>
        </w:pBdr>
        <w:rPr/>
      </w:pPr>
      <w:r>
        <w:rPr/>
      </w:r>
      <w:r>
        <w:br w:type="page"/>
      </w:r>
    </w:p>
    <w:p>
      <w:pPr>
        <w:pStyle w:val="TextBody"/>
        <w:rPr/>
      </w:pPr>
      <w:hyperlink w:anchor="bg45301a_main_toc">
        <w:bookmarkStart w:id="121" w:name="page_ea45301_1_66"/>
        <w:bookmarkEnd w:id="121"/>
        <w:r>
          <w:rPr>
            <w:rStyle w:val="InternetLink"/>
            <w:rFonts w:ascii="arial" w:hAnsi="arial"/>
            <w:sz w:val="20"/>
          </w:rPr>
          <w:t>Table of Contents</w:t>
        </w:r>
      </w:hyperlink>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3368"/>
        <w:gridCol w:w="100"/>
        <w:gridCol w:w="6737"/>
      </w:tblGrid>
      <w:tr>
        <w:trPr/>
        <w:tc>
          <w:tcPr>
            <w:tcW w:w="3368" w:type="dxa"/>
            <w:tcBorders/>
            <w:shd w:fill="auto" w:val="clear"/>
            <w:vAlign w:val="center"/>
          </w:tcPr>
          <w:p>
            <w:pPr>
              <w:pStyle w:val="TableContents"/>
              <w:spacing w:before="0" w:after="283"/>
              <w:rPr/>
            </w:pPr>
            <w:r>
              <w:rPr/>
              <w:commentReference w:id="250"/>
            </w:r>
            <w:r>
              <w:rPr/>
              <w:commentReference w:id="251"/>
            </w:r>
            <w:r>
              <w:rPr/>
              <w:commentReference w:id="252"/>
            </w:r>
            <w:r>
              <w:rPr/>
              <w:t>​</w:t>
            </w:r>
          </w:p>
        </w:tc>
        <w:tc>
          <w:tcPr>
            <w:tcW w:w="100" w:type="dxa"/>
            <w:tcBorders/>
            <w:shd w:fill="auto" w:val="clear"/>
            <w:vAlign w:val="center"/>
          </w:tcPr>
          <w:p>
            <w:pPr>
              <w:pStyle w:val="TableContents"/>
              <w:spacing w:before="0" w:after="283"/>
              <w:rPr/>
            </w:pPr>
            <w:r>
              <w:rPr/>
              <w:t>​</w:t>
            </w:r>
          </w:p>
        </w:tc>
        <w:tc>
          <w:tcPr>
            <w:tcW w:w="6737" w:type="dxa"/>
            <w:tcBorders/>
            <w:shd w:fill="auto" w:val="clear"/>
            <w:vAlign w:val="center"/>
          </w:tcPr>
          <w:p>
            <w:pPr>
              <w:pStyle w:val="TableContents"/>
              <w:spacing w:before="0" w:after="283"/>
              <w:rPr/>
            </w:pPr>
            <w:r>
              <w:rPr/>
              <w:t>​</w:t>
            </w:r>
            <w:r>
              <w:rPr>
                <w:rFonts w:eastAsia="arial" w:cs="arial" w:ascii="arial" w:hAnsi="arial"/>
              </w:rPr>
              <w:commentReference w:id="253"/>
            </w:r>
          </w:p>
        </w:tc>
      </w:tr>
      <w:tr>
        <w:trPr/>
        <w:tc>
          <w:tcPr>
            <w:tcW w:w="3368" w:type="dxa"/>
            <w:tcBorders/>
            <w:shd w:fill="auto" w:val="clear"/>
          </w:tcPr>
          <w:p>
            <w:pPr>
              <w:pStyle w:val="TableContents"/>
              <w:rPr/>
            </w:pPr>
            <w:r>
              <w:rPr/>
              <w:t>​</w:t>
            </w:r>
          </w:p>
          <w:p>
            <w:pPr>
              <w:pStyle w:val="TableContents"/>
              <w:spacing w:before="0" w:after="283"/>
              <w:rPr/>
            </w:pPr>
            <w:r>
              <w:rPr/>
              <w:t> </w:t>
            </w:r>
          </w:p>
        </w:tc>
        <w:tc>
          <w:tcPr>
            <w:tcW w:w="100"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drawing>
                <wp:inline distT="0" distB="0" distL="0" distR="0">
                  <wp:extent cx="1971675" cy="1809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embed="rId98"/>
                          <a:stretch>
                            <a:fillRect/>
                          </a:stretch>
                        </pic:blipFill>
                        <pic:spPr bwMode="auto">
                          <a:xfrm>
                            <a:off x="0" y="0"/>
                            <a:ext cx="1971675" cy="180975"/>
                          </a:xfrm>
                          <a:prstGeom prst="rect">
                            <a:avLst/>
                          </a:prstGeom>
                        </pic:spPr>
                      </pic:pic>
                    </a:graphicData>
                  </a:graphic>
                </wp:inline>
              </w:drawing>
            </w:r>
            <w:r>
              <w:rPr/>
              <w:t xml:space="preserve"> </w:t>
            </w:r>
          </w:p>
        </w:tc>
      </w:tr>
      <w:tr>
        <w:trPr/>
        <w:tc>
          <w:tcPr>
            <w:tcW w:w="3368" w:type="dxa"/>
            <w:tcBorders/>
            <w:shd w:fill="auto" w:val="clear"/>
          </w:tcPr>
          <w:p>
            <w:pPr>
              <w:pStyle w:val="TableContents"/>
              <w:rPr/>
            </w:pPr>
            <w:r>
              <w:rPr/>
              <w:t>​</w:t>
            </w:r>
          </w:p>
          <w:p>
            <w:pPr>
              <w:pStyle w:val="TableContents"/>
              <w:spacing w:before="0" w:after="283"/>
              <w:rPr/>
            </w:pPr>
            <w:r>
              <w:rPr/>
              <w:t> </w:t>
            </w:r>
          </w:p>
        </w:tc>
        <w:tc>
          <w:tcPr>
            <w:tcW w:w="100"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t> </w:t>
            </w:r>
          </w:p>
        </w:tc>
      </w:tr>
    </w:tbl>
    <w:p>
      <w:pPr>
        <w:pStyle w:val="TextBody"/>
        <w:rPr/>
      </w:pPr>
      <w:r>
        <w:rPr>
          <w:color w:val="000000"/>
        </w:rPr>
        <w:commentReference w:id="254"/>
      </w:r>
      <w:r>
        <w:rPr>
          <w:color w:val="000000"/>
        </w:rPr>
        <w:t>​</w:t>
      </w:r>
      <w:r>
        <w:rPr/>
        <w:t xml:space="preserve"> </w:t>
      </w:r>
    </w:p>
    <w:p>
      <w:pPr>
        <w:pStyle w:val="ListHeading"/>
        <w:spacing w:before="0" w:after="0"/>
        <w:jc w:val="left"/>
        <w:rPr>
          <w:rFonts w:ascii="arial" w:hAnsi="arial"/>
          <w:position w:val="7"/>
          <w:sz w:val="16"/>
          <w:sz w:val="20"/>
        </w:rPr>
      </w:pPr>
      <w:r>
        <w:rPr>
          <w:rFonts w:ascii="arial" w:hAnsi="arial"/>
          <w:position w:val="7"/>
          <w:sz w:val="16"/>
          <w:sz w:val="20"/>
        </w:rPr>
        <w:t>(22)</w:t>
      </w:r>
    </w:p>
    <w:p>
      <w:pPr>
        <w:pStyle w:val="ListContents"/>
        <w:spacing w:before="0" w:after="283"/>
        <w:jc w:val="left"/>
        <w:rPr>
          <w:rFonts w:ascii="arial" w:hAnsi="arial"/>
          <w:sz w:val="20"/>
        </w:rPr>
      </w:pPr>
      <w:r>
        <w:rPr>
          <w:rFonts w:ascii="arial" w:hAnsi="arial"/>
          <w:sz w:val="20"/>
        </w:rPr>
        <w:t xml:space="preserve">2,180 shares were acquired as a result of the vesting of 2,550 RSUs awarded as part of the March 21,2019 RSU award, of which 370 shares were surrendered to pay for tax withholdings. </w:t>
      </w:r>
    </w:p>
    <w:p>
      <w:pPr>
        <w:pStyle w:val="ListHeading"/>
        <w:spacing w:before="0" w:after="0"/>
        <w:jc w:val="left"/>
        <w:rPr>
          <w:rFonts w:ascii="arial" w:hAnsi="arial"/>
          <w:position w:val="7"/>
          <w:sz w:val="16"/>
          <w:sz w:val="20"/>
        </w:rPr>
      </w:pPr>
      <w:r>
        <w:rPr>
          <w:rFonts w:ascii="arial" w:hAnsi="arial"/>
          <w:position w:val="7"/>
          <w:sz w:val="16"/>
          <w:sz w:val="20"/>
        </w:rPr>
        <w:t>(23)</w:t>
      </w:r>
    </w:p>
    <w:p>
      <w:pPr>
        <w:pStyle w:val="ListContents"/>
        <w:spacing w:before="0" w:after="283"/>
        <w:jc w:val="left"/>
        <w:rPr>
          <w:rFonts w:ascii="arial" w:hAnsi="arial"/>
          <w:sz w:val="20"/>
        </w:rPr>
      </w:pPr>
      <w:r>
        <w:rPr>
          <w:rFonts w:ascii="arial" w:hAnsi="arial"/>
          <w:sz w:val="20"/>
        </w:rPr>
        <w:t xml:space="preserve">503 shares were acquired as a result of the vesting of 503 RSUs awarded as part of the April 07,2017 RSU award. Mr. Ritts elected to pay the taxes associated and retain the total 4,309 shares. </w:t>
      </w:r>
    </w:p>
    <w:p>
      <w:pPr>
        <w:pStyle w:val="ListHeading"/>
        <w:spacing w:before="0" w:after="0"/>
        <w:jc w:val="left"/>
        <w:rPr>
          <w:rFonts w:ascii="arial" w:hAnsi="arial"/>
          <w:position w:val="7"/>
          <w:sz w:val="16"/>
          <w:sz w:val="20"/>
        </w:rPr>
      </w:pPr>
      <w:r>
        <w:rPr>
          <w:rFonts w:ascii="arial" w:hAnsi="arial"/>
          <w:position w:val="7"/>
          <w:sz w:val="16"/>
          <w:sz w:val="20"/>
        </w:rPr>
        <w:t>(24)</w:t>
      </w:r>
    </w:p>
    <w:p>
      <w:pPr>
        <w:pStyle w:val="ListContents"/>
        <w:spacing w:before="0" w:after="283"/>
        <w:jc w:val="left"/>
        <w:rPr>
          <w:rFonts w:ascii="arial" w:hAnsi="arial"/>
          <w:sz w:val="20"/>
        </w:rPr>
      </w:pPr>
      <w:r>
        <w:rPr>
          <w:rFonts w:ascii="arial" w:hAnsi="arial"/>
          <w:sz w:val="20"/>
        </w:rPr>
        <w:t xml:space="preserve">882 shares were acquired as a result of the vesting of 1,667 RSUs awarded as part of the July 27,2017 RSU award, of which 785 shares were surrendered to pay for tax withholdings. </w:t>
      </w:r>
    </w:p>
    <w:p>
      <w:pPr>
        <w:pStyle w:val="ListHeading"/>
        <w:spacing w:before="0" w:after="0"/>
        <w:jc w:val="left"/>
        <w:rPr>
          <w:rFonts w:ascii="arial" w:hAnsi="arial"/>
          <w:position w:val="7"/>
          <w:sz w:val="16"/>
          <w:sz w:val="20"/>
        </w:rPr>
      </w:pPr>
      <w:r>
        <w:rPr>
          <w:rFonts w:ascii="arial" w:hAnsi="arial"/>
          <w:position w:val="7"/>
          <w:sz w:val="16"/>
          <w:sz w:val="20"/>
        </w:rPr>
        <w:t>(25)</w:t>
      </w:r>
    </w:p>
    <w:p>
      <w:pPr>
        <w:pStyle w:val="ListContents"/>
        <w:spacing w:before="0" w:after="283"/>
        <w:jc w:val="left"/>
        <w:rPr>
          <w:rFonts w:ascii="arial" w:hAnsi="arial"/>
          <w:sz w:val="20"/>
        </w:rPr>
      </w:pPr>
      <w:r>
        <w:rPr>
          <w:rFonts w:ascii="arial" w:hAnsi="arial"/>
          <w:sz w:val="20"/>
        </w:rPr>
        <w:t xml:space="preserve">1,982 shares were acquired as a result of the vesting of 3,750 RSUs awarded as part of the November 13,2017 RSU award, of which 1,768 shares were surrendered to pay for tax withholdings. </w:t>
      </w:r>
    </w:p>
    <w:p>
      <w:pPr>
        <w:pStyle w:val="ListHeading"/>
        <w:spacing w:before="0" w:after="0"/>
        <w:jc w:val="left"/>
        <w:rPr>
          <w:rFonts w:ascii="arial" w:hAnsi="arial"/>
          <w:position w:val="7"/>
          <w:sz w:val="16"/>
          <w:sz w:val="20"/>
        </w:rPr>
      </w:pPr>
      <w:r>
        <w:rPr>
          <w:rFonts w:ascii="arial" w:hAnsi="arial"/>
          <w:position w:val="7"/>
          <w:sz w:val="16"/>
          <w:sz w:val="20"/>
        </w:rPr>
        <w:t>(26)</w:t>
      </w:r>
    </w:p>
    <w:p>
      <w:pPr>
        <w:pStyle w:val="ListContents"/>
        <w:spacing w:before="0" w:after="283"/>
        <w:jc w:val="left"/>
        <w:rPr>
          <w:rFonts w:ascii="arial" w:hAnsi="arial"/>
          <w:sz w:val="20"/>
        </w:rPr>
      </w:pPr>
      <w:r>
        <w:rPr>
          <w:rFonts w:ascii="arial" w:hAnsi="arial"/>
          <w:sz w:val="20"/>
        </w:rPr>
        <w:t xml:space="preserve">562 shares were acquired as a result of the vesting of 1,063 RSUs awarded as part of the February 12,2018 RSU award, of which 501 shares were surrendered to pay for tax withholdings. </w:t>
      </w:r>
    </w:p>
    <w:p>
      <w:pPr>
        <w:pStyle w:val="ListHeading"/>
        <w:spacing w:before="0" w:after="0"/>
        <w:jc w:val="left"/>
        <w:rPr>
          <w:rFonts w:ascii="arial" w:hAnsi="arial"/>
          <w:position w:val="7"/>
          <w:sz w:val="16"/>
          <w:sz w:val="20"/>
        </w:rPr>
      </w:pPr>
      <w:r>
        <w:rPr>
          <w:rFonts w:ascii="arial" w:hAnsi="arial"/>
          <w:position w:val="7"/>
          <w:sz w:val="16"/>
          <w:sz w:val="20"/>
        </w:rPr>
        <w:t>(27)</w:t>
      </w:r>
    </w:p>
    <w:p>
      <w:pPr>
        <w:pStyle w:val="ListContents"/>
        <w:spacing w:before="0" w:after="283"/>
        <w:jc w:val="left"/>
        <w:rPr>
          <w:rFonts w:ascii="arial" w:hAnsi="arial"/>
          <w:sz w:val="20"/>
        </w:rPr>
      </w:pPr>
      <w:r>
        <w:rPr>
          <w:rFonts w:ascii="arial" w:hAnsi="arial"/>
          <w:sz w:val="20"/>
        </w:rPr>
        <w:t xml:space="preserve">1,467 shares were acquired as a result of the vesting of 2,776 RSUs awarded as part of the February 25,2019 RSU award, of which 1,309 shares were surrendered to pay for tax withholdings. </w:t>
      </w:r>
    </w:p>
    <w:p>
      <w:pPr>
        <w:pStyle w:val="ListHeading"/>
        <w:spacing w:before="0" w:after="0"/>
        <w:jc w:val="left"/>
        <w:rPr>
          <w:rFonts w:ascii="arial" w:hAnsi="arial"/>
          <w:position w:val="7"/>
          <w:sz w:val="16"/>
          <w:sz w:val="20"/>
        </w:rPr>
      </w:pPr>
      <w:r>
        <w:rPr>
          <w:rFonts w:ascii="arial" w:hAnsi="arial"/>
          <w:position w:val="7"/>
          <w:sz w:val="16"/>
          <w:sz w:val="20"/>
        </w:rPr>
        <w:t>(28)</w:t>
      </w:r>
    </w:p>
    <w:p>
      <w:pPr>
        <w:pStyle w:val="ListContents"/>
        <w:spacing w:before="0" w:after="283"/>
        <w:jc w:val="left"/>
        <w:rPr>
          <w:rFonts w:ascii="arial" w:hAnsi="arial"/>
          <w:sz w:val="20"/>
        </w:rPr>
      </w:pPr>
      <w:r>
        <w:rPr>
          <w:rFonts w:ascii="arial" w:hAnsi="arial"/>
          <w:sz w:val="20"/>
        </w:rPr>
        <w:t xml:space="preserve">844 shares were acquired as a result of the vesting of 1,598 RSUs awarded as part of the March 21,2019 RSU award, of which 754 shares were surrendered to pay for tax withholdings. </w:t>
      </w:r>
    </w:p>
    <w:p>
      <w:pPr>
        <w:pStyle w:val="TextBody"/>
        <w:ind w:left="220" w:right="0" w:hanging="220"/>
        <w:rPr>
          <w:rFonts w:ascii="arial" w:hAnsi="arial"/>
          <w:b/>
          <w:sz w:val="20"/>
        </w:rPr>
      </w:pPr>
      <w:r>
        <w:rPr>
          <w:rFonts w:ascii="arial" w:hAnsi="arial"/>
          <w:b/>
          <w:sz w:val="20"/>
        </w:rPr>
        <w:t xml:space="preserve">Employment Agreements </w:t>
      </w:r>
    </w:p>
    <w:p>
      <w:pPr>
        <w:pStyle w:val="TextBody"/>
        <w:rPr>
          <w:rFonts w:ascii="arial" w:hAnsi="arial"/>
          <w:sz w:val="20"/>
        </w:rPr>
      </w:pPr>
      <w:r>
        <w:rPr>
          <w:rFonts w:ascii="arial" w:hAnsi="arial"/>
          <w:sz w:val="20"/>
        </w:rPr>
        <w:t xml:space="preserve">Altisource is party to Luxembourg employment agreements with each of our Luxembourg based Named Executive Officers, as required by Luxembourg law. The employment terms of each agreement continue indefinitely until the executive ceases being a Luxembourg employee of Altisource. The agreements provide for a base salary and annual incentive compensation based on the satisfaction of relevant performance criteria. In addition, the executives may receive relocation and foreign living allowances, as well as benefits such as health insurance. Please see the "Relocation and Foreign Living Allowances" section and the Summary Compensation Table under the "Executive Compensation" section above for additional details. </w:t>
      </w:r>
    </w:p>
    <w:p>
      <w:pPr>
        <w:pStyle w:val="TextBody"/>
        <w:rPr>
          <w:rFonts w:ascii="arial" w:hAnsi="arial"/>
        </w:rPr>
      </w:pPr>
      <w:r>
        <w:rPr>
          <w:rFonts w:ascii="arial" w:hAnsi="arial"/>
          <w:sz w:val="20"/>
        </w:rPr>
        <w:t>In order to terminate the employment agreement, each party must provide notice in accordance with the time periods set forth in article L.124-1 of the Luxembourg Labor Code; provided, however, in the event of termination by the Company for "Cause" ("</w:t>
      </w:r>
      <w:r>
        <w:rPr>
          <w:rFonts w:ascii="arial" w:hAnsi="arial"/>
          <w:i/>
          <w:sz w:val="20"/>
        </w:rPr>
        <w:t>motifs graves</w:t>
      </w:r>
      <w:r>
        <w:rPr>
          <w:rFonts w:ascii="arial" w:hAnsi="arial"/>
          <w:sz w:val="20"/>
        </w:rPr>
        <w:t xml:space="preserve">," as defined in article L.124-10 of the Luxembourg Labor Code), no notice period is required. In addition, in the event of termination by the Company without "Cause" or, in some instances, resignation by the executive for "Good Reason," the executive will receive severance benefits. Furthermore, the executive may be entitled to receive additional payments in accordance with article L.124-7 of the Luxembourg Labor Code if executive has been employed for more than five (5) years. </w:t>
      </w:r>
    </w:p>
    <w:p>
      <w:pPr>
        <w:pStyle w:val="TextBody"/>
        <w:rPr>
          <w:rFonts w:ascii="arial" w:hAnsi="arial"/>
          <w:sz w:val="20"/>
        </w:rPr>
      </w:pPr>
      <w:r>
        <w:rPr>
          <w:rFonts w:ascii="arial" w:hAnsi="arial"/>
          <w:sz w:val="20"/>
        </w:rPr>
        <w:t xml:space="preserve">The agreements also include a covenant not to disclose our confidential information and to enter into an intellectual property agreement. In addition, the agreements include covenants of non-competition for a minimum period of one (1) year, or six (6) months in the case of the Chief Operating Officer, and non-solicitation of two (2) years, or one (1) year in the case of the Chief Executive Officer and the Chief Administration and Risk Officer, following the termination of the agreement. The agreements are governed, interpreted and subject to the limitations of, and performed pursuant to, and in accordance with, the laws of the Grand Duchy of Luxembourg. </w:t>
      </w:r>
    </w:p>
    <w:p>
      <w:pPr>
        <w:pStyle w:val="TextBody"/>
        <w:ind w:left="220" w:right="0" w:hanging="220"/>
        <w:rPr>
          <w:rFonts w:ascii="arial" w:hAnsi="arial"/>
          <w:b/>
          <w:sz w:val="20"/>
        </w:rPr>
      </w:pPr>
      <w:r>
        <w:rPr>
          <w:rFonts w:ascii="arial" w:hAnsi="arial"/>
          <w:b/>
          <w:sz w:val="20"/>
        </w:rPr>
        <w:t xml:space="preserve">Potential Payments Upon Termination or Change of Control </w:t>
      </w:r>
    </w:p>
    <w:p>
      <w:pPr>
        <w:pStyle w:val="TextBody"/>
        <w:rPr>
          <w:rFonts w:ascii="arial" w:hAnsi="arial"/>
          <w:sz w:val="20"/>
        </w:rPr>
      </w:pPr>
      <w:r>
        <w:rPr>
          <w:rFonts w:ascii="arial" w:hAnsi="arial"/>
          <w:sz w:val="20"/>
        </w:rPr>
        <w:t xml:space="preserve">Below is a description of the amounts payable to each Named Executive Officer assuming the executive's employment had terminated under various scenarios, or a change of control had occurred, on December 31, 2020. Due to the number of factors that affect the nature and amount of any benefits under the various scenarios, actual amounts paid or distributed may be different. </w:t>
      </w:r>
    </w:p>
    <w:p>
      <w:pPr>
        <w:pStyle w:val="TextBody"/>
        <w:jc w:val="center"/>
        <w:rPr>
          <w:rFonts w:ascii="arial" w:hAnsi="arial"/>
          <w:sz w:val="20"/>
        </w:rPr>
      </w:pPr>
      <w:r>
        <w:rPr>
          <w:rFonts w:ascii="arial" w:hAnsi="arial"/>
          <w:sz w:val="20"/>
        </w:rPr>
        <w:t>66</w:t>
      </w:r>
    </w:p>
    <w:p>
      <w:pPr>
        <w:pStyle w:val="HorizontalLine"/>
        <w:pBdr>
          <w:bottom w:val="single" w:sz="20" w:space="0" w:color="808080"/>
        </w:pBdr>
        <w:rPr/>
      </w:pPr>
      <w:r>
        <w:rPr/>
      </w:r>
      <w:r>
        <w:br w:type="page"/>
      </w:r>
    </w:p>
    <w:p>
      <w:pPr>
        <w:pStyle w:val="TextBody"/>
        <w:rPr/>
      </w:pPr>
      <w:hyperlink w:anchor="bg45301a_main_toc">
        <w:bookmarkStart w:id="122" w:name="page_ea45301_1_67"/>
        <w:bookmarkEnd w:id="122"/>
        <w:r>
          <w:rPr>
            <w:rStyle w:val="InternetLink"/>
            <w:rFonts w:ascii="arial" w:hAnsi="arial"/>
            <w:sz w:val="20"/>
          </w:rPr>
          <w:t>Table of Contents</w:t>
        </w:r>
      </w:hyperlink>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3368"/>
        <w:gridCol w:w="100"/>
        <w:gridCol w:w="6737"/>
      </w:tblGrid>
      <w:tr>
        <w:trPr/>
        <w:tc>
          <w:tcPr>
            <w:tcW w:w="3368" w:type="dxa"/>
            <w:tcBorders/>
            <w:shd w:fill="auto" w:val="clear"/>
            <w:vAlign w:val="center"/>
          </w:tcPr>
          <w:p>
            <w:pPr>
              <w:pStyle w:val="TableContents"/>
              <w:spacing w:before="0" w:after="283"/>
              <w:rPr/>
            </w:pPr>
            <w:r>
              <w:rPr/>
              <w:commentReference w:id="255"/>
            </w:r>
            <w:r>
              <w:rPr/>
              <w:commentReference w:id="256"/>
            </w:r>
            <w:r>
              <w:rPr/>
              <w:commentReference w:id="257"/>
            </w:r>
            <w:r>
              <w:rPr/>
              <w:t>​</w:t>
            </w:r>
          </w:p>
        </w:tc>
        <w:tc>
          <w:tcPr>
            <w:tcW w:w="100" w:type="dxa"/>
            <w:tcBorders/>
            <w:shd w:fill="auto" w:val="clear"/>
            <w:vAlign w:val="center"/>
          </w:tcPr>
          <w:p>
            <w:pPr>
              <w:pStyle w:val="TableContents"/>
              <w:spacing w:before="0" w:after="283"/>
              <w:rPr/>
            </w:pPr>
            <w:r>
              <w:rPr/>
              <w:t>​</w:t>
            </w:r>
          </w:p>
        </w:tc>
        <w:tc>
          <w:tcPr>
            <w:tcW w:w="6737" w:type="dxa"/>
            <w:tcBorders/>
            <w:shd w:fill="auto" w:val="clear"/>
            <w:vAlign w:val="center"/>
          </w:tcPr>
          <w:p>
            <w:pPr>
              <w:pStyle w:val="TableContents"/>
              <w:spacing w:before="0" w:after="283"/>
              <w:rPr/>
            </w:pPr>
            <w:r>
              <w:rPr/>
              <w:t>​</w:t>
            </w:r>
            <w:r>
              <w:rPr>
                <w:rFonts w:eastAsia="arial" w:cs="arial" w:ascii="arial" w:hAnsi="arial"/>
              </w:rPr>
              <w:commentReference w:id="258"/>
            </w:r>
          </w:p>
        </w:tc>
      </w:tr>
      <w:tr>
        <w:trPr/>
        <w:tc>
          <w:tcPr>
            <w:tcW w:w="3368" w:type="dxa"/>
            <w:tcBorders/>
            <w:shd w:fill="auto" w:val="clear"/>
          </w:tcPr>
          <w:p>
            <w:pPr>
              <w:pStyle w:val="TableContents"/>
              <w:rPr/>
            </w:pPr>
            <w:r>
              <w:rPr/>
              <w:t>​</w:t>
            </w:r>
          </w:p>
          <w:p>
            <w:pPr>
              <w:pStyle w:val="TableContents"/>
              <w:spacing w:before="0" w:after="283"/>
              <w:rPr/>
            </w:pPr>
            <w:r>
              <w:rPr/>
              <w:t> </w:t>
            </w:r>
          </w:p>
        </w:tc>
        <w:tc>
          <w:tcPr>
            <w:tcW w:w="100"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drawing>
                <wp:inline distT="0" distB="0" distL="0" distR="0">
                  <wp:extent cx="1971675" cy="1809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embed="rId99"/>
                          <a:stretch>
                            <a:fillRect/>
                          </a:stretch>
                        </pic:blipFill>
                        <pic:spPr bwMode="auto">
                          <a:xfrm>
                            <a:off x="0" y="0"/>
                            <a:ext cx="1971675" cy="180975"/>
                          </a:xfrm>
                          <a:prstGeom prst="rect">
                            <a:avLst/>
                          </a:prstGeom>
                        </pic:spPr>
                      </pic:pic>
                    </a:graphicData>
                  </a:graphic>
                </wp:inline>
              </w:drawing>
            </w:r>
            <w:r>
              <w:rPr/>
              <w:t xml:space="preserve"> </w:t>
            </w:r>
          </w:p>
        </w:tc>
      </w:tr>
      <w:tr>
        <w:trPr/>
        <w:tc>
          <w:tcPr>
            <w:tcW w:w="3368" w:type="dxa"/>
            <w:tcBorders/>
            <w:shd w:fill="auto" w:val="clear"/>
          </w:tcPr>
          <w:p>
            <w:pPr>
              <w:pStyle w:val="TableContents"/>
              <w:rPr/>
            </w:pPr>
            <w:r>
              <w:rPr/>
              <w:t>​</w:t>
            </w:r>
          </w:p>
          <w:p>
            <w:pPr>
              <w:pStyle w:val="TableContents"/>
              <w:spacing w:before="0" w:after="283"/>
              <w:rPr/>
            </w:pPr>
            <w:r>
              <w:rPr/>
              <w:t> </w:t>
            </w:r>
          </w:p>
        </w:tc>
        <w:tc>
          <w:tcPr>
            <w:tcW w:w="100"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t> </w:t>
            </w:r>
          </w:p>
        </w:tc>
      </w:tr>
    </w:tbl>
    <w:p>
      <w:pPr>
        <w:pStyle w:val="TextBody"/>
        <w:rPr/>
      </w:pPr>
      <w:r>
        <w:rPr>
          <w:color w:val="000000"/>
        </w:rPr>
        <w:commentReference w:id="259"/>
      </w:r>
      <w:r>
        <w:rPr>
          <w:color w:val="000000"/>
        </w:rPr>
        <w:t>​</w:t>
      </w:r>
      <w:r>
        <w:rPr/>
        <w:t xml:space="preserve"> </w:t>
      </w:r>
    </w:p>
    <w:p>
      <w:pPr>
        <w:pStyle w:val="TextBody"/>
        <w:rPr>
          <w:rFonts w:ascii="arial" w:hAnsi="arial"/>
        </w:rPr>
      </w:pPr>
      <w:r>
        <w:rPr>
          <w:rFonts w:ascii="arial" w:hAnsi="arial"/>
          <w:sz w:val="20"/>
        </w:rPr>
        <w:t>As discussed above, our Chief Executive Officer and other Luxembourg based Named Executive Officers have entered into employment agreements with the Company. Under these agreements, if employment is terminated as a result of the Named Executive Officer's retirement or disability or termination without cause, as defined therein, the Company will pay all standard relocation costs to relocate the executive officer to the United States or to another location stipulated in the applicable employment agreement. If the Company terminates the employment of the Named Executive Officer other than for "Cause" ("</w:t>
      </w:r>
      <w:r>
        <w:rPr>
          <w:rFonts w:ascii="arial" w:hAnsi="arial"/>
          <w:i/>
          <w:sz w:val="20"/>
        </w:rPr>
        <w:t>motifs graves</w:t>
      </w:r>
      <w:r>
        <w:rPr>
          <w:rFonts w:ascii="arial" w:hAnsi="arial"/>
          <w:sz w:val="20"/>
        </w:rPr>
        <w:t xml:space="preserve">," as defined in L.124-10 of the Luxembourg Labor Code) and, in some instances, where employment is terminated for "Good Reason" (as defined in the applicable employment agreement) by the Named Executive Officer, the Company shall make a cash payment of between four (4) and twelve (12) months' base salary in addition to certain notice and additional payments as may be required under articles L.124-1 and L.124-7 of the Luxembourg Labor Code, provided that in the case of the Chief Executive Officer, the payment pursuant to L.124-7 is deemed to equal twelve months' base salary. In the case of the Chief Executive Officer the Company shall also pay at least one (1) year of target incentive compensation in such instance. Additionally, in the event that the Company terminates the employment of the Chief Executive Officer other than for "Cause" after October 1 of the service year and before incentives are paid for the respective service year, the Chief Executive Officer will be entitled to receive incentive compensation for such service year. If a Named Executive Officer is terminated by the Company for "Cause," the Company may terminate without notice and with no liability to make any further payment to such executive, other than amounts accrued and unpaid at the date of termination. </w:t>
      </w:r>
    </w:p>
    <w:p>
      <w:pPr>
        <w:pStyle w:val="TextBody"/>
        <w:rPr>
          <w:rFonts w:ascii="arial" w:hAnsi="arial"/>
          <w:sz w:val="20"/>
        </w:rPr>
      </w:pPr>
      <w:r>
        <w:rPr>
          <w:rFonts w:ascii="arial" w:hAnsi="arial"/>
          <w:sz w:val="20"/>
        </w:rPr>
        <w:t xml:space="preserve">With respect to stock options, typically, upon termination of a Named Executive Officer's employment other than for "Cause," as defined by the applicable stock option agreement, or by reason of resignation, the Named Executive Officer will be entitled to retain any vested portion of prior awards granted and any unvested market-based options for which the vesting hurdles have already been achieved. Typically, the Named Executive Officer's right to retain any options following termination of employment is subject to the requirement that he or she has been employed with the Company for a period of at least two (2) years. Upon termination of employment for "Cause," all vested and unvested stock options awarded pursuant to such agreement will be forfeited. </w:t>
      </w:r>
    </w:p>
    <w:p>
      <w:pPr>
        <w:pStyle w:val="TextBody"/>
        <w:rPr>
          <w:rFonts w:ascii="arial" w:hAnsi="arial"/>
        </w:rPr>
      </w:pPr>
      <w:r>
        <w:rPr>
          <w:rFonts w:ascii="arial" w:hAnsi="arial"/>
          <w:sz w:val="20"/>
        </w:rPr>
        <w:t xml:space="preserve">In addition, certain of the stock option agreements provide for accelerated vesting of service-based options. Typically, upon a Named Executive Officer's death, disability or, in some instances, retirement (as defined in the applicable stock option agreement), service-based options will immediately vest; provided however that, typically, the Named Executive Officer's right to the acceleration of options following termination of employment is subject to the requirement that he or she has been employed with the Company for a period of at least three (3) years in the case of retirement and two (2) years in other instances. Additionally, pursuant to certain of these agreements, if there is a change of control transaction ("Transaction"), the Compensation Committee may, </w:t>
      </w:r>
      <w:r>
        <w:rPr>
          <w:rFonts w:ascii="arial" w:hAnsi="arial"/>
          <w:i/>
          <w:sz w:val="20"/>
        </w:rPr>
        <w:t>inter alia</w:t>
      </w:r>
      <w:r>
        <w:rPr>
          <w:rFonts w:ascii="arial" w:hAnsi="arial"/>
          <w:sz w:val="20"/>
        </w:rPr>
        <w:t xml:space="preserve">, adjust the vesting conditions of the options in its discretion, which could result in the immediate vesting of some or all of the options. Under the terms of the stock option awards granted to our Named Executive Officers on and after April 15, 2015, in the event of a Transaction, a buyer will have the option to cancel the stock options in exchange for the stock options' intrinsic value or allow them to remain in place. Generally, for termination not due to death, disability or retirement, a Named Executive Officer has six (6) months within which to exercise vested stock options pursuant to our stock option agreements. </w:t>
      </w:r>
    </w:p>
    <w:p>
      <w:pPr>
        <w:pStyle w:val="TextBody"/>
        <w:rPr>
          <w:rFonts w:ascii="arial" w:hAnsi="arial"/>
          <w:sz w:val="20"/>
        </w:rPr>
      </w:pPr>
      <w:r>
        <w:rPr>
          <w:rFonts w:ascii="arial" w:hAnsi="arial"/>
          <w:sz w:val="20"/>
        </w:rPr>
        <w:t xml:space="preserve">With respect to restricted shares and RSUs granted to our Named Executive Officers, in some instances if the executive officer's employment is terminated due to death or disability, unvested restricted shares and RSUs shall immediately vest, subject to the requirement that such executive officer has been employed with the Company for a period of at least two (2) years on the date of death or disability. If the Named Executive Officer voluntarily resigns or his or her employment is terminated for "Cause," any unvested restricted shares and RSUs will be forfeited. In some cases, if the Company terminates a Named Executive </w:t>
      </w:r>
    </w:p>
    <w:p>
      <w:pPr>
        <w:pStyle w:val="TextBody"/>
        <w:jc w:val="center"/>
        <w:rPr>
          <w:rFonts w:ascii="arial" w:hAnsi="arial"/>
          <w:sz w:val="20"/>
        </w:rPr>
      </w:pPr>
      <w:r>
        <w:rPr>
          <w:rFonts w:ascii="arial" w:hAnsi="arial"/>
          <w:sz w:val="20"/>
        </w:rPr>
        <w:t>67</w:t>
      </w:r>
    </w:p>
    <w:p>
      <w:pPr>
        <w:pStyle w:val="HorizontalLine"/>
        <w:pBdr>
          <w:bottom w:val="single" w:sz="20" w:space="0" w:color="808080"/>
        </w:pBdr>
        <w:rPr/>
      </w:pPr>
      <w:r>
        <w:rPr/>
      </w:r>
      <w:r>
        <w:br w:type="page"/>
      </w:r>
    </w:p>
    <w:p>
      <w:pPr>
        <w:pStyle w:val="TextBody"/>
        <w:rPr/>
      </w:pPr>
      <w:hyperlink w:anchor="bg45301a_main_toc">
        <w:bookmarkStart w:id="123" w:name="page_ea45301_1_68"/>
        <w:bookmarkEnd w:id="123"/>
        <w:r>
          <w:rPr>
            <w:rStyle w:val="InternetLink"/>
            <w:rFonts w:ascii="arial" w:hAnsi="arial"/>
            <w:sz w:val="20"/>
          </w:rPr>
          <w:t>Table of Contents</w:t>
        </w:r>
      </w:hyperlink>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3368"/>
        <w:gridCol w:w="100"/>
        <w:gridCol w:w="6737"/>
      </w:tblGrid>
      <w:tr>
        <w:trPr/>
        <w:tc>
          <w:tcPr>
            <w:tcW w:w="3368" w:type="dxa"/>
            <w:tcBorders/>
            <w:shd w:fill="auto" w:val="clear"/>
            <w:vAlign w:val="center"/>
          </w:tcPr>
          <w:p>
            <w:pPr>
              <w:pStyle w:val="TableContents"/>
              <w:spacing w:before="0" w:after="283"/>
              <w:rPr/>
            </w:pPr>
            <w:r>
              <w:rPr/>
              <w:commentReference w:id="260"/>
            </w:r>
            <w:r>
              <w:rPr/>
              <w:commentReference w:id="261"/>
            </w:r>
            <w:r>
              <w:rPr/>
              <w:commentReference w:id="262"/>
            </w:r>
            <w:r>
              <w:rPr/>
              <w:t>​</w:t>
            </w:r>
          </w:p>
        </w:tc>
        <w:tc>
          <w:tcPr>
            <w:tcW w:w="100" w:type="dxa"/>
            <w:tcBorders/>
            <w:shd w:fill="auto" w:val="clear"/>
            <w:vAlign w:val="center"/>
          </w:tcPr>
          <w:p>
            <w:pPr>
              <w:pStyle w:val="TableContents"/>
              <w:spacing w:before="0" w:after="283"/>
              <w:rPr/>
            </w:pPr>
            <w:r>
              <w:rPr/>
              <w:t>​</w:t>
            </w:r>
          </w:p>
        </w:tc>
        <w:tc>
          <w:tcPr>
            <w:tcW w:w="6737" w:type="dxa"/>
            <w:tcBorders/>
            <w:shd w:fill="auto" w:val="clear"/>
            <w:vAlign w:val="center"/>
          </w:tcPr>
          <w:p>
            <w:pPr>
              <w:pStyle w:val="TableContents"/>
              <w:spacing w:before="0" w:after="283"/>
              <w:rPr/>
            </w:pPr>
            <w:r>
              <w:rPr/>
              <w:t>​</w:t>
            </w:r>
            <w:r>
              <w:rPr>
                <w:rFonts w:eastAsia="arial" w:cs="arial" w:ascii="arial" w:hAnsi="arial"/>
              </w:rPr>
              <w:commentReference w:id="263"/>
            </w:r>
          </w:p>
        </w:tc>
      </w:tr>
      <w:tr>
        <w:trPr/>
        <w:tc>
          <w:tcPr>
            <w:tcW w:w="3368" w:type="dxa"/>
            <w:tcBorders/>
            <w:shd w:fill="auto" w:val="clear"/>
          </w:tcPr>
          <w:p>
            <w:pPr>
              <w:pStyle w:val="TableContents"/>
              <w:rPr/>
            </w:pPr>
            <w:r>
              <w:rPr/>
              <w:t>​</w:t>
            </w:r>
          </w:p>
          <w:p>
            <w:pPr>
              <w:pStyle w:val="TableContents"/>
              <w:spacing w:before="0" w:after="283"/>
              <w:rPr/>
            </w:pPr>
            <w:r>
              <w:rPr/>
              <w:t> </w:t>
            </w:r>
          </w:p>
        </w:tc>
        <w:tc>
          <w:tcPr>
            <w:tcW w:w="100"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drawing>
                <wp:inline distT="0" distB="0" distL="0" distR="0">
                  <wp:extent cx="1971675" cy="1809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embed="rId100"/>
                          <a:stretch>
                            <a:fillRect/>
                          </a:stretch>
                        </pic:blipFill>
                        <pic:spPr bwMode="auto">
                          <a:xfrm>
                            <a:off x="0" y="0"/>
                            <a:ext cx="1971675" cy="180975"/>
                          </a:xfrm>
                          <a:prstGeom prst="rect">
                            <a:avLst/>
                          </a:prstGeom>
                        </pic:spPr>
                      </pic:pic>
                    </a:graphicData>
                  </a:graphic>
                </wp:inline>
              </w:drawing>
            </w:r>
            <w:r>
              <w:rPr/>
              <w:t xml:space="preserve"> </w:t>
            </w:r>
          </w:p>
        </w:tc>
      </w:tr>
      <w:tr>
        <w:trPr/>
        <w:tc>
          <w:tcPr>
            <w:tcW w:w="3368" w:type="dxa"/>
            <w:tcBorders/>
            <w:shd w:fill="auto" w:val="clear"/>
          </w:tcPr>
          <w:p>
            <w:pPr>
              <w:pStyle w:val="TableContents"/>
              <w:rPr/>
            </w:pPr>
            <w:r>
              <w:rPr/>
              <w:t>​</w:t>
            </w:r>
          </w:p>
          <w:p>
            <w:pPr>
              <w:pStyle w:val="TableContents"/>
              <w:spacing w:before="0" w:after="283"/>
              <w:rPr/>
            </w:pPr>
            <w:r>
              <w:rPr/>
              <w:t> </w:t>
            </w:r>
          </w:p>
        </w:tc>
        <w:tc>
          <w:tcPr>
            <w:tcW w:w="100"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t> </w:t>
            </w:r>
          </w:p>
        </w:tc>
      </w:tr>
    </w:tbl>
    <w:p>
      <w:pPr>
        <w:pStyle w:val="TextBody"/>
        <w:rPr/>
      </w:pPr>
      <w:r>
        <w:rPr>
          <w:color w:val="000000"/>
        </w:rPr>
        <w:commentReference w:id="264"/>
      </w:r>
      <w:r>
        <w:rPr>
          <w:color w:val="000000"/>
        </w:rPr>
        <w:t>​</w:t>
      </w:r>
      <w:r>
        <w:rPr/>
        <w:t xml:space="preserve"> </w:t>
      </w:r>
    </w:p>
    <w:p>
      <w:pPr>
        <w:pStyle w:val="TextBody"/>
        <w:rPr>
          <w:rFonts w:ascii="arial" w:hAnsi="arial"/>
          <w:sz w:val="20"/>
        </w:rPr>
      </w:pPr>
      <w:r>
        <w:rPr>
          <w:rFonts w:ascii="arial" w:hAnsi="arial"/>
          <w:sz w:val="20"/>
        </w:rPr>
        <w:t xml:space="preserve">Officer's employment for reasons other than "Cause," as defined by the applicable award agreement, certain unvested restricted shares and RSUs will vest after thirty (30) days of such termination. In addition, certain restricted share and RSU awards provide for the vesting of unvested restricted shares and RSUs in the event of a Transaction. </w:t>
      </w:r>
    </w:p>
    <w:p>
      <w:pPr>
        <w:pStyle w:val="TextBody"/>
        <w:rPr>
          <w:rFonts w:ascii="arial" w:hAnsi="arial"/>
          <w:sz w:val="20"/>
        </w:rPr>
      </w:pPr>
      <w:r>
        <w:rPr>
          <w:rFonts w:ascii="arial" w:hAnsi="arial"/>
          <w:sz w:val="20"/>
        </w:rPr>
        <w:t xml:space="preserve">Except as specified above, any portion of an equity award not vested will generally be forfeited unless alternate arrangements are made at the discretion of the Compensation Committee. </w:t>
      </w:r>
    </w:p>
    <w:p>
      <w:pPr>
        <w:pStyle w:val="TextBody"/>
        <w:rPr>
          <w:rFonts w:ascii="arial" w:hAnsi="arial"/>
          <w:sz w:val="20"/>
        </w:rPr>
      </w:pPr>
      <w:r>
        <w:rPr>
          <w:rFonts w:ascii="arial" w:hAnsi="arial"/>
          <w:sz w:val="20"/>
        </w:rPr>
        <w:t xml:space="preserve">The following table estimates and summarizes the potential payments and benefits that each of our Named Executive Officers employed by the Company as an executive officer as of December 31, 2020 would have received if their employment had been terminated on December 31, 2020 under each of the circumstances described below, excluding benefits ordinarily available to all employees (such as benefits mandated by Luxembourg law) and any relocation benefits that may be provided in connection with such termination. Mr. Wilcox is not addressed in this section or the table since his employment with the Company ended in April 2020 and he was paid applicable severance pursuant to his Separation Agreement. </w:t>
      </w:r>
    </w:p>
    <w:tbl>
      <w:tblPr>
        <w:tblW w:w="5000" w:type="pct"/>
        <w:jc w:val="center"/>
        <w:tblInd w:w="0" w:type="dxa"/>
        <w:tblCellMar>
          <w:top w:w="0" w:type="dxa"/>
          <w:left w:w="0" w:type="dxa"/>
          <w:bottom w:w="0" w:type="dxa"/>
          <w:right w:w="0" w:type="dxa"/>
        </w:tblCellMar>
      </w:tblPr>
      <w:tblGrid>
        <w:gridCol w:w="6563"/>
        <w:gridCol w:w="23"/>
        <w:gridCol w:w="110"/>
        <w:gridCol w:w="740"/>
        <w:gridCol w:w="125"/>
        <w:gridCol w:w="24"/>
        <w:gridCol w:w="110"/>
        <w:gridCol w:w="605"/>
        <w:gridCol w:w="125"/>
        <w:gridCol w:w="23"/>
        <w:gridCol w:w="140"/>
        <w:gridCol w:w="605"/>
        <w:gridCol w:w="125"/>
        <w:gridCol w:w="23"/>
        <w:gridCol w:w="110"/>
        <w:gridCol w:w="605"/>
        <w:gridCol w:w="125"/>
        <w:gridCol w:w="24"/>
      </w:tblGrid>
      <w:tr>
        <w:trPr/>
        <w:tc>
          <w:tcPr>
            <w:tcW w:w="656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4"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4" w:type="dxa"/>
            <w:tcBorders/>
            <w:shd w:fill="auto" w:val="clear"/>
            <w:vAlign w:val="center"/>
          </w:tcPr>
          <w:p>
            <w:pPr>
              <w:pStyle w:val="TableContents"/>
              <w:spacing w:before="0" w:after="283"/>
              <w:rPr>
                <w:sz w:val="4"/>
                <w:szCs w:val="4"/>
              </w:rPr>
            </w:pPr>
            <w:r>
              <w:rPr>
                <w:sz w:val="4"/>
                <w:szCs w:val="4"/>
              </w:rPr>
            </w:r>
          </w:p>
        </w:tc>
      </w:tr>
      <w:tr>
        <w:trPr/>
        <w:tc>
          <w:tcPr>
            <w:tcW w:w="6563" w:type="dxa"/>
            <w:tcBorders/>
            <w:shd w:fill="auto" w:val="clear"/>
            <w:vAlign w:val="bottom"/>
          </w:tcPr>
          <w:p>
            <w:pPr>
              <w:pStyle w:val="TableHeading"/>
              <w:spacing w:lineRule="atLeast" w:line="180" w:before="0" w:after="283"/>
              <w:jc w:val="left"/>
              <w:rPr/>
            </w:pPr>
            <w:r>
              <w:rPr/>
              <w:t> </w:t>
            </w:r>
          </w:p>
        </w:tc>
        <w:tc>
          <w:tcPr>
            <w:tcW w:w="23" w:type="dxa"/>
            <w:tcBorders/>
            <w:shd w:fill="auto" w:val="clear"/>
            <w:vAlign w:val="bottom"/>
          </w:tcPr>
          <w:p>
            <w:pPr>
              <w:pStyle w:val="TableHeading"/>
              <w:spacing w:lineRule="atLeast" w:line="180" w:before="0" w:after="283"/>
              <w:rPr/>
            </w:pPr>
            <w:r>
              <w:rPr/>
              <w:t>​</w:t>
            </w:r>
          </w:p>
        </w:tc>
        <w:tc>
          <w:tcPr>
            <w:tcW w:w="850" w:type="dxa"/>
            <w:gridSpan w:val="2"/>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William B.</w:t>
              <w:br/>
              <w:t xml:space="preserve">Shepro </w:t>
            </w:r>
          </w:p>
        </w:tc>
        <w:tc>
          <w:tcPr>
            <w:tcW w:w="125" w:type="dxa"/>
            <w:tcBorders/>
            <w:shd w:fill="auto" w:val="clear"/>
            <w:vAlign w:val="bottom"/>
          </w:tcPr>
          <w:p>
            <w:pPr>
              <w:pStyle w:val="TableHeading"/>
              <w:spacing w:lineRule="atLeast" w:line="180" w:before="0" w:after="283"/>
              <w:rPr/>
            </w:pPr>
            <w:r>
              <w:rPr/>
              <w:t>​</w:t>
            </w:r>
          </w:p>
        </w:tc>
        <w:tc>
          <w:tcPr>
            <w:tcW w:w="864" w:type="dxa"/>
            <w:gridSpan w:val="4"/>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Michelle D.</w:t>
              <w:br/>
              <w:t xml:space="preserve">Esterman </w:t>
            </w:r>
          </w:p>
        </w:tc>
        <w:tc>
          <w:tcPr>
            <w:tcW w:w="23" w:type="dxa"/>
            <w:tcBorders/>
            <w:shd w:fill="auto" w:val="clear"/>
            <w:vAlign w:val="bottom"/>
          </w:tcPr>
          <w:p>
            <w:pPr>
              <w:pStyle w:val="TableHeading"/>
              <w:spacing w:lineRule="atLeast" w:line="180" w:before="0" w:after="283"/>
              <w:rPr/>
            </w:pPr>
            <w:r>
              <w:rPr/>
              <w:t>​</w:t>
            </w:r>
          </w:p>
        </w:tc>
        <w:tc>
          <w:tcPr>
            <w:tcW w:w="745" w:type="dxa"/>
            <w:gridSpan w:val="2"/>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Marcello</w:t>
              <w:br/>
              <w:t xml:space="preserve">Mastioni </w:t>
            </w:r>
          </w:p>
        </w:tc>
        <w:tc>
          <w:tcPr>
            <w:tcW w:w="125" w:type="dxa"/>
            <w:tcBorders/>
            <w:shd w:fill="auto" w:val="clear"/>
            <w:vAlign w:val="bottom"/>
          </w:tcPr>
          <w:p>
            <w:pPr>
              <w:pStyle w:val="TableHeading"/>
              <w:spacing w:lineRule="atLeast" w:line="180" w:before="0" w:after="283"/>
              <w:rPr/>
            </w:pPr>
            <w:r>
              <w:rPr/>
              <w:t>​</w:t>
            </w:r>
          </w:p>
        </w:tc>
        <w:tc>
          <w:tcPr>
            <w:tcW w:w="863" w:type="dxa"/>
            <w:gridSpan w:val="4"/>
            <w:tcBorders>
              <w:bottom w:val="single" w:sz="8" w:space="0" w:color="000000"/>
            </w:tcBorders>
            <w:shd w:fill="auto" w:val="clear"/>
            <w:tcMar>
              <w:bottom w:w="28" w:type="dxa"/>
            </w:tcMar>
            <w:vAlign w:val="bottom"/>
          </w:tcPr>
          <w:p>
            <w:pPr>
              <w:pStyle w:val="TableHeading"/>
              <w:spacing w:lineRule="atLeast" w:line="180" w:before="0" w:after="283"/>
              <w:jc w:val="center"/>
              <w:rPr>
                <w:rFonts w:ascii="arial" w:hAnsi="arial"/>
                <w:b/>
                <w:sz w:val="16"/>
              </w:rPr>
            </w:pPr>
            <w:r>
              <w:rPr>
                <w:rFonts w:ascii="arial" w:hAnsi="arial"/>
                <w:b/>
                <w:sz w:val="16"/>
              </w:rPr>
              <w:t>Gregory J.</w:t>
              <w:br/>
              <w:t xml:space="preserve">Ritts </w:t>
            </w:r>
          </w:p>
        </w:tc>
        <w:tc>
          <w:tcPr>
            <w:tcW w:w="24" w:type="dxa"/>
            <w:tcBorders/>
            <w:shd w:fill="auto" w:val="clear"/>
            <w:vAlign w:val="bottom"/>
          </w:tcPr>
          <w:p>
            <w:pPr>
              <w:pStyle w:val="TableHeading"/>
              <w:spacing w:lineRule="atLeast" w:line="180" w:before="0" w:after="283"/>
              <w:rPr/>
            </w:pPr>
            <w:r>
              <w:rPr/>
              <w:t>​</w:t>
            </w:r>
          </w:p>
        </w:tc>
      </w:tr>
      <w:tr>
        <w:trPr/>
        <w:tc>
          <w:tcPr>
            <w:tcW w:w="6563" w:type="dxa"/>
            <w:tcBorders/>
            <w:shd w:fill="CCEEFF" w:val="clear"/>
            <w:vAlign w:val="bottom"/>
          </w:tcPr>
          <w:p>
            <w:pPr>
              <w:pStyle w:val="TableContents"/>
              <w:spacing w:lineRule="atLeast" w:line="180" w:before="0" w:after="283"/>
              <w:ind w:left="160" w:right="0" w:hanging="160"/>
              <w:rPr>
                <w:rFonts w:ascii="arial" w:hAnsi="arial"/>
                <w:b/>
                <w:sz w:val="16"/>
              </w:rPr>
            </w:pPr>
            <w:r>
              <w:rPr>
                <w:rFonts w:ascii="arial" w:hAnsi="arial"/>
                <w:b/>
                <w:sz w:val="16"/>
              </w:rPr>
              <w:t>Death or Disability</w:t>
            </w:r>
          </w:p>
        </w:tc>
        <w:tc>
          <w:tcPr>
            <w:tcW w:w="23" w:type="dxa"/>
            <w:tcBorders/>
            <w:shd w:fill="CCEEFF" w:val="clear"/>
            <w:vAlign w:val="bottom"/>
          </w:tcPr>
          <w:p>
            <w:pPr>
              <w:pStyle w:val="TableContents"/>
              <w:spacing w:lineRule="atLeast" w:line="180" w:before="0" w:after="283"/>
              <w:rPr/>
            </w:pPr>
            <w:r>
              <w:rPr/>
              <w:t>​</w:t>
            </w:r>
          </w:p>
        </w:tc>
        <w:tc>
          <w:tcPr>
            <w:tcW w:w="850" w:type="dxa"/>
            <w:gridSpan w:val="2"/>
            <w:tcBorders/>
            <w:shd w:fill="CCEEFF" w:val="clear"/>
            <w:vAlign w:val="bottom"/>
          </w:tcPr>
          <w:p>
            <w:pPr>
              <w:pStyle w:val="TableContents"/>
              <w:spacing w:lineRule="atLeast" w:line="180" w:before="0" w:after="283"/>
              <w:jc w:val="right"/>
              <w:rPr/>
            </w:pPr>
            <w:r>
              <w:rPr/>
              <w:t> </w:t>
            </w:r>
          </w:p>
        </w:tc>
        <w:tc>
          <w:tcPr>
            <w:tcW w:w="125" w:type="dxa"/>
            <w:tcBorders/>
            <w:shd w:fill="CCEEFF" w:val="clear"/>
            <w:vAlign w:val="bottom"/>
          </w:tcPr>
          <w:p>
            <w:pPr>
              <w:pStyle w:val="TableContents"/>
              <w:spacing w:lineRule="atLeast" w:line="180" w:before="0" w:after="283"/>
              <w:rPr/>
            </w:pPr>
            <w:r>
              <w:rPr/>
              <w:t>​</w:t>
            </w:r>
          </w:p>
        </w:tc>
        <w:tc>
          <w:tcPr>
            <w:tcW w:w="24" w:type="dxa"/>
            <w:tcBorders/>
            <w:shd w:fill="CCEEFF" w:val="clear"/>
            <w:vAlign w:val="bottom"/>
          </w:tcPr>
          <w:p>
            <w:pPr>
              <w:pStyle w:val="TableContents"/>
              <w:spacing w:lineRule="atLeast" w:line="180" w:before="0" w:after="283"/>
              <w:rPr/>
            </w:pPr>
            <w:r>
              <w:rPr/>
              <w:t>​</w:t>
            </w:r>
          </w:p>
        </w:tc>
        <w:tc>
          <w:tcPr>
            <w:tcW w:w="715" w:type="dxa"/>
            <w:gridSpan w:val="2"/>
            <w:tcBorders/>
            <w:shd w:fill="CCEEFF" w:val="clear"/>
            <w:vAlign w:val="bottom"/>
          </w:tcPr>
          <w:p>
            <w:pPr>
              <w:pStyle w:val="TableContents"/>
              <w:spacing w:lineRule="atLeast" w:line="180" w:before="0" w:after="283"/>
              <w:jc w:val="right"/>
              <w:rPr/>
            </w:pPr>
            <w:r>
              <w:rPr/>
              <w:t> </w:t>
            </w:r>
          </w:p>
        </w:tc>
        <w:tc>
          <w:tcPr>
            <w:tcW w:w="1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745" w:type="dxa"/>
            <w:gridSpan w:val="2"/>
            <w:tcBorders/>
            <w:shd w:fill="CCEEFF" w:val="clear"/>
            <w:vAlign w:val="bottom"/>
          </w:tcPr>
          <w:p>
            <w:pPr>
              <w:pStyle w:val="TableContents"/>
              <w:spacing w:lineRule="atLeast" w:line="180" w:before="0" w:after="283"/>
              <w:jc w:val="right"/>
              <w:rPr/>
            </w:pPr>
            <w:r>
              <w:rPr/>
              <w:t> </w:t>
            </w:r>
          </w:p>
        </w:tc>
        <w:tc>
          <w:tcPr>
            <w:tcW w:w="1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715" w:type="dxa"/>
            <w:gridSpan w:val="2"/>
            <w:tcBorders/>
            <w:shd w:fill="CCEEFF" w:val="clear"/>
            <w:vAlign w:val="bottom"/>
          </w:tcPr>
          <w:p>
            <w:pPr>
              <w:pStyle w:val="TableContents"/>
              <w:spacing w:lineRule="atLeast" w:line="180" w:before="0" w:after="283"/>
              <w:jc w:val="right"/>
              <w:rPr/>
            </w:pPr>
            <w:r>
              <w:rPr/>
              <w:t> </w:t>
            </w:r>
          </w:p>
        </w:tc>
        <w:tc>
          <w:tcPr>
            <w:tcW w:w="125" w:type="dxa"/>
            <w:tcBorders/>
            <w:shd w:fill="CCEEFF" w:val="clear"/>
            <w:vAlign w:val="bottom"/>
          </w:tcPr>
          <w:p>
            <w:pPr>
              <w:pStyle w:val="TableContents"/>
              <w:spacing w:lineRule="atLeast" w:line="180" w:before="0" w:after="283"/>
              <w:rPr/>
            </w:pPr>
            <w:r>
              <w:rPr/>
              <w:t>​</w:t>
            </w:r>
          </w:p>
        </w:tc>
        <w:tc>
          <w:tcPr>
            <w:tcW w:w="24" w:type="dxa"/>
            <w:tcBorders/>
            <w:shd w:fill="CCEEFF" w:val="clear"/>
            <w:vAlign w:val="bottom"/>
          </w:tcPr>
          <w:p>
            <w:pPr>
              <w:pStyle w:val="TableContents"/>
              <w:spacing w:lineRule="atLeast" w:line="180" w:before="0" w:after="283"/>
              <w:rPr/>
            </w:pPr>
            <w:r>
              <w:rPr/>
              <w:t>​</w:t>
            </w:r>
          </w:p>
        </w:tc>
      </w:tr>
      <w:tr>
        <w:trPr/>
        <w:tc>
          <w:tcPr>
            <w:tcW w:w="6563" w:type="dxa"/>
            <w:tcBorders/>
            <w:shd w:fill="FFFFFF" w:val="clear"/>
            <w:vAlign w:val="bottom"/>
          </w:tcPr>
          <w:p>
            <w:pPr>
              <w:pStyle w:val="TableContents"/>
              <w:spacing w:lineRule="atLeast" w:line="180" w:before="0" w:after="283"/>
              <w:ind w:left="480" w:right="0" w:hanging="160"/>
              <w:rPr>
                <w:rFonts w:ascii="arial" w:hAnsi="arial"/>
                <w:sz w:val="16"/>
              </w:rPr>
            </w:pPr>
            <w:r>
              <w:rPr>
                <w:rFonts w:ascii="arial" w:hAnsi="arial"/>
                <w:sz w:val="16"/>
              </w:rPr>
              <w:t>Accelerated vesting of options, RSUs and restricted shares</w:t>
            </w:r>
          </w:p>
        </w:tc>
        <w:tc>
          <w:tcPr>
            <w:tcW w:w="23" w:type="dxa"/>
            <w:tcBorders/>
            <w:shd w:fill="FFFFFF" w:val="clear"/>
            <w:vAlign w:val="bottom"/>
          </w:tcPr>
          <w:p>
            <w:pPr>
              <w:pStyle w:val="TableContents"/>
              <w:spacing w:lineRule="atLeast" w:line="180" w:before="0" w:after="283"/>
              <w:rPr/>
            </w:pPr>
            <w:r>
              <w:rPr/>
              <w:t>​</w:t>
            </w:r>
          </w:p>
        </w:tc>
        <w:tc>
          <w:tcPr>
            <w:tcW w:w="110" w:type="dxa"/>
            <w:tcBorders/>
            <w:shd w:fill="FFFFFF" w:val="clear"/>
            <w:vAlign w:val="bottom"/>
          </w:tcPr>
          <w:p>
            <w:pPr>
              <w:pStyle w:val="TableContents"/>
              <w:spacing w:lineRule="atLeast" w:line="180" w:before="0" w:after="283"/>
              <w:rPr>
                <w:rFonts w:ascii="arial" w:hAnsi="arial"/>
                <w:sz w:val="16"/>
              </w:rPr>
            </w:pPr>
            <w:r>
              <w:rPr>
                <w:rFonts w:ascii="arial" w:hAnsi="arial"/>
                <w:sz w:val="16"/>
              </w:rPr>
              <w:t>$</w:t>
            </w:r>
          </w:p>
        </w:tc>
        <w:tc>
          <w:tcPr>
            <w:tcW w:w="740" w:type="dxa"/>
            <w:tcBorders/>
            <w:shd w:fill="FFFFFF" w:val="clear"/>
            <w:vAlign w:val="bottom"/>
          </w:tcPr>
          <w:p>
            <w:pPr>
              <w:pStyle w:val="TableContents"/>
              <w:spacing w:lineRule="atLeast" w:line="180" w:before="0" w:after="283"/>
              <w:jc w:val="right"/>
              <w:rPr>
                <w:rFonts w:ascii="arial" w:hAnsi="arial"/>
                <w:sz w:val="16"/>
              </w:rPr>
            </w:pPr>
            <w:r>
              <w:rPr>
                <w:rFonts w:ascii="arial" w:hAnsi="arial"/>
                <w:sz w:val="16"/>
              </w:rPr>
              <w:t>1,880,377</w:t>
            </w:r>
          </w:p>
        </w:tc>
        <w:tc>
          <w:tcPr>
            <w:tcW w:w="125" w:type="dxa"/>
            <w:tcBorders/>
            <w:shd w:fill="FFFFFF" w:val="clear"/>
            <w:vAlign w:val="bottom"/>
          </w:tcPr>
          <w:p>
            <w:pPr>
              <w:pStyle w:val="TableContents"/>
              <w:spacing w:lineRule="atLeast" w:line="180" w:before="0" w:after="283"/>
              <w:rPr>
                <w:rFonts w:ascii="arial" w:hAnsi="arial"/>
                <w:sz w:val="12"/>
              </w:rPr>
            </w:pPr>
            <w:r>
              <w:rPr>
                <w:rFonts w:ascii="arial" w:hAnsi="arial"/>
                <w:sz w:val="12"/>
              </w:rPr>
              <w:t>(1)</w:t>
            </w:r>
          </w:p>
        </w:tc>
        <w:tc>
          <w:tcPr>
            <w:tcW w:w="24" w:type="dxa"/>
            <w:tcBorders/>
            <w:shd w:fill="FFFFFF" w:val="clear"/>
            <w:vAlign w:val="bottom"/>
          </w:tcPr>
          <w:p>
            <w:pPr>
              <w:pStyle w:val="TableContents"/>
              <w:spacing w:lineRule="atLeast" w:line="180" w:before="0" w:after="283"/>
              <w:rPr/>
            </w:pPr>
            <w:r>
              <w:rPr/>
              <w:t>​</w:t>
            </w:r>
          </w:p>
        </w:tc>
        <w:tc>
          <w:tcPr>
            <w:tcW w:w="110" w:type="dxa"/>
            <w:tcBorders/>
            <w:shd w:fill="FFFFFF" w:val="clear"/>
            <w:vAlign w:val="bottom"/>
          </w:tcPr>
          <w:p>
            <w:pPr>
              <w:pStyle w:val="TableContents"/>
              <w:spacing w:lineRule="atLeast" w:line="180" w:before="0" w:after="283"/>
              <w:rPr>
                <w:rFonts w:ascii="arial" w:hAnsi="arial"/>
                <w:sz w:val="16"/>
              </w:rPr>
            </w:pPr>
            <w:r>
              <w:rPr>
                <w:rFonts w:ascii="arial" w:hAnsi="arial"/>
                <w:sz w:val="16"/>
              </w:rPr>
              <w:t>$</w:t>
            </w:r>
          </w:p>
        </w:tc>
        <w:tc>
          <w:tcPr>
            <w:tcW w:w="605" w:type="dxa"/>
            <w:tcBorders/>
            <w:shd w:fill="FFFFFF" w:val="clear"/>
            <w:vAlign w:val="bottom"/>
          </w:tcPr>
          <w:p>
            <w:pPr>
              <w:pStyle w:val="TableContents"/>
              <w:spacing w:lineRule="atLeast" w:line="180" w:before="0" w:after="283"/>
              <w:jc w:val="right"/>
              <w:rPr>
                <w:rFonts w:ascii="arial" w:hAnsi="arial"/>
                <w:sz w:val="16"/>
              </w:rPr>
            </w:pPr>
            <w:r>
              <w:rPr>
                <w:rFonts w:ascii="arial" w:hAnsi="arial"/>
                <w:sz w:val="16"/>
              </w:rPr>
              <w:t>541,978</w:t>
            </w:r>
          </w:p>
        </w:tc>
        <w:tc>
          <w:tcPr>
            <w:tcW w:w="125" w:type="dxa"/>
            <w:tcBorders/>
            <w:shd w:fill="FFFFFF" w:val="clear"/>
            <w:vAlign w:val="bottom"/>
          </w:tcPr>
          <w:p>
            <w:pPr>
              <w:pStyle w:val="TableContents"/>
              <w:spacing w:lineRule="atLeast" w:line="180" w:before="0" w:after="283"/>
              <w:rPr>
                <w:rFonts w:ascii="arial" w:hAnsi="arial"/>
                <w:sz w:val="12"/>
              </w:rPr>
            </w:pPr>
            <w:r>
              <w:rPr>
                <w:rFonts w:ascii="arial" w:hAnsi="arial"/>
                <w:sz w:val="12"/>
              </w:rPr>
              <w:t>(1)</w:t>
            </w:r>
          </w:p>
        </w:tc>
        <w:tc>
          <w:tcPr>
            <w:tcW w:w="23" w:type="dxa"/>
            <w:tcBorders/>
            <w:shd w:fill="FFFFFF" w:val="clear"/>
            <w:vAlign w:val="bottom"/>
          </w:tcPr>
          <w:p>
            <w:pPr>
              <w:pStyle w:val="TableContents"/>
              <w:spacing w:lineRule="atLeast" w:line="180" w:before="0" w:after="283"/>
              <w:rPr/>
            </w:pPr>
            <w:r>
              <w:rPr/>
              <w:t>​</w:t>
            </w:r>
          </w:p>
        </w:tc>
        <w:tc>
          <w:tcPr>
            <w:tcW w:w="140" w:type="dxa"/>
            <w:tcBorders/>
            <w:shd w:fill="FFFFFF" w:val="clear"/>
            <w:vAlign w:val="bottom"/>
          </w:tcPr>
          <w:p>
            <w:pPr>
              <w:pStyle w:val="TableContents"/>
              <w:spacing w:lineRule="atLeast" w:line="180" w:before="0" w:after="283"/>
              <w:rPr>
                <w:rFonts w:ascii="arial" w:hAnsi="arial"/>
                <w:sz w:val="16"/>
              </w:rPr>
            </w:pPr>
            <w:r>
              <w:rPr>
                <w:rFonts w:ascii="arial" w:hAnsi="arial"/>
                <w:sz w:val="16"/>
              </w:rPr>
              <w:t>$</w:t>
            </w:r>
          </w:p>
        </w:tc>
        <w:tc>
          <w:tcPr>
            <w:tcW w:w="605" w:type="dxa"/>
            <w:tcBorders/>
            <w:shd w:fill="FFFFFF" w:val="clear"/>
            <w:vAlign w:val="bottom"/>
          </w:tcPr>
          <w:p>
            <w:pPr>
              <w:pStyle w:val="TableContents"/>
              <w:spacing w:lineRule="atLeast" w:line="180" w:before="0" w:after="283"/>
              <w:jc w:val="right"/>
              <w:rPr>
                <w:rFonts w:ascii="arial" w:hAnsi="arial"/>
                <w:sz w:val="16"/>
              </w:rPr>
            </w:pPr>
            <w:r>
              <w:rPr>
                <w:rFonts w:ascii="arial" w:hAnsi="arial"/>
                <w:sz w:val="16"/>
              </w:rPr>
              <w:t>530,669</w:t>
            </w:r>
          </w:p>
        </w:tc>
        <w:tc>
          <w:tcPr>
            <w:tcW w:w="125" w:type="dxa"/>
            <w:tcBorders/>
            <w:shd w:fill="FFFFFF" w:val="clear"/>
            <w:vAlign w:val="bottom"/>
          </w:tcPr>
          <w:p>
            <w:pPr>
              <w:pStyle w:val="TableContents"/>
              <w:spacing w:lineRule="atLeast" w:line="180" w:before="0" w:after="283"/>
              <w:rPr>
                <w:rFonts w:ascii="arial" w:hAnsi="arial"/>
                <w:sz w:val="12"/>
              </w:rPr>
            </w:pPr>
            <w:r>
              <w:rPr>
                <w:rFonts w:ascii="arial" w:hAnsi="arial"/>
                <w:sz w:val="12"/>
              </w:rPr>
              <w:t>(1)</w:t>
            </w:r>
          </w:p>
        </w:tc>
        <w:tc>
          <w:tcPr>
            <w:tcW w:w="23" w:type="dxa"/>
            <w:tcBorders/>
            <w:shd w:fill="FFFFFF" w:val="clear"/>
            <w:vAlign w:val="bottom"/>
          </w:tcPr>
          <w:p>
            <w:pPr>
              <w:pStyle w:val="TableContents"/>
              <w:spacing w:lineRule="atLeast" w:line="180" w:before="0" w:after="283"/>
              <w:rPr/>
            </w:pPr>
            <w:r>
              <w:rPr/>
              <w:t>​</w:t>
            </w:r>
          </w:p>
        </w:tc>
        <w:tc>
          <w:tcPr>
            <w:tcW w:w="110" w:type="dxa"/>
            <w:tcBorders/>
            <w:shd w:fill="FFFFFF" w:val="clear"/>
            <w:vAlign w:val="bottom"/>
          </w:tcPr>
          <w:p>
            <w:pPr>
              <w:pStyle w:val="TableContents"/>
              <w:spacing w:lineRule="atLeast" w:line="180" w:before="0" w:after="283"/>
              <w:rPr>
                <w:rFonts w:ascii="arial" w:hAnsi="arial"/>
                <w:sz w:val="16"/>
              </w:rPr>
            </w:pPr>
            <w:r>
              <w:rPr>
                <w:rFonts w:ascii="arial" w:hAnsi="arial"/>
                <w:sz w:val="16"/>
              </w:rPr>
              <w:t>$</w:t>
            </w:r>
          </w:p>
        </w:tc>
        <w:tc>
          <w:tcPr>
            <w:tcW w:w="605" w:type="dxa"/>
            <w:tcBorders/>
            <w:shd w:fill="FFFFFF" w:val="clear"/>
            <w:vAlign w:val="bottom"/>
          </w:tcPr>
          <w:p>
            <w:pPr>
              <w:pStyle w:val="TableContents"/>
              <w:spacing w:lineRule="atLeast" w:line="180" w:before="0" w:after="283"/>
              <w:jc w:val="right"/>
              <w:rPr>
                <w:rFonts w:ascii="arial" w:hAnsi="arial"/>
                <w:sz w:val="16"/>
              </w:rPr>
            </w:pPr>
            <w:r>
              <w:rPr>
                <w:rFonts w:ascii="arial" w:hAnsi="arial"/>
                <w:sz w:val="16"/>
              </w:rPr>
              <w:t>351,418</w:t>
            </w:r>
          </w:p>
        </w:tc>
        <w:tc>
          <w:tcPr>
            <w:tcW w:w="125" w:type="dxa"/>
            <w:tcBorders/>
            <w:shd w:fill="FFFFFF" w:val="clear"/>
            <w:vAlign w:val="bottom"/>
          </w:tcPr>
          <w:p>
            <w:pPr>
              <w:pStyle w:val="TableContents"/>
              <w:spacing w:lineRule="atLeast" w:line="180" w:before="0" w:after="283"/>
              <w:rPr>
                <w:rFonts w:ascii="arial" w:hAnsi="arial"/>
                <w:sz w:val="12"/>
              </w:rPr>
            </w:pPr>
            <w:r>
              <w:rPr>
                <w:rFonts w:ascii="arial" w:hAnsi="arial"/>
                <w:sz w:val="12"/>
              </w:rPr>
              <w:t>(1)</w:t>
            </w:r>
          </w:p>
        </w:tc>
        <w:tc>
          <w:tcPr>
            <w:tcW w:w="24" w:type="dxa"/>
            <w:tcBorders/>
            <w:shd w:fill="FFFFFF" w:val="clear"/>
            <w:vAlign w:val="bottom"/>
          </w:tcPr>
          <w:p>
            <w:pPr>
              <w:pStyle w:val="TableContents"/>
              <w:spacing w:lineRule="atLeast" w:line="180" w:before="0" w:after="283"/>
              <w:rPr/>
            </w:pPr>
            <w:r>
              <w:rPr/>
              <w:t>​</w:t>
            </w:r>
          </w:p>
        </w:tc>
      </w:tr>
      <w:tr>
        <w:trPr/>
        <w:tc>
          <w:tcPr>
            <w:tcW w:w="6563" w:type="dxa"/>
            <w:tcBorders/>
            <w:shd w:fill="CCEEFF" w:val="clear"/>
            <w:vAlign w:val="bottom"/>
          </w:tcPr>
          <w:p>
            <w:pPr>
              <w:pStyle w:val="TableContents"/>
              <w:spacing w:lineRule="atLeast" w:line="180" w:before="180" w:after="283"/>
              <w:ind w:left="160" w:right="0" w:hanging="160"/>
              <w:rPr>
                <w:rFonts w:ascii="arial" w:hAnsi="arial"/>
                <w:b/>
                <w:sz w:val="16"/>
              </w:rPr>
            </w:pPr>
            <w:r>
              <w:rPr>
                <w:rFonts w:ascii="arial" w:hAnsi="arial"/>
                <w:b/>
                <w:sz w:val="16"/>
              </w:rPr>
              <w:t>Retirement by the Named Executive Officer</w:t>
            </w:r>
          </w:p>
        </w:tc>
        <w:tc>
          <w:tcPr>
            <w:tcW w:w="23" w:type="dxa"/>
            <w:tcBorders/>
            <w:shd w:fill="CCEEFF" w:val="clear"/>
            <w:vAlign w:val="bottom"/>
          </w:tcPr>
          <w:p>
            <w:pPr>
              <w:pStyle w:val="TableContents"/>
              <w:spacing w:lineRule="atLeast" w:line="180" w:before="0" w:after="283"/>
              <w:rPr/>
            </w:pPr>
            <w:r>
              <w:rPr/>
              <w:t>​</w:t>
            </w:r>
          </w:p>
        </w:tc>
        <w:tc>
          <w:tcPr>
            <w:tcW w:w="85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br/>
              <w:t> </w:t>
            </w:r>
          </w:p>
        </w:tc>
        <w:tc>
          <w:tcPr>
            <w:tcW w:w="125" w:type="dxa"/>
            <w:tcBorders/>
            <w:shd w:fill="CCEEFF" w:val="clear"/>
            <w:vAlign w:val="bottom"/>
          </w:tcPr>
          <w:p>
            <w:pPr>
              <w:pStyle w:val="TableContents"/>
              <w:spacing w:lineRule="atLeast" w:line="180" w:before="0" w:after="283"/>
              <w:rPr/>
            </w:pPr>
            <w:r>
              <w:rPr/>
              <w:t>​</w:t>
            </w:r>
          </w:p>
        </w:tc>
        <w:tc>
          <w:tcPr>
            <w:tcW w:w="24" w:type="dxa"/>
            <w:tcBorders/>
            <w:shd w:fill="CCEEFF" w:val="clear"/>
            <w:vAlign w:val="bottom"/>
          </w:tcPr>
          <w:p>
            <w:pPr>
              <w:pStyle w:val="TableContents"/>
              <w:spacing w:lineRule="atLeast" w:line="180" w:before="0" w:after="283"/>
              <w:rPr/>
            </w:pPr>
            <w:r>
              <w:rPr/>
              <w:t>​</w:t>
            </w:r>
          </w:p>
        </w:tc>
        <w:tc>
          <w:tcPr>
            <w:tcW w:w="7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br/>
              <w:t> </w:t>
            </w:r>
          </w:p>
        </w:tc>
        <w:tc>
          <w:tcPr>
            <w:tcW w:w="1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74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br/>
              <w:t> </w:t>
            </w:r>
          </w:p>
        </w:tc>
        <w:tc>
          <w:tcPr>
            <w:tcW w:w="1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7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br/>
              <w:t> </w:t>
            </w:r>
          </w:p>
        </w:tc>
        <w:tc>
          <w:tcPr>
            <w:tcW w:w="125" w:type="dxa"/>
            <w:tcBorders/>
            <w:shd w:fill="CCEEFF" w:val="clear"/>
            <w:vAlign w:val="bottom"/>
          </w:tcPr>
          <w:p>
            <w:pPr>
              <w:pStyle w:val="TableContents"/>
              <w:spacing w:lineRule="atLeast" w:line="180" w:before="0" w:after="283"/>
              <w:rPr/>
            </w:pPr>
            <w:r>
              <w:rPr/>
              <w:t>​</w:t>
            </w:r>
          </w:p>
        </w:tc>
        <w:tc>
          <w:tcPr>
            <w:tcW w:w="24" w:type="dxa"/>
            <w:tcBorders/>
            <w:shd w:fill="CCEEFF" w:val="clear"/>
            <w:vAlign w:val="bottom"/>
          </w:tcPr>
          <w:p>
            <w:pPr>
              <w:pStyle w:val="TableContents"/>
              <w:spacing w:lineRule="atLeast" w:line="180" w:before="0" w:after="283"/>
              <w:rPr/>
            </w:pPr>
            <w:r>
              <w:rPr/>
              <w:t>​</w:t>
            </w:r>
          </w:p>
        </w:tc>
      </w:tr>
      <w:tr>
        <w:trPr/>
        <w:tc>
          <w:tcPr>
            <w:tcW w:w="6563" w:type="dxa"/>
            <w:tcBorders/>
            <w:shd w:fill="FFFFFF" w:val="clear"/>
            <w:vAlign w:val="bottom"/>
          </w:tcPr>
          <w:p>
            <w:pPr>
              <w:pStyle w:val="TableContents"/>
              <w:spacing w:lineRule="atLeast" w:line="180" w:before="0" w:after="283"/>
              <w:ind w:left="480" w:right="0" w:hanging="160"/>
              <w:rPr>
                <w:rFonts w:ascii="arial" w:hAnsi="arial"/>
                <w:sz w:val="16"/>
              </w:rPr>
            </w:pPr>
            <w:r>
              <w:rPr>
                <w:rFonts w:ascii="arial" w:hAnsi="arial"/>
                <w:sz w:val="16"/>
              </w:rPr>
              <w:t>Accelerated vesting of options, RSUs and restricted shares</w:t>
            </w:r>
          </w:p>
        </w:tc>
        <w:tc>
          <w:tcPr>
            <w:tcW w:w="23" w:type="dxa"/>
            <w:tcBorders/>
            <w:shd w:fill="FFFFFF" w:val="clear"/>
            <w:vAlign w:val="bottom"/>
          </w:tcPr>
          <w:p>
            <w:pPr>
              <w:pStyle w:val="TableContents"/>
              <w:spacing w:lineRule="atLeast" w:line="180" w:before="0" w:after="283"/>
              <w:rPr/>
            </w:pPr>
            <w:r>
              <w:rPr/>
              <w:t>​</w:t>
            </w:r>
          </w:p>
        </w:tc>
        <w:tc>
          <w:tcPr>
            <w:tcW w:w="110" w:type="dxa"/>
            <w:tcBorders/>
            <w:shd w:fill="FFFFFF" w:val="clear"/>
            <w:vAlign w:val="bottom"/>
          </w:tcPr>
          <w:p>
            <w:pPr>
              <w:pStyle w:val="TableContents"/>
              <w:spacing w:lineRule="atLeast" w:line="180" w:before="0" w:after="283"/>
              <w:rPr>
                <w:rFonts w:ascii="arial" w:hAnsi="arial"/>
                <w:sz w:val="16"/>
              </w:rPr>
            </w:pPr>
            <w:r>
              <w:rPr>
                <w:rFonts w:ascii="arial" w:hAnsi="arial"/>
                <w:sz w:val="16"/>
              </w:rPr>
              <w:t>$</w:t>
            </w:r>
          </w:p>
        </w:tc>
        <w:tc>
          <w:tcPr>
            <w:tcW w:w="740" w:type="dxa"/>
            <w:tcBorders/>
            <w:shd w:fill="FFFFFF" w:val="clear"/>
            <w:vAlign w:val="bottom"/>
          </w:tcPr>
          <w:p>
            <w:pPr>
              <w:pStyle w:val="TableContents"/>
              <w:spacing w:lineRule="atLeast" w:line="180" w:before="0" w:after="283"/>
              <w:jc w:val="right"/>
              <w:rPr>
                <w:rFonts w:ascii="arial" w:hAnsi="arial"/>
                <w:sz w:val="16"/>
              </w:rPr>
            </w:pPr>
            <w:r>
              <w:rPr>
                <w:rFonts w:ascii="arial" w:hAnsi="arial"/>
                <w:sz w:val="16"/>
              </w:rPr>
              <w:t>1,880,377</w:t>
            </w:r>
          </w:p>
        </w:tc>
        <w:tc>
          <w:tcPr>
            <w:tcW w:w="125" w:type="dxa"/>
            <w:tcBorders/>
            <w:shd w:fill="FFFFFF" w:val="clear"/>
            <w:vAlign w:val="bottom"/>
          </w:tcPr>
          <w:p>
            <w:pPr>
              <w:pStyle w:val="TableContents"/>
              <w:spacing w:lineRule="atLeast" w:line="180" w:before="0" w:after="283"/>
              <w:rPr>
                <w:rFonts w:ascii="arial" w:hAnsi="arial"/>
                <w:sz w:val="12"/>
              </w:rPr>
            </w:pPr>
            <w:r>
              <w:rPr>
                <w:rFonts w:ascii="arial" w:hAnsi="arial"/>
                <w:sz w:val="12"/>
              </w:rPr>
              <w:t>(1)</w:t>
            </w:r>
          </w:p>
        </w:tc>
        <w:tc>
          <w:tcPr>
            <w:tcW w:w="24" w:type="dxa"/>
            <w:tcBorders/>
            <w:shd w:fill="FFFFFF" w:val="clear"/>
            <w:vAlign w:val="bottom"/>
          </w:tcPr>
          <w:p>
            <w:pPr>
              <w:pStyle w:val="TableContents"/>
              <w:spacing w:lineRule="atLeast" w:line="180" w:before="0" w:after="283"/>
              <w:rPr/>
            </w:pPr>
            <w:r>
              <w:rPr/>
              <w:t>​</w:t>
            </w:r>
          </w:p>
        </w:tc>
        <w:tc>
          <w:tcPr>
            <w:tcW w:w="110" w:type="dxa"/>
            <w:tcBorders/>
            <w:shd w:fill="FFFFFF" w:val="clear"/>
            <w:vAlign w:val="bottom"/>
          </w:tcPr>
          <w:p>
            <w:pPr>
              <w:pStyle w:val="TableContents"/>
              <w:spacing w:lineRule="atLeast" w:line="180" w:before="0" w:after="283"/>
              <w:rPr>
                <w:rFonts w:ascii="arial" w:hAnsi="arial"/>
                <w:sz w:val="16"/>
              </w:rPr>
            </w:pPr>
            <w:r>
              <w:rPr>
                <w:rFonts w:ascii="arial" w:hAnsi="arial"/>
                <w:sz w:val="16"/>
              </w:rPr>
              <w:t>$</w:t>
            </w:r>
          </w:p>
        </w:tc>
        <w:tc>
          <w:tcPr>
            <w:tcW w:w="605" w:type="dxa"/>
            <w:tcBorders/>
            <w:shd w:fill="FFFFFF" w:val="clear"/>
            <w:vAlign w:val="bottom"/>
          </w:tcPr>
          <w:p>
            <w:pPr>
              <w:pStyle w:val="TableContents"/>
              <w:spacing w:lineRule="atLeast" w:line="180" w:before="0" w:after="283"/>
              <w:jc w:val="right"/>
              <w:rPr>
                <w:rFonts w:ascii="arial" w:hAnsi="arial"/>
                <w:sz w:val="16"/>
              </w:rPr>
            </w:pPr>
            <w:r>
              <w:rPr>
                <w:rFonts w:ascii="arial" w:hAnsi="arial"/>
                <w:sz w:val="16"/>
              </w:rPr>
              <w:t>541,978</w:t>
            </w:r>
          </w:p>
        </w:tc>
        <w:tc>
          <w:tcPr>
            <w:tcW w:w="125" w:type="dxa"/>
            <w:tcBorders/>
            <w:shd w:fill="FFFFFF" w:val="clear"/>
            <w:vAlign w:val="bottom"/>
          </w:tcPr>
          <w:p>
            <w:pPr>
              <w:pStyle w:val="TableContents"/>
              <w:spacing w:lineRule="atLeast" w:line="180" w:before="0" w:after="283"/>
              <w:rPr>
                <w:rFonts w:ascii="arial" w:hAnsi="arial"/>
                <w:sz w:val="12"/>
              </w:rPr>
            </w:pPr>
            <w:r>
              <w:rPr>
                <w:rFonts w:ascii="arial" w:hAnsi="arial"/>
                <w:sz w:val="12"/>
              </w:rPr>
              <w:t>(1)</w:t>
            </w:r>
          </w:p>
        </w:tc>
        <w:tc>
          <w:tcPr>
            <w:tcW w:w="23" w:type="dxa"/>
            <w:tcBorders/>
            <w:shd w:fill="FFFFFF" w:val="clear"/>
            <w:vAlign w:val="bottom"/>
          </w:tcPr>
          <w:p>
            <w:pPr>
              <w:pStyle w:val="TableContents"/>
              <w:spacing w:lineRule="atLeast" w:line="180" w:before="0" w:after="283"/>
              <w:rPr/>
            </w:pPr>
            <w:r>
              <w:rPr/>
              <w:t>​</w:t>
            </w:r>
          </w:p>
        </w:tc>
        <w:tc>
          <w:tcPr>
            <w:tcW w:w="140" w:type="dxa"/>
            <w:tcBorders/>
            <w:shd w:fill="FFFFFF" w:val="clear"/>
            <w:vAlign w:val="bottom"/>
          </w:tcPr>
          <w:p>
            <w:pPr>
              <w:pStyle w:val="TableContents"/>
              <w:spacing w:lineRule="atLeast" w:line="180" w:before="0" w:after="283"/>
              <w:rPr>
                <w:rFonts w:ascii="arial" w:hAnsi="arial"/>
                <w:sz w:val="16"/>
              </w:rPr>
            </w:pPr>
            <w:r>
              <w:rPr>
                <w:rFonts w:ascii="arial" w:hAnsi="arial"/>
                <w:sz w:val="16"/>
              </w:rPr>
              <w:t>$</w:t>
            </w:r>
          </w:p>
        </w:tc>
        <w:tc>
          <w:tcPr>
            <w:tcW w:w="605" w:type="dxa"/>
            <w:tcBorders/>
            <w:shd w:fill="FFFFFF" w:val="clear"/>
            <w:vAlign w:val="bottom"/>
          </w:tcPr>
          <w:p>
            <w:pPr>
              <w:pStyle w:val="TableContents"/>
              <w:spacing w:lineRule="atLeast" w:line="180" w:before="0" w:after="283"/>
              <w:jc w:val="right"/>
              <w:rPr>
                <w:rFonts w:ascii="arial" w:hAnsi="arial"/>
                <w:sz w:val="16"/>
              </w:rPr>
            </w:pPr>
            <w:r>
              <w:rPr>
                <w:rFonts w:ascii="arial" w:hAnsi="arial"/>
                <w:sz w:val="16"/>
              </w:rPr>
              <w:t>530,669</w:t>
            </w:r>
          </w:p>
        </w:tc>
        <w:tc>
          <w:tcPr>
            <w:tcW w:w="125" w:type="dxa"/>
            <w:tcBorders/>
            <w:shd w:fill="FFFFFF" w:val="clear"/>
            <w:vAlign w:val="bottom"/>
          </w:tcPr>
          <w:p>
            <w:pPr>
              <w:pStyle w:val="TableContents"/>
              <w:spacing w:lineRule="atLeast" w:line="180" w:before="0" w:after="283"/>
              <w:rPr>
                <w:rFonts w:ascii="arial" w:hAnsi="arial"/>
                <w:sz w:val="12"/>
              </w:rPr>
            </w:pPr>
            <w:r>
              <w:rPr>
                <w:rFonts w:ascii="arial" w:hAnsi="arial"/>
                <w:sz w:val="12"/>
              </w:rPr>
              <w:t>(1)</w:t>
            </w:r>
          </w:p>
        </w:tc>
        <w:tc>
          <w:tcPr>
            <w:tcW w:w="23" w:type="dxa"/>
            <w:tcBorders/>
            <w:shd w:fill="FFFFFF" w:val="clear"/>
            <w:vAlign w:val="bottom"/>
          </w:tcPr>
          <w:p>
            <w:pPr>
              <w:pStyle w:val="TableContents"/>
              <w:spacing w:lineRule="atLeast" w:line="180" w:before="0" w:after="283"/>
              <w:rPr/>
            </w:pPr>
            <w:r>
              <w:rPr/>
              <w:t>​</w:t>
            </w:r>
          </w:p>
        </w:tc>
        <w:tc>
          <w:tcPr>
            <w:tcW w:w="110" w:type="dxa"/>
            <w:tcBorders/>
            <w:shd w:fill="FFFFFF" w:val="clear"/>
            <w:vAlign w:val="bottom"/>
          </w:tcPr>
          <w:p>
            <w:pPr>
              <w:pStyle w:val="TableContents"/>
              <w:spacing w:lineRule="atLeast" w:line="180" w:before="0" w:after="283"/>
              <w:rPr>
                <w:rFonts w:ascii="arial" w:hAnsi="arial"/>
                <w:sz w:val="16"/>
              </w:rPr>
            </w:pPr>
            <w:r>
              <w:rPr>
                <w:rFonts w:ascii="arial" w:hAnsi="arial"/>
                <w:sz w:val="16"/>
              </w:rPr>
              <w:t>$</w:t>
            </w:r>
          </w:p>
        </w:tc>
        <w:tc>
          <w:tcPr>
            <w:tcW w:w="605" w:type="dxa"/>
            <w:tcBorders/>
            <w:shd w:fill="FFFFFF" w:val="clear"/>
            <w:vAlign w:val="bottom"/>
          </w:tcPr>
          <w:p>
            <w:pPr>
              <w:pStyle w:val="TableContents"/>
              <w:spacing w:lineRule="atLeast" w:line="180" w:before="0" w:after="283"/>
              <w:jc w:val="right"/>
              <w:rPr>
                <w:rFonts w:ascii="arial" w:hAnsi="arial"/>
                <w:sz w:val="16"/>
              </w:rPr>
            </w:pPr>
            <w:r>
              <w:rPr>
                <w:rFonts w:ascii="arial" w:hAnsi="arial"/>
                <w:sz w:val="16"/>
              </w:rPr>
              <w:t>351,418</w:t>
            </w:r>
          </w:p>
        </w:tc>
        <w:tc>
          <w:tcPr>
            <w:tcW w:w="125" w:type="dxa"/>
            <w:tcBorders/>
            <w:shd w:fill="FFFFFF" w:val="clear"/>
            <w:vAlign w:val="bottom"/>
          </w:tcPr>
          <w:p>
            <w:pPr>
              <w:pStyle w:val="TableContents"/>
              <w:spacing w:lineRule="atLeast" w:line="180" w:before="0" w:after="283"/>
              <w:rPr>
                <w:rFonts w:ascii="arial" w:hAnsi="arial"/>
                <w:sz w:val="12"/>
              </w:rPr>
            </w:pPr>
            <w:r>
              <w:rPr>
                <w:rFonts w:ascii="arial" w:hAnsi="arial"/>
                <w:sz w:val="12"/>
              </w:rPr>
              <w:t>(1)</w:t>
            </w:r>
          </w:p>
        </w:tc>
        <w:tc>
          <w:tcPr>
            <w:tcW w:w="24" w:type="dxa"/>
            <w:tcBorders/>
            <w:shd w:fill="FFFFFF" w:val="clear"/>
            <w:vAlign w:val="bottom"/>
          </w:tcPr>
          <w:p>
            <w:pPr>
              <w:pStyle w:val="TableContents"/>
              <w:spacing w:lineRule="atLeast" w:line="180" w:before="0" w:after="283"/>
              <w:rPr/>
            </w:pPr>
            <w:r>
              <w:rPr/>
              <w:t>​</w:t>
            </w:r>
          </w:p>
        </w:tc>
      </w:tr>
      <w:tr>
        <w:trPr/>
        <w:tc>
          <w:tcPr>
            <w:tcW w:w="6563" w:type="dxa"/>
            <w:tcBorders/>
            <w:shd w:fill="CCEEFF" w:val="clear"/>
            <w:vAlign w:val="bottom"/>
          </w:tcPr>
          <w:p>
            <w:pPr>
              <w:pStyle w:val="TableContents"/>
              <w:spacing w:lineRule="atLeast" w:line="180" w:before="180" w:after="283"/>
              <w:ind w:left="160" w:right="0" w:hanging="160"/>
              <w:rPr>
                <w:rFonts w:ascii="arial" w:hAnsi="arial"/>
                <w:b/>
                <w:sz w:val="16"/>
              </w:rPr>
            </w:pPr>
            <w:r>
              <w:rPr>
                <w:rFonts w:ascii="arial" w:hAnsi="arial"/>
                <w:b/>
                <w:sz w:val="16"/>
              </w:rPr>
              <w:t>Termination by the Company other than for "Cause"</w:t>
            </w:r>
          </w:p>
        </w:tc>
        <w:tc>
          <w:tcPr>
            <w:tcW w:w="23" w:type="dxa"/>
            <w:tcBorders/>
            <w:shd w:fill="CCEEFF" w:val="clear"/>
            <w:vAlign w:val="bottom"/>
          </w:tcPr>
          <w:p>
            <w:pPr>
              <w:pStyle w:val="TableContents"/>
              <w:spacing w:lineRule="atLeast" w:line="180" w:before="0" w:after="283"/>
              <w:rPr/>
            </w:pPr>
            <w:r>
              <w:rPr/>
              <w:t>​</w:t>
            </w:r>
          </w:p>
        </w:tc>
        <w:tc>
          <w:tcPr>
            <w:tcW w:w="85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br/>
              <w:t> </w:t>
            </w:r>
          </w:p>
        </w:tc>
        <w:tc>
          <w:tcPr>
            <w:tcW w:w="125" w:type="dxa"/>
            <w:tcBorders/>
            <w:shd w:fill="CCEEFF" w:val="clear"/>
            <w:vAlign w:val="bottom"/>
          </w:tcPr>
          <w:p>
            <w:pPr>
              <w:pStyle w:val="TableContents"/>
              <w:spacing w:lineRule="atLeast" w:line="180" w:before="0" w:after="283"/>
              <w:rPr/>
            </w:pPr>
            <w:r>
              <w:rPr/>
              <w:t>​</w:t>
            </w:r>
          </w:p>
        </w:tc>
        <w:tc>
          <w:tcPr>
            <w:tcW w:w="24" w:type="dxa"/>
            <w:tcBorders/>
            <w:shd w:fill="CCEEFF" w:val="clear"/>
            <w:vAlign w:val="bottom"/>
          </w:tcPr>
          <w:p>
            <w:pPr>
              <w:pStyle w:val="TableContents"/>
              <w:spacing w:lineRule="atLeast" w:line="180" w:before="0" w:after="283"/>
              <w:rPr/>
            </w:pPr>
            <w:r>
              <w:rPr/>
              <w:t>​</w:t>
            </w:r>
          </w:p>
        </w:tc>
        <w:tc>
          <w:tcPr>
            <w:tcW w:w="7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br/>
              <w:t> </w:t>
            </w:r>
          </w:p>
        </w:tc>
        <w:tc>
          <w:tcPr>
            <w:tcW w:w="1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74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br/>
              <w:t> </w:t>
            </w:r>
          </w:p>
        </w:tc>
        <w:tc>
          <w:tcPr>
            <w:tcW w:w="1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7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br/>
              <w:t> </w:t>
            </w:r>
          </w:p>
        </w:tc>
        <w:tc>
          <w:tcPr>
            <w:tcW w:w="125" w:type="dxa"/>
            <w:tcBorders/>
            <w:shd w:fill="CCEEFF" w:val="clear"/>
            <w:vAlign w:val="bottom"/>
          </w:tcPr>
          <w:p>
            <w:pPr>
              <w:pStyle w:val="TableContents"/>
              <w:spacing w:lineRule="atLeast" w:line="180" w:before="0" w:after="283"/>
              <w:rPr/>
            </w:pPr>
            <w:r>
              <w:rPr/>
              <w:t>​</w:t>
            </w:r>
          </w:p>
        </w:tc>
        <w:tc>
          <w:tcPr>
            <w:tcW w:w="24" w:type="dxa"/>
            <w:tcBorders/>
            <w:shd w:fill="CCEEFF" w:val="clear"/>
            <w:vAlign w:val="bottom"/>
          </w:tcPr>
          <w:p>
            <w:pPr>
              <w:pStyle w:val="TableContents"/>
              <w:spacing w:lineRule="atLeast" w:line="180" w:before="0" w:after="283"/>
              <w:rPr/>
            </w:pPr>
            <w:r>
              <w:rPr/>
              <w:t>​</w:t>
            </w:r>
          </w:p>
        </w:tc>
      </w:tr>
      <w:tr>
        <w:trPr/>
        <w:tc>
          <w:tcPr>
            <w:tcW w:w="6563" w:type="dxa"/>
            <w:tcBorders/>
            <w:shd w:fill="FFFFFF" w:val="clear"/>
            <w:vAlign w:val="bottom"/>
          </w:tcPr>
          <w:p>
            <w:pPr>
              <w:pStyle w:val="TableContents"/>
              <w:spacing w:lineRule="atLeast" w:line="180" w:before="0" w:after="283"/>
              <w:ind w:left="480" w:right="0" w:hanging="160"/>
              <w:rPr>
                <w:rFonts w:ascii="arial" w:hAnsi="arial"/>
                <w:sz w:val="16"/>
              </w:rPr>
            </w:pPr>
            <w:r>
              <w:rPr>
                <w:rFonts w:ascii="arial" w:hAnsi="arial"/>
                <w:sz w:val="16"/>
              </w:rPr>
              <w:t>Severance payment</w:t>
            </w:r>
          </w:p>
        </w:tc>
        <w:tc>
          <w:tcPr>
            <w:tcW w:w="23" w:type="dxa"/>
            <w:tcBorders/>
            <w:shd w:fill="FFFFFF" w:val="clear"/>
            <w:vAlign w:val="bottom"/>
          </w:tcPr>
          <w:p>
            <w:pPr>
              <w:pStyle w:val="TableContents"/>
              <w:spacing w:lineRule="atLeast" w:line="180" w:before="0" w:after="283"/>
              <w:rPr/>
            </w:pPr>
            <w:r>
              <w:rPr/>
              <w:t>​</w:t>
            </w:r>
          </w:p>
        </w:tc>
        <w:tc>
          <w:tcPr>
            <w:tcW w:w="110" w:type="dxa"/>
            <w:tcBorders/>
            <w:shd w:fill="FFFFFF" w:val="clear"/>
            <w:vAlign w:val="bottom"/>
          </w:tcPr>
          <w:p>
            <w:pPr>
              <w:pStyle w:val="TableContents"/>
              <w:spacing w:lineRule="atLeast" w:line="180" w:before="0" w:after="283"/>
              <w:rPr>
                <w:rFonts w:ascii="arial" w:hAnsi="arial"/>
                <w:sz w:val="16"/>
              </w:rPr>
            </w:pPr>
            <w:r>
              <w:rPr>
                <w:rFonts w:ascii="arial" w:hAnsi="arial"/>
                <w:sz w:val="16"/>
              </w:rPr>
              <w:t>$</w:t>
            </w:r>
          </w:p>
        </w:tc>
        <w:tc>
          <w:tcPr>
            <w:tcW w:w="740" w:type="dxa"/>
            <w:tcBorders/>
            <w:shd w:fill="FFFFFF" w:val="clear"/>
            <w:vAlign w:val="bottom"/>
          </w:tcPr>
          <w:p>
            <w:pPr>
              <w:pStyle w:val="TableContents"/>
              <w:spacing w:lineRule="atLeast" w:line="180" w:before="0" w:after="283"/>
              <w:jc w:val="right"/>
              <w:rPr>
                <w:rFonts w:ascii="arial" w:hAnsi="arial"/>
                <w:sz w:val="16"/>
              </w:rPr>
            </w:pPr>
            <w:r>
              <w:rPr>
                <w:rFonts w:ascii="arial" w:hAnsi="arial"/>
                <w:sz w:val="16"/>
              </w:rPr>
              <w:t>2,939,903</w:t>
            </w:r>
          </w:p>
        </w:tc>
        <w:tc>
          <w:tcPr>
            <w:tcW w:w="125" w:type="dxa"/>
            <w:tcBorders/>
            <w:shd w:fill="FFFFFF" w:val="clear"/>
            <w:vAlign w:val="bottom"/>
          </w:tcPr>
          <w:p>
            <w:pPr>
              <w:pStyle w:val="TableContents"/>
              <w:spacing w:lineRule="atLeast" w:line="180" w:before="0" w:after="283"/>
              <w:rPr>
                <w:rFonts w:ascii="arial" w:hAnsi="arial"/>
                <w:sz w:val="12"/>
              </w:rPr>
            </w:pPr>
            <w:r>
              <w:rPr>
                <w:rFonts w:ascii="arial" w:hAnsi="arial"/>
                <w:sz w:val="12"/>
              </w:rPr>
              <w:t>(3)</w:t>
            </w:r>
          </w:p>
        </w:tc>
        <w:tc>
          <w:tcPr>
            <w:tcW w:w="24" w:type="dxa"/>
            <w:tcBorders/>
            <w:shd w:fill="FFFFFF" w:val="clear"/>
            <w:vAlign w:val="bottom"/>
          </w:tcPr>
          <w:p>
            <w:pPr>
              <w:pStyle w:val="TableContents"/>
              <w:spacing w:lineRule="atLeast" w:line="180" w:before="0" w:after="283"/>
              <w:rPr/>
            </w:pPr>
            <w:r>
              <w:rPr/>
              <w:t>​</w:t>
            </w:r>
          </w:p>
        </w:tc>
        <w:tc>
          <w:tcPr>
            <w:tcW w:w="715" w:type="dxa"/>
            <w:gridSpan w:val="2"/>
            <w:tcBorders/>
            <w:shd w:fill="FFFF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25" w:type="dxa"/>
            <w:tcBorders/>
            <w:shd w:fill="FFFFFF" w:val="clear"/>
            <w:vAlign w:val="bottom"/>
          </w:tcPr>
          <w:p>
            <w:pPr>
              <w:pStyle w:val="TableContents"/>
              <w:spacing w:lineRule="atLeast" w:line="180" w:before="0" w:after="283"/>
              <w:rPr/>
            </w:pPr>
            <w:r>
              <w:rPr/>
              <w:t>​</w:t>
            </w:r>
          </w:p>
        </w:tc>
        <w:tc>
          <w:tcPr>
            <w:tcW w:w="23" w:type="dxa"/>
            <w:tcBorders/>
            <w:shd w:fill="FFFFFF" w:val="clear"/>
            <w:vAlign w:val="bottom"/>
          </w:tcPr>
          <w:p>
            <w:pPr>
              <w:pStyle w:val="TableContents"/>
              <w:spacing w:lineRule="atLeast" w:line="180" w:before="0" w:after="283"/>
              <w:rPr/>
            </w:pPr>
            <w:r>
              <w:rPr/>
              <w:t>​</w:t>
            </w:r>
          </w:p>
        </w:tc>
        <w:tc>
          <w:tcPr>
            <w:tcW w:w="140" w:type="dxa"/>
            <w:tcBorders/>
            <w:shd w:fill="FFFFFF" w:val="clear"/>
            <w:vAlign w:val="bottom"/>
          </w:tcPr>
          <w:p>
            <w:pPr>
              <w:pStyle w:val="TableContents"/>
              <w:spacing w:lineRule="atLeast" w:line="180" w:before="0" w:after="283"/>
              <w:rPr/>
            </w:pPr>
            <w:r>
              <w:rPr/>
              <w:t>€</w:t>
            </w:r>
          </w:p>
        </w:tc>
        <w:tc>
          <w:tcPr>
            <w:tcW w:w="605" w:type="dxa"/>
            <w:tcBorders/>
            <w:shd w:fill="FFFFFF" w:val="clear"/>
            <w:vAlign w:val="bottom"/>
          </w:tcPr>
          <w:p>
            <w:pPr>
              <w:pStyle w:val="TableContents"/>
              <w:spacing w:lineRule="atLeast" w:line="180" w:before="0" w:after="283"/>
              <w:jc w:val="right"/>
              <w:rPr>
                <w:rFonts w:ascii="arial" w:hAnsi="arial"/>
                <w:sz w:val="16"/>
              </w:rPr>
            </w:pPr>
            <w:r>
              <w:rPr>
                <w:rFonts w:ascii="arial" w:hAnsi="arial"/>
                <w:sz w:val="16"/>
              </w:rPr>
              <w:t>504,300</w:t>
            </w:r>
          </w:p>
        </w:tc>
        <w:tc>
          <w:tcPr>
            <w:tcW w:w="125" w:type="dxa"/>
            <w:tcBorders/>
            <w:shd w:fill="FFFFFF" w:val="clear"/>
            <w:vAlign w:val="bottom"/>
          </w:tcPr>
          <w:p>
            <w:pPr>
              <w:pStyle w:val="TableContents"/>
              <w:spacing w:lineRule="atLeast" w:line="180" w:before="0" w:after="283"/>
              <w:rPr>
                <w:rFonts w:ascii="arial" w:hAnsi="arial"/>
                <w:sz w:val="12"/>
              </w:rPr>
            </w:pPr>
            <w:r>
              <w:rPr>
                <w:rFonts w:ascii="arial" w:hAnsi="arial"/>
                <w:sz w:val="12"/>
              </w:rPr>
              <w:t>(5)</w:t>
            </w:r>
          </w:p>
        </w:tc>
        <w:tc>
          <w:tcPr>
            <w:tcW w:w="23" w:type="dxa"/>
            <w:tcBorders/>
            <w:shd w:fill="FFFFFF" w:val="clear"/>
            <w:vAlign w:val="bottom"/>
          </w:tcPr>
          <w:p>
            <w:pPr>
              <w:pStyle w:val="TableContents"/>
              <w:spacing w:lineRule="atLeast" w:line="180" w:before="0" w:after="283"/>
              <w:rPr/>
            </w:pPr>
            <w:r>
              <w:rPr/>
              <w:t>​</w:t>
            </w:r>
          </w:p>
        </w:tc>
        <w:tc>
          <w:tcPr>
            <w:tcW w:w="110" w:type="dxa"/>
            <w:tcBorders/>
            <w:shd w:fill="FFFFFF" w:val="clear"/>
            <w:vAlign w:val="bottom"/>
          </w:tcPr>
          <w:p>
            <w:pPr>
              <w:pStyle w:val="TableContents"/>
              <w:spacing w:lineRule="atLeast" w:line="180" w:before="0" w:after="283"/>
              <w:rPr>
                <w:rFonts w:ascii="arial" w:hAnsi="arial"/>
                <w:sz w:val="16"/>
              </w:rPr>
            </w:pPr>
            <w:r>
              <w:rPr>
                <w:rFonts w:ascii="arial" w:hAnsi="arial"/>
                <w:sz w:val="16"/>
              </w:rPr>
              <w:t>$</w:t>
            </w:r>
          </w:p>
        </w:tc>
        <w:tc>
          <w:tcPr>
            <w:tcW w:w="605" w:type="dxa"/>
            <w:tcBorders/>
            <w:shd w:fill="FFFFFF" w:val="clear"/>
            <w:vAlign w:val="bottom"/>
          </w:tcPr>
          <w:p>
            <w:pPr>
              <w:pStyle w:val="TableContents"/>
              <w:spacing w:lineRule="atLeast" w:line="180" w:before="0" w:after="283"/>
              <w:jc w:val="right"/>
              <w:rPr>
                <w:rFonts w:ascii="arial" w:hAnsi="arial"/>
                <w:sz w:val="16"/>
              </w:rPr>
            </w:pPr>
            <w:r>
              <w:rPr>
                <w:rFonts w:ascii="arial" w:hAnsi="arial"/>
                <w:sz w:val="16"/>
              </w:rPr>
              <w:t>152,559</w:t>
            </w:r>
          </w:p>
        </w:tc>
        <w:tc>
          <w:tcPr>
            <w:tcW w:w="125" w:type="dxa"/>
            <w:tcBorders/>
            <w:shd w:fill="FFFFFF" w:val="clear"/>
            <w:vAlign w:val="bottom"/>
          </w:tcPr>
          <w:p>
            <w:pPr>
              <w:pStyle w:val="TableContents"/>
              <w:spacing w:lineRule="atLeast" w:line="180" w:before="0" w:after="283"/>
              <w:rPr>
                <w:rFonts w:ascii="arial" w:hAnsi="arial"/>
                <w:sz w:val="12"/>
              </w:rPr>
            </w:pPr>
            <w:r>
              <w:rPr>
                <w:rFonts w:ascii="arial" w:hAnsi="arial"/>
                <w:sz w:val="12"/>
              </w:rPr>
              <w:t>(6)</w:t>
            </w:r>
          </w:p>
        </w:tc>
        <w:tc>
          <w:tcPr>
            <w:tcW w:w="24" w:type="dxa"/>
            <w:tcBorders/>
            <w:shd w:fill="FFFFFF" w:val="clear"/>
            <w:vAlign w:val="bottom"/>
          </w:tcPr>
          <w:p>
            <w:pPr>
              <w:pStyle w:val="TableContents"/>
              <w:spacing w:lineRule="atLeast" w:line="180" w:before="0" w:after="283"/>
              <w:rPr/>
            </w:pPr>
            <w:r>
              <w:rPr/>
              <w:t>​</w:t>
            </w:r>
          </w:p>
        </w:tc>
      </w:tr>
      <w:tr>
        <w:trPr/>
        <w:tc>
          <w:tcPr>
            <w:tcW w:w="6563" w:type="dxa"/>
            <w:tcBorders/>
            <w:shd w:fill="CCEEFF" w:val="clear"/>
            <w:vAlign w:val="bottom"/>
          </w:tcPr>
          <w:p>
            <w:pPr>
              <w:pStyle w:val="TableContents"/>
              <w:spacing w:lineRule="atLeast" w:line="180" w:before="0" w:after="283"/>
              <w:ind w:left="480" w:right="0" w:hanging="160"/>
              <w:rPr>
                <w:rFonts w:ascii="arial" w:hAnsi="arial"/>
                <w:sz w:val="16"/>
              </w:rPr>
            </w:pPr>
            <w:r>
              <w:rPr>
                <w:rFonts w:ascii="arial" w:hAnsi="arial"/>
                <w:sz w:val="16"/>
              </w:rPr>
              <w:t>Accelerated vesting of options, RSUs and restricted shares</w:t>
            </w:r>
          </w:p>
        </w:tc>
        <w:tc>
          <w:tcPr>
            <w:tcW w:w="23" w:type="dxa"/>
            <w:tcBorders/>
            <w:shd w:fill="CCEEFF" w:val="clear"/>
            <w:vAlign w:val="bottom"/>
          </w:tcPr>
          <w:p>
            <w:pPr>
              <w:pStyle w:val="TableContents"/>
              <w:spacing w:lineRule="atLeast" w:line="180" w:before="0" w:after="283"/>
              <w:rPr/>
            </w:pPr>
            <w:r>
              <w:rPr/>
              <w:t>​</w:t>
            </w:r>
          </w:p>
        </w:tc>
        <w:tc>
          <w:tcPr>
            <w:tcW w:w="110" w:type="dxa"/>
            <w:tcBorders/>
            <w:shd w:fill="CCEEFF" w:val="clear"/>
            <w:vAlign w:val="bottom"/>
          </w:tcPr>
          <w:p>
            <w:pPr>
              <w:pStyle w:val="TableContents"/>
              <w:spacing w:lineRule="atLeast" w:line="180" w:before="0" w:after="283"/>
              <w:rPr>
                <w:rFonts w:ascii="arial" w:hAnsi="arial"/>
                <w:sz w:val="16"/>
              </w:rPr>
            </w:pPr>
            <w:r>
              <w:rPr>
                <w:rFonts w:ascii="arial" w:hAnsi="arial"/>
                <w:sz w:val="16"/>
              </w:rPr>
              <w:t>$</w:t>
            </w:r>
          </w:p>
        </w:tc>
        <w:tc>
          <w:tcPr>
            <w:tcW w:w="740" w:type="dxa"/>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1,547,957</w:t>
            </w:r>
          </w:p>
        </w:tc>
        <w:tc>
          <w:tcPr>
            <w:tcW w:w="125" w:type="dxa"/>
            <w:tcBorders/>
            <w:shd w:fill="CCEEFF" w:val="clear"/>
            <w:vAlign w:val="bottom"/>
          </w:tcPr>
          <w:p>
            <w:pPr>
              <w:pStyle w:val="TableContents"/>
              <w:spacing w:lineRule="atLeast" w:line="180" w:before="0" w:after="283"/>
              <w:rPr>
                <w:rFonts w:ascii="arial" w:hAnsi="arial"/>
                <w:sz w:val="12"/>
              </w:rPr>
            </w:pPr>
            <w:r>
              <w:rPr>
                <w:rFonts w:ascii="arial" w:hAnsi="arial"/>
                <w:sz w:val="12"/>
              </w:rPr>
              <w:t>(1)</w:t>
            </w:r>
          </w:p>
        </w:tc>
        <w:tc>
          <w:tcPr>
            <w:tcW w:w="24" w:type="dxa"/>
            <w:tcBorders/>
            <w:shd w:fill="CCEEFF" w:val="clear"/>
            <w:vAlign w:val="bottom"/>
          </w:tcPr>
          <w:p>
            <w:pPr>
              <w:pStyle w:val="TableContents"/>
              <w:spacing w:lineRule="atLeast" w:line="180" w:before="0" w:after="283"/>
              <w:rPr/>
            </w:pPr>
            <w:r>
              <w:rPr/>
              <w:t>​</w:t>
            </w:r>
          </w:p>
        </w:tc>
        <w:tc>
          <w:tcPr>
            <w:tcW w:w="110" w:type="dxa"/>
            <w:tcBorders/>
            <w:shd w:fill="CCEEFF" w:val="clear"/>
            <w:vAlign w:val="bottom"/>
          </w:tcPr>
          <w:p>
            <w:pPr>
              <w:pStyle w:val="TableContents"/>
              <w:spacing w:lineRule="atLeast" w:line="180" w:before="0" w:after="283"/>
              <w:rPr>
                <w:rFonts w:ascii="arial" w:hAnsi="arial"/>
                <w:sz w:val="16"/>
              </w:rPr>
            </w:pPr>
            <w:r>
              <w:rPr>
                <w:rFonts w:ascii="arial" w:hAnsi="arial"/>
                <w:sz w:val="16"/>
              </w:rPr>
              <w:t>$</w:t>
            </w:r>
          </w:p>
        </w:tc>
        <w:tc>
          <w:tcPr>
            <w:tcW w:w="605" w:type="dxa"/>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419,785</w:t>
            </w:r>
          </w:p>
        </w:tc>
        <w:tc>
          <w:tcPr>
            <w:tcW w:w="125" w:type="dxa"/>
            <w:tcBorders/>
            <w:shd w:fill="CCEEFF" w:val="clear"/>
            <w:vAlign w:val="bottom"/>
          </w:tcPr>
          <w:p>
            <w:pPr>
              <w:pStyle w:val="TableContents"/>
              <w:spacing w:lineRule="atLeast" w:line="180" w:before="0" w:after="283"/>
              <w:rPr>
                <w:rFonts w:ascii="arial" w:hAnsi="arial"/>
                <w:sz w:val="12"/>
              </w:rPr>
            </w:pPr>
            <w:r>
              <w:rPr>
                <w:rFonts w:ascii="arial" w:hAnsi="arial"/>
                <w:sz w:val="12"/>
              </w:rPr>
              <w:t>(1)</w:t>
            </w:r>
          </w:p>
        </w:tc>
        <w:tc>
          <w:tcPr>
            <w:tcW w:w="23" w:type="dxa"/>
            <w:tcBorders/>
            <w:shd w:fill="CCEEFF" w:val="clear"/>
            <w:vAlign w:val="bottom"/>
          </w:tcPr>
          <w:p>
            <w:pPr>
              <w:pStyle w:val="TableContents"/>
              <w:spacing w:lineRule="atLeast" w:line="180" w:before="0" w:after="283"/>
              <w:rPr/>
            </w:pPr>
            <w:r>
              <w:rPr/>
              <w:t>​</w:t>
            </w:r>
          </w:p>
        </w:tc>
        <w:tc>
          <w:tcPr>
            <w:tcW w:w="140" w:type="dxa"/>
            <w:tcBorders/>
            <w:shd w:fill="CCEEFF" w:val="clear"/>
            <w:vAlign w:val="bottom"/>
          </w:tcPr>
          <w:p>
            <w:pPr>
              <w:pStyle w:val="TableContents"/>
              <w:spacing w:lineRule="atLeast" w:line="180" w:before="0" w:after="283"/>
              <w:rPr>
                <w:rFonts w:ascii="arial" w:hAnsi="arial"/>
                <w:sz w:val="16"/>
              </w:rPr>
            </w:pPr>
            <w:r>
              <w:rPr>
                <w:rFonts w:ascii="arial" w:hAnsi="arial"/>
                <w:sz w:val="16"/>
              </w:rPr>
              <w:t>$</w:t>
            </w:r>
          </w:p>
        </w:tc>
        <w:tc>
          <w:tcPr>
            <w:tcW w:w="605" w:type="dxa"/>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389,908</w:t>
            </w:r>
          </w:p>
        </w:tc>
        <w:tc>
          <w:tcPr>
            <w:tcW w:w="125" w:type="dxa"/>
            <w:tcBorders/>
            <w:shd w:fill="CCEEFF" w:val="clear"/>
            <w:vAlign w:val="bottom"/>
          </w:tcPr>
          <w:p>
            <w:pPr>
              <w:pStyle w:val="TableContents"/>
              <w:spacing w:lineRule="atLeast" w:line="180" w:before="0" w:after="283"/>
              <w:rPr>
                <w:rFonts w:ascii="arial" w:hAnsi="arial"/>
                <w:sz w:val="12"/>
              </w:rPr>
            </w:pPr>
            <w:r>
              <w:rPr>
                <w:rFonts w:ascii="arial" w:hAnsi="arial"/>
                <w:sz w:val="12"/>
              </w:rPr>
              <w:t>(1)</w:t>
            </w:r>
          </w:p>
        </w:tc>
        <w:tc>
          <w:tcPr>
            <w:tcW w:w="23" w:type="dxa"/>
            <w:tcBorders/>
            <w:shd w:fill="CCEEFF" w:val="clear"/>
            <w:vAlign w:val="bottom"/>
          </w:tcPr>
          <w:p>
            <w:pPr>
              <w:pStyle w:val="TableContents"/>
              <w:spacing w:lineRule="atLeast" w:line="180" w:before="0" w:after="283"/>
              <w:rPr/>
            </w:pPr>
            <w:r>
              <w:rPr/>
              <w:t>​</w:t>
            </w:r>
          </w:p>
        </w:tc>
        <w:tc>
          <w:tcPr>
            <w:tcW w:w="110" w:type="dxa"/>
            <w:tcBorders/>
            <w:shd w:fill="CCEEFF" w:val="clear"/>
            <w:vAlign w:val="bottom"/>
          </w:tcPr>
          <w:p>
            <w:pPr>
              <w:pStyle w:val="TableContents"/>
              <w:spacing w:lineRule="atLeast" w:line="180" w:before="0" w:after="283"/>
              <w:rPr>
                <w:rFonts w:ascii="arial" w:hAnsi="arial"/>
                <w:sz w:val="16"/>
              </w:rPr>
            </w:pPr>
            <w:r>
              <w:rPr>
                <w:rFonts w:ascii="arial" w:hAnsi="arial"/>
                <w:sz w:val="16"/>
              </w:rPr>
              <w:t>$</w:t>
            </w:r>
          </w:p>
        </w:tc>
        <w:tc>
          <w:tcPr>
            <w:tcW w:w="605" w:type="dxa"/>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262,941</w:t>
            </w:r>
          </w:p>
        </w:tc>
        <w:tc>
          <w:tcPr>
            <w:tcW w:w="125" w:type="dxa"/>
            <w:tcBorders/>
            <w:shd w:fill="CCEEFF" w:val="clear"/>
            <w:vAlign w:val="bottom"/>
          </w:tcPr>
          <w:p>
            <w:pPr>
              <w:pStyle w:val="TableContents"/>
              <w:spacing w:lineRule="atLeast" w:line="180" w:before="0" w:after="283"/>
              <w:rPr>
                <w:rFonts w:ascii="arial" w:hAnsi="arial"/>
                <w:sz w:val="12"/>
              </w:rPr>
            </w:pPr>
            <w:r>
              <w:rPr>
                <w:rFonts w:ascii="arial" w:hAnsi="arial"/>
                <w:sz w:val="12"/>
              </w:rPr>
              <w:t>(1)</w:t>
            </w:r>
          </w:p>
        </w:tc>
        <w:tc>
          <w:tcPr>
            <w:tcW w:w="24" w:type="dxa"/>
            <w:tcBorders/>
            <w:shd w:fill="CCEEFF" w:val="clear"/>
            <w:vAlign w:val="bottom"/>
          </w:tcPr>
          <w:p>
            <w:pPr>
              <w:pStyle w:val="TableContents"/>
              <w:spacing w:lineRule="atLeast" w:line="180" w:before="0" w:after="283"/>
              <w:rPr/>
            </w:pPr>
            <w:r>
              <w:rPr/>
              <w:t>​</w:t>
            </w:r>
          </w:p>
        </w:tc>
      </w:tr>
      <w:tr>
        <w:trPr/>
        <w:tc>
          <w:tcPr>
            <w:tcW w:w="6563" w:type="dxa"/>
            <w:tcBorders/>
            <w:shd w:fill="FFFFFF" w:val="clear"/>
            <w:vAlign w:val="bottom"/>
          </w:tcPr>
          <w:p>
            <w:pPr>
              <w:pStyle w:val="TableContents"/>
              <w:spacing w:lineRule="atLeast" w:line="180" w:before="180" w:after="283"/>
              <w:ind w:left="160" w:right="0" w:hanging="160"/>
              <w:rPr>
                <w:rFonts w:ascii="arial" w:hAnsi="arial"/>
                <w:b/>
                <w:sz w:val="16"/>
              </w:rPr>
            </w:pPr>
            <w:r>
              <w:rPr>
                <w:rFonts w:ascii="arial" w:hAnsi="arial"/>
                <w:b/>
                <w:sz w:val="16"/>
              </w:rPr>
              <w:t>Termination by the Named Executive Officer for "Good Reason" with ninety (90) days' notice, and failure by the Company to correct such "Good Reason" within ninety (90) days</w:t>
            </w:r>
          </w:p>
        </w:tc>
        <w:tc>
          <w:tcPr>
            <w:tcW w:w="23" w:type="dxa"/>
            <w:tcBorders/>
            <w:shd w:fill="FFFFFF" w:val="clear"/>
            <w:vAlign w:val="bottom"/>
          </w:tcPr>
          <w:p>
            <w:pPr>
              <w:pStyle w:val="TableContents"/>
              <w:spacing w:lineRule="atLeast" w:line="180" w:before="0" w:after="283"/>
              <w:rPr/>
            </w:pPr>
            <w:r>
              <w:rPr/>
              <w:t>​</w:t>
            </w:r>
          </w:p>
        </w:tc>
        <w:tc>
          <w:tcPr>
            <w:tcW w:w="850" w:type="dxa"/>
            <w:gridSpan w:val="2"/>
            <w:tcBorders/>
            <w:shd w:fill="FFFFFF" w:val="clear"/>
            <w:vAlign w:val="bottom"/>
          </w:tcPr>
          <w:p>
            <w:pPr>
              <w:pStyle w:val="TableContents"/>
              <w:spacing w:lineRule="atLeast" w:line="180" w:before="0" w:after="283"/>
              <w:jc w:val="right"/>
              <w:rPr>
                <w:rFonts w:ascii="arial" w:hAnsi="arial"/>
                <w:sz w:val="16"/>
              </w:rPr>
            </w:pPr>
            <w:r>
              <w:rPr>
                <w:rFonts w:ascii="arial" w:hAnsi="arial"/>
                <w:sz w:val="16"/>
              </w:rPr>
              <w:br/>
              <w:t> </w:t>
            </w:r>
          </w:p>
        </w:tc>
        <w:tc>
          <w:tcPr>
            <w:tcW w:w="125" w:type="dxa"/>
            <w:tcBorders/>
            <w:shd w:fill="FFFFFF" w:val="clear"/>
            <w:vAlign w:val="bottom"/>
          </w:tcPr>
          <w:p>
            <w:pPr>
              <w:pStyle w:val="TableContents"/>
              <w:spacing w:lineRule="atLeast" w:line="180" w:before="0" w:after="283"/>
              <w:rPr/>
            </w:pPr>
            <w:r>
              <w:rPr/>
              <w:t>​</w:t>
            </w:r>
          </w:p>
        </w:tc>
        <w:tc>
          <w:tcPr>
            <w:tcW w:w="24" w:type="dxa"/>
            <w:tcBorders/>
            <w:shd w:fill="FFFFFF" w:val="clear"/>
            <w:vAlign w:val="bottom"/>
          </w:tcPr>
          <w:p>
            <w:pPr>
              <w:pStyle w:val="TableContents"/>
              <w:spacing w:lineRule="atLeast" w:line="180" w:before="0" w:after="283"/>
              <w:rPr/>
            </w:pPr>
            <w:r>
              <w:rPr/>
              <w:t>​</w:t>
            </w:r>
          </w:p>
        </w:tc>
        <w:tc>
          <w:tcPr>
            <w:tcW w:w="715" w:type="dxa"/>
            <w:gridSpan w:val="2"/>
            <w:tcBorders/>
            <w:shd w:fill="FFFFFF" w:val="clear"/>
            <w:vAlign w:val="bottom"/>
          </w:tcPr>
          <w:p>
            <w:pPr>
              <w:pStyle w:val="TableContents"/>
              <w:spacing w:lineRule="atLeast" w:line="180" w:before="0" w:after="283"/>
              <w:jc w:val="right"/>
              <w:rPr>
                <w:rFonts w:ascii="arial" w:hAnsi="arial"/>
                <w:sz w:val="16"/>
              </w:rPr>
            </w:pPr>
            <w:r>
              <w:rPr>
                <w:rFonts w:ascii="arial" w:hAnsi="arial"/>
                <w:sz w:val="16"/>
              </w:rPr>
              <w:br/>
              <w:t> </w:t>
            </w:r>
          </w:p>
        </w:tc>
        <w:tc>
          <w:tcPr>
            <w:tcW w:w="125" w:type="dxa"/>
            <w:tcBorders/>
            <w:shd w:fill="FFFFFF" w:val="clear"/>
            <w:vAlign w:val="bottom"/>
          </w:tcPr>
          <w:p>
            <w:pPr>
              <w:pStyle w:val="TableContents"/>
              <w:spacing w:lineRule="atLeast" w:line="180" w:before="0" w:after="283"/>
              <w:rPr/>
            </w:pPr>
            <w:r>
              <w:rPr/>
              <w:t>​</w:t>
            </w:r>
          </w:p>
        </w:tc>
        <w:tc>
          <w:tcPr>
            <w:tcW w:w="23" w:type="dxa"/>
            <w:tcBorders/>
            <w:shd w:fill="FFFFFF" w:val="clear"/>
            <w:vAlign w:val="bottom"/>
          </w:tcPr>
          <w:p>
            <w:pPr>
              <w:pStyle w:val="TableContents"/>
              <w:spacing w:lineRule="atLeast" w:line="180" w:before="0" w:after="283"/>
              <w:rPr/>
            </w:pPr>
            <w:r>
              <w:rPr/>
              <w:t>​</w:t>
            </w:r>
          </w:p>
        </w:tc>
        <w:tc>
          <w:tcPr>
            <w:tcW w:w="745" w:type="dxa"/>
            <w:gridSpan w:val="2"/>
            <w:tcBorders/>
            <w:shd w:fill="FFFFFF" w:val="clear"/>
            <w:vAlign w:val="bottom"/>
          </w:tcPr>
          <w:p>
            <w:pPr>
              <w:pStyle w:val="TableContents"/>
              <w:spacing w:lineRule="atLeast" w:line="180" w:before="0" w:after="283"/>
              <w:jc w:val="right"/>
              <w:rPr>
                <w:rFonts w:ascii="arial" w:hAnsi="arial"/>
                <w:sz w:val="16"/>
              </w:rPr>
            </w:pPr>
            <w:r>
              <w:rPr>
                <w:rFonts w:ascii="arial" w:hAnsi="arial"/>
                <w:sz w:val="16"/>
              </w:rPr>
              <w:br/>
              <w:t> </w:t>
            </w:r>
          </w:p>
        </w:tc>
        <w:tc>
          <w:tcPr>
            <w:tcW w:w="125" w:type="dxa"/>
            <w:tcBorders/>
            <w:shd w:fill="FFFFFF" w:val="clear"/>
            <w:vAlign w:val="bottom"/>
          </w:tcPr>
          <w:p>
            <w:pPr>
              <w:pStyle w:val="TableContents"/>
              <w:spacing w:lineRule="atLeast" w:line="180" w:before="0" w:after="283"/>
              <w:rPr/>
            </w:pPr>
            <w:r>
              <w:rPr/>
              <w:t>​</w:t>
            </w:r>
          </w:p>
        </w:tc>
        <w:tc>
          <w:tcPr>
            <w:tcW w:w="23" w:type="dxa"/>
            <w:tcBorders/>
            <w:shd w:fill="FFFFFF" w:val="clear"/>
            <w:vAlign w:val="bottom"/>
          </w:tcPr>
          <w:p>
            <w:pPr>
              <w:pStyle w:val="TableContents"/>
              <w:spacing w:lineRule="atLeast" w:line="180" w:before="0" w:after="283"/>
              <w:rPr/>
            </w:pPr>
            <w:r>
              <w:rPr/>
              <w:t>​</w:t>
            </w:r>
          </w:p>
        </w:tc>
        <w:tc>
          <w:tcPr>
            <w:tcW w:w="715" w:type="dxa"/>
            <w:gridSpan w:val="2"/>
            <w:tcBorders/>
            <w:shd w:fill="FFFFFF" w:val="clear"/>
            <w:vAlign w:val="bottom"/>
          </w:tcPr>
          <w:p>
            <w:pPr>
              <w:pStyle w:val="TableContents"/>
              <w:spacing w:lineRule="atLeast" w:line="180" w:before="0" w:after="283"/>
              <w:jc w:val="right"/>
              <w:rPr>
                <w:rFonts w:ascii="arial" w:hAnsi="arial"/>
                <w:sz w:val="16"/>
              </w:rPr>
            </w:pPr>
            <w:r>
              <w:rPr>
                <w:rFonts w:ascii="arial" w:hAnsi="arial"/>
                <w:sz w:val="16"/>
              </w:rPr>
              <w:br/>
              <w:t> </w:t>
            </w:r>
          </w:p>
        </w:tc>
        <w:tc>
          <w:tcPr>
            <w:tcW w:w="125" w:type="dxa"/>
            <w:tcBorders/>
            <w:shd w:fill="FFFFFF" w:val="clear"/>
            <w:vAlign w:val="bottom"/>
          </w:tcPr>
          <w:p>
            <w:pPr>
              <w:pStyle w:val="TableContents"/>
              <w:spacing w:lineRule="atLeast" w:line="180" w:before="0" w:after="283"/>
              <w:rPr/>
            </w:pPr>
            <w:r>
              <w:rPr/>
              <w:t>​</w:t>
            </w:r>
          </w:p>
        </w:tc>
        <w:tc>
          <w:tcPr>
            <w:tcW w:w="24" w:type="dxa"/>
            <w:tcBorders/>
            <w:shd w:fill="FFFFFF" w:val="clear"/>
            <w:vAlign w:val="bottom"/>
          </w:tcPr>
          <w:p>
            <w:pPr>
              <w:pStyle w:val="TableContents"/>
              <w:spacing w:lineRule="atLeast" w:line="180" w:before="0" w:after="283"/>
              <w:rPr/>
            </w:pPr>
            <w:r>
              <w:rPr/>
              <w:t>​</w:t>
            </w:r>
          </w:p>
        </w:tc>
      </w:tr>
      <w:tr>
        <w:trPr/>
        <w:tc>
          <w:tcPr>
            <w:tcW w:w="6563" w:type="dxa"/>
            <w:tcBorders/>
            <w:shd w:fill="CCEEFF" w:val="clear"/>
            <w:vAlign w:val="bottom"/>
          </w:tcPr>
          <w:p>
            <w:pPr>
              <w:pStyle w:val="TableContents"/>
              <w:spacing w:lineRule="atLeast" w:line="180" w:before="0" w:after="283"/>
              <w:ind w:left="480" w:right="0" w:hanging="160"/>
              <w:rPr>
                <w:rFonts w:ascii="arial" w:hAnsi="arial"/>
                <w:sz w:val="16"/>
              </w:rPr>
            </w:pPr>
            <w:r>
              <w:rPr>
                <w:rFonts w:ascii="arial" w:hAnsi="arial"/>
                <w:sz w:val="16"/>
              </w:rPr>
              <w:t>Severance payment</w:t>
            </w:r>
          </w:p>
        </w:tc>
        <w:tc>
          <w:tcPr>
            <w:tcW w:w="23" w:type="dxa"/>
            <w:tcBorders/>
            <w:shd w:fill="CCEEFF" w:val="clear"/>
            <w:vAlign w:val="bottom"/>
          </w:tcPr>
          <w:p>
            <w:pPr>
              <w:pStyle w:val="TableContents"/>
              <w:spacing w:lineRule="atLeast" w:line="180" w:before="0" w:after="283"/>
              <w:rPr/>
            </w:pPr>
            <w:r>
              <w:rPr/>
              <w:t>​</w:t>
            </w:r>
          </w:p>
        </w:tc>
        <w:tc>
          <w:tcPr>
            <w:tcW w:w="110" w:type="dxa"/>
            <w:tcBorders/>
            <w:shd w:fill="CCEEFF" w:val="clear"/>
            <w:vAlign w:val="bottom"/>
          </w:tcPr>
          <w:p>
            <w:pPr>
              <w:pStyle w:val="TableContents"/>
              <w:spacing w:lineRule="atLeast" w:line="180" w:before="0" w:after="283"/>
              <w:rPr>
                <w:rFonts w:ascii="arial" w:hAnsi="arial"/>
                <w:sz w:val="16"/>
              </w:rPr>
            </w:pPr>
            <w:r>
              <w:rPr>
                <w:rFonts w:ascii="arial" w:hAnsi="arial"/>
                <w:sz w:val="16"/>
              </w:rPr>
              <w:t>$</w:t>
            </w:r>
          </w:p>
        </w:tc>
        <w:tc>
          <w:tcPr>
            <w:tcW w:w="740" w:type="dxa"/>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2,099,932</w:t>
            </w:r>
          </w:p>
        </w:tc>
        <w:tc>
          <w:tcPr>
            <w:tcW w:w="125" w:type="dxa"/>
            <w:tcBorders/>
            <w:shd w:fill="CCEEFF" w:val="clear"/>
            <w:vAlign w:val="bottom"/>
          </w:tcPr>
          <w:p>
            <w:pPr>
              <w:pStyle w:val="TableContents"/>
              <w:spacing w:lineRule="atLeast" w:line="180" w:before="0" w:after="283"/>
              <w:rPr>
                <w:rFonts w:ascii="arial" w:hAnsi="arial"/>
                <w:sz w:val="12"/>
              </w:rPr>
            </w:pPr>
            <w:r>
              <w:rPr>
                <w:rFonts w:ascii="arial" w:hAnsi="arial"/>
                <w:sz w:val="12"/>
              </w:rPr>
              <w:t>(4)</w:t>
            </w:r>
          </w:p>
        </w:tc>
        <w:tc>
          <w:tcPr>
            <w:tcW w:w="24" w:type="dxa"/>
            <w:tcBorders/>
            <w:shd w:fill="CCEEFF" w:val="clear"/>
            <w:vAlign w:val="bottom"/>
          </w:tcPr>
          <w:p>
            <w:pPr>
              <w:pStyle w:val="TableContents"/>
              <w:spacing w:lineRule="atLeast" w:line="180" w:before="0" w:after="283"/>
              <w:rPr/>
            </w:pPr>
            <w:r>
              <w:rPr/>
              <w:t>​</w:t>
            </w:r>
          </w:p>
        </w:tc>
        <w:tc>
          <w:tcPr>
            <w:tcW w:w="7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40" w:type="dxa"/>
            <w:tcBorders/>
            <w:shd w:fill="CCEEFF" w:val="clear"/>
            <w:vAlign w:val="bottom"/>
          </w:tcPr>
          <w:p>
            <w:pPr>
              <w:pStyle w:val="TableContents"/>
              <w:spacing w:lineRule="atLeast" w:line="180" w:before="0" w:after="283"/>
              <w:rPr/>
            </w:pPr>
            <w:r>
              <w:rPr/>
              <w:t>€</w:t>
            </w:r>
          </w:p>
        </w:tc>
        <w:tc>
          <w:tcPr>
            <w:tcW w:w="605" w:type="dxa"/>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504,300</w:t>
            </w:r>
          </w:p>
        </w:tc>
        <w:tc>
          <w:tcPr>
            <w:tcW w:w="125" w:type="dxa"/>
            <w:tcBorders/>
            <w:shd w:fill="CCEEFF" w:val="clear"/>
            <w:vAlign w:val="bottom"/>
          </w:tcPr>
          <w:p>
            <w:pPr>
              <w:pStyle w:val="TableContents"/>
              <w:spacing w:lineRule="atLeast" w:line="180" w:before="0" w:after="283"/>
              <w:rPr>
                <w:rFonts w:ascii="arial" w:hAnsi="arial"/>
                <w:sz w:val="12"/>
              </w:rPr>
            </w:pPr>
            <w:r>
              <w:rPr>
                <w:rFonts w:ascii="arial" w:hAnsi="arial"/>
                <w:sz w:val="12"/>
              </w:rPr>
              <w:t>(5)</w:t>
            </w:r>
          </w:p>
        </w:tc>
        <w:tc>
          <w:tcPr>
            <w:tcW w:w="23" w:type="dxa"/>
            <w:tcBorders/>
            <w:shd w:fill="CCEEFF" w:val="clear"/>
            <w:vAlign w:val="bottom"/>
          </w:tcPr>
          <w:p>
            <w:pPr>
              <w:pStyle w:val="TableContents"/>
              <w:spacing w:lineRule="atLeast" w:line="180" w:before="0" w:after="283"/>
              <w:rPr/>
            </w:pPr>
            <w:r>
              <w:rPr/>
              <w:t>​</w:t>
            </w:r>
          </w:p>
        </w:tc>
        <w:tc>
          <w:tcPr>
            <w:tcW w:w="110" w:type="dxa"/>
            <w:tcBorders/>
            <w:shd w:fill="CCEEFF" w:val="clear"/>
            <w:vAlign w:val="bottom"/>
          </w:tcPr>
          <w:p>
            <w:pPr>
              <w:pStyle w:val="TableContents"/>
              <w:spacing w:lineRule="atLeast" w:line="180" w:before="0" w:after="283"/>
              <w:rPr>
                <w:rFonts w:ascii="arial" w:hAnsi="arial"/>
                <w:sz w:val="16"/>
              </w:rPr>
            </w:pPr>
            <w:r>
              <w:rPr>
                <w:rFonts w:ascii="arial" w:hAnsi="arial"/>
                <w:sz w:val="16"/>
              </w:rPr>
              <w:t>$</w:t>
            </w:r>
          </w:p>
        </w:tc>
        <w:tc>
          <w:tcPr>
            <w:tcW w:w="605" w:type="dxa"/>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152,559</w:t>
            </w:r>
          </w:p>
        </w:tc>
        <w:tc>
          <w:tcPr>
            <w:tcW w:w="125" w:type="dxa"/>
            <w:tcBorders/>
            <w:shd w:fill="CCEEFF" w:val="clear"/>
            <w:vAlign w:val="bottom"/>
          </w:tcPr>
          <w:p>
            <w:pPr>
              <w:pStyle w:val="TableContents"/>
              <w:spacing w:lineRule="atLeast" w:line="180" w:before="0" w:after="283"/>
              <w:rPr>
                <w:rFonts w:ascii="arial" w:hAnsi="arial"/>
                <w:sz w:val="12"/>
              </w:rPr>
            </w:pPr>
            <w:r>
              <w:rPr>
                <w:rFonts w:ascii="arial" w:hAnsi="arial"/>
                <w:sz w:val="12"/>
              </w:rPr>
              <w:t>(6)</w:t>
            </w:r>
          </w:p>
        </w:tc>
        <w:tc>
          <w:tcPr>
            <w:tcW w:w="24" w:type="dxa"/>
            <w:tcBorders/>
            <w:shd w:fill="CCEEFF" w:val="clear"/>
            <w:vAlign w:val="bottom"/>
          </w:tcPr>
          <w:p>
            <w:pPr>
              <w:pStyle w:val="TableContents"/>
              <w:spacing w:lineRule="atLeast" w:line="180" w:before="0" w:after="283"/>
              <w:rPr/>
            </w:pPr>
            <w:r>
              <w:rPr/>
              <w:t>​</w:t>
            </w:r>
          </w:p>
        </w:tc>
      </w:tr>
      <w:tr>
        <w:trPr/>
        <w:tc>
          <w:tcPr>
            <w:tcW w:w="6563" w:type="dxa"/>
            <w:tcBorders/>
            <w:shd w:fill="FFFFFF" w:val="clear"/>
            <w:vAlign w:val="bottom"/>
          </w:tcPr>
          <w:p>
            <w:pPr>
              <w:pStyle w:val="TableContents"/>
              <w:spacing w:lineRule="atLeast" w:line="180" w:before="180" w:after="283"/>
              <w:ind w:left="160" w:right="0" w:hanging="160"/>
              <w:rPr>
                <w:rFonts w:ascii="arial" w:hAnsi="arial"/>
                <w:b/>
                <w:sz w:val="16"/>
              </w:rPr>
            </w:pPr>
            <w:r>
              <w:rPr>
                <w:rFonts w:ascii="arial" w:hAnsi="arial"/>
                <w:b/>
                <w:sz w:val="16"/>
              </w:rPr>
              <w:t>Change of Control</w:t>
            </w:r>
          </w:p>
        </w:tc>
        <w:tc>
          <w:tcPr>
            <w:tcW w:w="23" w:type="dxa"/>
            <w:tcBorders/>
            <w:shd w:fill="FFFFFF" w:val="clear"/>
            <w:vAlign w:val="bottom"/>
          </w:tcPr>
          <w:p>
            <w:pPr>
              <w:pStyle w:val="TableContents"/>
              <w:spacing w:lineRule="atLeast" w:line="180" w:before="0" w:after="283"/>
              <w:rPr/>
            </w:pPr>
            <w:r>
              <w:rPr/>
              <w:t>​</w:t>
            </w:r>
          </w:p>
        </w:tc>
        <w:tc>
          <w:tcPr>
            <w:tcW w:w="850" w:type="dxa"/>
            <w:gridSpan w:val="2"/>
            <w:tcBorders/>
            <w:shd w:fill="FFFFFF" w:val="clear"/>
            <w:vAlign w:val="bottom"/>
          </w:tcPr>
          <w:p>
            <w:pPr>
              <w:pStyle w:val="TableContents"/>
              <w:spacing w:lineRule="atLeast" w:line="180" w:before="0" w:after="283"/>
              <w:jc w:val="right"/>
              <w:rPr>
                <w:rFonts w:ascii="arial" w:hAnsi="arial"/>
                <w:sz w:val="16"/>
              </w:rPr>
            </w:pPr>
            <w:r>
              <w:rPr>
                <w:rFonts w:ascii="arial" w:hAnsi="arial"/>
                <w:sz w:val="16"/>
              </w:rPr>
              <w:br/>
              <w:t> </w:t>
            </w:r>
          </w:p>
        </w:tc>
        <w:tc>
          <w:tcPr>
            <w:tcW w:w="125" w:type="dxa"/>
            <w:tcBorders/>
            <w:shd w:fill="FFFFFF" w:val="clear"/>
            <w:vAlign w:val="bottom"/>
          </w:tcPr>
          <w:p>
            <w:pPr>
              <w:pStyle w:val="TableContents"/>
              <w:spacing w:lineRule="atLeast" w:line="180" w:before="0" w:after="283"/>
              <w:rPr/>
            </w:pPr>
            <w:r>
              <w:rPr/>
              <w:t>​</w:t>
            </w:r>
          </w:p>
        </w:tc>
        <w:tc>
          <w:tcPr>
            <w:tcW w:w="24" w:type="dxa"/>
            <w:tcBorders/>
            <w:shd w:fill="FFFFFF" w:val="clear"/>
            <w:vAlign w:val="bottom"/>
          </w:tcPr>
          <w:p>
            <w:pPr>
              <w:pStyle w:val="TableContents"/>
              <w:spacing w:lineRule="atLeast" w:line="180" w:before="0" w:after="283"/>
              <w:rPr/>
            </w:pPr>
            <w:r>
              <w:rPr/>
              <w:t>​</w:t>
            </w:r>
          </w:p>
        </w:tc>
        <w:tc>
          <w:tcPr>
            <w:tcW w:w="715" w:type="dxa"/>
            <w:gridSpan w:val="2"/>
            <w:tcBorders/>
            <w:shd w:fill="FFFFFF" w:val="clear"/>
            <w:vAlign w:val="bottom"/>
          </w:tcPr>
          <w:p>
            <w:pPr>
              <w:pStyle w:val="TableContents"/>
              <w:spacing w:lineRule="atLeast" w:line="180" w:before="0" w:after="283"/>
              <w:jc w:val="right"/>
              <w:rPr>
                <w:rFonts w:ascii="arial" w:hAnsi="arial"/>
                <w:sz w:val="16"/>
              </w:rPr>
            </w:pPr>
            <w:r>
              <w:rPr>
                <w:rFonts w:ascii="arial" w:hAnsi="arial"/>
                <w:sz w:val="16"/>
              </w:rPr>
              <w:br/>
              <w:t> </w:t>
            </w:r>
          </w:p>
        </w:tc>
        <w:tc>
          <w:tcPr>
            <w:tcW w:w="125" w:type="dxa"/>
            <w:tcBorders/>
            <w:shd w:fill="FFFFFF" w:val="clear"/>
            <w:vAlign w:val="bottom"/>
          </w:tcPr>
          <w:p>
            <w:pPr>
              <w:pStyle w:val="TableContents"/>
              <w:spacing w:lineRule="atLeast" w:line="180" w:before="0" w:after="283"/>
              <w:rPr/>
            </w:pPr>
            <w:r>
              <w:rPr/>
              <w:t>​</w:t>
            </w:r>
          </w:p>
        </w:tc>
        <w:tc>
          <w:tcPr>
            <w:tcW w:w="23" w:type="dxa"/>
            <w:tcBorders/>
            <w:shd w:fill="FFFFFF" w:val="clear"/>
            <w:vAlign w:val="bottom"/>
          </w:tcPr>
          <w:p>
            <w:pPr>
              <w:pStyle w:val="TableContents"/>
              <w:spacing w:lineRule="atLeast" w:line="180" w:before="0" w:after="283"/>
              <w:rPr/>
            </w:pPr>
            <w:r>
              <w:rPr/>
              <w:t>​</w:t>
            </w:r>
          </w:p>
        </w:tc>
        <w:tc>
          <w:tcPr>
            <w:tcW w:w="745" w:type="dxa"/>
            <w:gridSpan w:val="2"/>
            <w:tcBorders/>
            <w:shd w:fill="FFFFFF" w:val="clear"/>
            <w:vAlign w:val="bottom"/>
          </w:tcPr>
          <w:p>
            <w:pPr>
              <w:pStyle w:val="TableContents"/>
              <w:spacing w:lineRule="atLeast" w:line="180" w:before="0" w:after="283"/>
              <w:jc w:val="right"/>
              <w:rPr>
                <w:rFonts w:ascii="arial" w:hAnsi="arial"/>
                <w:sz w:val="16"/>
              </w:rPr>
            </w:pPr>
            <w:r>
              <w:rPr>
                <w:rFonts w:ascii="arial" w:hAnsi="arial"/>
                <w:sz w:val="16"/>
              </w:rPr>
              <w:br/>
              <w:t> </w:t>
            </w:r>
          </w:p>
        </w:tc>
        <w:tc>
          <w:tcPr>
            <w:tcW w:w="125" w:type="dxa"/>
            <w:tcBorders/>
            <w:shd w:fill="FFFFFF" w:val="clear"/>
            <w:vAlign w:val="bottom"/>
          </w:tcPr>
          <w:p>
            <w:pPr>
              <w:pStyle w:val="TableContents"/>
              <w:spacing w:lineRule="atLeast" w:line="180" w:before="0" w:after="283"/>
              <w:rPr/>
            </w:pPr>
            <w:r>
              <w:rPr/>
              <w:t>​</w:t>
            </w:r>
          </w:p>
        </w:tc>
        <w:tc>
          <w:tcPr>
            <w:tcW w:w="23" w:type="dxa"/>
            <w:tcBorders/>
            <w:shd w:fill="FFFFFF" w:val="clear"/>
            <w:vAlign w:val="bottom"/>
          </w:tcPr>
          <w:p>
            <w:pPr>
              <w:pStyle w:val="TableContents"/>
              <w:spacing w:lineRule="atLeast" w:line="180" w:before="0" w:after="283"/>
              <w:rPr/>
            </w:pPr>
            <w:r>
              <w:rPr/>
              <w:t>​</w:t>
            </w:r>
          </w:p>
        </w:tc>
        <w:tc>
          <w:tcPr>
            <w:tcW w:w="715" w:type="dxa"/>
            <w:gridSpan w:val="2"/>
            <w:tcBorders/>
            <w:shd w:fill="FFFFFF" w:val="clear"/>
            <w:vAlign w:val="bottom"/>
          </w:tcPr>
          <w:p>
            <w:pPr>
              <w:pStyle w:val="TableContents"/>
              <w:spacing w:lineRule="atLeast" w:line="180" w:before="0" w:after="283"/>
              <w:jc w:val="right"/>
              <w:rPr>
                <w:rFonts w:ascii="arial" w:hAnsi="arial"/>
                <w:sz w:val="16"/>
              </w:rPr>
            </w:pPr>
            <w:r>
              <w:rPr>
                <w:rFonts w:ascii="arial" w:hAnsi="arial"/>
                <w:sz w:val="16"/>
              </w:rPr>
              <w:br/>
              <w:t> </w:t>
            </w:r>
          </w:p>
        </w:tc>
        <w:tc>
          <w:tcPr>
            <w:tcW w:w="125" w:type="dxa"/>
            <w:tcBorders/>
            <w:shd w:fill="FFFFFF" w:val="clear"/>
            <w:vAlign w:val="bottom"/>
          </w:tcPr>
          <w:p>
            <w:pPr>
              <w:pStyle w:val="TableContents"/>
              <w:spacing w:lineRule="atLeast" w:line="180" w:before="0" w:after="283"/>
              <w:rPr/>
            </w:pPr>
            <w:r>
              <w:rPr/>
              <w:t>​</w:t>
            </w:r>
          </w:p>
        </w:tc>
        <w:tc>
          <w:tcPr>
            <w:tcW w:w="24" w:type="dxa"/>
            <w:tcBorders/>
            <w:shd w:fill="FFFFFF" w:val="clear"/>
            <w:vAlign w:val="bottom"/>
          </w:tcPr>
          <w:p>
            <w:pPr>
              <w:pStyle w:val="TableContents"/>
              <w:spacing w:lineRule="atLeast" w:line="180" w:before="0" w:after="283"/>
              <w:rPr/>
            </w:pPr>
            <w:r>
              <w:rPr/>
              <w:t>​</w:t>
            </w:r>
          </w:p>
        </w:tc>
      </w:tr>
      <w:tr>
        <w:trPr/>
        <w:tc>
          <w:tcPr>
            <w:tcW w:w="6563" w:type="dxa"/>
            <w:tcBorders/>
            <w:shd w:fill="CCEEFF" w:val="clear"/>
            <w:vAlign w:val="bottom"/>
          </w:tcPr>
          <w:p>
            <w:pPr>
              <w:pStyle w:val="TableContents"/>
              <w:spacing w:lineRule="atLeast" w:line="180" w:before="0" w:after="283"/>
              <w:ind w:left="480" w:right="0" w:hanging="160"/>
              <w:rPr>
                <w:rFonts w:ascii="arial" w:hAnsi="arial"/>
                <w:sz w:val="16"/>
              </w:rPr>
            </w:pPr>
            <w:r>
              <w:rPr>
                <w:rFonts w:ascii="arial" w:hAnsi="arial"/>
                <w:sz w:val="16"/>
              </w:rPr>
              <w:t>Payment</w:t>
            </w:r>
          </w:p>
        </w:tc>
        <w:tc>
          <w:tcPr>
            <w:tcW w:w="23" w:type="dxa"/>
            <w:tcBorders/>
            <w:shd w:fill="CCEEFF" w:val="clear"/>
            <w:vAlign w:val="bottom"/>
          </w:tcPr>
          <w:p>
            <w:pPr>
              <w:pStyle w:val="TableContents"/>
              <w:spacing w:lineRule="atLeast" w:line="180" w:before="0" w:after="283"/>
              <w:rPr/>
            </w:pPr>
            <w:r>
              <w:rPr/>
              <w:t>​</w:t>
            </w:r>
          </w:p>
        </w:tc>
        <w:tc>
          <w:tcPr>
            <w:tcW w:w="850"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25" w:type="dxa"/>
            <w:tcBorders/>
            <w:shd w:fill="CCEEFF" w:val="clear"/>
            <w:vAlign w:val="bottom"/>
          </w:tcPr>
          <w:p>
            <w:pPr>
              <w:pStyle w:val="TableContents"/>
              <w:spacing w:lineRule="atLeast" w:line="180" w:before="0" w:after="283"/>
              <w:rPr/>
            </w:pPr>
            <w:r>
              <w:rPr/>
              <w:t>​</w:t>
            </w:r>
          </w:p>
        </w:tc>
        <w:tc>
          <w:tcPr>
            <w:tcW w:w="24" w:type="dxa"/>
            <w:tcBorders/>
            <w:shd w:fill="CCEEFF" w:val="clear"/>
            <w:vAlign w:val="bottom"/>
          </w:tcPr>
          <w:p>
            <w:pPr>
              <w:pStyle w:val="TableContents"/>
              <w:spacing w:lineRule="atLeast" w:line="180" w:before="0" w:after="283"/>
              <w:rPr/>
            </w:pPr>
            <w:r>
              <w:rPr/>
              <w:t>​</w:t>
            </w:r>
          </w:p>
        </w:tc>
        <w:tc>
          <w:tcPr>
            <w:tcW w:w="71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745" w:type="dxa"/>
            <w:gridSpan w:val="2"/>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w:t>
            </w:r>
          </w:p>
        </w:tc>
        <w:tc>
          <w:tcPr>
            <w:tcW w:w="125" w:type="dxa"/>
            <w:tcBorders/>
            <w:shd w:fill="CCEEFF" w:val="clear"/>
            <w:vAlign w:val="bottom"/>
          </w:tcPr>
          <w:p>
            <w:pPr>
              <w:pStyle w:val="TableContents"/>
              <w:spacing w:lineRule="atLeast" w:line="180" w:before="0" w:after="283"/>
              <w:rPr/>
            </w:pPr>
            <w:r>
              <w:rPr/>
              <w:t>​</w:t>
            </w:r>
          </w:p>
        </w:tc>
        <w:tc>
          <w:tcPr>
            <w:tcW w:w="23" w:type="dxa"/>
            <w:tcBorders/>
            <w:shd w:fill="CCEEFF" w:val="clear"/>
            <w:vAlign w:val="bottom"/>
          </w:tcPr>
          <w:p>
            <w:pPr>
              <w:pStyle w:val="TableContents"/>
              <w:spacing w:lineRule="atLeast" w:line="180" w:before="0" w:after="283"/>
              <w:rPr/>
            </w:pPr>
            <w:r>
              <w:rPr/>
              <w:t>​</w:t>
            </w:r>
          </w:p>
        </w:tc>
        <w:tc>
          <w:tcPr>
            <w:tcW w:w="110" w:type="dxa"/>
            <w:tcBorders/>
            <w:shd w:fill="CCEEFF" w:val="clear"/>
            <w:vAlign w:val="bottom"/>
          </w:tcPr>
          <w:p>
            <w:pPr>
              <w:pStyle w:val="TableContents"/>
              <w:spacing w:lineRule="atLeast" w:line="180" w:before="0" w:after="283"/>
              <w:rPr>
                <w:rFonts w:ascii="arial" w:hAnsi="arial"/>
                <w:sz w:val="16"/>
              </w:rPr>
            </w:pPr>
            <w:r>
              <w:rPr>
                <w:rFonts w:ascii="arial" w:hAnsi="arial"/>
                <w:sz w:val="16"/>
              </w:rPr>
              <w:t>$</w:t>
            </w:r>
          </w:p>
        </w:tc>
        <w:tc>
          <w:tcPr>
            <w:tcW w:w="605" w:type="dxa"/>
            <w:tcBorders/>
            <w:shd w:fill="CCEEFF" w:val="clear"/>
            <w:vAlign w:val="bottom"/>
          </w:tcPr>
          <w:p>
            <w:pPr>
              <w:pStyle w:val="TableContents"/>
              <w:spacing w:lineRule="atLeast" w:line="180" w:before="0" w:after="283"/>
              <w:jc w:val="right"/>
              <w:rPr>
                <w:rFonts w:ascii="arial" w:hAnsi="arial"/>
                <w:sz w:val="16"/>
              </w:rPr>
            </w:pPr>
            <w:r>
              <w:rPr>
                <w:rFonts w:ascii="arial" w:hAnsi="arial"/>
                <w:sz w:val="16"/>
              </w:rPr>
              <w:t>703,678</w:t>
            </w:r>
          </w:p>
        </w:tc>
        <w:tc>
          <w:tcPr>
            <w:tcW w:w="125" w:type="dxa"/>
            <w:tcBorders/>
            <w:shd w:fill="CCEEFF" w:val="clear"/>
            <w:vAlign w:val="bottom"/>
          </w:tcPr>
          <w:p>
            <w:pPr>
              <w:pStyle w:val="TableContents"/>
              <w:spacing w:lineRule="atLeast" w:line="180" w:before="0" w:after="283"/>
              <w:rPr>
                <w:rFonts w:ascii="arial" w:hAnsi="arial"/>
                <w:sz w:val="12"/>
              </w:rPr>
            </w:pPr>
            <w:r>
              <w:rPr>
                <w:rFonts w:ascii="arial" w:hAnsi="arial"/>
                <w:sz w:val="12"/>
              </w:rPr>
              <w:t>(7)</w:t>
            </w:r>
          </w:p>
        </w:tc>
        <w:tc>
          <w:tcPr>
            <w:tcW w:w="24" w:type="dxa"/>
            <w:tcBorders/>
            <w:shd w:fill="CCEEFF" w:val="clear"/>
            <w:vAlign w:val="bottom"/>
          </w:tcPr>
          <w:p>
            <w:pPr>
              <w:pStyle w:val="TableContents"/>
              <w:spacing w:lineRule="atLeast" w:line="180" w:before="0" w:after="283"/>
              <w:rPr/>
            </w:pPr>
            <w:r>
              <w:rPr/>
              <w:t>​</w:t>
            </w:r>
          </w:p>
        </w:tc>
      </w:tr>
      <w:tr>
        <w:trPr/>
        <w:tc>
          <w:tcPr>
            <w:tcW w:w="6563" w:type="dxa"/>
            <w:tcBorders/>
            <w:shd w:fill="FFFFFF" w:val="clear"/>
            <w:vAlign w:val="bottom"/>
          </w:tcPr>
          <w:p>
            <w:pPr>
              <w:pStyle w:val="TableContents"/>
              <w:spacing w:lineRule="atLeast" w:line="180" w:before="0" w:after="283"/>
              <w:ind w:left="480" w:right="0" w:hanging="160"/>
              <w:rPr>
                <w:rFonts w:ascii="arial" w:hAnsi="arial"/>
                <w:sz w:val="16"/>
              </w:rPr>
            </w:pPr>
            <w:r>
              <w:rPr>
                <w:rFonts w:ascii="arial" w:hAnsi="arial"/>
                <w:sz w:val="16"/>
              </w:rPr>
              <w:t>Accelerated vesting of options, RSUs and restricted shares</w:t>
            </w:r>
          </w:p>
        </w:tc>
        <w:tc>
          <w:tcPr>
            <w:tcW w:w="23" w:type="dxa"/>
            <w:tcBorders/>
            <w:shd w:fill="FFFFFF" w:val="clear"/>
            <w:vAlign w:val="bottom"/>
          </w:tcPr>
          <w:p>
            <w:pPr>
              <w:pStyle w:val="TableContents"/>
              <w:spacing w:lineRule="atLeast" w:line="180" w:before="0" w:after="283"/>
              <w:rPr/>
            </w:pPr>
            <w:r>
              <w:rPr/>
              <w:t>​</w:t>
            </w:r>
          </w:p>
        </w:tc>
        <w:tc>
          <w:tcPr>
            <w:tcW w:w="110" w:type="dxa"/>
            <w:tcBorders/>
            <w:shd w:fill="FFFFFF" w:val="clear"/>
            <w:vAlign w:val="bottom"/>
          </w:tcPr>
          <w:p>
            <w:pPr>
              <w:pStyle w:val="TableContents"/>
              <w:spacing w:lineRule="atLeast" w:line="180" w:before="0" w:after="283"/>
              <w:rPr>
                <w:rFonts w:ascii="arial" w:hAnsi="arial"/>
                <w:sz w:val="16"/>
              </w:rPr>
            </w:pPr>
            <w:r>
              <w:rPr>
                <w:rFonts w:ascii="arial" w:hAnsi="arial"/>
                <w:sz w:val="16"/>
              </w:rPr>
              <w:t>$</w:t>
            </w:r>
          </w:p>
        </w:tc>
        <w:tc>
          <w:tcPr>
            <w:tcW w:w="740" w:type="dxa"/>
            <w:tcBorders/>
            <w:shd w:fill="FFFFFF" w:val="clear"/>
            <w:vAlign w:val="bottom"/>
          </w:tcPr>
          <w:p>
            <w:pPr>
              <w:pStyle w:val="TableContents"/>
              <w:spacing w:lineRule="atLeast" w:line="180" w:before="0" w:after="283"/>
              <w:jc w:val="right"/>
              <w:rPr>
                <w:rFonts w:ascii="arial" w:hAnsi="arial"/>
                <w:sz w:val="16"/>
              </w:rPr>
            </w:pPr>
            <w:r>
              <w:rPr>
                <w:rFonts w:ascii="arial" w:hAnsi="arial"/>
                <w:sz w:val="16"/>
              </w:rPr>
              <w:t>2,720,449</w:t>
            </w:r>
          </w:p>
        </w:tc>
        <w:tc>
          <w:tcPr>
            <w:tcW w:w="125" w:type="dxa"/>
            <w:tcBorders/>
            <w:shd w:fill="FFFFFF" w:val="clear"/>
            <w:vAlign w:val="bottom"/>
          </w:tcPr>
          <w:p>
            <w:pPr>
              <w:pStyle w:val="TableContents"/>
              <w:spacing w:lineRule="atLeast" w:line="180" w:before="0" w:after="283"/>
              <w:rPr>
                <w:rFonts w:ascii="arial" w:hAnsi="arial"/>
                <w:sz w:val="12"/>
              </w:rPr>
            </w:pPr>
            <w:r>
              <w:rPr>
                <w:rFonts w:ascii="arial" w:hAnsi="arial"/>
                <w:sz w:val="12"/>
              </w:rPr>
              <w:t>(2)</w:t>
            </w:r>
          </w:p>
        </w:tc>
        <w:tc>
          <w:tcPr>
            <w:tcW w:w="24" w:type="dxa"/>
            <w:tcBorders/>
            <w:shd w:fill="FFFFFF" w:val="clear"/>
            <w:vAlign w:val="bottom"/>
          </w:tcPr>
          <w:p>
            <w:pPr>
              <w:pStyle w:val="TableContents"/>
              <w:spacing w:lineRule="atLeast" w:line="180" w:before="0" w:after="283"/>
              <w:rPr/>
            </w:pPr>
            <w:r>
              <w:rPr/>
              <w:t>​</w:t>
            </w:r>
          </w:p>
        </w:tc>
        <w:tc>
          <w:tcPr>
            <w:tcW w:w="110" w:type="dxa"/>
            <w:tcBorders/>
            <w:shd w:fill="FFFFFF" w:val="clear"/>
            <w:vAlign w:val="bottom"/>
          </w:tcPr>
          <w:p>
            <w:pPr>
              <w:pStyle w:val="TableContents"/>
              <w:spacing w:lineRule="atLeast" w:line="180" w:before="0" w:after="283"/>
              <w:rPr>
                <w:rFonts w:ascii="arial" w:hAnsi="arial"/>
                <w:sz w:val="16"/>
              </w:rPr>
            </w:pPr>
            <w:r>
              <w:rPr>
                <w:rFonts w:ascii="arial" w:hAnsi="arial"/>
                <w:sz w:val="16"/>
              </w:rPr>
              <w:t>$</w:t>
            </w:r>
          </w:p>
        </w:tc>
        <w:tc>
          <w:tcPr>
            <w:tcW w:w="605" w:type="dxa"/>
            <w:tcBorders/>
            <w:shd w:fill="FFFFFF" w:val="clear"/>
            <w:vAlign w:val="bottom"/>
          </w:tcPr>
          <w:p>
            <w:pPr>
              <w:pStyle w:val="TableContents"/>
              <w:spacing w:lineRule="atLeast" w:line="180" w:before="0" w:after="283"/>
              <w:jc w:val="right"/>
              <w:rPr>
                <w:rFonts w:ascii="arial" w:hAnsi="arial"/>
                <w:sz w:val="16"/>
              </w:rPr>
            </w:pPr>
            <w:r>
              <w:rPr>
                <w:rFonts w:ascii="arial" w:hAnsi="arial"/>
                <w:sz w:val="16"/>
              </w:rPr>
              <w:t>859,927</w:t>
            </w:r>
          </w:p>
        </w:tc>
        <w:tc>
          <w:tcPr>
            <w:tcW w:w="125" w:type="dxa"/>
            <w:tcBorders/>
            <w:shd w:fill="FFFFFF" w:val="clear"/>
            <w:vAlign w:val="bottom"/>
          </w:tcPr>
          <w:p>
            <w:pPr>
              <w:pStyle w:val="TableContents"/>
              <w:spacing w:lineRule="atLeast" w:line="180" w:before="0" w:after="283"/>
              <w:rPr>
                <w:rFonts w:ascii="arial" w:hAnsi="arial"/>
                <w:sz w:val="12"/>
              </w:rPr>
            </w:pPr>
            <w:r>
              <w:rPr>
                <w:rFonts w:ascii="arial" w:hAnsi="arial"/>
                <w:sz w:val="12"/>
              </w:rPr>
              <w:t>(2)</w:t>
            </w:r>
          </w:p>
        </w:tc>
        <w:tc>
          <w:tcPr>
            <w:tcW w:w="23" w:type="dxa"/>
            <w:tcBorders/>
            <w:shd w:fill="FFFFFF" w:val="clear"/>
            <w:vAlign w:val="bottom"/>
          </w:tcPr>
          <w:p>
            <w:pPr>
              <w:pStyle w:val="TableContents"/>
              <w:spacing w:lineRule="atLeast" w:line="180" w:before="0" w:after="283"/>
              <w:rPr/>
            </w:pPr>
            <w:r>
              <w:rPr/>
              <w:t>​</w:t>
            </w:r>
          </w:p>
        </w:tc>
        <w:tc>
          <w:tcPr>
            <w:tcW w:w="140" w:type="dxa"/>
            <w:tcBorders/>
            <w:shd w:fill="FFFFFF" w:val="clear"/>
            <w:vAlign w:val="bottom"/>
          </w:tcPr>
          <w:p>
            <w:pPr>
              <w:pStyle w:val="TableContents"/>
              <w:spacing w:lineRule="atLeast" w:line="180" w:before="0" w:after="283"/>
              <w:rPr>
                <w:rFonts w:ascii="arial" w:hAnsi="arial"/>
                <w:sz w:val="16"/>
              </w:rPr>
            </w:pPr>
            <w:r>
              <w:rPr>
                <w:rFonts w:ascii="arial" w:hAnsi="arial"/>
                <w:sz w:val="16"/>
              </w:rPr>
              <w:t>$</w:t>
            </w:r>
          </w:p>
        </w:tc>
        <w:tc>
          <w:tcPr>
            <w:tcW w:w="605" w:type="dxa"/>
            <w:tcBorders/>
            <w:shd w:fill="FFFFFF" w:val="clear"/>
            <w:vAlign w:val="bottom"/>
          </w:tcPr>
          <w:p>
            <w:pPr>
              <w:pStyle w:val="TableContents"/>
              <w:spacing w:lineRule="atLeast" w:line="180" w:before="0" w:after="283"/>
              <w:jc w:val="right"/>
              <w:rPr>
                <w:rFonts w:ascii="arial" w:hAnsi="arial"/>
                <w:sz w:val="16"/>
              </w:rPr>
            </w:pPr>
            <w:r>
              <w:rPr>
                <w:rFonts w:ascii="arial" w:hAnsi="arial"/>
                <w:sz w:val="16"/>
              </w:rPr>
              <w:t>949,990</w:t>
            </w:r>
          </w:p>
        </w:tc>
        <w:tc>
          <w:tcPr>
            <w:tcW w:w="125" w:type="dxa"/>
            <w:tcBorders/>
            <w:shd w:fill="FFFFFF" w:val="clear"/>
            <w:vAlign w:val="bottom"/>
          </w:tcPr>
          <w:p>
            <w:pPr>
              <w:pStyle w:val="TableContents"/>
              <w:spacing w:lineRule="atLeast" w:line="180" w:before="0" w:after="283"/>
              <w:rPr>
                <w:rFonts w:ascii="arial" w:hAnsi="arial"/>
                <w:sz w:val="12"/>
              </w:rPr>
            </w:pPr>
            <w:r>
              <w:rPr>
                <w:rFonts w:ascii="arial" w:hAnsi="arial"/>
                <w:sz w:val="12"/>
              </w:rPr>
              <w:t>(2)</w:t>
            </w:r>
          </w:p>
        </w:tc>
        <w:tc>
          <w:tcPr>
            <w:tcW w:w="23" w:type="dxa"/>
            <w:tcBorders/>
            <w:shd w:fill="FFFFFF" w:val="clear"/>
            <w:vAlign w:val="bottom"/>
          </w:tcPr>
          <w:p>
            <w:pPr>
              <w:pStyle w:val="TableContents"/>
              <w:spacing w:lineRule="atLeast" w:line="180" w:before="0" w:after="283"/>
              <w:rPr/>
            </w:pPr>
            <w:r>
              <w:rPr/>
              <w:t>​</w:t>
            </w:r>
          </w:p>
        </w:tc>
        <w:tc>
          <w:tcPr>
            <w:tcW w:w="110" w:type="dxa"/>
            <w:tcBorders/>
            <w:shd w:fill="FFFFFF" w:val="clear"/>
            <w:vAlign w:val="bottom"/>
          </w:tcPr>
          <w:p>
            <w:pPr>
              <w:pStyle w:val="TableContents"/>
              <w:spacing w:lineRule="atLeast" w:line="180" w:before="0" w:after="283"/>
              <w:rPr>
                <w:rFonts w:ascii="arial" w:hAnsi="arial"/>
                <w:sz w:val="16"/>
              </w:rPr>
            </w:pPr>
            <w:r>
              <w:rPr>
                <w:rFonts w:ascii="arial" w:hAnsi="arial"/>
                <w:sz w:val="16"/>
              </w:rPr>
              <w:t>$</w:t>
            </w:r>
          </w:p>
        </w:tc>
        <w:tc>
          <w:tcPr>
            <w:tcW w:w="605" w:type="dxa"/>
            <w:tcBorders/>
            <w:shd w:fill="FFFFFF" w:val="clear"/>
            <w:vAlign w:val="bottom"/>
          </w:tcPr>
          <w:p>
            <w:pPr>
              <w:pStyle w:val="TableContents"/>
              <w:spacing w:lineRule="atLeast" w:line="180" w:before="0" w:after="283"/>
              <w:jc w:val="right"/>
              <w:rPr>
                <w:rFonts w:ascii="arial" w:hAnsi="arial"/>
                <w:sz w:val="16"/>
              </w:rPr>
            </w:pPr>
            <w:r>
              <w:rPr>
                <w:rFonts w:ascii="arial" w:hAnsi="arial"/>
                <w:sz w:val="16"/>
              </w:rPr>
              <w:t>658,902</w:t>
            </w:r>
          </w:p>
        </w:tc>
        <w:tc>
          <w:tcPr>
            <w:tcW w:w="125" w:type="dxa"/>
            <w:tcBorders/>
            <w:shd w:fill="FFFFFF" w:val="clear"/>
            <w:vAlign w:val="bottom"/>
          </w:tcPr>
          <w:p>
            <w:pPr>
              <w:pStyle w:val="TableContents"/>
              <w:spacing w:lineRule="atLeast" w:line="180" w:before="0" w:after="283"/>
              <w:rPr>
                <w:rFonts w:ascii="arial" w:hAnsi="arial"/>
                <w:sz w:val="12"/>
              </w:rPr>
            </w:pPr>
            <w:r>
              <w:rPr>
                <w:rFonts w:ascii="arial" w:hAnsi="arial"/>
                <w:sz w:val="12"/>
              </w:rPr>
              <w:t>(2)</w:t>
            </w:r>
          </w:p>
        </w:tc>
        <w:tc>
          <w:tcPr>
            <w:tcW w:w="24" w:type="dxa"/>
            <w:tcBorders/>
            <w:shd w:fill="FFFFFF" w:val="clear"/>
            <w:vAlign w:val="bottom"/>
          </w:tcPr>
          <w:p>
            <w:pPr>
              <w:pStyle w:val="TableContents"/>
              <w:spacing w:lineRule="atLeast" w:line="180" w:before="0" w:after="283"/>
              <w:rPr/>
            </w:pPr>
            <w:r>
              <w:rPr/>
              <w:t>​</w:t>
            </w:r>
          </w:p>
        </w:tc>
      </w:tr>
    </w:tbl>
    <w:p>
      <w:pPr>
        <w:pStyle w:val="HorizontalLine"/>
        <w:pBdr>
          <w:bottom w:val="single" w:sz="6" w:space="0" w:color="000000"/>
        </w:pBdr>
        <w:ind w:left="0" w:right="7552" w:hanging="0"/>
        <w:rPr/>
      </w:pPr>
      <w:r>
        <w:rPr/>
      </w:r>
    </w:p>
    <w:p>
      <w:pPr>
        <w:pStyle w:val="ListHeading"/>
        <w:spacing w:lineRule="atLeast" w:line="180" w:before="0" w:after="0"/>
        <w:jc w:val="left"/>
        <w:rPr>
          <w:rFonts w:ascii="arial" w:hAnsi="arial"/>
          <w:sz w:val="12"/>
        </w:rPr>
      </w:pPr>
      <w:r>
        <w:rPr>
          <w:rFonts w:ascii="arial" w:hAnsi="arial"/>
          <w:sz w:val="12"/>
        </w:rPr>
        <w:t>(1)</w:t>
      </w:r>
    </w:p>
    <w:p>
      <w:pPr>
        <w:pStyle w:val="ListContents"/>
        <w:spacing w:lineRule="atLeast" w:line="180" w:before="0" w:after="283"/>
        <w:jc w:val="left"/>
        <w:rPr>
          <w:rFonts w:ascii="arial" w:hAnsi="arial"/>
          <w:sz w:val="16"/>
        </w:rPr>
      </w:pPr>
      <w:r>
        <w:rPr>
          <w:rFonts w:ascii="arial" w:hAnsi="arial"/>
          <w:sz w:val="16"/>
        </w:rPr>
        <w:t xml:space="preserve">Represents amounts that would have been received in connection with the accelerated vesting of restricted shares and/or service-based options upon the occurrence of death, disability, retirement or termination by the Company other than for "Cause". </w:t>
      </w:r>
    </w:p>
    <w:p>
      <w:pPr>
        <w:pStyle w:val="ListHeading"/>
        <w:spacing w:lineRule="atLeast" w:line="180" w:before="0" w:after="0"/>
        <w:jc w:val="left"/>
        <w:rPr>
          <w:rFonts w:ascii="arial" w:hAnsi="arial"/>
          <w:sz w:val="12"/>
        </w:rPr>
      </w:pPr>
      <w:r>
        <w:rPr>
          <w:rFonts w:ascii="arial" w:hAnsi="arial"/>
          <w:sz w:val="12"/>
        </w:rPr>
        <w:t>(2)</w:t>
      </w:r>
    </w:p>
    <w:p>
      <w:pPr>
        <w:pStyle w:val="ListContents"/>
        <w:spacing w:lineRule="atLeast" w:line="180" w:before="0" w:after="283"/>
        <w:jc w:val="left"/>
        <w:rPr>
          <w:rFonts w:ascii="arial" w:hAnsi="arial"/>
          <w:sz w:val="16"/>
        </w:rPr>
      </w:pPr>
      <w:r>
        <w:rPr>
          <w:rFonts w:ascii="arial" w:hAnsi="arial"/>
          <w:sz w:val="16"/>
        </w:rPr>
        <w:t xml:space="preserve">Represents amounts that would have been received in connection with the accelerated vesting of all Altisource restricted shares and options in the event the Compensation Committee authorizes the accelerated vesting of all restricted shares and options following a change of control. </w:t>
      </w:r>
    </w:p>
    <w:p>
      <w:pPr>
        <w:pStyle w:val="ListHeading"/>
        <w:spacing w:lineRule="atLeast" w:line="180" w:before="0" w:after="0"/>
        <w:jc w:val="left"/>
        <w:rPr>
          <w:rFonts w:ascii="arial" w:hAnsi="arial"/>
          <w:sz w:val="12"/>
        </w:rPr>
      </w:pPr>
      <w:r>
        <w:rPr>
          <w:rFonts w:ascii="arial" w:hAnsi="arial"/>
          <w:sz w:val="12"/>
        </w:rPr>
        <w:t>(3)</w:t>
      </w:r>
    </w:p>
    <w:p>
      <w:pPr>
        <w:pStyle w:val="ListContents"/>
        <w:spacing w:lineRule="atLeast" w:line="180" w:before="0" w:after="283"/>
        <w:jc w:val="left"/>
        <w:rPr>
          <w:rFonts w:ascii="arial" w:hAnsi="arial"/>
          <w:sz w:val="16"/>
        </w:rPr>
      </w:pPr>
      <w:r>
        <w:rPr>
          <w:rFonts w:ascii="arial" w:hAnsi="arial"/>
          <w:sz w:val="16"/>
        </w:rPr>
        <w:t xml:space="preserve">Represents twenty-four (24) months of base salary, plus one (1) year of target incentive compensation plus actual incentive compensation that would have been earned for the 2020 service year. In addition, Mr. Shepro is entitled to receive actual incentive compensation earned in the event employment is terminated after October for the service year and before incentives are paid for such service year. In addition, Mr. Shepro is also entitled to receive standard relocation costs (together with tax gross-up) to Atlanta, South Florida or equivalent at his sole discretion. </w:t>
      </w:r>
    </w:p>
    <w:p>
      <w:pPr>
        <w:pStyle w:val="ListHeading"/>
        <w:spacing w:lineRule="atLeast" w:line="180" w:before="0" w:after="0"/>
        <w:jc w:val="left"/>
        <w:rPr>
          <w:rFonts w:ascii="arial" w:hAnsi="arial"/>
          <w:sz w:val="12"/>
        </w:rPr>
      </w:pPr>
      <w:r>
        <w:rPr>
          <w:rFonts w:ascii="arial" w:hAnsi="arial"/>
          <w:sz w:val="12"/>
        </w:rPr>
        <w:t>(4)</w:t>
      </w:r>
    </w:p>
    <w:p>
      <w:pPr>
        <w:pStyle w:val="ListContents"/>
        <w:spacing w:lineRule="atLeast" w:line="180" w:before="0" w:after="283"/>
        <w:jc w:val="left"/>
        <w:rPr>
          <w:rFonts w:ascii="arial" w:hAnsi="arial"/>
          <w:sz w:val="16"/>
        </w:rPr>
      </w:pPr>
      <w:r>
        <w:rPr>
          <w:rFonts w:ascii="arial" w:hAnsi="arial"/>
          <w:sz w:val="16"/>
        </w:rPr>
        <w:t xml:space="preserve">Represents twelve (12) months of base salary, plus one (1) year of target incentive compensation. In addition, Mr. Shepro is entitled to receive standard relocation costs (together with tax gross-up) to Atlanta, South Florida or equivalent at his sole discretion. </w:t>
      </w:r>
    </w:p>
    <w:p>
      <w:pPr>
        <w:pStyle w:val="ListHeading"/>
        <w:spacing w:lineRule="atLeast" w:line="180" w:before="0" w:after="0"/>
        <w:jc w:val="left"/>
        <w:rPr>
          <w:rFonts w:ascii="arial" w:hAnsi="arial"/>
          <w:sz w:val="12"/>
        </w:rPr>
      </w:pPr>
      <w:r>
        <w:rPr>
          <w:rFonts w:ascii="arial" w:hAnsi="arial"/>
          <w:sz w:val="12"/>
        </w:rPr>
        <w:t>(5)</w:t>
      </w:r>
    </w:p>
    <w:p>
      <w:pPr>
        <w:pStyle w:val="ListContents"/>
        <w:spacing w:lineRule="atLeast" w:line="180" w:before="0" w:after="283"/>
        <w:jc w:val="left"/>
        <w:rPr>
          <w:rFonts w:ascii="arial" w:hAnsi="arial"/>
          <w:sz w:val="16"/>
        </w:rPr>
      </w:pPr>
      <w:r>
        <w:rPr>
          <w:rFonts w:ascii="arial" w:hAnsi="arial"/>
          <w:sz w:val="16"/>
        </w:rPr>
        <w:t xml:space="preserve">Represents the minimum guaranteed compensation payment as per Mr. Mastioni's employment contract. </w:t>
      </w:r>
    </w:p>
    <w:p>
      <w:pPr>
        <w:pStyle w:val="ListHeading"/>
        <w:spacing w:lineRule="atLeast" w:line="180" w:before="0" w:after="0"/>
        <w:jc w:val="left"/>
        <w:rPr>
          <w:rFonts w:ascii="arial" w:hAnsi="arial"/>
          <w:sz w:val="12"/>
        </w:rPr>
      </w:pPr>
      <w:r>
        <w:rPr>
          <w:rFonts w:ascii="arial" w:hAnsi="arial"/>
          <w:sz w:val="12"/>
        </w:rPr>
        <w:t>(6)</w:t>
      </w:r>
    </w:p>
    <w:p>
      <w:pPr>
        <w:pStyle w:val="ListContents"/>
        <w:spacing w:lineRule="atLeast" w:line="180" w:before="0" w:after="283"/>
        <w:jc w:val="left"/>
        <w:rPr>
          <w:rFonts w:ascii="arial" w:hAnsi="arial"/>
          <w:sz w:val="16"/>
        </w:rPr>
      </w:pPr>
      <w:r>
        <w:rPr>
          <w:rFonts w:ascii="arial" w:hAnsi="arial"/>
          <w:sz w:val="16"/>
        </w:rPr>
        <w:t xml:space="preserve">Represents four (4) months of base salary. In addition, Mr. Ritts is also entitled to receive standard relocation costs back to the U.S. if he relocates to U.S. within 60 days of such separation. Such expenses shall only include a onetime travel expense for him and his family and shipment of household goods including pets, as described in his relocation plan at the time of relocating to Luxembourg. </w:t>
      </w:r>
    </w:p>
    <w:p>
      <w:pPr>
        <w:pStyle w:val="ListHeading"/>
        <w:spacing w:lineRule="atLeast" w:line="180" w:before="0" w:after="0"/>
        <w:jc w:val="left"/>
        <w:rPr>
          <w:rFonts w:ascii="arial" w:hAnsi="arial"/>
          <w:sz w:val="12"/>
        </w:rPr>
      </w:pPr>
      <w:r>
        <w:rPr>
          <w:rFonts w:ascii="arial" w:hAnsi="arial"/>
          <w:sz w:val="12"/>
        </w:rPr>
        <w:t>(7)</w:t>
      </w:r>
    </w:p>
    <w:p>
      <w:pPr>
        <w:pStyle w:val="ListContents"/>
        <w:spacing w:lineRule="atLeast" w:line="180" w:before="0" w:after="283"/>
        <w:jc w:val="left"/>
        <w:rPr>
          <w:rFonts w:ascii="arial" w:hAnsi="arial"/>
          <w:sz w:val="16"/>
        </w:rPr>
      </w:pPr>
      <w:r>
        <w:rPr>
          <w:rFonts w:ascii="arial" w:hAnsi="arial"/>
          <w:sz w:val="16"/>
        </w:rPr>
        <w:t xml:space="preserve">Represents twelve (12) months of base salary, plus one (1) year of target incentive compensation. In addition, Mr. Ritts is entitled to receive actual incentive compensation earned in the event the change of control happens after October for the service year and before incentives are paid for such service year with the amount prorated to the date of the change of control if the same occurs between October 1 and December 31 of such year. </w:t>
      </w:r>
    </w:p>
    <w:p>
      <w:pPr>
        <w:pStyle w:val="TextBody"/>
        <w:jc w:val="center"/>
        <w:rPr>
          <w:rFonts w:ascii="arial" w:hAnsi="arial"/>
          <w:sz w:val="20"/>
        </w:rPr>
      </w:pPr>
      <w:r>
        <w:rPr>
          <w:rFonts w:ascii="arial" w:hAnsi="arial"/>
          <w:sz w:val="20"/>
        </w:rPr>
        <w:t>68</w:t>
      </w:r>
    </w:p>
    <w:p>
      <w:pPr>
        <w:pStyle w:val="HorizontalLine"/>
        <w:pBdr>
          <w:bottom w:val="single" w:sz="20" w:space="0" w:color="808080"/>
        </w:pBdr>
        <w:rPr/>
      </w:pPr>
      <w:r>
        <w:rPr/>
      </w:r>
      <w:r>
        <w:br w:type="page"/>
      </w:r>
    </w:p>
    <w:p>
      <w:pPr>
        <w:pStyle w:val="TextBody"/>
        <w:rPr/>
      </w:pPr>
      <w:hyperlink w:anchor="bg45301a_main_toc">
        <w:bookmarkStart w:id="124" w:name="page_ec45301_1_69"/>
        <w:bookmarkEnd w:id="124"/>
        <w:r>
          <w:rPr>
            <w:rStyle w:val="InternetLink"/>
            <w:rFonts w:ascii="arial" w:hAnsi="arial"/>
            <w:sz w:val="20"/>
          </w:rPr>
          <w:t>Table of Contents</w:t>
        </w:r>
      </w:hyperlink>
      <w:r>
        <w:rPr>
          <w:rFonts w:ascii="arial" w:hAnsi="arial"/>
          <w:sz w:val="20"/>
        </w:rPr>
        <w:t xml:space="preserve"> </w:t>
      </w:r>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3367"/>
        <w:gridCol w:w="102"/>
        <w:gridCol w:w="6736"/>
      </w:tblGrid>
      <w:tr>
        <w:trPr/>
        <w:tc>
          <w:tcPr>
            <w:tcW w:w="3367" w:type="dxa"/>
            <w:tcBorders/>
            <w:shd w:fill="auto" w:val="clear"/>
            <w:vAlign w:val="center"/>
          </w:tcPr>
          <w:p>
            <w:pPr>
              <w:pStyle w:val="TableContents"/>
              <w:spacing w:before="0" w:after="283"/>
              <w:rPr/>
            </w:pPr>
            <w:r>
              <w:rPr/>
              <w:commentReference w:id="265"/>
            </w:r>
            <w:r>
              <w:rPr/>
              <w:commentReference w:id="266"/>
            </w:r>
            <w:r>
              <w:rPr/>
              <w:commentReference w:id="267"/>
            </w:r>
            <w:r>
              <w:rPr/>
              <w:t>​</w:t>
            </w:r>
          </w:p>
        </w:tc>
        <w:tc>
          <w:tcPr>
            <w:tcW w:w="102" w:type="dxa"/>
            <w:tcBorders/>
            <w:shd w:fill="auto" w:val="clear"/>
            <w:vAlign w:val="center"/>
          </w:tcPr>
          <w:p>
            <w:pPr>
              <w:pStyle w:val="TableContents"/>
              <w:spacing w:before="0" w:after="283"/>
              <w:rPr/>
            </w:pPr>
            <w:r>
              <w:rPr/>
              <w:t>​</w:t>
            </w:r>
          </w:p>
        </w:tc>
        <w:tc>
          <w:tcPr>
            <w:tcW w:w="6736" w:type="dxa"/>
            <w:tcBorders/>
            <w:shd w:fill="auto" w:val="clear"/>
            <w:vAlign w:val="center"/>
          </w:tcPr>
          <w:p>
            <w:pPr>
              <w:pStyle w:val="TableContents"/>
              <w:spacing w:before="0" w:after="283"/>
              <w:rPr/>
            </w:pPr>
            <w:r>
              <w:rPr/>
              <w:t>​</w:t>
            </w:r>
            <w:r>
              <w:rPr>
                <w:rFonts w:eastAsia="arial" w:cs="arial" w:ascii="arial" w:hAnsi="arial"/>
              </w:rPr>
              <w:commentReference w:id="268"/>
            </w:r>
          </w:p>
        </w:tc>
      </w:tr>
      <w:tr>
        <w:trPr/>
        <w:tc>
          <w:tcPr>
            <w:tcW w:w="3367" w:type="dxa"/>
            <w:tcBorders/>
            <w:shd w:fill="auto" w:val="clear"/>
          </w:tcPr>
          <w:p>
            <w:pPr>
              <w:pStyle w:val="TableContents"/>
              <w:rPr/>
            </w:pPr>
            <w:r>
              <w:rPr/>
              <w:t>​</w:t>
            </w:r>
          </w:p>
          <w:p>
            <w:pPr>
              <w:pStyle w:val="TableContents"/>
              <w:spacing w:before="0" w:after="283"/>
              <w:rPr/>
            </w:pPr>
            <w:r>
              <w:rPr/>
              <w:t> </w:t>
            </w:r>
          </w:p>
        </w:tc>
        <w:tc>
          <w:tcPr>
            <w:tcW w:w="102" w:type="dxa"/>
            <w:tcBorders/>
            <w:shd w:fill="auto" w:val="clear"/>
          </w:tcPr>
          <w:p>
            <w:pPr>
              <w:pStyle w:val="TableContents"/>
              <w:rPr/>
            </w:pPr>
            <w:r>
              <w:rPr/>
              <w:t>​</w:t>
            </w:r>
          </w:p>
          <w:p>
            <w:pPr>
              <w:pStyle w:val="TableContents"/>
              <w:spacing w:before="0" w:after="283"/>
              <w:rPr/>
            </w:pPr>
            <w:r>
              <w:rPr/>
              <w:t>​</w:t>
            </w:r>
          </w:p>
        </w:tc>
        <w:tc>
          <w:tcPr>
            <w:tcW w:w="6736" w:type="dxa"/>
            <w:tcBorders/>
            <w:shd w:fill="auto" w:val="clear"/>
          </w:tcPr>
          <w:p>
            <w:pPr>
              <w:pStyle w:val="TableContents"/>
              <w:jc w:val="right"/>
              <w:rPr/>
            </w:pPr>
            <w:r>
              <w:rPr/>
              <w:t>​</w:t>
            </w:r>
          </w:p>
          <w:p>
            <w:pPr>
              <w:pStyle w:val="TableContents"/>
              <w:spacing w:before="0" w:after="283"/>
              <w:jc w:val="right"/>
              <w:rPr/>
            </w:pPr>
            <w:r>
              <w:rPr/>
              <w:drawing>
                <wp:inline distT="0" distB="0" distL="0" distR="0">
                  <wp:extent cx="1200150" cy="1809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embed="rId101"/>
                          <a:stretch>
                            <a:fillRect/>
                          </a:stretch>
                        </pic:blipFill>
                        <pic:spPr bwMode="auto">
                          <a:xfrm>
                            <a:off x="0" y="0"/>
                            <a:ext cx="1200150" cy="180975"/>
                          </a:xfrm>
                          <a:prstGeom prst="rect">
                            <a:avLst/>
                          </a:prstGeom>
                        </pic:spPr>
                      </pic:pic>
                    </a:graphicData>
                  </a:graphic>
                </wp:inline>
              </w:drawing>
            </w:r>
            <w:r>
              <w:rPr/>
              <w:t xml:space="preserve"> </w:t>
            </w:r>
          </w:p>
        </w:tc>
      </w:tr>
      <w:tr>
        <w:trPr/>
        <w:tc>
          <w:tcPr>
            <w:tcW w:w="3367" w:type="dxa"/>
            <w:tcBorders/>
            <w:shd w:fill="auto" w:val="clear"/>
          </w:tcPr>
          <w:p>
            <w:pPr>
              <w:pStyle w:val="TableContents"/>
              <w:rPr/>
            </w:pPr>
            <w:r>
              <w:rPr/>
              <w:t>​</w:t>
            </w:r>
          </w:p>
          <w:p>
            <w:pPr>
              <w:pStyle w:val="TableContents"/>
              <w:spacing w:before="0" w:after="283"/>
              <w:rPr/>
            </w:pPr>
            <w:r>
              <w:rPr/>
              <w:t> </w:t>
            </w:r>
          </w:p>
        </w:tc>
        <w:tc>
          <w:tcPr>
            <w:tcW w:w="102" w:type="dxa"/>
            <w:tcBorders/>
            <w:shd w:fill="auto" w:val="clear"/>
          </w:tcPr>
          <w:p>
            <w:pPr>
              <w:pStyle w:val="TableContents"/>
              <w:rPr/>
            </w:pPr>
            <w:r>
              <w:rPr/>
              <w:t>​</w:t>
            </w:r>
          </w:p>
          <w:p>
            <w:pPr>
              <w:pStyle w:val="TableContents"/>
              <w:spacing w:before="0" w:after="283"/>
              <w:rPr/>
            </w:pPr>
            <w:r>
              <w:rPr/>
              <w:t>​</w:t>
            </w:r>
          </w:p>
        </w:tc>
        <w:tc>
          <w:tcPr>
            <w:tcW w:w="6736" w:type="dxa"/>
            <w:tcBorders/>
            <w:shd w:fill="auto" w:val="clear"/>
          </w:tcPr>
          <w:p>
            <w:pPr>
              <w:pStyle w:val="TableContents"/>
              <w:jc w:val="right"/>
              <w:rPr/>
            </w:pPr>
            <w:r>
              <w:rPr/>
              <w:t>​</w:t>
            </w:r>
          </w:p>
          <w:p>
            <w:pPr>
              <w:pStyle w:val="TableContents"/>
              <w:spacing w:before="0" w:after="283"/>
              <w:jc w:val="right"/>
              <w:rPr/>
            </w:pPr>
            <w:r>
              <w:rPr/>
              <w:t> </w:t>
            </w:r>
          </w:p>
        </w:tc>
      </w:tr>
    </w:tbl>
    <w:p>
      <w:pPr>
        <w:pStyle w:val="TextBody"/>
        <w:rPr/>
      </w:pPr>
      <w:r>
        <w:rPr>
          <w:color w:val="000000"/>
        </w:rPr>
        <w:commentReference w:id="269"/>
      </w:r>
      <w:r>
        <w:rPr>
          <w:color w:val="000000"/>
        </w:rPr>
        <w:t>​</w:t>
      </w:r>
      <w:r>
        <w:rPr/>
        <w:t xml:space="preserve"> </w:t>
      </w:r>
    </w:p>
    <w:p>
      <w:pPr>
        <w:pStyle w:val="Normal"/>
        <w:spacing w:before="0" w:after="0"/>
        <w:ind w:left="0" w:right="0" w:hanging="0"/>
        <w:rPr>
          <w:sz w:val="4"/>
          <w:szCs w:val="4"/>
        </w:rPr>
      </w:pPr>
      <w:r>
        <w:rPr>
          <w:sz w:val="4"/>
          <w:szCs w:val="4"/>
        </w:rPr>
      </w:r>
      <w:bookmarkStart w:id="125" w:name="toc_ec45301_1"/>
      <w:bookmarkStart w:id="126" w:name="ec45301_proposal_two__appointment_of_i__"/>
      <w:bookmarkStart w:id="127" w:name="toc_ec45301_1"/>
      <w:bookmarkStart w:id="128" w:name="ec45301_proposal_two__appointment_of_i__"/>
      <w:bookmarkEnd w:id="127"/>
      <w:bookmarkEnd w:id="128"/>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8" w:space="0" w:color="000000"/>
            </w:tcBorders>
            <w:shd w:fill="auto" w:val="clear"/>
            <w:vAlign w:val="center"/>
          </w:tcPr>
          <w:p>
            <w:pPr>
              <w:pStyle w:val="TableContents"/>
              <w:spacing w:before="0" w:after="0"/>
              <w:ind w:left="0" w:right="0" w:hanging="0"/>
              <w:jc w:val="left"/>
              <w:rPr>
                <w:rFonts w:ascii="arial" w:hAnsi="arial"/>
                <w:b/>
                <w:sz w:val="24"/>
              </w:rPr>
            </w:pPr>
            <w:r>
              <w:rPr>
                <w:rFonts w:ascii="arial" w:hAnsi="arial"/>
                <w:b/>
                <w:sz w:val="24"/>
              </w:rPr>
              <w:t xml:space="preserve">Proposal Two: Appointment of Independent Registered Certified Public Accounting Firm and Certified Auditor </w:t>
            </w:r>
          </w:p>
        </w:tc>
      </w:tr>
    </w:tbl>
    <w:p>
      <w:pPr>
        <w:pStyle w:val="TextBody"/>
        <w:rPr>
          <w:rFonts w:ascii="arial" w:hAnsi="arial"/>
        </w:rPr>
      </w:pPr>
      <w:r>
        <w:rPr>
          <w:rFonts w:ascii="arial" w:hAnsi="arial"/>
          <w:sz w:val="20"/>
        </w:rPr>
        <w:t>The Audit Committee of our Board of Directors has approved the appointment of Mayer Hoffman McCann P.C. ("Mayer Hoffman") as our independent registered certified public accounting firm for the year ending December 31, 2021, and the appointment of Atwell S.à r.l. ("Atwell") as our certified auditor (</w:t>
      </w:r>
      <w:r>
        <w:rPr>
          <w:rFonts w:ascii="arial" w:hAnsi="arial"/>
          <w:i/>
          <w:sz w:val="20"/>
        </w:rPr>
        <w:t>Réviseur d'Entreprises</w:t>
      </w:r>
      <w:r>
        <w:rPr>
          <w:rFonts w:ascii="arial" w:hAnsi="arial"/>
          <w:sz w:val="20"/>
        </w:rPr>
        <w:t xml:space="preserve">) for statutory accounts as required by Luxembourg law for the same period. </w:t>
      </w:r>
    </w:p>
    <w:p>
      <w:pPr>
        <w:pStyle w:val="TextBody"/>
        <w:rPr>
          <w:rFonts w:ascii="arial" w:hAnsi="arial"/>
          <w:sz w:val="20"/>
        </w:rPr>
      </w:pPr>
      <w:r>
        <w:rPr>
          <w:rFonts w:ascii="arial" w:hAnsi="arial"/>
          <w:sz w:val="20"/>
        </w:rPr>
        <w:t xml:space="preserve">The Audit Committee further recommended that such appointments be submitted for approval by our shareholders at our Annual Meeting. </w:t>
      </w:r>
    </w:p>
    <w:p>
      <w:pPr>
        <w:pStyle w:val="TextBody"/>
        <w:rPr>
          <w:rFonts w:ascii="arial" w:hAnsi="arial"/>
          <w:sz w:val="20"/>
        </w:rPr>
      </w:pPr>
      <w:r>
        <w:rPr>
          <w:rFonts w:ascii="arial" w:hAnsi="arial"/>
          <w:sz w:val="20"/>
        </w:rPr>
        <w:t xml:space="preserve">Representatives of Mayer Hoffman and Atwell will be present at the Annual Meeting, will have the opportunity to make a statement if they desire to do so and will be available to respond to questions from shareholders. </w:t>
      </w:r>
    </w:p>
    <w:p>
      <w:pPr>
        <w:pStyle w:val="TextBody"/>
        <w:jc w:val="center"/>
        <w:rPr>
          <w:rFonts w:ascii="arial" w:hAnsi="arial"/>
          <w:b/>
          <w:sz w:val="20"/>
        </w:rPr>
      </w:pPr>
      <w:r>
        <w:rPr>
          <w:rFonts w:ascii="arial" w:hAnsi="arial"/>
          <w:b/>
          <w:sz w:val="20"/>
        </w:rPr>
        <w:t>OUR BOARD OF DIRECTORS UNANIMOUSLY RECOMMENDS THAT YOU VOTE "FOR" THE</w:t>
        <w:br/>
        <w:t>APPOINTMENT OF MAYER HOFFMAN MCCANN P.C. AS OUR INDEPENDENT REGISTERED CERTIFIED</w:t>
        <w:br/>
        <w:t>PUBLIC ACCOUNTING FIRM FOR 2020 AND ATWELL S.À R.L. AS OUR CERTIFIED</w:t>
        <w:br/>
        <w:t>AUDITOR FOR THE SAME PERIOD</w:t>
      </w:r>
    </w:p>
    <w:p>
      <w:pPr>
        <w:pStyle w:val="TextBody"/>
        <w:jc w:val="center"/>
        <w:rPr>
          <w:rFonts w:ascii="arial" w:hAnsi="arial"/>
          <w:sz w:val="20"/>
        </w:rPr>
      </w:pPr>
      <w:r>
        <w:rPr>
          <w:rFonts w:ascii="arial" w:hAnsi="arial"/>
          <w:sz w:val="20"/>
        </w:rPr>
        <w:t>69</w:t>
      </w:r>
    </w:p>
    <w:p>
      <w:pPr>
        <w:pStyle w:val="HorizontalLine"/>
        <w:pBdr>
          <w:bottom w:val="single" w:sz="20" w:space="0" w:color="808080"/>
        </w:pBdr>
        <w:rPr/>
      </w:pPr>
      <w:r>
        <w:rPr/>
      </w:r>
      <w:r>
        <w:br w:type="page"/>
      </w:r>
    </w:p>
    <w:p>
      <w:pPr>
        <w:pStyle w:val="TextBody"/>
        <w:rPr/>
      </w:pPr>
      <w:hyperlink w:anchor="bg45301a_main_toc">
        <w:bookmarkStart w:id="129" w:name="page_ee45301_1_70"/>
        <w:bookmarkEnd w:id="129"/>
        <w:r>
          <w:rPr>
            <w:rStyle w:val="InternetLink"/>
            <w:rFonts w:ascii="arial" w:hAnsi="arial"/>
            <w:sz w:val="20"/>
          </w:rPr>
          <w:t>Table of Contents</w:t>
        </w:r>
      </w:hyperlink>
      <w:r>
        <w:rPr>
          <w:rFonts w:ascii="arial" w:hAnsi="arial"/>
          <w:sz w:val="20"/>
        </w:rPr>
        <w:t xml:space="preserve"> </w:t>
      </w:r>
    </w:p>
    <w:p>
      <w:pPr>
        <w:pStyle w:val="Normal"/>
        <w:spacing w:before="0" w:after="0"/>
        <w:ind w:left="0" w:right="0" w:hanging="0"/>
        <w:rPr>
          <w:sz w:val="4"/>
          <w:szCs w:val="4"/>
        </w:rPr>
      </w:pPr>
      <w:r>
        <w:rPr>
          <w:sz w:val="4"/>
          <w:szCs w:val="4"/>
        </w:rPr>
      </w:r>
      <w:bookmarkStart w:id="130" w:name="toc_ee45301_1"/>
      <w:bookmarkStart w:id="131" w:name="ee45301_report_of_the_audit_committee"/>
      <w:bookmarkStart w:id="132" w:name="toc_ee45301_1"/>
      <w:bookmarkStart w:id="133" w:name="ee45301_report_of_the_audit_committee"/>
      <w:bookmarkEnd w:id="132"/>
      <w:bookmarkEnd w:id="133"/>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8" w:space="0" w:color="000000"/>
            </w:tcBorders>
            <w:shd w:fill="auto" w:val="clear"/>
            <w:vAlign w:val="center"/>
          </w:tcPr>
          <w:p>
            <w:pPr>
              <w:pStyle w:val="TableContents"/>
              <w:spacing w:before="0" w:after="0"/>
              <w:ind w:left="0" w:right="0" w:hanging="0"/>
              <w:jc w:val="left"/>
              <w:rPr>
                <w:rFonts w:ascii="arial" w:hAnsi="arial"/>
                <w:b/>
                <w:sz w:val="24"/>
              </w:rPr>
            </w:pPr>
            <w:r>
              <w:rPr>
                <w:rFonts w:ascii="arial" w:hAnsi="arial"/>
                <w:b/>
                <w:sz w:val="24"/>
              </w:rPr>
              <w:t xml:space="preserve">Report of the Audit Committee </w:t>
            </w:r>
          </w:p>
        </w:tc>
      </w:tr>
    </w:tbl>
    <w:p>
      <w:pPr>
        <w:pStyle w:val="TextBody"/>
        <w:rPr>
          <w:rFonts w:ascii="arial" w:hAnsi="arial"/>
          <w:sz w:val="20"/>
        </w:rPr>
      </w:pPr>
      <w:r>
        <w:rPr>
          <w:rFonts w:ascii="arial" w:hAnsi="arial"/>
          <w:sz w:val="20"/>
        </w:rPr>
        <w:t xml:space="preserve">As described more fully in our charter, the Audit Committee reports to and acts on behalf of the Board of Directors by providing oversight of the financial management, independent auditors and financial reporting procedures of the Company. The Company's management is responsible for the preparation and presentation of the Company's financial statements, the effectiveness of internal control over financial reporting and procedures that are reasonably designed to assure compliance with accounting standards and applicable laws and regulations. The independent registered certified public accounting firm is responsible for performing an independent audit of the Company's consolidated financial statements and of the effectiveness of its internal control over financial reporting in accordance with the Standards of the PCAOB. </w:t>
      </w:r>
    </w:p>
    <w:p>
      <w:pPr>
        <w:pStyle w:val="TextBody"/>
        <w:rPr>
          <w:rFonts w:ascii="arial" w:hAnsi="arial"/>
        </w:rPr>
      </w:pPr>
      <w:r>
        <w:rPr>
          <w:rFonts w:ascii="arial" w:hAnsi="arial"/>
          <w:sz w:val="20"/>
        </w:rPr>
        <w:t xml:space="preserve">In connection with these responsibilities, the Audit Committee met with management and the independent registered certified public accounting firm to review and discuss the December 31, 2020 audited consolidated financial statements and the effectiveness of the internal control over financial reporting. The Audit Committee has discussed with the independent registered certified public accounting firm the matters required to be discussed by the PCAOB Auditing Standard No. 1301, </w:t>
      </w:r>
      <w:r>
        <w:rPr>
          <w:rFonts w:ascii="arial" w:hAnsi="arial"/>
          <w:i/>
          <w:sz w:val="20"/>
        </w:rPr>
        <w:t>Communications with Audit Committees</w:t>
      </w:r>
      <w:r>
        <w:rPr>
          <w:rFonts w:ascii="arial" w:hAnsi="arial"/>
          <w:sz w:val="20"/>
        </w:rPr>
        <w:t xml:space="preserve">. The Audit Committee has also received written disclosures from the Company's independent registered certified public accounting firm, as required by the applicable requirements of the PCAOB, and discussed with the independent registered certified public accounting firm that firm's independence. </w:t>
      </w:r>
    </w:p>
    <w:p>
      <w:pPr>
        <w:pStyle w:val="TextBody"/>
        <w:rPr>
          <w:rFonts w:ascii="arial" w:hAnsi="arial"/>
          <w:sz w:val="20"/>
        </w:rPr>
      </w:pPr>
      <w:r>
        <w:rPr>
          <w:rFonts w:ascii="arial" w:hAnsi="arial"/>
          <w:sz w:val="20"/>
        </w:rPr>
        <w:t xml:space="preserve">Based upon the Audit Committee's discussions with management and the independent registered public certified accounting firm referred to above, and the Audit Committee's review of the representations of management, the Audit Committee recommended that the Board of Directors include the December 31, 2020 audited consolidated financial statements in Altisource's Annual Report on Form 10-K for the year ended December 31, 2020. </w:t>
      </w:r>
    </w:p>
    <w:tbl>
      <w:tblPr>
        <w:tblW w:w="5000" w:type="pct"/>
        <w:jc w:val="center"/>
        <w:tblInd w:w="0" w:type="dxa"/>
        <w:tblCellMar>
          <w:top w:w="0" w:type="dxa"/>
          <w:left w:w="0" w:type="dxa"/>
          <w:bottom w:w="0" w:type="dxa"/>
          <w:right w:w="0" w:type="dxa"/>
        </w:tblCellMar>
      </w:tblPr>
      <w:tblGrid>
        <w:gridCol w:w="5090"/>
        <w:gridCol w:w="23"/>
        <w:gridCol w:w="5092"/>
      </w:tblGrid>
      <w:tr>
        <w:trPr/>
        <w:tc>
          <w:tcPr>
            <w:tcW w:w="509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5092" w:type="dxa"/>
            <w:tcBorders/>
            <w:shd w:fill="auto" w:val="clear"/>
            <w:vAlign w:val="center"/>
          </w:tcPr>
          <w:p>
            <w:pPr>
              <w:pStyle w:val="TableContents"/>
              <w:spacing w:before="0" w:after="283"/>
              <w:rPr>
                <w:sz w:val="4"/>
                <w:szCs w:val="4"/>
              </w:rPr>
            </w:pPr>
            <w:r>
              <w:rPr>
                <w:sz w:val="4"/>
                <w:szCs w:val="4"/>
              </w:rPr>
            </w:r>
          </w:p>
        </w:tc>
      </w:tr>
      <w:tr>
        <w:trPr/>
        <w:tc>
          <w:tcPr>
            <w:tcW w:w="5090" w:type="dxa"/>
            <w:tcBorders/>
            <w:shd w:fill="auto" w:val="clear"/>
          </w:tcPr>
          <w:p>
            <w:pPr>
              <w:pStyle w:val="TableContents"/>
              <w:spacing w:before="0" w:after="283"/>
              <w:rPr/>
            </w:pPr>
            <w:r>
              <w:rPr/>
              <w:t> </w:t>
            </w:r>
          </w:p>
        </w:tc>
        <w:tc>
          <w:tcPr>
            <w:tcW w:w="23" w:type="dxa"/>
            <w:tcBorders/>
            <w:shd w:fill="auto" w:val="clear"/>
          </w:tcPr>
          <w:p>
            <w:pPr>
              <w:pStyle w:val="TableContents"/>
              <w:spacing w:before="0" w:after="283"/>
              <w:rPr/>
            </w:pPr>
            <w:r>
              <w:rPr/>
              <w:t>​</w:t>
            </w:r>
          </w:p>
        </w:tc>
        <w:tc>
          <w:tcPr>
            <w:tcW w:w="5092" w:type="dxa"/>
            <w:tcBorders/>
            <w:shd w:fill="auto" w:val="clear"/>
          </w:tcPr>
          <w:p>
            <w:pPr>
              <w:pStyle w:val="TableContents"/>
              <w:spacing w:before="0" w:after="283"/>
              <w:rPr>
                <w:rFonts w:ascii="arial" w:hAnsi="arial"/>
              </w:rPr>
            </w:pPr>
            <w:r>
              <w:rPr>
                <w:rFonts w:ascii="arial" w:hAnsi="arial"/>
                <w:b/>
                <w:sz w:val="20"/>
              </w:rPr>
              <w:t>Audit Committee:</w:t>
            </w:r>
            <w:r>
              <w:rPr>
                <w:rFonts w:ascii="arial" w:hAnsi="arial"/>
                <w:sz w:val="20"/>
              </w:rPr>
              <w:br/>
              <w:t>Roland Müller-Ineichen, Chairman</w:t>
              <w:br/>
              <w:t>Scott E. Burg, Director</w:t>
              <w:br/>
              <w:t>Joseph L. Morettini, Director</w:t>
            </w:r>
          </w:p>
        </w:tc>
      </w:tr>
    </w:tbl>
    <w:p>
      <w:pPr>
        <w:pStyle w:val="TextBody"/>
        <w:rPr>
          <w:rFonts w:ascii="arial" w:hAnsi="arial"/>
          <w:sz w:val="20"/>
        </w:rPr>
      </w:pPr>
      <w:r>
        <w:rPr>
          <w:rFonts w:ascii="arial" w:hAnsi="arial"/>
          <w:sz w:val="20"/>
        </w:rPr>
        <w:t xml:space="preserve">April 5, 2021 </w:t>
      </w:r>
    </w:p>
    <w:p>
      <w:pPr>
        <w:pStyle w:val="TextBody"/>
        <w:jc w:val="center"/>
        <w:rPr>
          <w:rFonts w:ascii="arial" w:hAnsi="arial"/>
          <w:sz w:val="20"/>
        </w:rPr>
      </w:pPr>
      <w:r>
        <w:rPr>
          <w:rFonts w:ascii="arial" w:hAnsi="arial"/>
          <w:sz w:val="20"/>
        </w:rPr>
        <w:t>70</w:t>
      </w:r>
    </w:p>
    <w:p>
      <w:pPr>
        <w:pStyle w:val="HorizontalLine"/>
        <w:pBdr>
          <w:bottom w:val="single" w:sz="20" w:space="0" w:color="808080"/>
        </w:pBdr>
        <w:rPr/>
      </w:pPr>
      <w:r>
        <w:rPr/>
      </w:r>
      <w:r>
        <w:br w:type="page"/>
      </w:r>
    </w:p>
    <w:p>
      <w:pPr>
        <w:pStyle w:val="TextBody"/>
        <w:rPr/>
      </w:pPr>
      <w:hyperlink w:anchor="bg45301a_main_toc">
        <w:bookmarkStart w:id="134" w:name="page_eg45301_1_71"/>
        <w:bookmarkEnd w:id="134"/>
        <w:r>
          <w:rPr>
            <w:rStyle w:val="InternetLink"/>
            <w:rFonts w:ascii="arial" w:hAnsi="arial"/>
            <w:sz w:val="20"/>
          </w:rPr>
          <w:t>Table of Contents</w:t>
        </w:r>
      </w:hyperlink>
      <w:r>
        <w:rPr>
          <w:rFonts w:ascii="arial" w:hAnsi="arial"/>
          <w:sz w:val="20"/>
        </w:rPr>
        <w:t xml:space="preserve"> </w:t>
      </w:r>
    </w:p>
    <w:p>
      <w:pPr>
        <w:pStyle w:val="TextBody"/>
        <w:rPr/>
      </w:pPr>
      <w:r>
        <w:rPr>
          <w:color w:val="000000"/>
        </w:rPr>
        <w:t>​</w:t>
      </w:r>
      <w:r>
        <w:rPr/>
        <w:t xml:space="preserve"> </w:t>
      </w:r>
    </w:p>
    <w:p>
      <w:pPr>
        <w:pStyle w:val="Normal"/>
        <w:spacing w:before="0" w:after="0"/>
        <w:ind w:left="0" w:right="0" w:hanging="0"/>
        <w:rPr>
          <w:sz w:val="4"/>
          <w:szCs w:val="4"/>
        </w:rPr>
      </w:pPr>
      <w:r>
        <w:rPr>
          <w:sz w:val="4"/>
          <w:szCs w:val="4"/>
        </w:rPr>
      </w:r>
      <w:bookmarkStart w:id="135" w:name="toc_eg45301_1"/>
      <w:bookmarkStart w:id="136" w:name="eg45301_external_auditor_fees"/>
      <w:bookmarkStart w:id="137" w:name="toc_eg45301_1"/>
      <w:bookmarkStart w:id="138" w:name="eg45301_external_auditor_fees"/>
      <w:bookmarkEnd w:id="137"/>
      <w:bookmarkEnd w:id="138"/>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8" w:space="0" w:color="000000"/>
            </w:tcBorders>
            <w:shd w:fill="auto" w:val="clear"/>
            <w:vAlign w:val="center"/>
          </w:tcPr>
          <w:p>
            <w:pPr>
              <w:pStyle w:val="TableContents"/>
              <w:spacing w:before="0" w:after="0"/>
              <w:ind w:left="0" w:right="0" w:hanging="0"/>
              <w:jc w:val="left"/>
              <w:rPr>
                <w:rFonts w:ascii="arial" w:hAnsi="arial"/>
                <w:b/>
                <w:sz w:val="24"/>
              </w:rPr>
            </w:pPr>
            <w:r>
              <w:rPr>
                <w:rFonts w:ascii="arial" w:hAnsi="arial"/>
                <w:b/>
                <w:sz w:val="24"/>
              </w:rPr>
              <w:t xml:space="preserve">External Auditor Fees </w:t>
            </w:r>
          </w:p>
        </w:tc>
      </w:tr>
    </w:tbl>
    <w:p>
      <w:pPr>
        <w:pStyle w:val="TextBody"/>
        <w:rPr>
          <w:rFonts w:ascii="arial" w:hAnsi="arial"/>
          <w:sz w:val="20"/>
        </w:rPr>
      </w:pPr>
      <w:r>
        <w:rPr>
          <w:rFonts w:ascii="arial" w:hAnsi="arial"/>
          <w:sz w:val="20"/>
        </w:rPr>
        <w:t xml:space="preserve">The following table shows the aggregate fees billed to Altisource for professional services by Mayer Hoffman and Atwell in fiscal years 2019 and 2020: </w:t>
      </w:r>
    </w:p>
    <w:tbl>
      <w:tblPr>
        <w:tblW w:w="5000" w:type="pct"/>
        <w:jc w:val="center"/>
        <w:tblInd w:w="0" w:type="dxa"/>
        <w:tblCellMar>
          <w:top w:w="0" w:type="dxa"/>
          <w:left w:w="0" w:type="dxa"/>
          <w:bottom w:w="0" w:type="dxa"/>
          <w:right w:w="0" w:type="dxa"/>
        </w:tblCellMar>
      </w:tblPr>
      <w:tblGrid>
        <w:gridCol w:w="7988"/>
        <w:gridCol w:w="23"/>
        <w:gridCol w:w="125"/>
        <w:gridCol w:w="875"/>
        <w:gridCol w:w="23"/>
        <w:gridCol w:w="125"/>
        <w:gridCol w:w="875"/>
        <w:gridCol w:w="171"/>
      </w:tblGrid>
      <w:tr>
        <w:trPr/>
        <w:tc>
          <w:tcPr>
            <w:tcW w:w="7988"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7988" w:type="dxa"/>
            <w:tcBorders>
              <w:bottom w:val="single" w:sz="8" w:space="0" w:color="000000"/>
            </w:tcBorders>
            <w:shd w:fill="auto" w:val="clear"/>
            <w:tcMar>
              <w:bottom w:w="28" w:type="dxa"/>
            </w:tcMar>
            <w:vAlign w:val="bottom"/>
          </w:tcPr>
          <w:p>
            <w:pPr>
              <w:pStyle w:val="TableHeading"/>
              <w:spacing w:before="0" w:after="283"/>
              <w:jc w:val="center"/>
              <w:rPr>
                <w:rFonts w:ascii="arial" w:hAnsi="arial"/>
                <w:b/>
                <w:sz w:val="20"/>
              </w:rPr>
            </w:pPr>
            <w:r>
              <w:rPr>
                <w:rFonts w:ascii="arial" w:hAnsi="arial"/>
                <w:b/>
                <w:sz w:val="20"/>
              </w:rPr>
              <w:t xml:space="preserve">Category </w:t>
            </w:r>
          </w:p>
        </w:tc>
        <w:tc>
          <w:tcPr>
            <w:tcW w:w="23" w:type="dxa"/>
            <w:tcBorders/>
            <w:shd w:fill="auto" w:val="clear"/>
            <w:vAlign w:val="bottom"/>
          </w:tcPr>
          <w:p>
            <w:pPr>
              <w:pStyle w:val="TableHeading"/>
              <w:suppressLineNumbers/>
              <w:spacing w:before="0" w:after="283"/>
              <w:jc w:val="center"/>
              <w:rPr/>
            </w:pPr>
            <w:r>
              <w:rPr/>
              <w:t>​</w:t>
            </w:r>
          </w:p>
        </w:tc>
        <w:tc>
          <w:tcPr>
            <w:tcW w:w="1000" w:type="dxa"/>
            <w:gridSpan w:val="2"/>
            <w:tcBorders>
              <w:bottom w:val="single" w:sz="8" w:space="0" w:color="000000"/>
            </w:tcBorders>
            <w:shd w:fill="auto" w:val="clear"/>
            <w:tcMar>
              <w:bottom w:w="28" w:type="dxa"/>
            </w:tcMar>
            <w:vAlign w:val="bottom"/>
          </w:tcPr>
          <w:p>
            <w:pPr>
              <w:pStyle w:val="TableHeading"/>
              <w:spacing w:before="0" w:after="283"/>
              <w:jc w:val="center"/>
              <w:rPr>
                <w:rFonts w:ascii="arial" w:hAnsi="arial"/>
                <w:b/>
                <w:sz w:val="20"/>
              </w:rPr>
            </w:pPr>
            <w:r>
              <w:rPr>
                <w:rFonts w:ascii="arial" w:hAnsi="arial"/>
                <w:b/>
                <w:sz w:val="20"/>
              </w:rPr>
              <w:t xml:space="preserve">2019 </w:t>
            </w:r>
          </w:p>
        </w:tc>
        <w:tc>
          <w:tcPr>
            <w:tcW w:w="23" w:type="dxa"/>
            <w:tcBorders/>
            <w:shd w:fill="auto" w:val="clear"/>
            <w:vAlign w:val="bottom"/>
          </w:tcPr>
          <w:p>
            <w:pPr>
              <w:pStyle w:val="TableHeading"/>
              <w:suppressLineNumbers/>
              <w:spacing w:before="0" w:after="283"/>
              <w:jc w:val="center"/>
              <w:rPr/>
            </w:pPr>
            <w:r>
              <w:rPr/>
              <w:t>​</w:t>
            </w:r>
          </w:p>
        </w:tc>
        <w:tc>
          <w:tcPr>
            <w:tcW w:w="1000" w:type="dxa"/>
            <w:gridSpan w:val="2"/>
            <w:tcBorders>
              <w:bottom w:val="single" w:sz="8" w:space="0" w:color="000000"/>
            </w:tcBorders>
            <w:shd w:fill="auto" w:val="clear"/>
            <w:tcMar>
              <w:bottom w:w="28" w:type="dxa"/>
            </w:tcMar>
            <w:vAlign w:val="bottom"/>
          </w:tcPr>
          <w:p>
            <w:pPr>
              <w:pStyle w:val="TableHeading"/>
              <w:spacing w:before="0" w:after="283"/>
              <w:jc w:val="center"/>
              <w:rPr>
                <w:rFonts w:ascii="arial" w:hAnsi="arial"/>
                <w:b/>
                <w:sz w:val="20"/>
              </w:rPr>
            </w:pPr>
            <w:r>
              <w:rPr>
                <w:rFonts w:ascii="arial" w:hAnsi="arial"/>
                <w:b/>
                <w:sz w:val="20"/>
              </w:rPr>
              <w:t xml:space="preserve">2020 </w:t>
            </w:r>
          </w:p>
        </w:tc>
        <w:tc>
          <w:tcPr>
            <w:tcW w:w="171" w:type="dxa"/>
            <w:tcBorders/>
            <w:shd w:fill="auto" w:val="clear"/>
            <w:vAlign w:val="bottom"/>
          </w:tcPr>
          <w:p>
            <w:pPr>
              <w:pStyle w:val="TableHeading"/>
              <w:suppressLineNumbers/>
              <w:spacing w:before="0" w:after="283"/>
              <w:jc w:val="center"/>
              <w:rPr/>
            </w:pPr>
            <w:r>
              <w:rPr/>
              <w:t>​</w:t>
            </w:r>
          </w:p>
        </w:tc>
      </w:tr>
      <w:tr>
        <w:trPr/>
        <w:tc>
          <w:tcPr>
            <w:tcW w:w="7988" w:type="dxa"/>
            <w:tcBorders/>
            <w:shd w:fill="CCEEFF" w:val="clear"/>
            <w:vAlign w:val="bottom"/>
          </w:tcPr>
          <w:p>
            <w:pPr>
              <w:pStyle w:val="TableContents"/>
              <w:spacing w:before="0" w:after="283"/>
              <w:ind w:left="200" w:right="0" w:hanging="200"/>
              <w:rPr>
                <w:rFonts w:ascii="arial" w:hAnsi="arial"/>
                <w:sz w:val="20"/>
              </w:rPr>
            </w:pPr>
            <w:r>
              <w:rPr>
                <w:rFonts w:ascii="arial" w:hAnsi="arial"/>
                <w:sz w:val="20"/>
              </w:rPr>
              <w:t>Audit Fees</w:t>
            </w:r>
          </w:p>
        </w:tc>
        <w:tc>
          <w:tcPr>
            <w:tcW w:w="23" w:type="dxa"/>
            <w:tcBorders/>
            <w:shd w:fill="CCEEFF" w:val="clear"/>
            <w:vAlign w:val="bottom"/>
          </w:tcPr>
          <w:p>
            <w:pPr>
              <w:pStyle w:val="TableContents"/>
              <w:spacing w:before="0" w:after="283"/>
              <w:rPr/>
            </w:pPr>
            <w:r>
              <w:rPr/>
              <w:t>​</w:t>
            </w:r>
          </w:p>
        </w:tc>
        <w:tc>
          <w:tcPr>
            <w:tcW w:w="125" w:type="dxa"/>
            <w:tcBorders/>
            <w:shd w:fill="CCEEFF" w:val="clear"/>
            <w:vAlign w:val="bottom"/>
          </w:tcPr>
          <w:p>
            <w:pPr>
              <w:pStyle w:val="TableContents"/>
              <w:spacing w:before="0" w:after="283"/>
              <w:rPr>
                <w:rFonts w:ascii="arial" w:hAnsi="arial"/>
                <w:sz w:val="20"/>
              </w:rPr>
            </w:pPr>
            <w:r>
              <w:rPr>
                <w:rFonts w:ascii="arial" w:hAnsi="arial"/>
                <w:sz w:val="20"/>
              </w:rPr>
              <w:t>$</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t>1,956,281</w:t>
            </w:r>
          </w:p>
        </w:tc>
        <w:tc>
          <w:tcPr>
            <w:tcW w:w="23" w:type="dxa"/>
            <w:tcBorders/>
            <w:shd w:fill="CCEEFF" w:val="clear"/>
            <w:vAlign w:val="bottom"/>
          </w:tcPr>
          <w:p>
            <w:pPr>
              <w:pStyle w:val="TableContents"/>
              <w:spacing w:before="0" w:after="283"/>
              <w:rPr/>
            </w:pPr>
            <w:r>
              <w:rPr/>
              <w:t>​</w:t>
            </w:r>
          </w:p>
        </w:tc>
        <w:tc>
          <w:tcPr>
            <w:tcW w:w="125" w:type="dxa"/>
            <w:tcBorders/>
            <w:shd w:fill="CCEEFF" w:val="clear"/>
            <w:vAlign w:val="bottom"/>
          </w:tcPr>
          <w:p>
            <w:pPr>
              <w:pStyle w:val="TableContents"/>
              <w:spacing w:before="0" w:after="283"/>
              <w:rPr>
                <w:rFonts w:ascii="arial" w:hAnsi="arial"/>
                <w:sz w:val="20"/>
              </w:rPr>
            </w:pPr>
            <w:r>
              <w:rPr>
                <w:rFonts w:ascii="arial" w:hAnsi="arial"/>
                <w:sz w:val="20"/>
              </w:rPr>
              <w:t>$</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t>1,124,535</w:t>
            </w:r>
          </w:p>
        </w:tc>
        <w:tc>
          <w:tcPr>
            <w:tcW w:w="171" w:type="dxa"/>
            <w:tcBorders/>
            <w:shd w:fill="CCEEFF" w:val="clear"/>
            <w:vAlign w:val="bottom"/>
          </w:tcPr>
          <w:p>
            <w:pPr>
              <w:pStyle w:val="TableContents"/>
              <w:spacing w:before="0" w:after="283"/>
              <w:rPr/>
            </w:pPr>
            <w:r>
              <w:rPr/>
              <w:t>​</w:t>
            </w:r>
          </w:p>
        </w:tc>
      </w:tr>
      <w:tr>
        <w:trPr/>
        <w:tc>
          <w:tcPr>
            <w:tcW w:w="7988" w:type="dxa"/>
            <w:tcBorders/>
            <w:shd w:fill="FFFFFF" w:val="clear"/>
            <w:vAlign w:val="bottom"/>
          </w:tcPr>
          <w:p>
            <w:pPr>
              <w:pStyle w:val="TableContents"/>
              <w:spacing w:before="0" w:after="283"/>
              <w:ind w:left="200" w:right="0" w:hanging="200"/>
              <w:rPr>
                <w:rFonts w:ascii="arial" w:hAnsi="arial"/>
                <w:sz w:val="20"/>
              </w:rPr>
            </w:pPr>
            <w:r>
              <w:rPr>
                <w:rFonts w:ascii="arial" w:hAnsi="arial"/>
                <w:sz w:val="20"/>
              </w:rPr>
              <w:t>Audit-Related Fees</w:t>
            </w:r>
          </w:p>
        </w:tc>
        <w:tc>
          <w:tcPr>
            <w:tcW w:w="23" w:type="dxa"/>
            <w:tcBorders/>
            <w:shd w:fill="FFFFFF" w:val="clear"/>
            <w:vAlign w:val="bottom"/>
          </w:tcPr>
          <w:p>
            <w:pPr>
              <w:pStyle w:val="TableContents"/>
              <w:spacing w:before="0" w:after="283"/>
              <w:rPr/>
            </w:pPr>
            <w:r>
              <w:rPr/>
              <w:t>​</w:t>
            </w:r>
          </w:p>
        </w:tc>
        <w:tc>
          <w:tcPr>
            <w:tcW w:w="1000" w:type="dxa"/>
            <w:gridSpan w:val="2"/>
            <w:tcBorders/>
            <w:shd w:fill="FFFFFF" w:val="clear"/>
            <w:vAlign w:val="bottom"/>
          </w:tcPr>
          <w:p>
            <w:pPr>
              <w:pStyle w:val="TableContents"/>
              <w:spacing w:before="0" w:after="283"/>
              <w:jc w:val="right"/>
              <w:rPr>
                <w:rFonts w:ascii="arial" w:hAnsi="arial"/>
                <w:sz w:val="20"/>
              </w:rPr>
            </w:pPr>
            <w:r>
              <w:rPr>
                <w:rFonts w:ascii="arial" w:hAnsi="arial"/>
                <w:sz w:val="20"/>
              </w:rPr>
              <w:t></w:t>
            </w:r>
          </w:p>
        </w:tc>
        <w:tc>
          <w:tcPr>
            <w:tcW w:w="23" w:type="dxa"/>
            <w:tcBorders/>
            <w:shd w:fill="FFFFFF" w:val="clear"/>
            <w:vAlign w:val="bottom"/>
          </w:tcPr>
          <w:p>
            <w:pPr>
              <w:pStyle w:val="TableContents"/>
              <w:spacing w:before="0" w:after="283"/>
              <w:rPr/>
            </w:pPr>
            <w:r>
              <w:rPr/>
              <w:t>​</w:t>
            </w:r>
          </w:p>
        </w:tc>
        <w:tc>
          <w:tcPr>
            <w:tcW w:w="1000" w:type="dxa"/>
            <w:gridSpan w:val="2"/>
            <w:tcBorders/>
            <w:shd w:fill="FFFFFF" w:val="clear"/>
            <w:vAlign w:val="bottom"/>
          </w:tcPr>
          <w:p>
            <w:pPr>
              <w:pStyle w:val="TableContents"/>
              <w:spacing w:before="0" w:after="283"/>
              <w:jc w:val="right"/>
              <w:rPr>
                <w:rFonts w:ascii="arial" w:hAnsi="arial"/>
                <w:sz w:val="20"/>
              </w:rPr>
            </w:pPr>
            <w:r>
              <w:rPr>
                <w:rFonts w:ascii="arial" w:hAnsi="arial"/>
                <w:sz w:val="20"/>
              </w:rPr>
              <w:t></w:t>
            </w:r>
          </w:p>
        </w:tc>
        <w:tc>
          <w:tcPr>
            <w:tcW w:w="171" w:type="dxa"/>
            <w:tcBorders/>
            <w:shd w:fill="FFFFFF" w:val="clear"/>
            <w:vAlign w:val="bottom"/>
          </w:tcPr>
          <w:p>
            <w:pPr>
              <w:pStyle w:val="TableContents"/>
              <w:spacing w:before="0" w:after="283"/>
              <w:rPr/>
            </w:pPr>
            <w:r>
              <w:rPr/>
              <w:t>​</w:t>
            </w:r>
          </w:p>
        </w:tc>
      </w:tr>
      <w:tr>
        <w:trPr/>
        <w:tc>
          <w:tcPr>
            <w:tcW w:w="7988" w:type="dxa"/>
            <w:tcBorders/>
            <w:shd w:fill="CCEEFF" w:val="clear"/>
            <w:vAlign w:val="bottom"/>
          </w:tcPr>
          <w:p>
            <w:pPr>
              <w:pStyle w:val="TableContents"/>
              <w:spacing w:before="0" w:after="283"/>
              <w:ind w:left="200" w:right="0" w:hanging="200"/>
              <w:rPr>
                <w:rFonts w:ascii="arial" w:hAnsi="arial"/>
                <w:sz w:val="20"/>
              </w:rPr>
            </w:pPr>
            <w:r>
              <w:rPr>
                <w:rFonts w:ascii="arial" w:hAnsi="arial"/>
                <w:sz w:val="20"/>
              </w:rPr>
              <w:t>Tax Fees</w:t>
            </w:r>
          </w:p>
        </w:tc>
        <w:tc>
          <w:tcPr>
            <w:tcW w:w="23" w:type="dxa"/>
            <w:tcBorders/>
            <w:shd w:fill="CCEEFF" w:val="clear"/>
            <w:vAlign w:val="bottom"/>
          </w:tcPr>
          <w:p>
            <w:pPr>
              <w:pStyle w:val="TableContents"/>
              <w:spacing w:before="0" w:after="283"/>
              <w:rPr/>
            </w:pPr>
            <w:r>
              <w:rPr/>
              <w:t>​</w:t>
            </w:r>
          </w:p>
        </w:tc>
        <w:tc>
          <w:tcPr>
            <w:tcW w:w="1000"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w:t>
            </w:r>
          </w:p>
        </w:tc>
        <w:tc>
          <w:tcPr>
            <w:tcW w:w="23" w:type="dxa"/>
            <w:tcBorders/>
            <w:shd w:fill="CCEEFF" w:val="clear"/>
            <w:vAlign w:val="bottom"/>
          </w:tcPr>
          <w:p>
            <w:pPr>
              <w:pStyle w:val="TableContents"/>
              <w:spacing w:before="0" w:after="283"/>
              <w:rPr/>
            </w:pPr>
            <w:r>
              <w:rPr/>
              <w:t>​</w:t>
            </w:r>
          </w:p>
        </w:tc>
        <w:tc>
          <w:tcPr>
            <w:tcW w:w="1000" w:type="dxa"/>
            <w:gridSpan w:val="2"/>
            <w:tcBorders/>
            <w:shd w:fill="CCEEFF" w:val="clear"/>
            <w:vAlign w:val="bottom"/>
          </w:tcPr>
          <w:p>
            <w:pPr>
              <w:pStyle w:val="TableContents"/>
              <w:spacing w:before="0" w:after="283"/>
              <w:jc w:val="right"/>
              <w:rPr>
                <w:rFonts w:ascii="arial" w:hAnsi="arial"/>
                <w:sz w:val="20"/>
              </w:rPr>
            </w:pPr>
            <w:r>
              <w:rPr>
                <w:rFonts w:ascii="arial" w:hAnsi="arial"/>
                <w:sz w:val="20"/>
              </w:rPr>
              <w:t></w:t>
            </w:r>
          </w:p>
        </w:tc>
        <w:tc>
          <w:tcPr>
            <w:tcW w:w="171" w:type="dxa"/>
            <w:tcBorders/>
            <w:shd w:fill="CCEEFF" w:val="clear"/>
            <w:vAlign w:val="bottom"/>
          </w:tcPr>
          <w:p>
            <w:pPr>
              <w:pStyle w:val="TableContents"/>
              <w:spacing w:before="0" w:after="283"/>
              <w:rPr/>
            </w:pPr>
            <w:r>
              <w:rPr/>
              <w:t>​</w:t>
            </w:r>
          </w:p>
        </w:tc>
      </w:tr>
      <w:tr>
        <w:trPr/>
        <w:tc>
          <w:tcPr>
            <w:tcW w:w="7988" w:type="dxa"/>
            <w:tcBorders/>
            <w:shd w:fill="FFFFFF" w:val="clear"/>
            <w:vAlign w:val="bottom"/>
          </w:tcPr>
          <w:p>
            <w:pPr>
              <w:pStyle w:val="TableContents"/>
              <w:spacing w:before="0" w:after="283"/>
              <w:ind w:left="200" w:right="0" w:hanging="200"/>
              <w:rPr>
                <w:rFonts w:ascii="arial" w:hAnsi="arial"/>
                <w:sz w:val="20"/>
              </w:rPr>
            </w:pPr>
            <w:r>
              <w:rPr>
                <w:rFonts w:ascii="arial" w:hAnsi="arial"/>
                <w:sz w:val="20"/>
              </w:rPr>
              <w:t>All Other Fees</w:t>
            </w:r>
          </w:p>
        </w:tc>
        <w:tc>
          <w:tcPr>
            <w:tcW w:w="23" w:type="dxa"/>
            <w:tcBorders/>
            <w:shd w:fill="FFFFFF" w:val="clear"/>
            <w:vAlign w:val="bottom"/>
          </w:tcPr>
          <w:p>
            <w:pPr>
              <w:pStyle w:val="TableContents"/>
              <w:spacing w:before="0" w:after="283"/>
              <w:rPr/>
            </w:pPr>
            <w:r>
              <w:rPr/>
              <w:t>​</w:t>
            </w:r>
          </w:p>
        </w:tc>
        <w:tc>
          <w:tcPr>
            <w:tcW w:w="1000" w:type="dxa"/>
            <w:gridSpan w:val="2"/>
            <w:tcBorders/>
            <w:shd w:fill="FFFFFF" w:val="clear"/>
            <w:vAlign w:val="bottom"/>
          </w:tcPr>
          <w:p>
            <w:pPr>
              <w:pStyle w:val="TableContents"/>
              <w:spacing w:before="0" w:after="283"/>
              <w:jc w:val="right"/>
              <w:rPr>
                <w:rFonts w:ascii="arial" w:hAnsi="arial"/>
                <w:sz w:val="20"/>
              </w:rPr>
            </w:pPr>
            <w:r>
              <w:rPr>
                <w:rFonts w:ascii="arial" w:hAnsi="arial"/>
                <w:sz w:val="20"/>
              </w:rPr>
              <w:t>333,802</w:t>
            </w:r>
          </w:p>
        </w:tc>
        <w:tc>
          <w:tcPr>
            <w:tcW w:w="23" w:type="dxa"/>
            <w:tcBorders/>
            <w:shd w:fill="FFFFFF" w:val="clear"/>
            <w:vAlign w:val="bottom"/>
          </w:tcPr>
          <w:p>
            <w:pPr>
              <w:pStyle w:val="TableContents"/>
              <w:spacing w:before="0" w:after="283"/>
              <w:rPr/>
            </w:pPr>
            <w:r>
              <w:rPr/>
              <w:t>​</w:t>
            </w:r>
          </w:p>
        </w:tc>
        <w:tc>
          <w:tcPr>
            <w:tcW w:w="1000" w:type="dxa"/>
            <w:gridSpan w:val="2"/>
            <w:tcBorders/>
            <w:shd w:fill="FFFFFF" w:val="clear"/>
            <w:vAlign w:val="bottom"/>
          </w:tcPr>
          <w:p>
            <w:pPr>
              <w:pStyle w:val="TableContents"/>
              <w:spacing w:before="0" w:after="283"/>
              <w:jc w:val="right"/>
              <w:rPr>
                <w:rFonts w:ascii="arial" w:hAnsi="arial"/>
                <w:sz w:val="20"/>
              </w:rPr>
            </w:pPr>
            <w:r>
              <w:rPr>
                <w:rFonts w:ascii="arial" w:hAnsi="arial"/>
                <w:sz w:val="20"/>
              </w:rPr>
              <w:t xml:space="preserve">57,860 </w:t>
            </w:r>
          </w:p>
        </w:tc>
        <w:tc>
          <w:tcPr>
            <w:tcW w:w="171" w:type="dxa"/>
            <w:tcBorders/>
            <w:shd w:fill="FFFFFF" w:val="clear"/>
            <w:vAlign w:val="bottom"/>
          </w:tcPr>
          <w:p>
            <w:pPr>
              <w:pStyle w:val="TableContents"/>
              <w:spacing w:before="0" w:after="283"/>
              <w:rPr/>
            </w:pPr>
            <w:r>
              <w:rPr/>
              <w:t>​</w:t>
            </w:r>
          </w:p>
        </w:tc>
      </w:tr>
      <w:tr>
        <w:trPr/>
        <w:tc>
          <w:tcPr>
            <w:tcW w:w="7988" w:type="dxa"/>
            <w:tcBorders/>
            <w:shd w:fill="FFFFFF" w:val="clear"/>
            <w:vAlign w:val="bottom"/>
          </w:tcPr>
          <w:p>
            <w:pPr>
              <w:pStyle w:val="TableContents"/>
              <w:spacing w:before="0" w:after="283"/>
              <w:rPr/>
            </w:pPr>
            <w:r>
              <w:rPr/>
              <w:t>​</w:t>
            </w:r>
          </w:p>
        </w:tc>
        <w:tc>
          <w:tcPr>
            <w:tcW w:w="23" w:type="dxa"/>
            <w:tcBorders/>
            <w:shd w:fill="FFFFFF" w:val="clear"/>
            <w:vAlign w:val="bottom"/>
          </w:tcPr>
          <w:p>
            <w:pPr>
              <w:pStyle w:val="TableContents"/>
              <w:spacing w:before="0" w:after="283"/>
              <w:rPr/>
            </w:pPr>
            <w:r>
              <w:rPr/>
              <w:t>​</w:t>
            </w:r>
          </w:p>
        </w:tc>
        <w:tc>
          <w:tcPr>
            <w:tcW w:w="1000" w:type="dxa"/>
            <w:gridSpan w:val="2"/>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23" w:type="dxa"/>
            <w:tcBorders/>
            <w:shd w:fill="FFFFFF" w:val="clear"/>
            <w:vAlign w:val="bottom"/>
          </w:tcPr>
          <w:p>
            <w:pPr>
              <w:pStyle w:val="TableContents"/>
              <w:spacing w:before="0" w:after="283"/>
              <w:rPr/>
            </w:pPr>
            <w:r>
              <w:rPr/>
              <w:t>​</w:t>
            </w:r>
          </w:p>
        </w:tc>
        <w:tc>
          <w:tcPr>
            <w:tcW w:w="1000" w:type="dxa"/>
            <w:gridSpan w:val="2"/>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71" w:type="dxa"/>
            <w:tcBorders/>
            <w:shd w:fill="FFFFFF" w:val="clear"/>
            <w:vAlign w:val="bottom"/>
          </w:tcPr>
          <w:p>
            <w:pPr>
              <w:pStyle w:val="TableContents"/>
              <w:spacing w:before="0" w:after="283"/>
              <w:rPr/>
            </w:pPr>
            <w:r>
              <w:rPr/>
              <w:t>​</w:t>
            </w:r>
          </w:p>
        </w:tc>
      </w:tr>
      <w:tr>
        <w:trPr/>
        <w:tc>
          <w:tcPr>
            <w:tcW w:w="7988" w:type="dxa"/>
            <w:tcBorders/>
            <w:shd w:fill="CCEEFF" w:val="clear"/>
            <w:vAlign w:val="bottom"/>
          </w:tcPr>
          <w:p>
            <w:pPr>
              <w:pStyle w:val="TableContents"/>
              <w:spacing w:before="0" w:after="283"/>
              <w:ind w:left="200" w:right="0" w:hanging="200"/>
              <w:rPr>
                <w:rFonts w:ascii="arial" w:hAnsi="arial"/>
                <w:sz w:val="20"/>
              </w:rPr>
            </w:pPr>
            <w:r>
              <w:rPr>
                <w:rFonts w:ascii="arial" w:hAnsi="arial"/>
                <w:sz w:val="20"/>
              </w:rPr>
              <w:t>Total</w:t>
            </w:r>
          </w:p>
        </w:tc>
        <w:tc>
          <w:tcPr>
            <w:tcW w:w="23" w:type="dxa"/>
            <w:tcBorders/>
            <w:shd w:fill="CCEEFF" w:val="clear"/>
            <w:vAlign w:val="bottom"/>
          </w:tcPr>
          <w:p>
            <w:pPr>
              <w:pStyle w:val="TableContents"/>
              <w:spacing w:before="0" w:after="283"/>
              <w:rPr/>
            </w:pPr>
            <w:r>
              <w:rPr/>
              <w:t>​</w:t>
            </w:r>
          </w:p>
        </w:tc>
        <w:tc>
          <w:tcPr>
            <w:tcW w:w="125" w:type="dxa"/>
            <w:tcBorders/>
            <w:shd w:fill="CCEEFF" w:val="clear"/>
            <w:vAlign w:val="bottom"/>
          </w:tcPr>
          <w:p>
            <w:pPr>
              <w:pStyle w:val="TableContents"/>
              <w:spacing w:before="0" w:after="283"/>
              <w:rPr>
                <w:rFonts w:ascii="arial" w:hAnsi="arial"/>
                <w:sz w:val="20"/>
              </w:rPr>
            </w:pPr>
            <w:r>
              <w:rPr>
                <w:rFonts w:ascii="arial" w:hAnsi="arial"/>
                <w:sz w:val="20"/>
              </w:rPr>
              <w:t>$</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t>2,290,083</w:t>
            </w:r>
          </w:p>
        </w:tc>
        <w:tc>
          <w:tcPr>
            <w:tcW w:w="23" w:type="dxa"/>
            <w:tcBorders/>
            <w:shd w:fill="CCEEFF" w:val="clear"/>
            <w:vAlign w:val="bottom"/>
          </w:tcPr>
          <w:p>
            <w:pPr>
              <w:pStyle w:val="TableContents"/>
              <w:spacing w:before="0" w:after="283"/>
              <w:rPr/>
            </w:pPr>
            <w:r>
              <w:rPr/>
              <w:t>​</w:t>
            </w:r>
          </w:p>
        </w:tc>
        <w:tc>
          <w:tcPr>
            <w:tcW w:w="125" w:type="dxa"/>
            <w:tcBorders/>
            <w:shd w:fill="CCEEFF" w:val="clear"/>
            <w:vAlign w:val="bottom"/>
          </w:tcPr>
          <w:p>
            <w:pPr>
              <w:pStyle w:val="TableContents"/>
              <w:spacing w:before="0" w:after="283"/>
              <w:rPr>
                <w:rFonts w:ascii="arial" w:hAnsi="arial"/>
                <w:sz w:val="20"/>
              </w:rPr>
            </w:pPr>
            <w:r>
              <w:rPr>
                <w:rFonts w:ascii="arial" w:hAnsi="arial"/>
                <w:sz w:val="20"/>
              </w:rPr>
              <w:t>$</w:t>
            </w:r>
          </w:p>
        </w:tc>
        <w:tc>
          <w:tcPr>
            <w:tcW w:w="875" w:type="dxa"/>
            <w:tcBorders/>
            <w:shd w:fill="CCEEFF" w:val="clear"/>
            <w:vAlign w:val="bottom"/>
          </w:tcPr>
          <w:p>
            <w:pPr>
              <w:pStyle w:val="TableContents"/>
              <w:spacing w:before="0" w:after="283"/>
              <w:jc w:val="right"/>
              <w:rPr>
                <w:rFonts w:ascii="arial" w:hAnsi="arial"/>
                <w:sz w:val="20"/>
              </w:rPr>
            </w:pPr>
            <w:r>
              <w:rPr>
                <w:rFonts w:ascii="arial" w:hAnsi="arial"/>
                <w:sz w:val="20"/>
              </w:rPr>
              <w:t>1,182,395</w:t>
            </w:r>
          </w:p>
        </w:tc>
        <w:tc>
          <w:tcPr>
            <w:tcW w:w="171" w:type="dxa"/>
            <w:tcBorders/>
            <w:shd w:fill="CCEEFF" w:val="clear"/>
            <w:vAlign w:val="bottom"/>
          </w:tcPr>
          <w:p>
            <w:pPr>
              <w:pStyle w:val="TableContents"/>
              <w:spacing w:before="0" w:after="283"/>
              <w:rPr>
                <w:rFonts w:ascii="arial" w:hAnsi="arial"/>
                <w:position w:val="7"/>
                <w:sz w:val="16"/>
                <w:sz w:val="20"/>
              </w:rPr>
            </w:pPr>
            <w:r>
              <w:rPr>
                <w:rFonts w:ascii="arial" w:hAnsi="arial"/>
                <w:position w:val="7"/>
                <w:sz w:val="16"/>
                <w:sz w:val="20"/>
              </w:rPr>
              <w:t>(1)</w:t>
            </w:r>
          </w:p>
        </w:tc>
      </w:tr>
    </w:tbl>
    <w:p>
      <w:pPr>
        <w:pStyle w:val="ListHeading"/>
        <w:spacing w:before="0" w:after="0"/>
        <w:jc w:val="left"/>
        <w:rPr>
          <w:rFonts w:ascii="arial" w:hAnsi="arial"/>
          <w:position w:val="7"/>
          <w:sz w:val="16"/>
          <w:sz w:val="20"/>
        </w:rPr>
      </w:pPr>
      <w:r>
        <w:rPr>
          <w:rFonts w:ascii="arial" w:hAnsi="arial"/>
          <w:position w:val="7"/>
          <w:sz w:val="16"/>
          <w:sz w:val="20"/>
        </w:rPr>
        <w:t>(1)</w:t>
      </w:r>
    </w:p>
    <w:p>
      <w:pPr>
        <w:pStyle w:val="ListContents"/>
        <w:spacing w:before="0" w:after="283"/>
        <w:jc w:val="left"/>
        <w:rPr>
          <w:rFonts w:ascii="arial" w:hAnsi="arial"/>
          <w:sz w:val="20"/>
        </w:rPr>
      </w:pPr>
      <w:r>
        <w:rPr>
          <w:rFonts w:ascii="arial" w:hAnsi="arial"/>
          <w:sz w:val="20"/>
        </w:rPr>
        <w:t xml:space="preserve">Represents $1,014,896 billed by Mayer Hoffman ($957,036 for audit fees and $57,860 for other fees) and $167,499 billed by Atwell for audit fees. Fees billed by Mayer Hoffman and Atwell include statutory audits required for regulatory compliance purposes. </w:t>
      </w:r>
    </w:p>
    <w:p>
      <w:pPr>
        <w:pStyle w:val="TextBody"/>
        <w:ind w:left="220" w:right="0" w:hanging="220"/>
        <w:rPr>
          <w:rFonts w:ascii="arial" w:hAnsi="arial"/>
          <w:b/>
          <w:sz w:val="20"/>
        </w:rPr>
      </w:pPr>
      <w:r>
        <w:rPr>
          <w:rFonts w:ascii="arial" w:hAnsi="arial"/>
          <w:b/>
          <w:sz w:val="20"/>
        </w:rPr>
        <w:t xml:space="preserve">Audit Fees </w:t>
      </w:r>
    </w:p>
    <w:p>
      <w:pPr>
        <w:pStyle w:val="TextBody"/>
        <w:rPr>
          <w:rFonts w:ascii="arial" w:hAnsi="arial"/>
          <w:sz w:val="20"/>
        </w:rPr>
      </w:pPr>
      <w:r>
        <w:rPr>
          <w:rFonts w:ascii="arial" w:hAnsi="arial"/>
          <w:sz w:val="20"/>
        </w:rPr>
        <w:t xml:space="preserve">This category includes the aggregate fees and expenses billed for professional services rendered for the audits of Altisource's consolidated financial statements for fiscal years 2019 and 2020, for the reviews of the financial statements included in Altisource's quarterly reports on Form 10-Q during fiscal years 2019 and 2020 and for services that are normally provided by the independent registered certified public accounting firm and affiliates in connection with statutory and regulatory filings or engagements for the relevant fiscal year. </w:t>
      </w:r>
    </w:p>
    <w:p>
      <w:pPr>
        <w:pStyle w:val="TextBody"/>
        <w:ind w:left="220" w:right="0" w:hanging="220"/>
        <w:rPr>
          <w:rFonts w:ascii="arial" w:hAnsi="arial"/>
          <w:b/>
          <w:sz w:val="20"/>
        </w:rPr>
      </w:pPr>
      <w:r>
        <w:rPr>
          <w:rFonts w:ascii="arial" w:hAnsi="arial"/>
          <w:b/>
          <w:sz w:val="20"/>
        </w:rPr>
        <w:t xml:space="preserve">Audit-Related Fees </w:t>
      </w:r>
    </w:p>
    <w:p>
      <w:pPr>
        <w:pStyle w:val="TextBody"/>
        <w:rPr>
          <w:rFonts w:ascii="arial" w:hAnsi="arial"/>
          <w:sz w:val="20"/>
        </w:rPr>
      </w:pPr>
      <w:r>
        <w:rPr>
          <w:rFonts w:ascii="arial" w:hAnsi="arial"/>
          <w:sz w:val="20"/>
        </w:rPr>
        <w:t xml:space="preserve">This category includes the aggregate fees billed by the independent registered certified public accounting firm for fiscal years 2019 and 2020 for audit-related services that are reasonably related to the performance of the audits or reviews of the financial statements and are not reported above under "Audit Fees" and generally consist of fees for other attest engagements under professional auditing standards, internal control-related matters, audits of employee benefit plans and due diligence. </w:t>
      </w:r>
    </w:p>
    <w:p>
      <w:pPr>
        <w:pStyle w:val="TextBody"/>
        <w:ind w:left="220" w:right="0" w:hanging="220"/>
        <w:rPr>
          <w:rFonts w:ascii="arial" w:hAnsi="arial"/>
          <w:b/>
          <w:sz w:val="20"/>
        </w:rPr>
      </w:pPr>
      <w:r>
        <w:rPr>
          <w:rFonts w:ascii="arial" w:hAnsi="arial"/>
          <w:b/>
          <w:sz w:val="20"/>
        </w:rPr>
        <w:t xml:space="preserve">Tax Fees </w:t>
      </w:r>
    </w:p>
    <w:p>
      <w:pPr>
        <w:pStyle w:val="TextBody"/>
        <w:rPr>
          <w:rFonts w:ascii="arial" w:hAnsi="arial"/>
          <w:sz w:val="20"/>
        </w:rPr>
      </w:pPr>
      <w:r>
        <w:rPr>
          <w:rFonts w:ascii="arial" w:hAnsi="arial"/>
          <w:sz w:val="20"/>
        </w:rPr>
        <w:t xml:space="preserve">This category includes the aggregate fees billed for fiscal years 2019 and 2020 for professional services rendered by the independent registered certified public accounting firm for tax compliance, tax planning and tax advice. </w:t>
      </w:r>
    </w:p>
    <w:p>
      <w:pPr>
        <w:pStyle w:val="TextBody"/>
        <w:ind w:left="220" w:right="0" w:hanging="220"/>
        <w:rPr>
          <w:rFonts w:ascii="arial" w:hAnsi="arial"/>
          <w:b/>
          <w:sz w:val="20"/>
        </w:rPr>
      </w:pPr>
      <w:r>
        <w:rPr>
          <w:rFonts w:ascii="arial" w:hAnsi="arial"/>
          <w:b/>
          <w:sz w:val="20"/>
        </w:rPr>
        <w:t xml:space="preserve">All Other Fees </w:t>
      </w:r>
    </w:p>
    <w:p>
      <w:pPr>
        <w:pStyle w:val="TextBody"/>
        <w:rPr>
          <w:rFonts w:ascii="arial" w:hAnsi="arial"/>
          <w:sz w:val="20"/>
        </w:rPr>
      </w:pPr>
      <w:r>
        <w:rPr>
          <w:rFonts w:ascii="arial" w:hAnsi="arial"/>
          <w:sz w:val="20"/>
        </w:rPr>
        <w:t xml:space="preserve">This category includes the aggregate fees billed for fiscal years 2019 and 2020 for products and services provided by the independent registered certified public accounting firm that are not reported above under "Audit Fees," "Audit-Related Fees" or "Tax Fees." </w:t>
      </w:r>
    </w:p>
    <w:p>
      <w:pPr>
        <w:pStyle w:val="TextBody"/>
        <w:rPr>
          <w:rFonts w:ascii="arial" w:hAnsi="arial"/>
          <w:sz w:val="20"/>
        </w:rPr>
      </w:pPr>
      <w:r>
        <w:rPr>
          <w:rFonts w:ascii="arial" w:hAnsi="arial"/>
          <w:sz w:val="20"/>
        </w:rPr>
        <w:t xml:space="preserve">The Audit Committee considered the compatibility of the non-audit-related services provided by, and fees paid to, Mayer Hoffman in fiscal years 2019 and 2020, as applicable, and determined that such services and fees are compatible with their independence. </w:t>
      </w:r>
    </w:p>
    <w:p>
      <w:pPr>
        <w:pStyle w:val="TextBody"/>
        <w:rPr>
          <w:rFonts w:ascii="arial" w:hAnsi="arial"/>
          <w:sz w:val="20"/>
        </w:rPr>
      </w:pPr>
      <w:r>
        <w:rPr>
          <w:rFonts w:ascii="arial" w:hAnsi="arial"/>
          <w:sz w:val="20"/>
        </w:rPr>
        <w:t xml:space="preserve">The Audit Committee is required to pre-approve the audit and non-audit services performed by the independent registered certified public accounting firm in order to assure that the provision of such services does not impair the independent registered certified public accounting firm's independence. In fiscal years 2019 and 2020, all services associated with the independent registered certified public </w:t>
      </w:r>
    </w:p>
    <w:p>
      <w:pPr>
        <w:pStyle w:val="TextBody"/>
        <w:jc w:val="center"/>
        <w:rPr>
          <w:rFonts w:ascii="arial" w:hAnsi="arial"/>
          <w:sz w:val="20"/>
        </w:rPr>
      </w:pPr>
      <w:r>
        <w:rPr>
          <w:rFonts w:ascii="arial" w:hAnsi="arial"/>
          <w:sz w:val="20"/>
        </w:rPr>
        <w:t>71</w:t>
      </w:r>
    </w:p>
    <w:p>
      <w:pPr>
        <w:pStyle w:val="HorizontalLine"/>
        <w:pBdr>
          <w:bottom w:val="single" w:sz="20" w:space="0" w:color="808080"/>
        </w:pBdr>
        <w:rPr/>
      </w:pPr>
      <w:r>
        <w:rPr/>
      </w:r>
      <w:r>
        <w:br w:type="page"/>
      </w:r>
    </w:p>
    <w:p>
      <w:pPr>
        <w:pStyle w:val="TextBody"/>
        <w:rPr/>
      </w:pPr>
      <w:hyperlink w:anchor="bg45301a_main_toc">
        <w:bookmarkStart w:id="139" w:name="page_eg45301_1_72"/>
        <w:bookmarkEnd w:id="139"/>
        <w:r>
          <w:rPr>
            <w:rStyle w:val="InternetLink"/>
            <w:rFonts w:ascii="arial" w:hAnsi="arial"/>
            <w:sz w:val="20"/>
          </w:rPr>
          <w:t>Table of Contents</w:t>
        </w:r>
      </w:hyperlink>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3368"/>
        <w:gridCol w:w="100"/>
        <w:gridCol w:w="6737"/>
      </w:tblGrid>
      <w:tr>
        <w:trPr/>
        <w:tc>
          <w:tcPr>
            <w:tcW w:w="3368" w:type="dxa"/>
            <w:tcBorders/>
            <w:shd w:fill="auto" w:val="clear"/>
            <w:vAlign w:val="center"/>
          </w:tcPr>
          <w:p>
            <w:pPr>
              <w:pStyle w:val="TableContents"/>
              <w:spacing w:before="0" w:after="283"/>
              <w:rPr/>
            </w:pPr>
            <w:r>
              <w:rPr/>
              <w:commentReference w:id="270"/>
            </w:r>
            <w:r>
              <w:rPr/>
              <w:commentReference w:id="271"/>
            </w:r>
            <w:r>
              <w:rPr/>
              <w:commentReference w:id="272"/>
            </w:r>
            <w:r>
              <w:rPr/>
              <w:t>​</w:t>
            </w:r>
          </w:p>
        </w:tc>
        <w:tc>
          <w:tcPr>
            <w:tcW w:w="100" w:type="dxa"/>
            <w:tcBorders/>
            <w:shd w:fill="auto" w:val="clear"/>
            <w:vAlign w:val="center"/>
          </w:tcPr>
          <w:p>
            <w:pPr>
              <w:pStyle w:val="TableContents"/>
              <w:spacing w:before="0" w:after="283"/>
              <w:rPr/>
            </w:pPr>
            <w:r>
              <w:rPr/>
              <w:t>​</w:t>
            </w:r>
          </w:p>
        </w:tc>
        <w:tc>
          <w:tcPr>
            <w:tcW w:w="6737" w:type="dxa"/>
            <w:tcBorders/>
            <w:shd w:fill="auto" w:val="clear"/>
            <w:vAlign w:val="center"/>
          </w:tcPr>
          <w:p>
            <w:pPr>
              <w:pStyle w:val="TableContents"/>
              <w:spacing w:before="0" w:after="283"/>
              <w:rPr/>
            </w:pPr>
            <w:r>
              <w:rPr/>
              <w:t>​</w:t>
            </w:r>
            <w:r>
              <w:rPr>
                <w:rFonts w:eastAsia="arial" w:cs="arial" w:ascii="arial" w:hAnsi="arial"/>
              </w:rPr>
              <w:commentReference w:id="273"/>
            </w:r>
          </w:p>
        </w:tc>
      </w:tr>
      <w:tr>
        <w:trPr/>
        <w:tc>
          <w:tcPr>
            <w:tcW w:w="3368" w:type="dxa"/>
            <w:tcBorders/>
            <w:shd w:fill="auto" w:val="clear"/>
          </w:tcPr>
          <w:p>
            <w:pPr>
              <w:pStyle w:val="TableContents"/>
              <w:rPr/>
            </w:pPr>
            <w:r>
              <w:rPr/>
              <w:t>​</w:t>
            </w:r>
          </w:p>
          <w:p>
            <w:pPr>
              <w:pStyle w:val="TableContents"/>
              <w:spacing w:before="0" w:after="283"/>
              <w:rPr/>
            </w:pPr>
            <w:r>
              <w:rPr/>
              <w:t> </w:t>
            </w:r>
          </w:p>
        </w:tc>
        <w:tc>
          <w:tcPr>
            <w:tcW w:w="100"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drawing>
                <wp:inline distT="0" distB="0" distL="0" distR="0">
                  <wp:extent cx="1771650" cy="1809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embed="rId102"/>
                          <a:stretch>
                            <a:fillRect/>
                          </a:stretch>
                        </pic:blipFill>
                        <pic:spPr bwMode="auto">
                          <a:xfrm>
                            <a:off x="0" y="0"/>
                            <a:ext cx="1771650" cy="180975"/>
                          </a:xfrm>
                          <a:prstGeom prst="rect">
                            <a:avLst/>
                          </a:prstGeom>
                        </pic:spPr>
                      </pic:pic>
                    </a:graphicData>
                  </a:graphic>
                </wp:inline>
              </w:drawing>
            </w:r>
            <w:r>
              <w:rPr/>
              <w:t xml:space="preserve"> </w:t>
            </w:r>
          </w:p>
        </w:tc>
      </w:tr>
      <w:tr>
        <w:trPr/>
        <w:tc>
          <w:tcPr>
            <w:tcW w:w="3368" w:type="dxa"/>
            <w:tcBorders/>
            <w:shd w:fill="auto" w:val="clear"/>
          </w:tcPr>
          <w:p>
            <w:pPr>
              <w:pStyle w:val="TableContents"/>
              <w:rPr/>
            </w:pPr>
            <w:r>
              <w:rPr/>
              <w:t>​</w:t>
            </w:r>
          </w:p>
          <w:p>
            <w:pPr>
              <w:pStyle w:val="TableContents"/>
              <w:spacing w:before="0" w:after="283"/>
              <w:rPr/>
            </w:pPr>
            <w:r>
              <w:rPr/>
              <w:t> </w:t>
            </w:r>
          </w:p>
        </w:tc>
        <w:tc>
          <w:tcPr>
            <w:tcW w:w="100" w:type="dxa"/>
            <w:tcBorders/>
            <w:shd w:fill="auto" w:val="clear"/>
          </w:tcPr>
          <w:p>
            <w:pPr>
              <w:pStyle w:val="TableContents"/>
              <w:rPr/>
            </w:pPr>
            <w:r>
              <w:rPr/>
              <w:t>​</w:t>
            </w:r>
          </w:p>
          <w:p>
            <w:pPr>
              <w:pStyle w:val="TableContents"/>
              <w:spacing w:before="0" w:after="283"/>
              <w:rPr/>
            </w:pPr>
            <w:r>
              <w:rPr/>
              <w:t>​</w:t>
            </w:r>
          </w:p>
        </w:tc>
        <w:tc>
          <w:tcPr>
            <w:tcW w:w="6737" w:type="dxa"/>
            <w:tcBorders/>
            <w:shd w:fill="auto" w:val="clear"/>
          </w:tcPr>
          <w:p>
            <w:pPr>
              <w:pStyle w:val="TableContents"/>
              <w:jc w:val="right"/>
              <w:rPr/>
            </w:pPr>
            <w:r>
              <w:rPr/>
              <w:t>​</w:t>
            </w:r>
          </w:p>
          <w:p>
            <w:pPr>
              <w:pStyle w:val="TableContents"/>
              <w:spacing w:before="0" w:after="283"/>
              <w:jc w:val="right"/>
              <w:rPr/>
            </w:pPr>
            <w:r>
              <w:rPr/>
              <w:t> </w:t>
            </w:r>
          </w:p>
        </w:tc>
      </w:tr>
    </w:tbl>
    <w:p>
      <w:pPr>
        <w:pStyle w:val="TextBody"/>
        <w:rPr/>
      </w:pPr>
      <w:r>
        <w:rPr>
          <w:color w:val="000000"/>
        </w:rPr>
        <w:commentReference w:id="274"/>
      </w:r>
      <w:r>
        <w:rPr>
          <w:color w:val="000000"/>
        </w:rPr>
        <w:t>​</w:t>
      </w:r>
      <w:r>
        <w:rPr/>
        <w:t xml:space="preserve"> </w:t>
      </w:r>
    </w:p>
    <w:p>
      <w:pPr>
        <w:pStyle w:val="TextBody"/>
        <w:rPr>
          <w:rFonts w:ascii="arial" w:hAnsi="arial"/>
          <w:sz w:val="20"/>
        </w:rPr>
      </w:pPr>
      <w:r>
        <w:rPr>
          <w:rFonts w:ascii="arial" w:hAnsi="arial"/>
          <w:sz w:val="20"/>
        </w:rPr>
        <w:t xml:space="preserve">accounting firm were pre-approved by the Audit Committee or by the Chairman of the Audit Committee pursuant to authority delegated to him as described below. </w:t>
      </w:r>
    </w:p>
    <w:p>
      <w:pPr>
        <w:pStyle w:val="TextBody"/>
        <w:rPr>
          <w:rFonts w:ascii="arial" w:hAnsi="arial"/>
          <w:sz w:val="20"/>
        </w:rPr>
      </w:pPr>
      <w:r>
        <w:rPr>
          <w:rFonts w:ascii="arial" w:hAnsi="arial"/>
          <w:sz w:val="20"/>
        </w:rPr>
        <w:t xml:space="preserve">Mayer Hoffman utilizes substantially all of its personnel, who work under the control of Mayer Hoffman shareholders, from wholly-owned subsidiaries of CBIZ, Inc. </w:t>
      </w:r>
    </w:p>
    <w:p>
      <w:pPr>
        <w:pStyle w:val="TextBody"/>
        <w:ind w:left="220" w:right="0" w:hanging="220"/>
        <w:rPr>
          <w:rFonts w:ascii="arial" w:hAnsi="arial"/>
          <w:b/>
          <w:sz w:val="20"/>
        </w:rPr>
      </w:pPr>
      <w:r>
        <w:rPr>
          <w:rFonts w:ascii="arial" w:hAnsi="arial"/>
          <w:b/>
          <w:sz w:val="20"/>
        </w:rPr>
        <w:t xml:space="preserve">Audit Committee Pre-Approval Policy </w:t>
      </w:r>
    </w:p>
    <w:p>
      <w:pPr>
        <w:pStyle w:val="TextBody"/>
        <w:rPr>
          <w:rFonts w:ascii="arial" w:hAnsi="arial"/>
          <w:sz w:val="20"/>
        </w:rPr>
      </w:pPr>
      <w:r>
        <w:rPr>
          <w:rFonts w:ascii="arial" w:hAnsi="arial"/>
          <w:sz w:val="20"/>
        </w:rPr>
        <w:t xml:space="preserve">The Audit Committee has pre-approved certain audit services, audit-related services and non-audit services to be performed by the independent auditors in its Pre-Approval Policy. Except for the services pre-approved pursuant to this policy, all permissible audit, audit-related, tax and non-audit services must be separately pre-approved by the Audit Committee or any member of the Audit Committee to whom such authority is delegated. The Audit Committee has delegated authority to the Chairman of the Audit Committee to pre-approve all such services, except services related to the independent auditor's annual audit of the Company, which is subject to the specific pre-approval of the Audit Committee. The Chairman reports any pre-approval decisions to the Audit Committee for their ratification. </w:t>
      </w:r>
    </w:p>
    <w:p>
      <w:pPr>
        <w:pStyle w:val="TextBody"/>
        <w:rPr>
          <w:rFonts w:ascii="arial" w:hAnsi="arial"/>
          <w:sz w:val="20"/>
        </w:rPr>
      </w:pPr>
      <w:r>
        <w:rPr>
          <w:rFonts w:ascii="arial" w:hAnsi="arial"/>
          <w:sz w:val="20"/>
        </w:rPr>
        <w:t xml:space="preserve">The Audit Committee does not delegate to management its responsibilities to pre-approve services performed by the independent auditor. </w:t>
      </w:r>
    </w:p>
    <w:p>
      <w:pPr>
        <w:pStyle w:val="TextBody"/>
        <w:jc w:val="center"/>
        <w:rPr>
          <w:rFonts w:ascii="arial" w:hAnsi="arial"/>
          <w:sz w:val="20"/>
        </w:rPr>
      </w:pPr>
      <w:r>
        <w:rPr>
          <w:rFonts w:ascii="arial" w:hAnsi="arial"/>
          <w:sz w:val="20"/>
        </w:rPr>
        <w:t>72</w:t>
      </w:r>
    </w:p>
    <w:p>
      <w:pPr>
        <w:pStyle w:val="HorizontalLine"/>
        <w:pBdr>
          <w:bottom w:val="single" w:sz="20" w:space="0" w:color="808080"/>
        </w:pBdr>
        <w:rPr/>
      </w:pPr>
      <w:r>
        <w:rPr/>
      </w:r>
      <w:r>
        <w:br w:type="page"/>
      </w:r>
    </w:p>
    <w:p>
      <w:pPr>
        <w:pStyle w:val="TextBody"/>
        <w:rPr/>
      </w:pPr>
      <w:hyperlink w:anchor="bg45301a_main_toc">
        <w:bookmarkStart w:id="140" w:name="page_ei45301_1_73"/>
        <w:bookmarkEnd w:id="140"/>
        <w:r>
          <w:rPr>
            <w:rStyle w:val="InternetLink"/>
            <w:rFonts w:ascii="arial" w:hAnsi="arial"/>
            <w:sz w:val="20"/>
          </w:rPr>
          <w:t>Table of Contents</w:t>
        </w:r>
      </w:hyperlink>
      <w:r>
        <w:rPr>
          <w:rFonts w:ascii="arial" w:hAnsi="arial"/>
          <w:sz w:val="20"/>
        </w:rPr>
        <w:t xml:space="preserve"> </w:t>
      </w:r>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3366"/>
        <w:gridCol w:w="101"/>
        <w:gridCol w:w="6738"/>
      </w:tblGrid>
      <w:tr>
        <w:trPr/>
        <w:tc>
          <w:tcPr>
            <w:tcW w:w="3366" w:type="dxa"/>
            <w:tcBorders/>
            <w:shd w:fill="auto" w:val="clear"/>
            <w:vAlign w:val="center"/>
          </w:tcPr>
          <w:p>
            <w:pPr>
              <w:pStyle w:val="TableContents"/>
              <w:spacing w:before="0" w:after="283"/>
              <w:rPr/>
            </w:pPr>
            <w:r>
              <w:rPr/>
              <w:commentReference w:id="275"/>
            </w:r>
            <w:r>
              <w:rPr/>
              <w:commentReference w:id="276"/>
            </w:r>
            <w:r>
              <w:rPr/>
              <w:commentReference w:id="277"/>
            </w:r>
            <w:r>
              <w:rPr/>
              <w:t>​</w:t>
            </w:r>
          </w:p>
        </w:tc>
        <w:tc>
          <w:tcPr>
            <w:tcW w:w="101" w:type="dxa"/>
            <w:tcBorders/>
            <w:shd w:fill="auto" w:val="clear"/>
            <w:vAlign w:val="center"/>
          </w:tcPr>
          <w:p>
            <w:pPr>
              <w:pStyle w:val="TableContents"/>
              <w:spacing w:before="0" w:after="283"/>
              <w:rPr/>
            </w:pPr>
            <w:r>
              <w:rPr/>
              <w:t>​</w:t>
            </w:r>
          </w:p>
        </w:tc>
        <w:tc>
          <w:tcPr>
            <w:tcW w:w="6738" w:type="dxa"/>
            <w:tcBorders/>
            <w:shd w:fill="auto" w:val="clear"/>
            <w:vAlign w:val="center"/>
          </w:tcPr>
          <w:p>
            <w:pPr>
              <w:pStyle w:val="TableContents"/>
              <w:spacing w:before="0" w:after="283"/>
              <w:rPr/>
            </w:pPr>
            <w:r>
              <w:rPr/>
              <w:t>​</w:t>
            </w:r>
            <w:r>
              <w:rPr>
                <w:rFonts w:eastAsia="arial" w:cs="arial" w:ascii="arial" w:hAnsi="arial"/>
              </w:rPr>
              <w:commentReference w:id="278"/>
            </w:r>
          </w:p>
        </w:tc>
      </w:tr>
      <w:tr>
        <w:trPr/>
        <w:tc>
          <w:tcPr>
            <w:tcW w:w="3366"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8" w:type="dxa"/>
            <w:tcBorders/>
            <w:shd w:fill="auto" w:val="clear"/>
          </w:tcPr>
          <w:p>
            <w:pPr>
              <w:pStyle w:val="TableContents"/>
              <w:jc w:val="right"/>
              <w:rPr/>
            </w:pPr>
            <w:r>
              <w:rPr/>
              <w:t>​</w:t>
            </w:r>
          </w:p>
          <w:p>
            <w:pPr>
              <w:pStyle w:val="TableContents"/>
              <w:spacing w:before="0" w:after="283"/>
              <w:jc w:val="right"/>
              <w:rPr/>
            </w:pPr>
            <w:r>
              <w:rPr/>
              <w:drawing>
                <wp:inline distT="0" distB="0" distL="0" distR="0">
                  <wp:extent cx="1343025" cy="1809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embed="rId103"/>
                          <a:stretch>
                            <a:fillRect/>
                          </a:stretch>
                        </pic:blipFill>
                        <pic:spPr bwMode="auto">
                          <a:xfrm>
                            <a:off x="0" y="0"/>
                            <a:ext cx="1343025" cy="180975"/>
                          </a:xfrm>
                          <a:prstGeom prst="rect">
                            <a:avLst/>
                          </a:prstGeom>
                        </pic:spPr>
                      </pic:pic>
                    </a:graphicData>
                  </a:graphic>
                </wp:inline>
              </w:drawing>
            </w:r>
            <w:r>
              <w:rPr/>
              <w:t xml:space="preserve"> </w:t>
            </w:r>
          </w:p>
        </w:tc>
      </w:tr>
      <w:tr>
        <w:trPr/>
        <w:tc>
          <w:tcPr>
            <w:tcW w:w="3366"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8" w:type="dxa"/>
            <w:tcBorders/>
            <w:shd w:fill="auto" w:val="clear"/>
          </w:tcPr>
          <w:p>
            <w:pPr>
              <w:pStyle w:val="TableContents"/>
              <w:jc w:val="right"/>
              <w:rPr/>
            </w:pPr>
            <w:r>
              <w:rPr/>
              <w:t>​</w:t>
            </w:r>
          </w:p>
          <w:p>
            <w:pPr>
              <w:pStyle w:val="TableContents"/>
              <w:spacing w:before="0" w:after="283"/>
              <w:jc w:val="right"/>
              <w:rPr/>
            </w:pPr>
            <w:r>
              <w:rPr/>
              <w:t> </w:t>
            </w:r>
          </w:p>
        </w:tc>
      </w:tr>
    </w:tbl>
    <w:p>
      <w:pPr>
        <w:pStyle w:val="TextBody"/>
        <w:rPr/>
      </w:pPr>
      <w:r>
        <w:rPr>
          <w:color w:val="000000"/>
        </w:rPr>
        <w:commentReference w:id="279"/>
      </w:r>
      <w:r>
        <w:rPr>
          <w:color w:val="000000"/>
        </w:rPr>
        <w:t>​</w:t>
      </w:r>
      <w:r>
        <w:rPr/>
        <w:t xml:space="preserve"> </w:t>
      </w:r>
    </w:p>
    <w:p>
      <w:pPr>
        <w:pStyle w:val="Normal"/>
        <w:spacing w:before="0" w:after="0"/>
        <w:ind w:left="0" w:right="0" w:hanging="0"/>
        <w:rPr>
          <w:sz w:val="4"/>
          <w:szCs w:val="4"/>
        </w:rPr>
      </w:pPr>
      <w:r>
        <w:rPr>
          <w:sz w:val="4"/>
          <w:szCs w:val="4"/>
        </w:rPr>
      </w:r>
      <w:bookmarkStart w:id="141" w:name="toc_ei45301_1"/>
      <w:bookmarkStart w:id="142" w:name="ei45301_proposal_three__approval_of_th__"/>
      <w:bookmarkStart w:id="143" w:name="toc_ei45301_1"/>
      <w:bookmarkStart w:id="144" w:name="ei45301_proposal_three__approval_of_th__"/>
      <w:bookmarkEnd w:id="143"/>
      <w:bookmarkEnd w:id="144"/>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8" w:space="0" w:color="000000"/>
            </w:tcBorders>
            <w:shd w:fill="auto" w:val="clear"/>
            <w:vAlign w:val="center"/>
          </w:tcPr>
          <w:p>
            <w:pPr>
              <w:pStyle w:val="TableContents"/>
              <w:spacing w:before="0" w:after="0"/>
              <w:ind w:left="0" w:right="0" w:hanging="0"/>
              <w:jc w:val="left"/>
              <w:rPr>
                <w:rFonts w:ascii="arial" w:hAnsi="arial"/>
                <w:b/>
                <w:sz w:val="24"/>
              </w:rPr>
            </w:pPr>
            <w:r>
              <w:rPr>
                <w:rFonts w:ascii="arial" w:hAnsi="arial"/>
                <w:b/>
                <w:sz w:val="24"/>
              </w:rPr>
              <w:t xml:space="preserve">Proposal Three: Approval of the Company's 2020 Statutory Accounts </w:t>
            </w:r>
          </w:p>
        </w:tc>
      </w:tr>
    </w:tbl>
    <w:p>
      <w:pPr>
        <w:pStyle w:val="TextBody"/>
        <w:rPr>
          <w:rFonts w:ascii="arial" w:hAnsi="arial"/>
          <w:sz w:val="20"/>
        </w:rPr>
      </w:pPr>
      <w:r>
        <w:rPr>
          <w:rFonts w:ascii="arial" w:hAnsi="arial"/>
          <w:sz w:val="20"/>
        </w:rPr>
        <w:t xml:space="preserve">Pursuant to Luxembourg law, the Luxembourg Annual Accounts and the Consolidated Accounts (the "Luxembourg Statutory Accounts") must be submitted each year to shareholders for approval at the Annual Meeting. </w:t>
      </w:r>
    </w:p>
    <w:p>
      <w:pPr>
        <w:pStyle w:val="TextBody"/>
        <w:rPr>
          <w:rFonts w:ascii="arial" w:hAnsi="arial"/>
          <w:sz w:val="20"/>
        </w:rPr>
      </w:pPr>
      <w:r>
        <w:rPr>
          <w:rFonts w:ascii="arial" w:hAnsi="arial"/>
          <w:sz w:val="20"/>
        </w:rPr>
        <w:t xml:space="preserve">The Luxembourg Annual Accounts are prepared in accordance with Luxembourg generally accepted accounting principles and consist of a balance sheet, a profit and loss account and the notes for the unconsolidated Altisource Portfolio Solutions S.A. entity. There is no statement of movements in equity or statement of cash flows included in the Luxembourg Annual Accounts under Luxembourg generally accepted accounting principles. Profits earned by the subsidiaries of Altisource Portfolio Solutions S.A. are not included in the Luxembourg Annual Accounts unless such amounts are distributed to Altisource Portfolio Solutions S.A. The Luxembourg Annual Accounts as of and for the year ended December 31, 2020 reflect total assets of $1,150.0 million and a loss for the year then ended of $10.7 million. </w:t>
      </w:r>
    </w:p>
    <w:p>
      <w:pPr>
        <w:pStyle w:val="TextBody"/>
        <w:rPr>
          <w:rFonts w:ascii="arial" w:hAnsi="arial"/>
          <w:sz w:val="20"/>
        </w:rPr>
      </w:pPr>
      <w:r>
        <w:rPr>
          <w:rFonts w:ascii="arial" w:hAnsi="arial"/>
          <w:sz w:val="20"/>
        </w:rPr>
        <w:t xml:space="preserve">The Consolidated Accounts are prepared in accordance with IFRS, and consist of a balance sheet, statement of operations, statement of changes in stockholders' equity, statement of cash flows and the accompanying notes. The Consolidated Accounts present the financial position and results of operations for Altisource and all of its subsidiaries as if the individual entities were a single company. As of December 31, 2020, the Consolidated Accounts reflect total deficit of $82.3 million and net loss for the year then ended of $68.9 million. </w:t>
      </w:r>
    </w:p>
    <w:p>
      <w:pPr>
        <w:pStyle w:val="TextBody"/>
        <w:rPr>
          <w:rFonts w:ascii="arial" w:hAnsi="arial"/>
          <w:sz w:val="20"/>
        </w:rPr>
      </w:pPr>
      <w:r>
        <w:rPr>
          <w:rFonts w:ascii="arial" w:hAnsi="arial"/>
          <w:sz w:val="20"/>
        </w:rPr>
        <w:t xml:space="preserve">Pursuant to Luxembourg law, following shareholder approval of the Luxembourg Statutory Accounts, such accounts must be filed with the Luxembourg trade registry as public documents. If Altisource does not receive shareholder approval of the Luxembourg Statutory Accounts, we cannot make this filing. </w:t>
      </w:r>
    </w:p>
    <w:p>
      <w:pPr>
        <w:pStyle w:val="TextBody"/>
        <w:rPr>
          <w:rFonts w:ascii="arial" w:hAnsi="arial"/>
          <w:sz w:val="20"/>
        </w:rPr>
      </w:pPr>
      <w:r>
        <w:rPr>
          <w:rFonts w:ascii="arial" w:hAnsi="arial"/>
          <w:sz w:val="20"/>
        </w:rPr>
        <w:t xml:space="preserve">Altisource's Luxembourg Statutory Accounts will be available to shareholders at Altisource's registered office, during business hours, by appointment, subject to sanitary limitations that may be imposed by the Luxembourg government, from May 4, 2021 until the conclusion of the Annual Meeting. </w:t>
      </w:r>
    </w:p>
    <w:p>
      <w:pPr>
        <w:pStyle w:val="TextBody"/>
        <w:jc w:val="center"/>
        <w:rPr>
          <w:rFonts w:ascii="arial" w:hAnsi="arial"/>
          <w:b/>
          <w:sz w:val="20"/>
        </w:rPr>
      </w:pPr>
      <w:r>
        <w:rPr>
          <w:rFonts w:ascii="arial" w:hAnsi="arial"/>
          <w:b/>
          <w:sz w:val="20"/>
        </w:rPr>
        <w:t>OUR BOARD OF DIRECTORS UNANIMOUSLY RECOMMENDS</w:t>
        <w:br/>
        <w:t>THAT YOU VOTE "FOR" THE APPROVAL OF THE LUXEMBOURG STATUTORY ACCOUNTS</w:t>
      </w:r>
    </w:p>
    <w:p>
      <w:pPr>
        <w:pStyle w:val="TextBody"/>
        <w:jc w:val="center"/>
        <w:rPr>
          <w:rFonts w:ascii="arial" w:hAnsi="arial"/>
          <w:sz w:val="20"/>
        </w:rPr>
      </w:pPr>
      <w:r>
        <w:rPr>
          <w:rFonts w:ascii="arial" w:hAnsi="arial"/>
          <w:sz w:val="20"/>
        </w:rPr>
        <w:t>73</w:t>
      </w:r>
    </w:p>
    <w:p>
      <w:pPr>
        <w:pStyle w:val="HorizontalLine"/>
        <w:pBdr>
          <w:bottom w:val="single" w:sz="20" w:space="0" w:color="808080"/>
        </w:pBdr>
        <w:rPr/>
      </w:pPr>
      <w:r>
        <w:rPr/>
      </w:r>
      <w:r>
        <w:br w:type="page"/>
      </w:r>
    </w:p>
    <w:p>
      <w:pPr>
        <w:pStyle w:val="TextBody"/>
        <w:rPr/>
      </w:pPr>
      <w:hyperlink w:anchor="bg45301a_main_toc">
        <w:bookmarkStart w:id="145" w:name="page_ek45301_1_74"/>
        <w:bookmarkEnd w:id="145"/>
        <w:r>
          <w:rPr>
            <w:rStyle w:val="InternetLink"/>
            <w:rFonts w:ascii="arial" w:hAnsi="arial"/>
            <w:sz w:val="20"/>
          </w:rPr>
          <w:t>Table of Contents</w:t>
        </w:r>
      </w:hyperlink>
      <w:r>
        <w:rPr>
          <w:rFonts w:ascii="arial" w:hAnsi="arial"/>
          <w:sz w:val="20"/>
        </w:rPr>
        <w:t xml:space="preserve"> </w:t>
      </w:r>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3367"/>
        <w:gridCol w:w="102"/>
        <w:gridCol w:w="6736"/>
      </w:tblGrid>
      <w:tr>
        <w:trPr/>
        <w:tc>
          <w:tcPr>
            <w:tcW w:w="3367" w:type="dxa"/>
            <w:tcBorders/>
            <w:shd w:fill="auto" w:val="clear"/>
            <w:vAlign w:val="center"/>
          </w:tcPr>
          <w:p>
            <w:pPr>
              <w:pStyle w:val="TableContents"/>
              <w:spacing w:before="0" w:after="283"/>
              <w:rPr/>
            </w:pPr>
            <w:r>
              <w:rPr/>
              <w:commentReference w:id="280"/>
            </w:r>
            <w:r>
              <w:rPr/>
              <w:commentReference w:id="281"/>
            </w:r>
            <w:r>
              <w:rPr/>
              <w:commentReference w:id="282"/>
            </w:r>
            <w:r>
              <w:rPr/>
              <w:t>​</w:t>
            </w:r>
          </w:p>
        </w:tc>
        <w:tc>
          <w:tcPr>
            <w:tcW w:w="102" w:type="dxa"/>
            <w:tcBorders/>
            <w:shd w:fill="auto" w:val="clear"/>
            <w:vAlign w:val="center"/>
          </w:tcPr>
          <w:p>
            <w:pPr>
              <w:pStyle w:val="TableContents"/>
              <w:spacing w:before="0" w:after="283"/>
              <w:rPr/>
            </w:pPr>
            <w:r>
              <w:rPr/>
              <w:t>​</w:t>
            </w:r>
          </w:p>
        </w:tc>
        <w:tc>
          <w:tcPr>
            <w:tcW w:w="6736" w:type="dxa"/>
            <w:tcBorders/>
            <w:shd w:fill="auto" w:val="clear"/>
            <w:vAlign w:val="center"/>
          </w:tcPr>
          <w:p>
            <w:pPr>
              <w:pStyle w:val="TableContents"/>
              <w:spacing w:before="0" w:after="283"/>
              <w:rPr/>
            </w:pPr>
            <w:r>
              <w:rPr/>
              <w:t>​</w:t>
            </w:r>
            <w:r>
              <w:rPr>
                <w:rFonts w:eastAsia="arial" w:cs="arial" w:ascii="arial" w:hAnsi="arial"/>
              </w:rPr>
              <w:commentReference w:id="283"/>
            </w:r>
          </w:p>
        </w:tc>
      </w:tr>
      <w:tr>
        <w:trPr/>
        <w:tc>
          <w:tcPr>
            <w:tcW w:w="3367" w:type="dxa"/>
            <w:tcBorders/>
            <w:shd w:fill="auto" w:val="clear"/>
          </w:tcPr>
          <w:p>
            <w:pPr>
              <w:pStyle w:val="TableContents"/>
              <w:rPr/>
            </w:pPr>
            <w:r>
              <w:rPr/>
              <w:t>​</w:t>
            </w:r>
          </w:p>
          <w:p>
            <w:pPr>
              <w:pStyle w:val="TableContents"/>
              <w:spacing w:before="0" w:after="283"/>
              <w:rPr/>
            </w:pPr>
            <w:r>
              <w:rPr/>
              <w:t> </w:t>
            </w:r>
          </w:p>
        </w:tc>
        <w:tc>
          <w:tcPr>
            <w:tcW w:w="102" w:type="dxa"/>
            <w:tcBorders/>
            <w:shd w:fill="auto" w:val="clear"/>
          </w:tcPr>
          <w:p>
            <w:pPr>
              <w:pStyle w:val="TableContents"/>
              <w:rPr/>
            </w:pPr>
            <w:r>
              <w:rPr/>
              <w:t>​</w:t>
            </w:r>
          </w:p>
          <w:p>
            <w:pPr>
              <w:pStyle w:val="TableContents"/>
              <w:spacing w:before="0" w:after="283"/>
              <w:rPr/>
            </w:pPr>
            <w:r>
              <w:rPr/>
              <w:t>​</w:t>
            </w:r>
          </w:p>
        </w:tc>
        <w:tc>
          <w:tcPr>
            <w:tcW w:w="6736" w:type="dxa"/>
            <w:tcBorders/>
            <w:shd w:fill="auto" w:val="clear"/>
          </w:tcPr>
          <w:p>
            <w:pPr>
              <w:pStyle w:val="TableContents"/>
              <w:jc w:val="right"/>
              <w:rPr/>
            </w:pPr>
            <w:r>
              <w:rPr/>
              <w:t>​</w:t>
            </w:r>
          </w:p>
          <w:p>
            <w:pPr>
              <w:pStyle w:val="TableContents"/>
              <w:spacing w:before="0" w:after="283"/>
              <w:jc w:val="right"/>
              <w:rPr/>
            </w:pPr>
            <w:r>
              <w:rPr/>
              <w:drawing>
                <wp:inline distT="0" distB="0" distL="0" distR="0">
                  <wp:extent cx="1285875" cy="1809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embed="rId104"/>
                          <a:stretch>
                            <a:fillRect/>
                          </a:stretch>
                        </pic:blipFill>
                        <pic:spPr bwMode="auto">
                          <a:xfrm>
                            <a:off x="0" y="0"/>
                            <a:ext cx="1285875" cy="180975"/>
                          </a:xfrm>
                          <a:prstGeom prst="rect">
                            <a:avLst/>
                          </a:prstGeom>
                        </pic:spPr>
                      </pic:pic>
                    </a:graphicData>
                  </a:graphic>
                </wp:inline>
              </w:drawing>
            </w:r>
            <w:r>
              <w:rPr/>
              <w:t xml:space="preserve"> </w:t>
            </w:r>
          </w:p>
        </w:tc>
      </w:tr>
      <w:tr>
        <w:trPr/>
        <w:tc>
          <w:tcPr>
            <w:tcW w:w="3367" w:type="dxa"/>
            <w:tcBorders/>
            <w:shd w:fill="auto" w:val="clear"/>
          </w:tcPr>
          <w:p>
            <w:pPr>
              <w:pStyle w:val="TableContents"/>
              <w:rPr/>
            </w:pPr>
            <w:r>
              <w:rPr/>
              <w:t>​</w:t>
            </w:r>
          </w:p>
          <w:p>
            <w:pPr>
              <w:pStyle w:val="TableContents"/>
              <w:spacing w:before="0" w:after="283"/>
              <w:rPr/>
            </w:pPr>
            <w:r>
              <w:rPr/>
              <w:t> </w:t>
            </w:r>
          </w:p>
        </w:tc>
        <w:tc>
          <w:tcPr>
            <w:tcW w:w="102" w:type="dxa"/>
            <w:tcBorders/>
            <w:shd w:fill="auto" w:val="clear"/>
          </w:tcPr>
          <w:p>
            <w:pPr>
              <w:pStyle w:val="TableContents"/>
              <w:rPr/>
            </w:pPr>
            <w:r>
              <w:rPr/>
              <w:t>​</w:t>
            </w:r>
          </w:p>
          <w:p>
            <w:pPr>
              <w:pStyle w:val="TableContents"/>
              <w:spacing w:before="0" w:after="283"/>
              <w:rPr/>
            </w:pPr>
            <w:r>
              <w:rPr/>
              <w:t>​</w:t>
            </w:r>
          </w:p>
        </w:tc>
        <w:tc>
          <w:tcPr>
            <w:tcW w:w="6736" w:type="dxa"/>
            <w:tcBorders/>
            <w:shd w:fill="auto" w:val="clear"/>
          </w:tcPr>
          <w:p>
            <w:pPr>
              <w:pStyle w:val="TableContents"/>
              <w:jc w:val="right"/>
              <w:rPr/>
            </w:pPr>
            <w:r>
              <w:rPr/>
              <w:t>​</w:t>
            </w:r>
          </w:p>
          <w:p>
            <w:pPr>
              <w:pStyle w:val="TableContents"/>
              <w:spacing w:before="0" w:after="283"/>
              <w:jc w:val="right"/>
              <w:rPr/>
            </w:pPr>
            <w:r>
              <w:rPr/>
              <w:t> </w:t>
            </w:r>
          </w:p>
        </w:tc>
      </w:tr>
    </w:tbl>
    <w:p>
      <w:pPr>
        <w:pStyle w:val="TextBody"/>
        <w:rPr/>
      </w:pPr>
      <w:r>
        <w:rPr>
          <w:color w:val="000000"/>
        </w:rPr>
        <w:commentReference w:id="284"/>
      </w:r>
      <w:r>
        <w:rPr>
          <w:color w:val="000000"/>
        </w:rPr>
        <w:t>​</w:t>
      </w:r>
      <w:r>
        <w:rPr/>
        <w:t xml:space="preserve"> </w:t>
      </w:r>
    </w:p>
    <w:p>
      <w:pPr>
        <w:pStyle w:val="Normal"/>
        <w:spacing w:before="0" w:after="0"/>
        <w:ind w:left="0" w:right="0" w:hanging="0"/>
        <w:rPr>
          <w:sz w:val="4"/>
          <w:szCs w:val="4"/>
        </w:rPr>
      </w:pPr>
      <w:r>
        <w:rPr>
          <w:sz w:val="4"/>
          <w:szCs w:val="4"/>
        </w:rPr>
      </w:r>
      <w:bookmarkStart w:id="146" w:name="toc_ek45301_1"/>
      <w:bookmarkStart w:id="147" w:name="ek45301_proposal_four__receipt_and_app__"/>
      <w:bookmarkStart w:id="148" w:name="toc_ek45301_1"/>
      <w:bookmarkStart w:id="149" w:name="ek45301_proposal_four__receipt_and_app__"/>
      <w:bookmarkEnd w:id="148"/>
      <w:bookmarkEnd w:id="149"/>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8" w:space="0" w:color="000000"/>
            </w:tcBorders>
            <w:shd w:fill="auto" w:val="clear"/>
            <w:vAlign w:val="center"/>
          </w:tcPr>
          <w:p>
            <w:pPr>
              <w:pStyle w:val="TableContents"/>
              <w:spacing w:before="0" w:after="0"/>
              <w:ind w:left="0" w:right="0" w:hanging="0"/>
              <w:jc w:val="left"/>
              <w:rPr>
                <w:rFonts w:ascii="arial" w:hAnsi="arial"/>
                <w:b/>
                <w:sz w:val="24"/>
              </w:rPr>
            </w:pPr>
            <w:r>
              <w:rPr>
                <w:rFonts w:ascii="arial" w:hAnsi="arial"/>
                <w:b/>
                <w:sz w:val="24"/>
              </w:rPr>
              <w:t xml:space="preserve">Proposal Four: Receipt and Approval of the Directors' Reports for the Luxembourg Statutory Accounts and Receipt of the Supervisory Auditor's Report for the Luxembourg Annual Accounts </w:t>
            </w:r>
          </w:p>
        </w:tc>
      </w:tr>
    </w:tbl>
    <w:p>
      <w:pPr>
        <w:pStyle w:val="TextBody"/>
        <w:rPr>
          <w:rFonts w:ascii="arial" w:hAnsi="arial"/>
          <w:sz w:val="20"/>
        </w:rPr>
      </w:pPr>
      <w:r>
        <w:rPr>
          <w:rFonts w:ascii="arial" w:hAnsi="arial"/>
          <w:sz w:val="20"/>
        </w:rPr>
        <w:t xml:space="preserve">Under Luxembourg law, the Board of Directors is required to prepare annual Directors' reports for the Luxembourg Statutory Accounts (the "Directors' Reports"). The Directors' Reports present the Luxembourg Statutory Accounts for the relevant fiscal year, provide an explanation as to the results and certain other required Company matters and propose the allocation of such results to the shareholders. </w:t>
      </w:r>
    </w:p>
    <w:p>
      <w:pPr>
        <w:pStyle w:val="TextBody"/>
        <w:rPr>
          <w:rFonts w:ascii="arial" w:hAnsi="arial"/>
        </w:rPr>
      </w:pPr>
      <w:r>
        <w:rPr>
          <w:rFonts w:ascii="arial" w:hAnsi="arial"/>
          <w:sz w:val="20"/>
        </w:rPr>
        <w:t>Luxembourg law also requires the Company's supervisory auditor (</w:t>
      </w:r>
      <w:r>
        <w:rPr>
          <w:rFonts w:ascii="arial" w:hAnsi="arial"/>
          <w:i/>
          <w:sz w:val="20"/>
        </w:rPr>
        <w:t>Commissaire aux Comptes</w:t>
      </w:r>
      <w:r>
        <w:rPr>
          <w:rFonts w:ascii="arial" w:hAnsi="arial"/>
          <w:sz w:val="20"/>
        </w:rPr>
        <w:t xml:space="preserve">) to provide an annual report confirming that the Company's Luxembourg Annual Accounts agree with the accounting records and documents of the Company. </w:t>
      </w:r>
    </w:p>
    <w:p>
      <w:pPr>
        <w:pStyle w:val="TextBody"/>
        <w:rPr>
          <w:rFonts w:ascii="arial" w:hAnsi="arial"/>
          <w:sz w:val="20"/>
        </w:rPr>
      </w:pPr>
      <w:r>
        <w:rPr>
          <w:rFonts w:ascii="arial" w:hAnsi="arial"/>
          <w:sz w:val="20"/>
        </w:rPr>
        <w:t xml:space="preserve">The Directors' Reports for the year ended December 31, 2020 and the report of the supervisory auditor for the Luxembourg Annual Accounts for the same period will be available to shareholders at Altisource's registered office, during business hours, by appointment, subject to sanitary limitations that may be imposed by the Luxembourg government, from May 4, 2021 until the conclusion of the Annual Meeting. Following shareholder approval of the Luxembourg Statutory Accounts, these reports will be filed with the Luxembourg trade registry as public documents. </w:t>
      </w:r>
    </w:p>
    <w:p>
      <w:pPr>
        <w:pStyle w:val="TextBody"/>
        <w:jc w:val="center"/>
        <w:rPr>
          <w:rFonts w:ascii="arial" w:hAnsi="arial"/>
        </w:rPr>
      </w:pPr>
      <w:r>
        <w:rPr>
          <w:rFonts w:ascii="arial" w:hAnsi="arial"/>
          <w:b/>
          <w:sz w:val="20"/>
        </w:rPr>
        <w:t>OUR BOARD OF DIRECTORS UNANIMOUSLY RECOMMENDS</w:t>
        <w:br/>
        <w:t>THAT YOU VOTE "FOR" THE RECEIPT AND APPROVAL OF THE DIRECTORS' REPORTS FOR THE</w:t>
        <w:br/>
        <w:t>LUXEMBOURG STATUTORY ACCOUNTS FOR THE YEAR ENDED DECEMBER 31, 2020 AND THE RECEIPT</w:t>
        <w:br/>
        <w:t xml:space="preserve">OF THE REPORT OF THE SUPERVISORY AUDITOR </w:t>
      </w:r>
      <w:r>
        <w:rPr>
          <w:rFonts w:ascii="arial" w:hAnsi="arial"/>
          <w:b/>
          <w:i/>
          <w:sz w:val="20"/>
        </w:rPr>
        <w:t>(COMMISSAIRE AUX COMPTES)</w:t>
      </w:r>
      <w:r>
        <w:rPr>
          <w:rFonts w:ascii="arial" w:hAnsi="arial"/>
        </w:rPr>
        <w:t xml:space="preserve"> </w:t>
      </w:r>
      <w:r>
        <w:rPr>
          <w:rFonts w:ascii="arial" w:hAnsi="arial"/>
          <w:b/>
          <w:sz w:val="20"/>
        </w:rPr>
        <w:t>FOR THE LUXEMBOURG</w:t>
        <w:br/>
        <w:t>ANNUAL ACCOUNTS FOR THE SAME PERIOD</w:t>
      </w:r>
    </w:p>
    <w:p>
      <w:pPr>
        <w:pStyle w:val="TextBody"/>
        <w:jc w:val="center"/>
        <w:rPr>
          <w:rFonts w:ascii="arial" w:hAnsi="arial"/>
          <w:sz w:val="20"/>
        </w:rPr>
      </w:pPr>
      <w:r>
        <w:rPr>
          <w:rFonts w:ascii="arial" w:hAnsi="arial"/>
          <w:sz w:val="20"/>
        </w:rPr>
        <w:t>74</w:t>
      </w:r>
    </w:p>
    <w:p>
      <w:pPr>
        <w:pStyle w:val="HorizontalLine"/>
        <w:pBdr>
          <w:bottom w:val="single" w:sz="20" w:space="0" w:color="808080"/>
        </w:pBdr>
        <w:rPr/>
      </w:pPr>
      <w:r>
        <w:rPr/>
      </w:r>
      <w:r>
        <w:br w:type="page"/>
      </w:r>
    </w:p>
    <w:p>
      <w:pPr>
        <w:pStyle w:val="TextBody"/>
        <w:rPr/>
      </w:pPr>
      <w:hyperlink w:anchor="bg45301a_main_toc">
        <w:bookmarkStart w:id="150" w:name="page_el45301_1_75"/>
        <w:bookmarkEnd w:id="150"/>
        <w:r>
          <w:rPr>
            <w:rStyle w:val="InternetLink"/>
            <w:rFonts w:ascii="arial" w:hAnsi="arial"/>
            <w:sz w:val="20"/>
          </w:rPr>
          <w:t>Table of Contents</w:t>
        </w:r>
      </w:hyperlink>
      <w:r>
        <w:rPr>
          <w:rFonts w:ascii="arial" w:hAnsi="arial"/>
          <w:sz w:val="20"/>
        </w:rPr>
        <w:t xml:space="preserve"> </w:t>
      </w:r>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3367"/>
        <w:gridCol w:w="102"/>
        <w:gridCol w:w="6736"/>
      </w:tblGrid>
      <w:tr>
        <w:trPr/>
        <w:tc>
          <w:tcPr>
            <w:tcW w:w="3367" w:type="dxa"/>
            <w:tcBorders/>
            <w:shd w:fill="auto" w:val="clear"/>
            <w:vAlign w:val="center"/>
          </w:tcPr>
          <w:p>
            <w:pPr>
              <w:pStyle w:val="TableContents"/>
              <w:spacing w:before="0" w:after="283"/>
              <w:rPr/>
            </w:pPr>
            <w:r>
              <w:rPr/>
              <w:commentReference w:id="285"/>
            </w:r>
            <w:r>
              <w:rPr/>
              <w:commentReference w:id="286"/>
            </w:r>
            <w:r>
              <w:rPr/>
              <w:commentReference w:id="287"/>
            </w:r>
            <w:r>
              <w:rPr/>
              <w:t>​</w:t>
            </w:r>
          </w:p>
        </w:tc>
        <w:tc>
          <w:tcPr>
            <w:tcW w:w="102" w:type="dxa"/>
            <w:tcBorders/>
            <w:shd w:fill="auto" w:val="clear"/>
            <w:vAlign w:val="center"/>
          </w:tcPr>
          <w:p>
            <w:pPr>
              <w:pStyle w:val="TableContents"/>
              <w:spacing w:before="0" w:after="283"/>
              <w:rPr/>
            </w:pPr>
            <w:r>
              <w:rPr/>
              <w:t>​</w:t>
            </w:r>
          </w:p>
        </w:tc>
        <w:tc>
          <w:tcPr>
            <w:tcW w:w="6736" w:type="dxa"/>
            <w:tcBorders/>
            <w:shd w:fill="auto" w:val="clear"/>
            <w:vAlign w:val="center"/>
          </w:tcPr>
          <w:p>
            <w:pPr>
              <w:pStyle w:val="TableContents"/>
              <w:spacing w:before="0" w:after="283"/>
              <w:rPr/>
            </w:pPr>
            <w:r>
              <w:rPr/>
              <w:t>​</w:t>
            </w:r>
            <w:r>
              <w:rPr>
                <w:rFonts w:eastAsia="arial" w:cs="arial" w:ascii="arial" w:hAnsi="arial"/>
              </w:rPr>
              <w:commentReference w:id="288"/>
            </w:r>
          </w:p>
        </w:tc>
      </w:tr>
      <w:tr>
        <w:trPr/>
        <w:tc>
          <w:tcPr>
            <w:tcW w:w="3367" w:type="dxa"/>
            <w:tcBorders/>
            <w:shd w:fill="auto" w:val="clear"/>
          </w:tcPr>
          <w:p>
            <w:pPr>
              <w:pStyle w:val="TableContents"/>
              <w:rPr/>
            </w:pPr>
            <w:r>
              <w:rPr/>
              <w:t>​</w:t>
            </w:r>
          </w:p>
          <w:p>
            <w:pPr>
              <w:pStyle w:val="TableContents"/>
              <w:spacing w:before="0" w:after="283"/>
              <w:rPr/>
            </w:pPr>
            <w:r>
              <w:rPr/>
              <w:t> </w:t>
            </w:r>
          </w:p>
        </w:tc>
        <w:tc>
          <w:tcPr>
            <w:tcW w:w="102" w:type="dxa"/>
            <w:tcBorders/>
            <w:shd w:fill="auto" w:val="clear"/>
          </w:tcPr>
          <w:p>
            <w:pPr>
              <w:pStyle w:val="TableContents"/>
              <w:rPr/>
            </w:pPr>
            <w:r>
              <w:rPr/>
              <w:t>​</w:t>
            </w:r>
          </w:p>
          <w:p>
            <w:pPr>
              <w:pStyle w:val="TableContents"/>
              <w:spacing w:before="0" w:after="283"/>
              <w:rPr/>
            </w:pPr>
            <w:r>
              <w:rPr/>
              <w:t>​</w:t>
            </w:r>
          </w:p>
        </w:tc>
        <w:tc>
          <w:tcPr>
            <w:tcW w:w="6736" w:type="dxa"/>
            <w:tcBorders/>
            <w:shd w:fill="auto" w:val="clear"/>
          </w:tcPr>
          <w:p>
            <w:pPr>
              <w:pStyle w:val="TableContents"/>
              <w:jc w:val="right"/>
              <w:rPr/>
            </w:pPr>
            <w:r>
              <w:rPr/>
              <w:t>​</w:t>
            </w:r>
          </w:p>
          <w:p>
            <w:pPr>
              <w:pStyle w:val="TableContents"/>
              <w:spacing w:before="0" w:after="283"/>
              <w:jc w:val="right"/>
              <w:rPr/>
            </w:pPr>
            <w:r>
              <w:rPr/>
              <w:drawing>
                <wp:inline distT="0" distB="0" distL="0" distR="0">
                  <wp:extent cx="1200150" cy="1809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embed="rId105"/>
                          <a:stretch>
                            <a:fillRect/>
                          </a:stretch>
                        </pic:blipFill>
                        <pic:spPr bwMode="auto">
                          <a:xfrm>
                            <a:off x="0" y="0"/>
                            <a:ext cx="1200150" cy="180975"/>
                          </a:xfrm>
                          <a:prstGeom prst="rect">
                            <a:avLst/>
                          </a:prstGeom>
                        </pic:spPr>
                      </pic:pic>
                    </a:graphicData>
                  </a:graphic>
                </wp:inline>
              </w:drawing>
            </w:r>
            <w:r>
              <w:rPr/>
              <w:t xml:space="preserve"> </w:t>
            </w:r>
          </w:p>
        </w:tc>
      </w:tr>
      <w:tr>
        <w:trPr/>
        <w:tc>
          <w:tcPr>
            <w:tcW w:w="3367" w:type="dxa"/>
            <w:tcBorders/>
            <w:shd w:fill="auto" w:val="clear"/>
          </w:tcPr>
          <w:p>
            <w:pPr>
              <w:pStyle w:val="TableContents"/>
              <w:rPr/>
            </w:pPr>
            <w:r>
              <w:rPr/>
              <w:t>​</w:t>
            </w:r>
          </w:p>
          <w:p>
            <w:pPr>
              <w:pStyle w:val="TableContents"/>
              <w:spacing w:before="0" w:after="283"/>
              <w:rPr/>
            </w:pPr>
            <w:r>
              <w:rPr/>
              <w:t> </w:t>
            </w:r>
          </w:p>
        </w:tc>
        <w:tc>
          <w:tcPr>
            <w:tcW w:w="102" w:type="dxa"/>
            <w:tcBorders/>
            <w:shd w:fill="auto" w:val="clear"/>
          </w:tcPr>
          <w:p>
            <w:pPr>
              <w:pStyle w:val="TableContents"/>
              <w:rPr/>
            </w:pPr>
            <w:r>
              <w:rPr/>
              <w:t>​</w:t>
            </w:r>
          </w:p>
          <w:p>
            <w:pPr>
              <w:pStyle w:val="TableContents"/>
              <w:spacing w:before="0" w:after="283"/>
              <w:rPr/>
            </w:pPr>
            <w:r>
              <w:rPr/>
              <w:t>​</w:t>
            </w:r>
          </w:p>
        </w:tc>
        <w:tc>
          <w:tcPr>
            <w:tcW w:w="6736" w:type="dxa"/>
            <w:tcBorders/>
            <w:shd w:fill="auto" w:val="clear"/>
          </w:tcPr>
          <w:p>
            <w:pPr>
              <w:pStyle w:val="TableContents"/>
              <w:jc w:val="right"/>
              <w:rPr/>
            </w:pPr>
            <w:r>
              <w:rPr/>
              <w:t>​</w:t>
            </w:r>
          </w:p>
          <w:p>
            <w:pPr>
              <w:pStyle w:val="TableContents"/>
              <w:spacing w:before="0" w:after="283"/>
              <w:jc w:val="right"/>
              <w:rPr/>
            </w:pPr>
            <w:r>
              <w:rPr/>
              <w:t> </w:t>
            </w:r>
          </w:p>
        </w:tc>
      </w:tr>
    </w:tbl>
    <w:p>
      <w:pPr>
        <w:pStyle w:val="TextBody"/>
        <w:rPr/>
      </w:pPr>
      <w:r>
        <w:rPr>
          <w:color w:val="000000"/>
        </w:rPr>
        <w:commentReference w:id="289"/>
      </w:r>
      <w:r>
        <w:rPr>
          <w:color w:val="000000"/>
        </w:rPr>
        <w:t>​</w:t>
      </w:r>
      <w:r>
        <w:rPr/>
        <w:t xml:space="preserve"> </w:t>
      </w:r>
    </w:p>
    <w:p>
      <w:pPr>
        <w:pStyle w:val="Normal"/>
        <w:spacing w:before="0" w:after="0"/>
        <w:ind w:left="0" w:right="0" w:hanging="0"/>
        <w:rPr>
          <w:sz w:val="4"/>
          <w:szCs w:val="4"/>
        </w:rPr>
      </w:pPr>
      <w:r>
        <w:rPr>
          <w:sz w:val="4"/>
          <w:szCs w:val="4"/>
        </w:rPr>
      </w:r>
      <w:bookmarkStart w:id="151" w:name="toc_el45301_1"/>
      <w:bookmarkStart w:id="152" w:name="el45301_proposal_five__allocation_of_t__"/>
      <w:bookmarkStart w:id="153" w:name="toc_el45301_1"/>
      <w:bookmarkStart w:id="154" w:name="el45301_proposal_five__allocation_of_t__"/>
      <w:bookmarkEnd w:id="153"/>
      <w:bookmarkEnd w:id="154"/>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8" w:space="0" w:color="000000"/>
            </w:tcBorders>
            <w:shd w:fill="auto" w:val="clear"/>
            <w:vAlign w:val="center"/>
          </w:tcPr>
          <w:p>
            <w:pPr>
              <w:pStyle w:val="TableContents"/>
              <w:spacing w:before="0" w:after="0"/>
              <w:ind w:left="0" w:right="0" w:hanging="0"/>
              <w:jc w:val="left"/>
              <w:rPr>
                <w:rFonts w:ascii="arial" w:hAnsi="arial"/>
                <w:b/>
                <w:sz w:val="24"/>
              </w:rPr>
            </w:pPr>
            <w:r>
              <w:rPr>
                <w:rFonts w:ascii="arial" w:hAnsi="arial"/>
                <w:b/>
                <w:sz w:val="24"/>
              </w:rPr>
              <w:t xml:space="preserve">Proposal Five: Allocation of the Results in the Luxembourg Annual Accounts </w:t>
            </w:r>
          </w:p>
        </w:tc>
      </w:tr>
    </w:tbl>
    <w:p>
      <w:pPr>
        <w:pStyle w:val="TextBody"/>
        <w:rPr>
          <w:rFonts w:ascii="arial" w:hAnsi="arial"/>
          <w:sz w:val="20"/>
        </w:rPr>
      </w:pPr>
      <w:r>
        <w:rPr>
          <w:rFonts w:ascii="arial" w:hAnsi="arial"/>
          <w:sz w:val="20"/>
        </w:rPr>
        <w:t xml:space="preserve">Each year, the shareholders of Altisource are required to approve the allocation of the results of the unconsolidated Altisource Portfolio Solutions S.A. entity, as determined by the Luxembourg Annual Accounts. </w:t>
      </w:r>
    </w:p>
    <w:p>
      <w:pPr>
        <w:pStyle w:val="TextBody"/>
        <w:rPr>
          <w:rFonts w:ascii="arial" w:hAnsi="arial"/>
          <w:sz w:val="20"/>
        </w:rPr>
      </w:pPr>
      <w:r>
        <w:rPr>
          <w:rFonts w:ascii="arial" w:hAnsi="arial"/>
          <w:sz w:val="20"/>
        </w:rPr>
        <w:t xml:space="preserve">Luxembourg law requires that at least five percent (5%) of the net profits, if any, for the Luxembourg Annual Accounts be allocated to a legal reserve; provided, however that an allocation ceases to be compulsory when the legal reserve reaches ten percent (10%) of the share capital of Altisource, but again becomes compulsory when the reserve amount falls below this threshold. As the Company had a net loss pursuant to its Luxembourg Annual Accounts for the year ended December 31, 2020, no such allocation is required. </w:t>
      </w:r>
    </w:p>
    <w:p>
      <w:pPr>
        <w:pStyle w:val="TextBody"/>
        <w:rPr>
          <w:rFonts w:ascii="arial" w:hAnsi="arial"/>
          <w:sz w:val="20"/>
        </w:rPr>
      </w:pPr>
      <w:r>
        <w:rPr>
          <w:rFonts w:ascii="arial" w:hAnsi="arial"/>
          <w:sz w:val="20"/>
        </w:rPr>
        <w:t xml:space="preserve">As of December 31, 2020, the Luxembourg Annual Accounts for Altisource reflect total assets of $1,150.0 million and a loss for the year then ended of $10.7 million. As noted in Proposal Three, profits earned by subsidiaries of Altisource are not included in the calculation of net profits for Altisource's Luxembourg Annual Accounts unless such profits have been distributed to Altisource Portfolio Solutions S.A. </w:t>
      </w:r>
    </w:p>
    <w:p>
      <w:pPr>
        <w:pStyle w:val="TextBody"/>
        <w:rPr>
          <w:rFonts w:ascii="arial" w:hAnsi="arial"/>
          <w:sz w:val="20"/>
        </w:rPr>
      </w:pPr>
      <w:r>
        <w:rPr>
          <w:rFonts w:ascii="arial" w:hAnsi="arial"/>
          <w:sz w:val="20"/>
        </w:rPr>
        <w:t xml:space="preserve">The Board of Directors proposes to allocate the loss of $10.7 million reflected in the Luxembourg Annual Accounts to reduce profit brought forward. </w:t>
      </w:r>
    </w:p>
    <w:p>
      <w:pPr>
        <w:pStyle w:val="TextBody"/>
        <w:jc w:val="center"/>
        <w:rPr>
          <w:rFonts w:ascii="arial" w:hAnsi="arial"/>
          <w:b/>
          <w:sz w:val="20"/>
        </w:rPr>
      </w:pPr>
      <w:r>
        <w:rPr>
          <w:rFonts w:ascii="arial" w:hAnsi="arial"/>
          <w:b/>
          <w:sz w:val="20"/>
        </w:rPr>
        <w:t>OUR BOARD OF DIRECTORS UNANIMOUSLY RECOMMENDS</w:t>
        <w:br/>
        <w:t>THAT YOU VOTE "FOR" THE ALLOCATION OF THE RESULTS IN THE LUXEMBOURG</w:t>
        <w:br/>
        <w:t>ANNUAL ACCOUNTS FOR THE YEAR ENDED DECEMBER 31, 2020</w:t>
      </w:r>
    </w:p>
    <w:p>
      <w:pPr>
        <w:pStyle w:val="TextBody"/>
        <w:jc w:val="center"/>
        <w:rPr>
          <w:rFonts w:ascii="arial" w:hAnsi="arial"/>
          <w:sz w:val="20"/>
        </w:rPr>
      </w:pPr>
      <w:r>
        <w:rPr>
          <w:rFonts w:ascii="arial" w:hAnsi="arial"/>
          <w:sz w:val="20"/>
        </w:rPr>
        <w:t>75</w:t>
      </w:r>
    </w:p>
    <w:p>
      <w:pPr>
        <w:pStyle w:val="HorizontalLine"/>
        <w:pBdr>
          <w:bottom w:val="single" w:sz="20" w:space="0" w:color="808080"/>
        </w:pBdr>
        <w:rPr/>
      </w:pPr>
      <w:r>
        <w:rPr/>
      </w:r>
      <w:r>
        <w:br w:type="page"/>
      </w:r>
    </w:p>
    <w:p>
      <w:pPr>
        <w:pStyle w:val="TextBody"/>
        <w:rPr/>
      </w:pPr>
      <w:hyperlink w:anchor="bg45301a_main_toc">
        <w:bookmarkStart w:id="155" w:name="page_em45301_1_76"/>
        <w:bookmarkEnd w:id="155"/>
        <w:r>
          <w:rPr>
            <w:rStyle w:val="InternetLink"/>
            <w:rFonts w:ascii="arial" w:hAnsi="arial"/>
            <w:sz w:val="20"/>
          </w:rPr>
          <w:t>Table of Contents</w:t>
        </w:r>
      </w:hyperlink>
      <w:r>
        <w:rPr>
          <w:rFonts w:ascii="arial" w:hAnsi="arial"/>
          <w:sz w:val="20"/>
        </w:rPr>
        <w:t xml:space="preserve"> </w:t>
      </w:r>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3366"/>
        <w:gridCol w:w="101"/>
        <w:gridCol w:w="6738"/>
      </w:tblGrid>
      <w:tr>
        <w:trPr/>
        <w:tc>
          <w:tcPr>
            <w:tcW w:w="3366" w:type="dxa"/>
            <w:tcBorders/>
            <w:shd w:fill="auto" w:val="clear"/>
            <w:vAlign w:val="center"/>
          </w:tcPr>
          <w:p>
            <w:pPr>
              <w:pStyle w:val="TableContents"/>
              <w:spacing w:before="0" w:after="283"/>
              <w:rPr/>
            </w:pPr>
            <w:r>
              <w:rPr/>
              <w:commentReference w:id="290"/>
            </w:r>
            <w:r>
              <w:rPr/>
              <w:commentReference w:id="291"/>
            </w:r>
            <w:r>
              <w:rPr/>
              <w:commentReference w:id="292"/>
            </w:r>
            <w:r>
              <w:rPr/>
              <w:t>​</w:t>
            </w:r>
          </w:p>
        </w:tc>
        <w:tc>
          <w:tcPr>
            <w:tcW w:w="101" w:type="dxa"/>
            <w:tcBorders/>
            <w:shd w:fill="auto" w:val="clear"/>
            <w:vAlign w:val="center"/>
          </w:tcPr>
          <w:p>
            <w:pPr>
              <w:pStyle w:val="TableContents"/>
              <w:spacing w:before="0" w:after="283"/>
              <w:rPr/>
            </w:pPr>
            <w:r>
              <w:rPr/>
              <w:t>​</w:t>
            </w:r>
          </w:p>
        </w:tc>
        <w:tc>
          <w:tcPr>
            <w:tcW w:w="6738" w:type="dxa"/>
            <w:tcBorders/>
            <w:shd w:fill="auto" w:val="clear"/>
            <w:vAlign w:val="center"/>
          </w:tcPr>
          <w:p>
            <w:pPr>
              <w:pStyle w:val="TableContents"/>
              <w:spacing w:before="0" w:after="283"/>
              <w:rPr/>
            </w:pPr>
            <w:r>
              <w:rPr/>
              <w:t>​</w:t>
            </w:r>
            <w:r>
              <w:rPr>
                <w:rFonts w:eastAsia="arial" w:cs="arial" w:ascii="arial" w:hAnsi="arial"/>
              </w:rPr>
              <w:commentReference w:id="293"/>
            </w:r>
          </w:p>
        </w:tc>
      </w:tr>
      <w:tr>
        <w:trPr/>
        <w:tc>
          <w:tcPr>
            <w:tcW w:w="3366"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8" w:type="dxa"/>
            <w:tcBorders/>
            <w:shd w:fill="auto" w:val="clear"/>
          </w:tcPr>
          <w:p>
            <w:pPr>
              <w:pStyle w:val="TableContents"/>
              <w:jc w:val="right"/>
              <w:rPr/>
            </w:pPr>
            <w:r>
              <w:rPr/>
              <w:t>​</w:t>
            </w:r>
          </w:p>
          <w:p>
            <w:pPr>
              <w:pStyle w:val="TableContents"/>
              <w:spacing w:before="0" w:after="283"/>
              <w:jc w:val="right"/>
              <w:rPr/>
            </w:pPr>
            <w:r>
              <w:rPr/>
              <w:drawing>
                <wp:inline distT="0" distB="0" distL="0" distR="0">
                  <wp:extent cx="1095375" cy="1809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embed="rId106"/>
                          <a:stretch>
                            <a:fillRect/>
                          </a:stretch>
                        </pic:blipFill>
                        <pic:spPr bwMode="auto">
                          <a:xfrm>
                            <a:off x="0" y="0"/>
                            <a:ext cx="1095375" cy="180975"/>
                          </a:xfrm>
                          <a:prstGeom prst="rect">
                            <a:avLst/>
                          </a:prstGeom>
                        </pic:spPr>
                      </pic:pic>
                    </a:graphicData>
                  </a:graphic>
                </wp:inline>
              </w:drawing>
            </w:r>
            <w:r>
              <w:rPr/>
              <w:t xml:space="preserve"> </w:t>
            </w:r>
          </w:p>
        </w:tc>
      </w:tr>
      <w:tr>
        <w:trPr/>
        <w:tc>
          <w:tcPr>
            <w:tcW w:w="3366" w:type="dxa"/>
            <w:tcBorders/>
            <w:shd w:fill="auto" w:val="clear"/>
          </w:tcPr>
          <w:p>
            <w:pPr>
              <w:pStyle w:val="TableContents"/>
              <w:rPr/>
            </w:pPr>
            <w:r>
              <w:rPr/>
              <w:t>​</w:t>
            </w:r>
          </w:p>
          <w:p>
            <w:pPr>
              <w:pStyle w:val="TableContents"/>
              <w:spacing w:before="0" w:after="283"/>
              <w:rPr/>
            </w:pPr>
            <w:r>
              <w:rPr/>
              <w:t> </w:t>
            </w:r>
          </w:p>
        </w:tc>
        <w:tc>
          <w:tcPr>
            <w:tcW w:w="101" w:type="dxa"/>
            <w:tcBorders/>
            <w:shd w:fill="auto" w:val="clear"/>
          </w:tcPr>
          <w:p>
            <w:pPr>
              <w:pStyle w:val="TableContents"/>
              <w:rPr/>
            </w:pPr>
            <w:r>
              <w:rPr/>
              <w:t>​</w:t>
            </w:r>
          </w:p>
          <w:p>
            <w:pPr>
              <w:pStyle w:val="TableContents"/>
              <w:spacing w:before="0" w:after="283"/>
              <w:rPr/>
            </w:pPr>
            <w:r>
              <w:rPr/>
              <w:t>​</w:t>
            </w:r>
          </w:p>
        </w:tc>
        <w:tc>
          <w:tcPr>
            <w:tcW w:w="6738" w:type="dxa"/>
            <w:tcBorders/>
            <w:shd w:fill="auto" w:val="clear"/>
          </w:tcPr>
          <w:p>
            <w:pPr>
              <w:pStyle w:val="TableContents"/>
              <w:jc w:val="right"/>
              <w:rPr/>
            </w:pPr>
            <w:r>
              <w:rPr/>
              <w:t>​</w:t>
            </w:r>
          </w:p>
          <w:p>
            <w:pPr>
              <w:pStyle w:val="TableContents"/>
              <w:spacing w:before="0" w:after="283"/>
              <w:jc w:val="right"/>
              <w:rPr/>
            </w:pPr>
            <w:r>
              <w:rPr/>
              <w:t> </w:t>
            </w:r>
          </w:p>
        </w:tc>
      </w:tr>
    </w:tbl>
    <w:p>
      <w:pPr>
        <w:pStyle w:val="TextBody"/>
        <w:rPr/>
      </w:pPr>
      <w:r>
        <w:rPr>
          <w:color w:val="000000"/>
        </w:rPr>
        <w:commentReference w:id="294"/>
      </w:r>
      <w:r>
        <w:rPr>
          <w:color w:val="000000"/>
        </w:rPr>
        <w:t>​</w:t>
      </w:r>
      <w:r>
        <w:rPr/>
        <w:t xml:space="preserve"> </w:t>
      </w:r>
    </w:p>
    <w:p>
      <w:pPr>
        <w:pStyle w:val="Normal"/>
        <w:spacing w:before="0" w:after="0"/>
        <w:ind w:left="0" w:right="0" w:hanging="0"/>
        <w:rPr>
          <w:sz w:val="4"/>
          <w:szCs w:val="4"/>
        </w:rPr>
      </w:pPr>
      <w:r>
        <w:rPr>
          <w:sz w:val="4"/>
          <w:szCs w:val="4"/>
        </w:rPr>
      </w:r>
      <w:bookmarkStart w:id="156" w:name="toc_em45301_1"/>
      <w:bookmarkStart w:id="157" w:name="em45301_proposal_six__discharge_of_the__"/>
      <w:bookmarkStart w:id="158" w:name="toc_em45301_1"/>
      <w:bookmarkStart w:id="159" w:name="em45301_proposal_six__discharge_of_the__"/>
      <w:bookmarkEnd w:id="158"/>
      <w:bookmarkEnd w:id="159"/>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8" w:space="0" w:color="000000"/>
            </w:tcBorders>
            <w:shd w:fill="auto" w:val="clear"/>
            <w:vAlign w:val="center"/>
          </w:tcPr>
          <w:p>
            <w:pPr>
              <w:pStyle w:val="TableContents"/>
              <w:spacing w:before="0" w:after="0"/>
              <w:ind w:left="0" w:right="0" w:hanging="0"/>
              <w:jc w:val="left"/>
              <w:rPr>
                <w:rFonts w:ascii="arial" w:hAnsi="arial"/>
                <w:b/>
                <w:sz w:val="24"/>
              </w:rPr>
            </w:pPr>
            <w:r>
              <w:rPr>
                <w:rFonts w:ascii="arial" w:hAnsi="arial"/>
                <w:b/>
                <w:sz w:val="24"/>
              </w:rPr>
              <w:t xml:space="preserve">Proposal Six: Discharge of the Directors and the Supervisory Auditor </w:t>
            </w:r>
          </w:p>
        </w:tc>
      </w:tr>
    </w:tbl>
    <w:p>
      <w:pPr>
        <w:pStyle w:val="TextBody"/>
        <w:rPr>
          <w:rFonts w:ascii="arial" w:hAnsi="arial"/>
        </w:rPr>
      </w:pPr>
      <w:r>
        <w:rPr>
          <w:rFonts w:ascii="arial" w:hAnsi="arial"/>
          <w:sz w:val="20"/>
        </w:rPr>
        <w:t xml:space="preserve">Pursuant to Luxembourg law, after the approval of the Luxembourg Statutory Accounts (as discussed in Proposal Three above), shareholders must vote on whether to discharge Altisource's Directors for the performance of their mandate for the year ended December 31, 2020 and the supervisory auditor </w:t>
      </w:r>
      <w:r>
        <w:rPr>
          <w:rFonts w:ascii="arial" w:hAnsi="arial"/>
          <w:i/>
          <w:sz w:val="20"/>
        </w:rPr>
        <w:t>(Commissaire aux Comptes)</w:t>
      </w:r>
      <w:r>
        <w:rPr>
          <w:rFonts w:ascii="arial" w:hAnsi="arial"/>
        </w:rPr>
        <w:t xml:space="preserve"> </w:t>
      </w:r>
      <w:r>
        <w:rPr>
          <w:rFonts w:ascii="arial" w:hAnsi="arial"/>
          <w:sz w:val="20"/>
        </w:rPr>
        <w:t xml:space="preserve">for the performance of her mandate for the same period. If the shareholders grant the discharge for the relevant period, shareholders will not be able to initiate a liability claim against such Directors and/or supervisory auditor in connection with the performance of their mandates for such period. However, such discharge will not be valid in certain instances as specified in article 461-7 of the Luxembourg Company Law. For fiscal year 2020, Altisource believes no such instances have occurred. </w:t>
      </w:r>
    </w:p>
    <w:p>
      <w:pPr>
        <w:pStyle w:val="TextBody"/>
        <w:jc w:val="center"/>
        <w:rPr>
          <w:rFonts w:ascii="arial" w:hAnsi="arial"/>
        </w:rPr>
      </w:pPr>
      <w:r>
        <w:rPr>
          <w:rFonts w:ascii="arial" w:hAnsi="arial"/>
          <w:b/>
          <w:sz w:val="20"/>
        </w:rPr>
        <w:t>OUR BOARD OF DIRECTORS UNANIMOUSLY RECOMMENDS</w:t>
        <w:br/>
        <w:t>THAT YOU VOTE "FOR" THE DISCHARGE OF EACH OF THE DIRECTORS OF ALTISOURCE PORTFOLIO</w:t>
        <w:br/>
        <w:t>SOLUTIONS S.A. FOR THE PERFORMANCE OF THEIR MANDATE FOR THE YEAR ENDED DECEMBER 31, 2020</w:t>
        <w:br/>
        <w:t xml:space="preserve">AND THE DISCHARGE OF THE SUPERVISORY AUDITOR </w:t>
      </w:r>
      <w:r>
        <w:rPr>
          <w:rFonts w:ascii="arial" w:hAnsi="arial"/>
          <w:b/>
          <w:i/>
          <w:sz w:val="20"/>
        </w:rPr>
        <w:t>(COMMISSAIRE AUX COMPTES)</w:t>
      </w:r>
      <w:r>
        <w:rPr>
          <w:rFonts w:ascii="arial" w:hAnsi="arial"/>
        </w:rPr>
        <w:t xml:space="preserve"> </w:t>
      </w:r>
      <w:r>
        <w:rPr>
          <w:rFonts w:ascii="arial" w:hAnsi="arial"/>
          <w:b/>
          <w:sz w:val="20"/>
        </w:rPr>
        <w:t>FOR THE</w:t>
        <w:br/>
        <w:t>PERFORMANCE OF HER MANDATE FOR THE SAME PERIOD</w:t>
      </w:r>
    </w:p>
    <w:p>
      <w:pPr>
        <w:pStyle w:val="TextBody"/>
        <w:jc w:val="center"/>
        <w:rPr>
          <w:rFonts w:ascii="arial" w:hAnsi="arial"/>
          <w:sz w:val="20"/>
        </w:rPr>
      </w:pPr>
      <w:r>
        <w:rPr>
          <w:rFonts w:ascii="arial" w:hAnsi="arial"/>
          <w:sz w:val="20"/>
        </w:rPr>
        <w:t>76</w:t>
      </w:r>
    </w:p>
    <w:p>
      <w:pPr>
        <w:pStyle w:val="HorizontalLine"/>
        <w:pBdr>
          <w:bottom w:val="single" w:sz="20" w:space="0" w:color="808080"/>
        </w:pBdr>
        <w:rPr/>
      </w:pPr>
      <w:r>
        <w:rPr/>
      </w:r>
      <w:r>
        <w:br w:type="page"/>
      </w:r>
    </w:p>
    <w:p>
      <w:pPr>
        <w:pStyle w:val="TextBody"/>
        <w:rPr/>
      </w:pPr>
      <w:hyperlink w:anchor="bg45301a_main_toc">
        <w:bookmarkStart w:id="160" w:name="page_en45301_1_77"/>
        <w:bookmarkEnd w:id="160"/>
        <w:r>
          <w:rPr>
            <w:rStyle w:val="InternetLink"/>
            <w:rFonts w:ascii="arial" w:hAnsi="arial"/>
            <w:sz w:val="20"/>
          </w:rPr>
          <w:t>Table of Contents</w:t>
        </w:r>
      </w:hyperlink>
      <w:r>
        <w:rPr>
          <w:rFonts w:ascii="arial" w:hAnsi="arial"/>
          <w:sz w:val="20"/>
        </w:rPr>
        <w:t xml:space="preserve"> </w:t>
      </w:r>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5090"/>
        <w:gridCol w:w="23"/>
        <w:gridCol w:w="5092"/>
      </w:tblGrid>
      <w:tr>
        <w:trPr/>
        <w:tc>
          <w:tcPr>
            <w:tcW w:w="5090" w:type="dxa"/>
            <w:tcBorders/>
            <w:shd w:fill="auto" w:val="clear"/>
            <w:vAlign w:val="center"/>
          </w:tcPr>
          <w:p>
            <w:pPr>
              <w:pStyle w:val="TableContents"/>
              <w:spacing w:before="0" w:after="283"/>
              <w:rPr/>
            </w:pPr>
            <w:r>
              <w:rPr/>
              <w:commentReference w:id="295"/>
            </w:r>
            <w:r>
              <w:rPr/>
              <w:commentReference w:id="296"/>
            </w:r>
            <w:r>
              <w:rPr/>
              <w:commentReference w:id="297"/>
            </w:r>
            <w:r>
              <w:rPr/>
              <w:t>​</w:t>
            </w:r>
          </w:p>
        </w:tc>
        <w:tc>
          <w:tcPr>
            <w:tcW w:w="23" w:type="dxa"/>
            <w:tcBorders/>
            <w:shd w:fill="auto" w:val="clear"/>
            <w:vAlign w:val="center"/>
          </w:tcPr>
          <w:p>
            <w:pPr>
              <w:pStyle w:val="TableContents"/>
              <w:spacing w:before="0" w:after="283"/>
              <w:rPr/>
            </w:pPr>
            <w:r>
              <w:rPr/>
              <w:t>​</w:t>
            </w:r>
          </w:p>
        </w:tc>
        <w:tc>
          <w:tcPr>
            <w:tcW w:w="5092" w:type="dxa"/>
            <w:tcBorders/>
            <w:shd w:fill="auto" w:val="clear"/>
            <w:vAlign w:val="center"/>
          </w:tcPr>
          <w:p>
            <w:pPr>
              <w:pStyle w:val="TableContents"/>
              <w:spacing w:before="0" w:after="283"/>
              <w:rPr/>
            </w:pPr>
            <w:r>
              <w:rPr/>
              <w:t>​</w:t>
            </w:r>
            <w:r>
              <w:rPr>
                <w:rFonts w:eastAsia="arial" w:cs="arial" w:ascii="arial" w:hAnsi="arial"/>
              </w:rPr>
              <w:commentReference w:id="298"/>
            </w:r>
          </w:p>
        </w:tc>
      </w:tr>
      <w:tr>
        <w:trPr/>
        <w:tc>
          <w:tcPr>
            <w:tcW w:w="5090" w:type="dxa"/>
            <w:tcBorders/>
            <w:shd w:fill="auto" w:val="clear"/>
          </w:tcPr>
          <w:p>
            <w:pPr>
              <w:pStyle w:val="TableContents"/>
              <w:rPr/>
            </w:pPr>
            <w:r>
              <w:rPr/>
              <w:t>​</w:t>
            </w:r>
          </w:p>
          <w:p>
            <w:pPr>
              <w:pStyle w:val="TableContents"/>
              <w:spacing w:before="0" w:after="283"/>
              <w:rPr/>
            </w:pPr>
            <w:r>
              <w:rPr/>
              <w:t> </w:t>
            </w:r>
          </w:p>
        </w:tc>
        <w:tc>
          <w:tcPr>
            <w:tcW w:w="23" w:type="dxa"/>
            <w:tcBorders/>
            <w:shd w:fill="auto" w:val="clear"/>
          </w:tcPr>
          <w:p>
            <w:pPr>
              <w:pStyle w:val="TableContents"/>
              <w:rPr/>
            </w:pPr>
            <w:r>
              <w:rPr/>
              <w:t>​</w:t>
            </w:r>
          </w:p>
          <w:p>
            <w:pPr>
              <w:pStyle w:val="TableContents"/>
              <w:spacing w:before="0" w:after="283"/>
              <w:rPr/>
            </w:pPr>
            <w:r>
              <w:rPr/>
              <w:t>​</w:t>
            </w:r>
          </w:p>
        </w:tc>
        <w:tc>
          <w:tcPr>
            <w:tcW w:w="5092" w:type="dxa"/>
            <w:tcBorders/>
            <w:shd w:fill="auto" w:val="clear"/>
          </w:tcPr>
          <w:p>
            <w:pPr>
              <w:pStyle w:val="TableContents"/>
              <w:jc w:val="right"/>
              <w:rPr/>
            </w:pPr>
            <w:r>
              <w:rPr/>
              <w:t>​</w:t>
            </w:r>
          </w:p>
          <w:p>
            <w:pPr>
              <w:pStyle w:val="TableContents"/>
              <w:spacing w:before="0" w:after="283"/>
              <w:jc w:val="right"/>
              <w:rPr/>
            </w:pPr>
            <w:r>
              <w:rPr/>
              <w:drawing>
                <wp:inline distT="0" distB="0" distL="0" distR="0">
                  <wp:extent cx="1314450" cy="1809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embed="rId107"/>
                          <a:stretch>
                            <a:fillRect/>
                          </a:stretch>
                        </pic:blipFill>
                        <pic:spPr bwMode="auto">
                          <a:xfrm>
                            <a:off x="0" y="0"/>
                            <a:ext cx="1314450" cy="180975"/>
                          </a:xfrm>
                          <a:prstGeom prst="rect">
                            <a:avLst/>
                          </a:prstGeom>
                        </pic:spPr>
                      </pic:pic>
                    </a:graphicData>
                  </a:graphic>
                </wp:inline>
              </w:drawing>
            </w:r>
            <w:r>
              <w:rPr/>
              <w:t xml:space="preserve"> </w:t>
            </w:r>
          </w:p>
        </w:tc>
      </w:tr>
      <w:tr>
        <w:trPr/>
        <w:tc>
          <w:tcPr>
            <w:tcW w:w="5090" w:type="dxa"/>
            <w:tcBorders/>
            <w:shd w:fill="auto" w:val="clear"/>
          </w:tcPr>
          <w:p>
            <w:pPr>
              <w:pStyle w:val="TableContents"/>
              <w:rPr/>
            </w:pPr>
            <w:r>
              <w:rPr/>
              <w:t>​</w:t>
            </w:r>
          </w:p>
          <w:p>
            <w:pPr>
              <w:pStyle w:val="TableContents"/>
              <w:spacing w:before="0" w:after="283"/>
              <w:rPr/>
            </w:pPr>
            <w:r>
              <w:rPr/>
              <w:t> </w:t>
            </w:r>
          </w:p>
        </w:tc>
        <w:tc>
          <w:tcPr>
            <w:tcW w:w="23" w:type="dxa"/>
            <w:tcBorders/>
            <w:shd w:fill="auto" w:val="clear"/>
          </w:tcPr>
          <w:p>
            <w:pPr>
              <w:pStyle w:val="TableContents"/>
              <w:rPr/>
            </w:pPr>
            <w:r>
              <w:rPr/>
              <w:t>​</w:t>
            </w:r>
          </w:p>
          <w:p>
            <w:pPr>
              <w:pStyle w:val="TableContents"/>
              <w:spacing w:before="0" w:after="283"/>
              <w:rPr/>
            </w:pPr>
            <w:r>
              <w:rPr/>
              <w:t>​</w:t>
            </w:r>
          </w:p>
        </w:tc>
        <w:tc>
          <w:tcPr>
            <w:tcW w:w="5092" w:type="dxa"/>
            <w:tcBorders/>
            <w:shd w:fill="auto" w:val="clear"/>
          </w:tcPr>
          <w:p>
            <w:pPr>
              <w:pStyle w:val="TableContents"/>
              <w:jc w:val="right"/>
              <w:rPr/>
            </w:pPr>
            <w:r>
              <w:rPr/>
              <w:t>​</w:t>
            </w:r>
          </w:p>
          <w:p>
            <w:pPr>
              <w:pStyle w:val="TableContents"/>
              <w:spacing w:before="0" w:after="283"/>
              <w:jc w:val="right"/>
              <w:rPr/>
            </w:pPr>
            <w:r>
              <w:rPr/>
              <w:t> </w:t>
            </w:r>
          </w:p>
        </w:tc>
      </w:tr>
    </w:tbl>
    <w:p>
      <w:pPr>
        <w:pStyle w:val="TextBody"/>
        <w:rPr/>
      </w:pPr>
      <w:r>
        <w:rPr>
          <w:color w:val="000000"/>
        </w:rPr>
        <w:commentReference w:id="299"/>
      </w:r>
      <w:r>
        <w:rPr>
          <w:color w:val="000000"/>
        </w:rPr>
        <w:t>​</w:t>
      </w:r>
      <w:r>
        <w:rPr/>
        <w:t xml:space="preserve"> </w:t>
      </w:r>
    </w:p>
    <w:p>
      <w:pPr>
        <w:pStyle w:val="Normal"/>
        <w:spacing w:before="0" w:after="0"/>
        <w:ind w:left="0" w:right="0" w:hanging="0"/>
        <w:rPr>
          <w:sz w:val="4"/>
          <w:szCs w:val="4"/>
        </w:rPr>
      </w:pPr>
      <w:r>
        <w:rPr>
          <w:sz w:val="4"/>
          <w:szCs w:val="4"/>
        </w:rPr>
      </w:r>
      <w:bookmarkStart w:id="161" w:name="toc_en45301_1"/>
      <w:bookmarkStart w:id="162" w:name="en45301_proposal_seven__advisory_vote___"/>
      <w:bookmarkStart w:id="163" w:name="toc_en45301_1"/>
      <w:bookmarkStart w:id="164" w:name="en45301_proposal_seven__advisory_vote___"/>
      <w:bookmarkEnd w:id="163"/>
      <w:bookmarkEnd w:id="164"/>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8" w:space="0" w:color="000000"/>
            </w:tcBorders>
            <w:shd w:fill="auto" w:val="clear"/>
            <w:vAlign w:val="center"/>
          </w:tcPr>
          <w:p>
            <w:pPr>
              <w:pStyle w:val="TableContents"/>
              <w:spacing w:before="0" w:after="0"/>
              <w:ind w:left="0" w:right="0" w:hanging="0"/>
              <w:jc w:val="left"/>
              <w:rPr>
                <w:rFonts w:ascii="arial" w:hAnsi="arial"/>
                <w:b/>
                <w:sz w:val="24"/>
              </w:rPr>
            </w:pPr>
            <w:r>
              <w:rPr>
                <w:rFonts w:ascii="arial" w:hAnsi="arial"/>
                <w:b/>
                <w:sz w:val="24"/>
              </w:rPr>
              <w:t xml:space="preserve">Proposal Seven: Advisory Vote on Executive Compensation ("Say-on-Pay") </w:t>
            </w:r>
          </w:p>
        </w:tc>
      </w:tr>
    </w:tbl>
    <w:p>
      <w:pPr>
        <w:pStyle w:val="TextBody"/>
        <w:rPr>
          <w:rFonts w:ascii="arial" w:hAnsi="arial"/>
          <w:sz w:val="20"/>
        </w:rPr>
      </w:pPr>
      <w:r>
        <w:rPr>
          <w:rFonts w:ascii="arial" w:hAnsi="arial"/>
          <w:sz w:val="20"/>
        </w:rPr>
        <w:t xml:space="preserve">At our 2017 annual meeting of shareholders, our shareholders voted in favor of an annual frequency for advisory votes with respect to our executive compensation. </w:t>
      </w:r>
    </w:p>
    <w:p>
      <w:pPr>
        <w:pStyle w:val="TextBody"/>
        <w:rPr>
          <w:rFonts w:ascii="arial" w:hAnsi="arial"/>
          <w:sz w:val="20"/>
        </w:rPr>
      </w:pPr>
      <w:r>
        <w:rPr>
          <w:rFonts w:ascii="arial" w:hAnsi="arial"/>
          <w:sz w:val="20"/>
        </w:rPr>
        <w:t xml:space="preserve">In light of this vote, and pursuant to Section 14A of the Securities Exchange Act of 1934, as amended, the Company is presenting this proposal, which gives shareholders the opportunity to approve or not approve, on an advisory (non-binding) basis, our pay program for Named Executive Officers as discussed in our Compensation Discussion and Analysis above. </w:t>
      </w:r>
    </w:p>
    <w:p>
      <w:pPr>
        <w:pStyle w:val="TextBody"/>
        <w:rPr>
          <w:rFonts w:ascii="arial" w:hAnsi="arial"/>
          <w:sz w:val="20"/>
        </w:rPr>
      </w:pPr>
      <w:r>
        <w:rPr>
          <w:rFonts w:ascii="arial" w:hAnsi="arial"/>
          <w:sz w:val="20"/>
        </w:rPr>
        <w:t xml:space="preserve">As described in our Compensation Discussion and Analysis above, our executive compensation program is designed to attract, incent and retain our Named Executive Officers, who are critical to our success. Pursuant to these programs, the Company seeks to reward the Named Executive Officers for achieving strategic business goals designed to deliver long-term shareholder value. Please read the Compensation Discussion and Analysis for additional details about our executive compensation program, including information about the fiscal year 2020 compensation of our Named Executive Officers. </w:t>
      </w:r>
    </w:p>
    <w:p>
      <w:pPr>
        <w:pStyle w:val="TextBody"/>
        <w:rPr>
          <w:rFonts w:ascii="arial" w:hAnsi="arial"/>
          <w:sz w:val="20"/>
        </w:rPr>
      </w:pPr>
      <w:r>
        <w:rPr>
          <w:rFonts w:ascii="arial" w:hAnsi="arial"/>
          <w:sz w:val="20"/>
        </w:rPr>
        <w:t xml:space="preserve">While our Board of Directors intends to carefully consider the shareholder vote resulting from this proposal, the final vote will not be binding on us and is advisory in nature. </w:t>
      </w:r>
    </w:p>
    <w:p>
      <w:pPr>
        <w:pStyle w:val="TextBody"/>
        <w:rPr>
          <w:rFonts w:ascii="arial" w:hAnsi="arial"/>
          <w:sz w:val="20"/>
        </w:rPr>
      </w:pPr>
      <w:r>
        <w:rPr>
          <w:rFonts w:ascii="arial" w:hAnsi="arial"/>
          <w:sz w:val="20"/>
        </w:rPr>
        <w:t xml:space="preserve">You may vote for or against the approval of the compensation of the Company's Named Executive Officers as disclosed in the Compensation Discussion and Analysis, the Summary Compensation Table and accompanying compensation tables and related information contained in the proxy statement. </w:t>
      </w:r>
    </w:p>
    <w:p>
      <w:pPr>
        <w:pStyle w:val="TextBody"/>
        <w:jc w:val="center"/>
        <w:rPr>
          <w:rFonts w:ascii="arial" w:hAnsi="arial"/>
          <w:b/>
          <w:sz w:val="20"/>
        </w:rPr>
      </w:pPr>
      <w:r>
        <w:rPr>
          <w:rFonts w:ascii="arial" w:hAnsi="arial"/>
          <w:b/>
          <w:sz w:val="20"/>
        </w:rPr>
        <w:t>OUR BOARD OF DIRECTORS UNANIMOUSLY RECOMMENDS</w:t>
        <w:br/>
        <w:t>THAT YOU VOTE "FOR" THE PROPOSAL TO APPROVE, ON AN ADVISORY (NON-BINDING) BASIS,</w:t>
        <w:br/>
        <w:t>THE COMPENSATION OF THE NAMED EXECUTIVE OFFICERS, AS DISCLOSED IN THE COMPANY'S</w:t>
        <w:br/>
        <w:t>PROXY STATEMENT FOR THE 2021 ANNUAL MEETING OF SHAREHOLDERS PURSUANT TO THE</w:t>
        <w:br/>
        <w:t>COMPENSATION DISCLOSURE RULES OF THE SEC, INCLUDING THE COMPENSATION DISCUSSION</w:t>
        <w:br/>
        <w:t>AND ANALYSIS, THE SUMMARY COMPENSATION TABLE AND ACCOMPANYING COMPENSATION</w:t>
        <w:br/>
        <w:t>TABLES AND RELATED INFORMATION</w:t>
      </w:r>
    </w:p>
    <w:p>
      <w:pPr>
        <w:pStyle w:val="TextBody"/>
        <w:jc w:val="center"/>
        <w:rPr>
          <w:rFonts w:ascii="arial" w:hAnsi="arial"/>
          <w:sz w:val="20"/>
        </w:rPr>
      </w:pPr>
      <w:r>
        <w:rPr>
          <w:rFonts w:ascii="arial" w:hAnsi="arial"/>
          <w:sz w:val="20"/>
        </w:rPr>
        <w:t>77</w:t>
      </w:r>
    </w:p>
    <w:p>
      <w:pPr>
        <w:pStyle w:val="HorizontalLine"/>
        <w:pBdr>
          <w:bottom w:val="single" w:sz="20" w:space="0" w:color="808080"/>
        </w:pBdr>
        <w:rPr/>
      </w:pPr>
      <w:r>
        <w:rPr/>
      </w:r>
      <w:r>
        <w:br w:type="page"/>
      </w:r>
    </w:p>
    <w:p>
      <w:pPr>
        <w:pStyle w:val="TextBody"/>
        <w:rPr/>
      </w:pPr>
      <w:hyperlink w:anchor="bg45301a_main_toc">
        <w:bookmarkStart w:id="165" w:name="page_eo45301_1_78"/>
        <w:bookmarkEnd w:id="165"/>
        <w:r>
          <w:rPr>
            <w:rStyle w:val="InternetLink"/>
            <w:rFonts w:ascii="arial" w:hAnsi="arial"/>
            <w:sz w:val="20"/>
          </w:rPr>
          <w:t>Table of Contents</w:t>
        </w:r>
      </w:hyperlink>
      <w:r>
        <w:rPr>
          <w:rFonts w:ascii="arial" w:hAnsi="arial"/>
          <w:sz w:val="20"/>
        </w:rPr>
        <w:t xml:space="preserve"> </w:t>
      </w:r>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5090"/>
        <w:gridCol w:w="23"/>
        <w:gridCol w:w="5092"/>
      </w:tblGrid>
      <w:tr>
        <w:trPr/>
        <w:tc>
          <w:tcPr>
            <w:tcW w:w="5090" w:type="dxa"/>
            <w:tcBorders/>
            <w:shd w:fill="auto" w:val="clear"/>
            <w:vAlign w:val="center"/>
          </w:tcPr>
          <w:p>
            <w:pPr>
              <w:pStyle w:val="TableContents"/>
              <w:spacing w:before="0" w:after="283"/>
              <w:rPr/>
            </w:pPr>
            <w:r>
              <w:rPr/>
              <w:commentReference w:id="300"/>
            </w:r>
            <w:r>
              <w:rPr/>
              <w:commentReference w:id="301"/>
            </w:r>
            <w:r>
              <w:rPr/>
              <w:commentReference w:id="302"/>
            </w:r>
            <w:r>
              <w:rPr/>
              <w:t>​</w:t>
            </w:r>
          </w:p>
        </w:tc>
        <w:tc>
          <w:tcPr>
            <w:tcW w:w="23" w:type="dxa"/>
            <w:tcBorders/>
            <w:shd w:fill="auto" w:val="clear"/>
            <w:vAlign w:val="center"/>
          </w:tcPr>
          <w:p>
            <w:pPr>
              <w:pStyle w:val="TableContents"/>
              <w:spacing w:before="0" w:after="283"/>
              <w:rPr/>
            </w:pPr>
            <w:r>
              <w:rPr/>
              <w:t>​</w:t>
            </w:r>
          </w:p>
        </w:tc>
        <w:tc>
          <w:tcPr>
            <w:tcW w:w="5092" w:type="dxa"/>
            <w:tcBorders/>
            <w:shd w:fill="auto" w:val="clear"/>
            <w:vAlign w:val="center"/>
          </w:tcPr>
          <w:p>
            <w:pPr>
              <w:pStyle w:val="TableContents"/>
              <w:spacing w:before="0" w:after="283"/>
              <w:rPr/>
            </w:pPr>
            <w:r>
              <w:rPr/>
              <w:t>​</w:t>
            </w:r>
            <w:r>
              <w:rPr>
                <w:rFonts w:eastAsia="arial" w:cs="arial" w:ascii="arial" w:hAnsi="arial"/>
              </w:rPr>
              <w:commentReference w:id="303"/>
            </w:r>
          </w:p>
        </w:tc>
      </w:tr>
      <w:tr>
        <w:trPr/>
        <w:tc>
          <w:tcPr>
            <w:tcW w:w="5090" w:type="dxa"/>
            <w:tcBorders/>
            <w:shd w:fill="auto" w:val="clear"/>
          </w:tcPr>
          <w:p>
            <w:pPr>
              <w:pStyle w:val="TableContents"/>
              <w:rPr/>
            </w:pPr>
            <w:r>
              <w:rPr/>
              <w:t>​</w:t>
            </w:r>
          </w:p>
          <w:p>
            <w:pPr>
              <w:pStyle w:val="TableContents"/>
              <w:spacing w:before="0" w:after="283"/>
              <w:rPr/>
            </w:pPr>
            <w:r>
              <w:rPr/>
              <w:t> </w:t>
            </w:r>
          </w:p>
        </w:tc>
        <w:tc>
          <w:tcPr>
            <w:tcW w:w="23" w:type="dxa"/>
            <w:tcBorders/>
            <w:shd w:fill="auto" w:val="clear"/>
          </w:tcPr>
          <w:p>
            <w:pPr>
              <w:pStyle w:val="TableContents"/>
              <w:rPr/>
            </w:pPr>
            <w:r>
              <w:rPr/>
              <w:t>​</w:t>
            </w:r>
          </w:p>
          <w:p>
            <w:pPr>
              <w:pStyle w:val="TableContents"/>
              <w:spacing w:before="0" w:after="283"/>
              <w:rPr/>
            </w:pPr>
            <w:r>
              <w:rPr/>
              <w:t>​</w:t>
            </w:r>
          </w:p>
        </w:tc>
        <w:tc>
          <w:tcPr>
            <w:tcW w:w="5092" w:type="dxa"/>
            <w:tcBorders/>
            <w:shd w:fill="auto" w:val="clear"/>
          </w:tcPr>
          <w:p>
            <w:pPr>
              <w:pStyle w:val="TableContents"/>
              <w:jc w:val="right"/>
              <w:rPr/>
            </w:pPr>
            <w:r>
              <w:rPr/>
              <w:t>​</w:t>
            </w:r>
          </w:p>
          <w:p>
            <w:pPr>
              <w:pStyle w:val="TableContents"/>
              <w:spacing w:before="0" w:after="283"/>
              <w:jc w:val="right"/>
              <w:rPr/>
            </w:pPr>
            <w:r>
              <w:rPr/>
              <w:drawing>
                <wp:inline distT="0" distB="0" distL="0" distR="0">
                  <wp:extent cx="1295400" cy="1809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embed="rId108"/>
                          <a:stretch>
                            <a:fillRect/>
                          </a:stretch>
                        </pic:blipFill>
                        <pic:spPr bwMode="auto">
                          <a:xfrm>
                            <a:off x="0" y="0"/>
                            <a:ext cx="1295400" cy="180975"/>
                          </a:xfrm>
                          <a:prstGeom prst="rect">
                            <a:avLst/>
                          </a:prstGeom>
                        </pic:spPr>
                      </pic:pic>
                    </a:graphicData>
                  </a:graphic>
                </wp:inline>
              </w:drawing>
            </w:r>
            <w:r>
              <w:rPr/>
              <w:t xml:space="preserve"> </w:t>
            </w:r>
          </w:p>
        </w:tc>
      </w:tr>
      <w:tr>
        <w:trPr/>
        <w:tc>
          <w:tcPr>
            <w:tcW w:w="5090" w:type="dxa"/>
            <w:tcBorders/>
            <w:shd w:fill="auto" w:val="clear"/>
          </w:tcPr>
          <w:p>
            <w:pPr>
              <w:pStyle w:val="TableContents"/>
              <w:rPr/>
            </w:pPr>
            <w:r>
              <w:rPr/>
              <w:t>​</w:t>
            </w:r>
          </w:p>
          <w:p>
            <w:pPr>
              <w:pStyle w:val="TableContents"/>
              <w:spacing w:before="0" w:after="283"/>
              <w:rPr/>
            </w:pPr>
            <w:r>
              <w:rPr/>
              <w:t> </w:t>
            </w:r>
          </w:p>
        </w:tc>
        <w:tc>
          <w:tcPr>
            <w:tcW w:w="23" w:type="dxa"/>
            <w:tcBorders/>
            <w:shd w:fill="auto" w:val="clear"/>
          </w:tcPr>
          <w:p>
            <w:pPr>
              <w:pStyle w:val="TableContents"/>
              <w:rPr/>
            </w:pPr>
            <w:r>
              <w:rPr/>
              <w:t>​</w:t>
            </w:r>
          </w:p>
          <w:p>
            <w:pPr>
              <w:pStyle w:val="TableContents"/>
              <w:spacing w:before="0" w:after="283"/>
              <w:rPr/>
            </w:pPr>
            <w:r>
              <w:rPr/>
              <w:t>​</w:t>
            </w:r>
          </w:p>
        </w:tc>
        <w:tc>
          <w:tcPr>
            <w:tcW w:w="5092" w:type="dxa"/>
            <w:tcBorders/>
            <w:shd w:fill="auto" w:val="clear"/>
          </w:tcPr>
          <w:p>
            <w:pPr>
              <w:pStyle w:val="TableContents"/>
              <w:jc w:val="right"/>
              <w:rPr/>
            </w:pPr>
            <w:r>
              <w:rPr/>
              <w:t>​</w:t>
            </w:r>
          </w:p>
          <w:p>
            <w:pPr>
              <w:pStyle w:val="TableContents"/>
              <w:spacing w:before="0" w:after="283"/>
              <w:jc w:val="right"/>
              <w:rPr/>
            </w:pPr>
            <w:r>
              <w:rPr/>
              <w:t> </w:t>
            </w:r>
          </w:p>
        </w:tc>
      </w:tr>
    </w:tbl>
    <w:p>
      <w:pPr>
        <w:pStyle w:val="TextBody"/>
        <w:rPr/>
      </w:pPr>
      <w:r>
        <w:rPr>
          <w:color w:val="000000"/>
        </w:rPr>
        <w:commentReference w:id="304"/>
      </w:r>
      <w:r>
        <w:rPr>
          <w:color w:val="000000"/>
        </w:rPr>
        <w:t>​</w:t>
      </w:r>
      <w:r>
        <w:rPr/>
        <w:t xml:space="preserve"> </w:t>
      </w:r>
    </w:p>
    <w:p>
      <w:pPr>
        <w:pStyle w:val="Normal"/>
        <w:spacing w:before="0" w:after="0"/>
        <w:ind w:left="0" w:right="0" w:hanging="0"/>
        <w:rPr>
          <w:sz w:val="4"/>
          <w:szCs w:val="4"/>
        </w:rPr>
      </w:pPr>
      <w:r>
        <w:rPr>
          <w:sz w:val="4"/>
          <w:szCs w:val="4"/>
        </w:rPr>
      </w:r>
      <w:bookmarkStart w:id="166" w:name="toc_eo45301_1"/>
      <w:bookmarkStart w:id="167" w:name="eo45301_proposal_eight__approve_amendm__"/>
      <w:bookmarkStart w:id="168" w:name="toc_eo45301_1"/>
      <w:bookmarkStart w:id="169" w:name="eo45301_proposal_eight__approve_amendm__"/>
      <w:bookmarkEnd w:id="168"/>
      <w:bookmarkEnd w:id="169"/>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8" w:space="0" w:color="000000"/>
            </w:tcBorders>
            <w:shd w:fill="auto" w:val="clear"/>
            <w:vAlign w:val="center"/>
          </w:tcPr>
          <w:p>
            <w:pPr>
              <w:pStyle w:val="TableContents"/>
              <w:spacing w:before="0" w:after="0"/>
              <w:ind w:left="0" w:right="0" w:hanging="0"/>
              <w:jc w:val="left"/>
              <w:rPr>
                <w:rFonts w:ascii="arial" w:hAnsi="arial"/>
                <w:b/>
                <w:sz w:val="24"/>
              </w:rPr>
            </w:pPr>
            <w:r>
              <w:rPr>
                <w:rFonts w:ascii="arial" w:hAnsi="arial"/>
                <w:b/>
                <w:sz w:val="24"/>
              </w:rPr>
              <w:t xml:space="preserve">Proposal Eight: Approve amendment of our 2009 Equity Incentive Plan (the "Plan") to increase the number of shares of common stock reserved for issuance under the Plan by an additional 1.7 million shares </w:t>
            </w:r>
          </w:p>
        </w:tc>
      </w:tr>
    </w:tbl>
    <w:p>
      <w:pPr>
        <w:pStyle w:val="TextBody"/>
        <w:rPr>
          <w:rFonts w:ascii="arial" w:hAnsi="arial"/>
          <w:sz w:val="20"/>
        </w:rPr>
      </w:pPr>
      <w:r>
        <w:rPr>
          <w:rFonts w:ascii="arial" w:hAnsi="arial"/>
          <w:sz w:val="20"/>
        </w:rPr>
        <w:t xml:space="preserve">Our ability to offer equity incentive awards under the Plan is critical to our ability to attract and retain high-quality talent, particularly in light of the competitive market for talent in which we operate. </w:t>
      </w:r>
    </w:p>
    <w:p>
      <w:pPr>
        <w:pStyle w:val="TextBody"/>
        <w:rPr>
          <w:rFonts w:ascii="arial" w:hAnsi="arial"/>
          <w:sz w:val="20"/>
        </w:rPr>
      </w:pPr>
      <w:r>
        <w:rPr>
          <w:rFonts w:ascii="arial" w:hAnsi="arial"/>
          <w:sz w:val="20"/>
        </w:rPr>
        <w:t xml:space="preserve">On March 23, 2021, our Board of Directors and Compensation Committee approved an amendment to our Plan, subject to approval by our shareholders to increase the number of shares of common stock reserved for issuance under the Plan by an additional 1.7 million shares. The Plan was adopted prior to the spin out of the Company from Ocwen in August 2009 and was subsequently ratified by the Altisource Board of Directors on September 22, 2009. This is the first amendment to the Plan to increase the number of shares of common stock since it was originally adopted. We estimate that approximately 660 thousand shares remain available to be issued under the Plan. The proposed amendment to increase the shares of common stock reserved for issuance under the Plan will ensure that we are able to grant future incentive awards. </w:t>
      </w:r>
    </w:p>
    <w:p>
      <w:pPr>
        <w:pStyle w:val="TextBody"/>
        <w:rPr>
          <w:rFonts w:ascii="arial" w:hAnsi="arial"/>
          <w:sz w:val="20"/>
        </w:rPr>
      </w:pPr>
      <w:r>
        <w:rPr>
          <w:rFonts w:ascii="arial" w:hAnsi="arial"/>
          <w:sz w:val="20"/>
        </w:rPr>
        <w:t xml:space="preserve">We have amended the Plan to provide for, and submit to our shareholders for approval, an increase in the number of shares of common stock that may be issued under the Plan by 1.7 million shares. </w:t>
      </w:r>
    </w:p>
    <w:p>
      <w:pPr>
        <w:pStyle w:val="TextBody"/>
        <w:rPr>
          <w:rFonts w:ascii="arial" w:hAnsi="arial"/>
          <w:sz w:val="20"/>
        </w:rPr>
      </w:pPr>
      <w:r>
        <w:rPr>
          <w:rFonts w:ascii="arial" w:hAnsi="arial"/>
          <w:sz w:val="20"/>
        </w:rPr>
        <w:t xml:space="preserve">Our executive officers and members of our Board of Directors will be eligible to receive awards under the amended Plan and therefore have an interest in this proposal. </w:t>
      </w:r>
    </w:p>
    <w:p>
      <w:pPr>
        <w:pStyle w:val="TextBody"/>
        <w:ind w:left="220" w:right="0" w:hanging="220"/>
        <w:rPr>
          <w:rFonts w:ascii="arial" w:hAnsi="arial"/>
          <w:b/>
          <w:sz w:val="20"/>
        </w:rPr>
      </w:pPr>
      <w:r>
        <w:rPr>
          <w:rFonts w:ascii="arial" w:hAnsi="arial"/>
          <w:b/>
          <w:sz w:val="20"/>
        </w:rPr>
        <w:t xml:space="preserve">Why Our Board Recommends That You Vote in Favor of Proposal Eight </w:t>
      </w:r>
    </w:p>
    <w:p>
      <w:pPr>
        <w:pStyle w:val="TextBody"/>
        <w:ind w:left="200" w:right="0" w:hanging="200"/>
        <w:rPr>
          <w:rFonts w:ascii="arial" w:hAnsi="arial"/>
          <w:b/>
          <w:i/>
          <w:sz w:val="20"/>
        </w:rPr>
      </w:pPr>
      <w:r>
        <w:rPr>
          <w:rFonts w:ascii="arial" w:hAnsi="arial"/>
          <w:b/>
          <w:i/>
          <w:sz w:val="20"/>
        </w:rPr>
        <w:t xml:space="preserve">Equity Incentive Awards Are Critical to Long-Term Shareholder Value Creation </w:t>
      </w:r>
    </w:p>
    <w:p>
      <w:pPr>
        <w:pStyle w:val="TextBody"/>
        <w:rPr>
          <w:rFonts w:ascii="arial" w:hAnsi="arial"/>
          <w:sz w:val="20"/>
        </w:rPr>
      </w:pPr>
      <w:r>
        <w:rPr>
          <w:rFonts w:ascii="arial" w:hAnsi="arial"/>
          <w:sz w:val="20"/>
        </w:rPr>
        <w:t xml:space="preserve">Our equity incentive plan is critical to our long-term goal of building shareholder value. As discussed in the "Executive Compensation" section of this proxy statement, equity incentive awards are central to our compensation program and constitute a significant portion of our Named Executive Officers' total direct compensation, as well as incentive compensation for other employees. Our Board and its Compensation Committee believe that our ability to grant equity incentive awards to new and existing employees, directors and eligible consultants has helped us attract, retain and motivate employees with superior ability, experience and leadership capability. Historically, we have issued stock options, restricted stock units and restricted stock under the Plan. These forms of equity compensation align the interests of our employees, directors and consultants with the interests of our shareholders, encourage retention and promote actions that result in long-term shareholder value creation. </w:t>
      </w:r>
    </w:p>
    <w:p>
      <w:pPr>
        <w:pStyle w:val="TextBody"/>
        <w:rPr>
          <w:rFonts w:ascii="arial" w:hAnsi="arial"/>
          <w:sz w:val="20"/>
        </w:rPr>
      </w:pPr>
      <w:r>
        <w:rPr>
          <w:rFonts w:ascii="arial" w:hAnsi="arial"/>
          <w:sz w:val="20"/>
        </w:rPr>
        <w:t xml:space="preserve">Our equity incentive program is broad-based. As of December 31, 2020, approximately 13% of our employees had received grants of equity awards and all three of our non-employee directors had received grants of equity awards. As of December 31, 2020, the Company had approximately 2,726 total employees and three non-employee directors. As of December 31, 2020, the Company also had approximately 91 non-employees to whom an offer of employment had been extended by the Company or an affiliate. We believe we must continue to offer a competitive equity compensation plan in order to attract, retain and motivate the industry-leading talent imperative to our continued growth and success. </w:t>
      </w:r>
    </w:p>
    <w:p>
      <w:pPr>
        <w:pStyle w:val="TextBody"/>
        <w:ind w:left="200" w:right="0" w:hanging="200"/>
        <w:rPr>
          <w:rFonts w:ascii="arial" w:hAnsi="arial"/>
          <w:b/>
          <w:i/>
          <w:sz w:val="20"/>
        </w:rPr>
      </w:pPr>
      <w:r>
        <w:rPr>
          <w:rFonts w:ascii="arial" w:hAnsi="arial"/>
          <w:b/>
          <w:i/>
          <w:sz w:val="20"/>
        </w:rPr>
        <w:t xml:space="preserve">We Manage Our Equity Incentive Award Use Carefully </w:t>
      </w:r>
    </w:p>
    <w:p>
      <w:pPr>
        <w:pStyle w:val="TextBody"/>
        <w:rPr>
          <w:rFonts w:ascii="arial" w:hAnsi="arial"/>
          <w:sz w:val="20"/>
        </w:rPr>
      </w:pPr>
      <w:r>
        <w:rPr>
          <w:rFonts w:ascii="arial" w:hAnsi="arial"/>
          <w:sz w:val="20"/>
        </w:rPr>
        <w:t xml:space="preserve">We manage our long-term shareholder dilution by limiting the number of equity awards granted annually. The Compensation Committee carefully monitors our total dilution and equity expense to ensure that we maximize shareholder value by granting only the appropriate number of equity awards necessary to attract, retain and motivate employees. In determining the proposed increase to the Plan's share reserve, the </w:t>
      </w:r>
    </w:p>
    <w:p>
      <w:pPr>
        <w:pStyle w:val="TextBody"/>
        <w:jc w:val="center"/>
        <w:rPr>
          <w:rFonts w:ascii="arial" w:hAnsi="arial"/>
          <w:sz w:val="20"/>
        </w:rPr>
      </w:pPr>
      <w:r>
        <w:rPr>
          <w:rFonts w:ascii="arial" w:hAnsi="arial"/>
          <w:sz w:val="20"/>
        </w:rPr>
        <w:t>78</w:t>
      </w:r>
    </w:p>
    <w:p>
      <w:pPr>
        <w:pStyle w:val="HorizontalLine"/>
        <w:pBdr>
          <w:bottom w:val="single" w:sz="20" w:space="0" w:color="808080"/>
        </w:pBdr>
        <w:rPr/>
      </w:pPr>
      <w:r>
        <w:rPr/>
      </w:r>
      <w:r>
        <w:br w:type="page"/>
      </w:r>
    </w:p>
    <w:p>
      <w:pPr>
        <w:pStyle w:val="TextBody"/>
        <w:rPr/>
      </w:pPr>
      <w:hyperlink w:anchor="bg45301a_main_toc">
        <w:bookmarkStart w:id="170" w:name="page_eo45301_1_79"/>
        <w:bookmarkEnd w:id="170"/>
        <w:r>
          <w:rPr>
            <w:rStyle w:val="InternetLink"/>
            <w:rFonts w:ascii="arial" w:hAnsi="arial"/>
            <w:sz w:val="20"/>
          </w:rPr>
          <w:t>Table of Contents</w:t>
        </w:r>
      </w:hyperlink>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5090"/>
        <w:gridCol w:w="23"/>
        <w:gridCol w:w="5092"/>
      </w:tblGrid>
      <w:tr>
        <w:trPr/>
        <w:tc>
          <w:tcPr>
            <w:tcW w:w="5090" w:type="dxa"/>
            <w:tcBorders/>
            <w:shd w:fill="auto" w:val="clear"/>
            <w:vAlign w:val="center"/>
          </w:tcPr>
          <w:p>
            <w:pPr>
              <w:pStyle w:val="TableContents"/>
              <w:spacing w:before="0" w:after="283"/>
              <w:rPr/>
            </w:pPr>
            <w:r>
              <w:rPr/>
              <w:commentReference w:id="305"/>
            </w:r>
            <w:r>
              <w:rPr/>
              <w:commentReference w:id="306"/>
            </w:r>
            <w:r>
              <w:rPr/>
              <w:commentReference w:id="307"/>
            </w:r>
            <w:r>
              <w:rPr/>
              <w:t>​</w:t>
            </w:r>
          </w:p>
        </w:tc>
        <w:tc>
          <w:tcPr>
            <w:tcW w:w="23" w:type="dxa"/>
            <w:tcBorders/>
            <w:shd w:fill="auto" w:val="clear"/>
            <w:vAlign w:val="center"/>
          </w:tcPr>
          <w:p>
            <w:pPr>
              <w:pStyle w:val="TableContents"/>
              <w:spacing w:before="0" w:after="283"/>
              <w:rPr/>
            </w:pPr>
            <w:r>
              <w:rPr/>
              <w:t>​</w:t>
            </w:r>
          </w:p>
        </w:tc>
        <w:tc>
          <w:tcPr>
            <w:tcW w:w="5092" w:type="dxa"/>
            <w:tcBorders/>
            <w:shd w:fill="auto" w:val="clear"/>
            <w:vAlign w:val="center"/>
          </w:tcPr>
          <w:p>
            <w:pPr>
              <w:pStyle w:val="TableContents"/>
              <w:spacing w:before="0" w:after="283"/>
              <w:rPr/>
            </w:pPr>
            <w:r>
              <w:rPr/>
              <w:t>​</w:t>
            </w:r>
            <w:r>
              <w:rPr>
                <w:rFonts w:eastAsia="arial" w:cs="arial" w:ascii="arial" w:hAnsi="arial"/>
              </w:rPr>
              <w:commentReference w:id="308"/>
            </w:r>
          </w:p>
        </w:tc>
      </w:tr>
      <w:tr>
        <w:trPr/>
        <w:tc>
          <w:tcPr>
            <w:tcW w:w="5090" w:type="dxa"/>
            <w:tcBorders/>
            <w:shd w:fill="auto" w:val="clear"/>
          </w:tcPr>
          <w:p>
            <w:pPr>
              <w:pStyle w:val="TableContents"/>
              <w:rPr/>
            </w:pPr>
            <w:r>
              <w:rPr/>
              <w:t>​</w:t>
            </w:r>
          </w:p>
          <w:p>
            <w:pPr>
              <w:pStyle w:val="TableContents"/>
              <w:spacing w:before="0" w:after="283"/>
              <w:rPr/>
            </w:pPr>
            <w:r>
              <w:rPr/>
              <w:t> </w:t>
            </w:r>
          </w:p>
        </w:tc>
        <w:tc>
          <w:tcPr>
            <w:tcW w:w="23" w:type="dxa"/>
            <w:tcBorders/>
            <w:shd w:fill="auto" w:val="clear"/>
          </w:tcPr>
          <w:p>
            <w:pPr>
              <w:pStyle w:val="TableContents"/>
              <w:rPr/>
            </w:pPr>
            <w:r>
              <w:rPr/>
              <w:t>​</w:t>
            </w:r>
          </w:p>
          <w:p>
            <w:pPr>
              <w:pStyle w:val="TableContents"/>
              <w:spacing w:before="0" w:after="283"/>
              <w:rPr/>
            </w:pPr>
            <w:r>
              <w:rPr/>
              <w:t>​</w:t>
            </w:r>
          </w:p>
        </w:tc>
        <w:tc>
          <w:tcPr>
            <w:tcW w:w="5092" w:type="dxa"/>
            <w:tcBorders/>
            <w:shd w:fill="auto" w:val="clear"/>
          </w:tcPr>
          <w:p>
            <w:pPr>
              <w:pStyle w:val="TableContents"/>
              <w:jc w:val="right"/>
              <w:rPr/>
            </w:pPr>
            <w:r>
              <w:rPr/>
              <w:t>​</w:t>
            </w:r>
          </w:p>
          <w:p>
            <w:pPr>
              <w:pStyle w:val="TableContents"/>
              <w:spacing w:before="0" w:after="283"/>
              <w:jc w:val="right"/>
              <w:rPr/>
            </w:pPr>
            <w:r>
              <w:rPr/>
              <w:drawing>
                <wp:inline distT="0" distB="0" distL="0" distR="0">
                  <wp:extent cx="1295400" cy="1809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embed="rId109"/>
                          <a:stretch>
                            <a:fillRect/>
                          </a:stretch>
                        </pic:blipFill>
                        <pic:spPr bwMode="auto">
                          <a:xfrm>
                            <a:off x="0" y="0"/>
                            <a:ext cx="1295400" cy="180975"/>
                          </a:xfrm>
                          <a:prstGeom prst="rect">
                            <a:avLst/>
                          </a:prstGeom>
                        </pic:spPr>
                      </pic:pic>
                    </a:graphicData>
                  </a:graphic>
                </wp:inline>
              </w:drawing>
            </w:r>
            <w:r>
              <w:rPr/>
              <w:t xml:space="preserve"> </w:t>
            </w:r>
          </w:p>
        </w:tc>
      </w:tr>
      <w:tr>
        <w:trPr/>
        <w:tc>
          <w:tcPr>
            <w:tcW w:w="5090" w:type="dxa"/>
            <w:tcBorders/>
            <w:shd w:fill="auto" w:val="clear"/>
          </w:tcPr>
          <w:p>
            <w:pPr>
              <w:pStyle w:val="TableContents"/>
              <w:rPr/>
            </w:pPr>
            <w:r>
              <w:rPr/>
              <w:t>​</w:t>
            </w:r>
          </w:p>
          <w:p>
            <w:pPr>
              <w:pStyle w:val="TableContents"/>
              <w:spacing w:before="0" w:after="283"/>
              <w:rPr/>
            </w:pPr>
            <w:r>
              <w:rPr/>
              <w:t> </w:t>
            </w:r>
          </w:p>
        </w:tc>
        <w:tc>
          <w:tcPr>
            <w:tcW w:w="23" w:type="dxa"/>
            <w:tcBorders/>
            <w:shd w:fill="auto" w:val="clear"/>
          </w:tcPr>
          <w:p>
            <w:pPr>
              <w:pStyle w:val="TableContents"/>
              <w:rPr/>
            </w:pPr>
            <w:r>
              <w:rPr/>
              <w:t>​</w:t>
            </w:r>
          </w:p>
          <w:p>
            <w:pPr>
              <w:pStyle w:val="TableContents"/>
              <w:spacing w:before="0" w:after="283"/>
              <w:rPr/>
            </w:pPr>
            <w:r>
              <w:rPr/>
              <w:t>​</w:t>
            </w:r>
          </w:p>
        </w:tc>
        <w:tc>
          <w:tcPr>
            <w:tcW w:w="5092" w:type="dxa"/>
            <w:tcBorders/>
            <w:shd w:fill="auto" w:val="clear"/>
          </w:tcPr>
          <w:p>
            <w:pPr>
              <w:pStyle w:val="TableContents"/>
              <w:jc w:val="right"/>
              <w:rPr/>
            </w:pPr>
            <w:r>
              <w:rPr/>
              <w:t>​</w:t>
            </w:r>
          </w:p>
          <w:p>
            <w:pPr>
              <w:pStyle w:val="TableContents"/>
              <w:spacing w:before="0" w:after="283"/>
              <w:jc w:val="right"/>
              <w:rPr/>
            </w:pPr>
            <w:r>
              <w:rPr/>
              <w:t> </w:t>
            </w:r>
          </w:p>
        </w:tc>
      </w:tr>
    </w:tbl>
    <w:p>
      <w:pPr>
        <w:pStyle w:val="TextBody"/>
        <w:rPr>
          <w:color w:val="000000"/>
        </w:rPr>
      </w:pPr>
      <w:r>
        <w:rPr>
          <w:color w:val="000000"/>
        </w:rPr>
        <w:commentReference w:id="309"/>
      </w:r>
      <w:r>
        <w:rPr>
          <w:color w:val="000000"/>
        </w:rPr>
        <w:t>​</w:t>
      </w:r>
    </w:p>
    <w:p>
      <w:pPr>
        <w:pStyle w:val="TextBody"/>
        <w:rPr>
          <w:rFonts w:ascii="arial" w:hAnsi="arial"/>
          <w:sz w:val="20"/>
        </w:rPr>
      </w:pPr>
      <w:r>
        <w:rPr>
          <w:rFonts w:ascii="arial" w:hAnsi="arial"/>
          <w:sz w:val="20"/>
        </w:rPr>
        <w:t xml:space="preserve">Compensation Committee and the Board took into account, among other things, our stock price and volatility and the existing terms of our outstanding awards. </w:t>
      </w:r>
    </w:p>
    <w:p>
      <w:pPr>
        <w:pStyle w:val="TextBody"/>
        <w:rPr>
          <w:rFonts w:ascii="arial" w:hAnsi="arial"/>
          <w:sz w:val="20"/>
        </w:rPr>
      </w:pPr>
      <w:r>
        <w:rPr>
          <w:rFonts w:ascii="arial" w:hAnsi="arial"/>
          <w:sz w:val="20"/>
        </w:rPr>
        <w:t xml:space="preserve">Other than increasing the number of shares of common stock reserved for issuance under the Plan, the amendment will not otherwise change the terms of the Plan. </w:t>
      </w:r>
    </w:p>
    <w:p>
      <w:pPr>
        <w:pStyle w:val="TextBody"/>
        <w:jc w:val="center"/>
        <w:rPr>
          <w:rFonts w:ascii="arial" w:hAnsi="arial"/>
          <w:b/>
          <w:sz w:val="20"/>
        </w:rPr>
      </w:pPr>
      <w:r>
        <w:rPr>
          <w:rFonts w:ascii="arial" w:hAnsi="arial"/>
          <w:b/>
          <w:sz w:val="20"/>
        </w:rPr>
        <w:t>OUR BOARD OF DIRECTORS UNANIMOUSLY RECOMMENDS THAT</w:t>
        <w:br/>
        <w:t>YOU VOTE "FOR" THE PROPOSAL TO APPROVE THE AMENDMENT OF OUR 2009 EQUITY INCENTIVE PLAN</w:t>
        <w:br/>
        <w:t>(THE "PLAN") TO INCREASE THE NUMBER OF SHARES OF COMMON STOCK RESERVED FOR ISSUANCE</w:t>
        <w:br/>
        <w:t>UNDER THE PLAN BY AN ADDITIONAL 1.7 MILLION SHARES</w:t>
      </w:r>
    </w:p>
    <w:p>
      <w:pPr>
        <w:pStyle w:val="TextBody"/>
        <w:jc w:val="center"/>
        <w:rPr>
          <w:rFonts w:ascii="arial" w:hAnsi="arial"/>
          <w:sz w:val="20"/>
        </w:rPr>
      </w:pPr>
      <w:r>
        <w:rPr>
          <w:rFonts w:ascii="arial" w:hAnsi="arial"/>
          <w:sz w:val="20"/>
        </w:rPr>
        <w:t>79</w:t>
      </w:r>
    </w:p>
    <w:p>
      <w:pPr>
        <w:pStyle w:val="HorizontalLine"/>
        <w:pBdr>
          <w:bottom w:val="single" w:sz="20" w:space="0" w:color="808080"/>
        </w:pBdr>
        <w:rPr/>
      </w:pPr>
      <w:r>
        <w:rPr/>
      </w:r>
      <w:r>
        <w:br w:type="page"/>
      </w:r>
    </w:p>
    <w:p>
      <w:pPr>
        <w:pStyle w:val="TextBody"/>
        <w:rPr/>
      </w:pPr>
      <w:hyperlink w:anchor="bg45301a_main_toc">
        <w:bookmarkStart w:id="171" w:name="page_eq45301_1_80"/>
        <w:bookmarkEnd w:id="171"/>
        <w:r>
          <w:rPr>
            <w:rStyle w:val="InternetLink"/>
            <w:rFonts w:ascii="arial" w:hAnsi="arial"/>
            <w:sz w:val="20"/>
          </w:rPr>
          <w:t>Table of Contents</w:t>
        </w:r>
      </w:hyperlink>
      <w:r>
        <w:rPr>
          <w:rFonts w:ascii="arial" w:hAnsi="arial"/>
          <w:sz w:val="20"/>
        </w:rPr>
        <w:t xml:space="preserve"> </w:t>
      </w:r>
    </w:p>
    <w:p>
      <w:pPr>
        <w:pStyle w:val="TextBody"/>
        <w:rPr/>
      </w:pPr>
      <w:r>
        <w:rPr>
          <w:color w:val="000000"/>
        </w:rPr>
        <w:t>​</w:t>
      </w:r>
      <w:r>
        <w:rPr/>
        <w:t xml:space="preserve"> </w:t>
      </w:r>
    </w:p>
    <w:p>
      <w:pPr>
        <w:pStyle w:val="Normal"/>
        <w:spacing w:before="0" w:after="0"/>
        <w:ind w:left="0" w:right="0" w:hanging="0"/>
        <w:rPr>
          <w:sz w:val="4"/>
          <w:szCs w:val="4"/>
        </w:rPr>
      </w:pPr>
      <w:r>
        <w:rPr>
          <w:sz w:val="4"/>
          <w:szCs w:val="4"/>
        </w:rPr>
      </w:r>
      <w:bookmarkStart w:id="172" w:name="toc_eq45301_1"/>
      <w:bookmarkStart w:id="173" w:name="eq45301_business_relationships__eq402308"/>
      <w:bookmarkStart w:id="174" w:name="toc_eq45301_1"/>
      <w:bookmarkStart w:id="175" w:name="eq45301_business_relationships__eq402308"/>
      <w:bookmarkEnd w:id="174"/>
      <w:bookmarkEnd w:id="175"/>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8" w:space="0" w:color="000000"/>
            </w:tcBorders>
            <w:shd w:fill="auto" w:val="clear"/>
            <w:vAlign w:val="center"/>
          </w:tcPr>
          <w:p>
            <w:pPr>
              <w:pStyle w:val="TableContents"/>
              <w:spacing w:before="0" w:after="0"/>
              <w:ind w:left="0" w:right="0" w:hanging="0"/>
              <w:jc w:val="left"/>
              <w:rPr>
                <w:rFonts w:ascii="arial" w:hAnsi="arial"/>
                <w:b/>
                <w:sz w:val="24"/>
              </w:rPr>
            </w:pPr>
            <w:r>
              <w:rPr>
                <w:rFonts w:ascii="arial" w:hAnsi="arial"/>
                <w:b/>
                <w:sz w:val="24"/>
              </w:rPr>
              <w:t xml:space="preserve">Business Relationships and Related Person Transactions </w:t>
            </w:r>
          </w:p>
        </w:tc>
      </w:tr>
    </w:tbl>
    <w:p>
      <w:pPr>
        <w:pStyle w:val="TextBody"/>
        <w:rPr>
          <w:rFonts w:ascii="arial" w:hAnsi="arial"/>
          <w:sz w:val="20"/>
        </w:rPr>
      </w:pPr>
      <w:r>
        <w:rPr>
          <w:rFonts w:ascii="arial" w:hAnsi="arial"/>
          <w:sz w:val="20"/>
        </w:rPr>
        <w:t xml:space="preserve">The Board of Directors has adopted, as set forth within our written Code of Business Conduct and Ethics, certain policies and procedures for the review and approval of transactions in which a conflict of interest may arise. The Code of Business Conduct and Ethics is available at </w:t>
      </w:r>
      <w:r>
        <w:rPr>
          <w:rFonts w:ascii="arial" w:hAnsi="arial"/>
          <w:sz w:val="20"/>
          <w:u w:val="single"/>
        </w:rPr>
        <w:t>www.altisource.com</w:t>
      </w:r>
      <w:r>
        <w:rPr>
          <w:rFonts w:ascii="arial" w:hAnsi="arial"/>
          <w:sz w:val="20"/>
        </w:rPr>
        <w:t xml:space="preserve">. Any situation that potentially qualifies as a conflict of interest is to be disclosed to the Chief Legal and Compliance Officer to assess the nature and extent of any concern as well as the appropriate next steps. The Chief Legal and Compliance Officer will notify the Chairman of the Board of Directors or the Chairman of the Audit Committee, as appropriate, if any such situation requires Board of Directors or Audit Committee review. </w:t>
      </w:r>
    </w:p>
    <w:p>
      <w:pPr>
        <w:pStyle w:val="TextBody"/>
        <w:rPr>
          <w:rFonts w:ascii="arial" w:hAnsi="arial"/>
        </w:rPr>
      </w:pPr>
      <w:r>
        <w:rPr>
          <w:rFonts w:ascii="arial" w:hAnsi="arial"/>
          <w:sz w:val="20"/>
        </w:rPr>
        <w:t xml:space="preserve">The Audit Committee of the Board of Directors has adopted written policies and procedures to govern the review and approval of transactions involving Altisource and a Related Person. A "Related Person," as defined by SEC Regulation S-K, includes (i) any executive officers, directors and nominees for election as director of the Company or any of its subsidiaries; (ii) shareholders beneficially owning five percent (5%) or greater of the Company's outstanding stock or other equity securities; (iii) an immediate family member of any of the foregoing persons or (iv) an entity in which an individual identified in (i), (ii) or (iii) has a direct or indirect material interest. Pursuant to these policies, transactions with a Related Person that meet the threshold for disclosure under the relevant SEC rules ("Related Person Transactions") are to be approved by the Audit Committee. In considering a Related Person Transaction, the Audit Committee will consider relevant factors which may include (i) the reasons for the transaction; (ii) whether the transaction was initiated by the Company or the Related Person; (iii) the expected benefits to the Company; (iv) alternatives to the transaction; (v) whether the transaction is on terms comparable to those available to non-related third parties; (vi) the potential for the transaction to lead to an actual or apparent conflict of interest and any safeguards in place to prevent such actual or apparent conflicts; (vii) whether the transaction includes appropriate contractual protections; (viii) whether the transaction was undertaken in the ordinary course of business of the Company; (ix) the overall fairness of the transaction to Altisource; and (x) any other information regarding the Related Person Transaction that would be material to investors in light of the circumstances of the transaction. The Audit Committee may also follow these procedures for transactions with Related Persons that do not meet the threshold for disclosure under the relevant SEC rules, where such transactions may present actual or potential conflicts of interests, or for transactions with related parties as defined by Financial Accounting Standards Board's Accounting Standards Codification Topic 850, </w:t>
      </w:r>
      <w:r>
        <w:rPr>
          <w:rFonts w:ascii="arial" w:hAnsi="arial"/>
          <w:i/>
          <w:sz w:val="20"/>
        </w:rPr>
        <w:t>Related Party Disclosure</w:t>
      </w:r>
      <w:r>
        <w:rPr>
          <w:rFonts w:ascii="arial" w:hAnsi="arial"/>
          <w:sz w:val="20"/>
        </w:rPr>
        <w:t xml:space="preserve">. </w:t>
      </w:r>
    </w:p>
    <w:p>
      <w:pPr>
        <w:pStyle w:val="TextBody"/>
        <w:rPr>
          <w:rFonts w:ascii="arial" w:hAnsi="arial"/>
          <w:sz w:val="20"/>
        </w:rPr>
      </w:pPr>
      <w:r>
        <w:rPr>
          <w:rFonts w:ascii="arial" w:hAnsi="arial"/>
          <w:sz w:val="20"/>
        </w:rPr>
        <w:t xml:space="preserve">We provided certain services to RESI; RESI was managed by AAMC. Our largest shareholder, William C. Erbey, owns or controls common stock in each of these companies and Deer Park, of which our Director Scott E. Burg is Chief Investment Officer and Managing Partner, owns or controls common stock of RESI. </w:t>
      </w:r>
    </w:p>
    <w:p>
      <w:pPr>
        <w:pStyle w:val="TextBody"/>
        <w:rPr>
          <w:rFonts w:ascii="arial" w:hAnsi="arial"/>
          <w:sz w:val="20"/>
        </w:rPr>
      </w:pPr>
      <w:r>
        <w:rPr>
          <w:rFonts w:ascii="arial" w:hAnsi="arial"/>
          <w:sz w:val="20"/>
        </w:rPr>
        <w:t xml:space="preserve">As of December 31, 2020, based on public filings, Mr. Erbey reported beneficially owning or controlling approximately thirty-eight percent (38%) of the common stock of Altisource, approximately fifty percent (50%) of the common stock of AAMC and less than five percent (5%) of the common stock of RESI. As of March 3, 2021, based on public filings, Mr. Erbey's beneficial ownership of AAMC is approximately thirty-nine percent (39%). In addition, as of December 31, 2020, Deer Park reported beneficially owning or controlling approximately twenty-three percent (23%) of the common stock of Altisource and approximately twelve percent (12%) of the common stock of RESI. As a result of these ownership interests in RESI and AAMC, and because AAMC was RESI's external manager in 2020, we are disclosing our transactions with these entities. </w:t>
      </w:r>
    </w:p>
    <w:p>
      <w:pPr>
        <w:pStyle w:val="TextBody"/>
        <w:ind w:left="220" w:right="0" w:hanging="220"/>
        <w:rPr>
          <w:rFonts w:ascii="arial" w:hAnsi="arial"/>
          <w:b/>
          <w:sz w:val="20"/>
        </w:rPr>
      </w:pPr>
      <w:r>
        <w:rPr>
          <w:rFonts w:ascii="arial" w:hAnsi="arial"/>
          <w:b/>
          <w:sz w:val="20"/>
        </w:rPr>
        <w:t xml:space="preserve">AAMC </w:t>
      </w:r>
    </w:p>
    <w:p>
      <w:pPr>
        <w:pStyle w:val="TextBody"/>
        <w:rPr>
          <w:rFonts w:ascii="arial" w:hAnsi="arial"/>
          <w:sz w:val="20"/>
        </w:rPr>
      </w:pPr>
      <w:r>
        <w:rPr>
          <w:rFonts w:ascii="arial" w:hAnsi="arial"/>
          <w:sz w:val="20"/>
        </w:rPr>
        <w:t xml:space="preserve">We provided information technology ("IT") infrastructure and information security services to AAMC, including email services, telephone infrastructure, firewall and similar infrastructure services, which were generally billed on a per-employee basis. AAMC completed its separation of IT services in August 2019, and these services were terminated. For the year ended December 31, 2020, we had no billings to AAMC. </w:t>
      </w:r>
    </w:p>
    <w:p>
      <w:pPr>
        <w:pStyle w:val="TextBody"/>
        <w:jc w:val="center"/>
        <w:rPr>
          <w:rFonts w:ascii="arial" w:hAnsi="arial"/>
          <w:sz w:val="20"/>
        </w:rPr>
      </w:pPr>
      <w:r>
        <w:rPr>
          <w:rFonts w:ascii="arial" w:hAnsi="arial"/>
          <w:sz w:val="20"/>
        </w:rPr>
        <w:t>80</w:t>
      </w:r>
    </w:p>
    <w:p>
      <w:pPr>
        <w:pStyle w:val="HorizontalLine"/>
        <w:pBdr>
          <w:bottom w:val="single" w:sz="20" w:space="0" w:color="808080"/>
        </w:pBdr>
        <w:rPr/>
      </w:pPr>
      <w:r>
        <w:rPr/>
      </w:r>
      <w:r>
        <w:br w:type="page"/>
      </w:r>
    </w:p>
    <w:p>
      <w:pPr>
        <w:pStyle w:val="TextBody"/>
        <w:rPr/>
      </w:pPr>
      <w:hyperlink w:anchor="bg45301a_main_toc">
        <w:bookmarkStart w:id="176" w:name="page_eq45301_1_81"/>
        <w:bookmarkEnd w:id="176"/>
        <w:r>
          <w:rPr>
            <w:rStyle w:val="InternetLink"/>
            <w:rFonts w:ascii="arial" w:hAnsi="arial"/>
            <w:sz w:val="20"/>
          </w:rPr>
          <w:t>Table of Contents</w:t>
        </w:r>
      </w:hyperlink>
    </w:p>
    <w:p>
      <w:pPr>
        <w:pStyle w:val="TextBody"/>
        <w:spacing w:before="0" w:after="0"/>
        <w:rPr/>
      </w:pPr>
      <w:r>
        <w:rPr>
          <w:color w:val="000000"/>
        </w:rPr>
        <w:t>​</w:t>
      </w:r>
      <w:r>
        <w:rPr/>
        <w:t xml:space="preserve"> </w:t>
      </w:r>
    </w:p>
    <w:tbl>
      <w:tblPr>
        <w:tblW w:w="5000" w:type="pct"/>
        <w:jc w:val="center"/>
        <w:tblInd w:w="0" w:type="dxa"/>
        <w:tblCellMar>
          <w:top w:w="0" w:type="dxa"/>
          <w:left w:w="0" w:type="dxa"/>
          <w:bottom w:w="0" w:type="dxa"/>
          <w:right w:w="0" w:type="dxa"/>
        </w:tblCellMar>
      </w:tblPr>
      <w:tblGrid>
        <w:gridCol w:w="60"/>
        <w:gridCol w:w="23"/>
        <w:gridCol w:w="10122"/>
      </w:tblGrid>
      <w:tr>
        <w:trPr/>
        <w:tc>
          <w:tcPr>
            <w:tcW w:w="60" w:type="dxa"/>
            <w:tcBorders/>
            <w:shd w:fill="auto" w:val="clear"/>
            <w:vAlign w:val="center"/>
          </w:tcPr>
          <w:p>
            <w:pPr>
              <w:pStyle w:val="TableContents"/>
              <w:spacing w:before="0" w:after="283"/>
              <w:rPr/>
            </w:pPr>
            <w:r>
              <w:rPr/>
              <w:commentReference w:id="310"/>
            </w:r>
            <w:r>
              <w:rPr/>
              <w:commentReference w:id="311"/>
            </w:r>
            <w:r>
              <w:rPr/>
              <w:commentReference w:id="312"/>
            </w:r>
            <w:r>
              <w:rPr/>
              <w:t>​</w:t>
            </w:r>
          </w:p>
        </w:tc>
        <w:tc>
          <w:tcPr>
            <w:tcW w:w="23" w:type="dxa"/>
            <w:tcBorders/>
            <w:shd w:fill="auto" w:val="clear"/>
            <w:vAlign w:val="center"/>
          </w:tcPr>
          <w:p>
            <w:pPr>
              <w:pStyle w:val="TableContents"/>
              <w:spacing w:before="0" w:after="283"/>
              <w:rPr/>
            </w:pPr>
            <w:r>
              <w:rPr/>
              <w:t>​</w:t>
            </w:r>
          </w:p>
        </w:tc>
        <w:tc>
          <w:tcPr>
            <w:tcW w:w="10122" w:type="dxa"/>
            <w:tcBorders/>
            <w:shd w:fill="auto" w:val="clear"/>
            <w:vAlign w:val="center"/>
          </w:tcPr>
          <w:p>
            <w:pPr>
              <w:pStyle w:val="TableContents"/>
              <w:spacing w:before="0" w:after="283"/>
              <w:rPr/>
            </w:pPr>
            <w:r>
              <w:rPr/>
              <w:t>​</w:t>
            </w:r>
            <w:r>
              <w:rPr>
                <w:rFonts w:eastAsia="arial" w:cs="arial" w:ascii="arial" w:hAnsi="arial"/>
              </w:rPr>
              <w:commentReference w:id="313"/>
            </w:r>
          </w:p>
        </w:tc>
      </w:tr>
      <w:tr>
        <w:trPr/>
        <w:tc>
          <w:tcPr>
            <w:tcW w:w="60" w:type="dxa"/>
            <w:tcBorders/>
            <w:shd w:fill="auto" w:val="clear"/>
          </w:tcPr>
          <w:p>
            <w:pPr>
              <w:pStyle w:val="TableContents"/>
              <w:rPr/>
            </w:pPr>
            <w:r>
              <w:rPr/>
              <w:t>​</w:t>
            </w:r>
          </w:p>
          <w:p>
            <w:pPr>
              <w:pStyle w:val="TableContents"/>
              <w:spacing w:before="0" w:after="283"/>
              <w:rPr/>
            </w:pPr>
            <w:r>
              <w:rPr/>
              <w:t> </w:t>
            </w:r>
          </w:p>
        </w:tc>
        <w:tc>
          <w:tcPr>
            <w:tcW w:w="23" w:type="dxa"/>
            <w:tcBorders/>
            <w:shd w:fill="auto" w:val="clear"/>
          </w:tcPr>
          <w:p>
            <w:pPr>
              <w:pStyle w:val="TableContents"/>
              <w:rPr/>
            </w:pPr>
            <w:r>
              <w:rPr/>
              <w:t>​</w:t>
            </w:r>
          </w:p>
          <w:p>
            <w:pPr>
              <w:pStyle w:val="TableContents"/>
              <w:spacing w:before="0" w:after="283"/>
              <w:rPr/>
            </w:pPr>
            <w:r>
              <w:rPr/>
              <w:t>​</w:t>
            </w:r>
          </w:p>
        </w:tc>
        <w:tc>
          <w:tcPr>
            <w:tcW w:w="10122" w:type="dxa"/>
            <w:tcBorders/>
            <w:shd w:fill="auto" w:val="clear"/>
          </w:tcPr>
          <w:p>
            <w:pPr>
              <w:pStyle w:val="TableContents"/>
              <w:jc w:val="right"/>
              <w:rPr/>
            </w:pPr>
            <w:r>
              <w:rPr/>
              <w:t>​</w:t>
            </w:r>
          </w:p>
          <w:p>
            <w:pPr>
              <w:pStyle w:val="TableContents"/>
              <w:spacing w:before="0" w:after="283"/>
              <w:jc w:val="right"/>
              <w:rPr/>
            </w:pPr>
            <w:r>
              <w:rPr/>
              <w:drawing>
                <wp:inline distT="0" distB="0" distL="0" distR="0">
                  <wp:extent cx="4438650" cy="1809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embed="rId110"/>
                          <a:stretch>
                            <a:fillRect/>
                          </a:stretch>
                        </pic:blipFill>
                        <pic:spPr bwMode="auto">
                          <a:xfrm>
                            <a:off x="0" y="0"/>
                            <a:ext cx="4438650" cy="180975"/>
                          </a:xfrm>
                          <a:prstGeom prst="rect">
                            <a:avLst/>
                          </a:prstGeom>
                        </pic:spPr>
                      </pic:pic>
                    </a:graphicData>
                  </a:graphic>
                </wp:inline>
              </w:drawing>
            </w:r>
            <w:r>
              <w:rPr/>
              <w:t xml:space="preserve"> </w:t>
            </w:r>
          </w:p>
        </w:tc>
      </w:tr>
      <w:tr>
        <w:trPr/>
        <w:tc>
          <w:tcPr>
            <w:tcW w:w="60" w:type="dxa"/>
            <w:tcBorders/>
            <w:shd w:fill="auto" w:val="clear"/>
          </w:tcPr>
          <w:p>
            <w:pPr>
              <w:pStyle w:val="TableContents"/>
              <w:rPr/>
            </w:pPr>
            <w:r>
              <w:rPr/>
              <w:t>​</w:t>
            </w:r>
          </w:p>
          <w:p>
            <w:pPr>
              <w:pStyle w:val="TableContents"/>
              <w:spacing w:before="0" w:after="283"/>
              <w:rPr/>
            </w:pPr>
            <w:r>
              <w:rPr/>
              <w:t> </w:t>
            </w:r>
          </w:p>
        </w:tc>
        <w:tc>
          <w:tcPr>
            <w:tcW w:w="23" w:type="dxa"/>
            <w:tcBorders/>
            <w:shd w:fill="auto" w:val="clear"/>
          </w:tcPr>
          <w:p>
            <w:pPr>
              <w:pStyle w:val="TableContents"/>
              <w:rPr/>
            </w:pPr>
            <w:r>
              <w:rPr/>
              <w:t>​</w:t>
            </w:r>
          </w:p>
          <w:p>
            <w:pPr>
              <w:pStyle w:val="TableContents"/>
              <w:spacing w:before="0" w:after="283"/>
              <w:rPr/>
            </w:pPr>
            <w:r>
              <w:rPr/>
              <w:t>​</w:t>
            </w:r>
          </w:p>
        </w:tc>
        <w:tc>
          <w:tcPr>
            <w:tcW w:w="10122" w:type="dxa"/>
            <w:tcBorders/>
            <w:shd w:fill="auto" w:val="clear"/>
          </w:tcPr>
          <w:p>
            <w:pPr>
              <w:pStyle w:val="TableContents"/>
              <w:spacing w:before="0" w:after="283"/>
              <w:jc w:val="right"/>
              <w:rPr/>
            </w:pPr>
            <w:r>
              <w:rPr/>
              <w:t>​</w:t>
            </w:r>
          </w:p>
        </w:tc>
      </w:tr>
    </w:tbl>
    <w:p>
      <w:pPr>
        <w:pStyle w:val="TextBody"/>
        <w:rPr/>
      </w:pPr>
      <w:r>
        <w:rPr>
          <w:color w:val="000000"/>
        </w:rPr>
        <w:commentReference w:id="314"/>
      </w:r>
      <w:r>
        <w:rPr>
          <w:color w:val="000000"/>
        </w:rPr>
        <w:t>​</w:t>
      </w:r>
      <w:r>
        <w:rPr/>
        <w:t xml:space="preserve"> </w:t>
      </w:r>
    </w:p>
    <w:p>
      <w:pPr>
        <w:pStyle w:val="TextBody"/>
        <w:ind w:left="220" w:right="0" w:hanging="220"/>
        <w:rPr>
          <w:rFonts w:ascii="arial" w:hAnsi="arial"/>
          <w:b/>
          <w:sz w:val="20"/>
        </w:rPr>
      </w:pPr>
      <w:r>
        <w:rPr>
          <w:rFonts w:ascii="arial" w:hAnsi="arial"/>
          <w:b/>
          <w:sz w:val="20"/>
        </w:rPr>
        <w:t xml:space="preserve">RESI </w:t>
      </w:r>
    </w:p>
    <w:p>
      <w:pPr>
        <w:pStyle w:val="TextBody"/>
        <w:rPr>
          <w:rFonts w:ascii="arial" w:hAnsi="arial"/>
          <w:sz w:val="20"/>
        </w:rPr>
      </w:pPr>
      <w:r>
        <w:rPr>
          <w:rFonts w:ascii="arial" w:hAnsi="arial"/>
          <w:sz w:val="20"/>
        </w:rPr>
        <w:t xml:space="preserve">For the year ended December 31, 2020, the Company generated $0.4 million from RESI. Services provided to RESI during such period included REO sales, property preservation and inspection services, title and closing services and rental property management. </w:t>
      </w:r>
    </w:p>
    <w:p>
      <w:pPr>
        <w:pStyle w:val="TextBody"/>
        <w:rPr>
          <w:rFonts w:ascii="arial" w:hAnsi="arial"/>
          <w:sz w:val="20"/>
        </w:rPr>
      </w:pPr>
      <w:r>
        <w:rPr>
          <w:rFonts w:ascii="arial" w:hAnsi="arial"/>
          <w:sz w:val="20"/>
        </w:rPr>
        <w:t xml:space="preserve">In August 2018, Altisource entered into an omnibus amendment to its agreements with RESI to sell Altisource's rental property management business to RESI and permit RESI to internalize certain services that had been provided by Altisource (the "Omnibus Amendment"). The proceeds from the transaction totaled $18.0 million, payable in two installments. The first installment of $15.0 million was received on the closing date of August 8, 2018. The second installment of $3.0 million is to be received on the earlier of a RESI change of control or on August 8, 2023. On October 19, 2020, RESI announced that it had entered into a definitive merger agreement to sell RESI. The merger closed on January 11, 2021 and the Company subsequently received the $3.0 million payment. </w:t>
      </w:r>
    </w:p>
    <w:p>
      <w:pPr>
        <w:pStyle w:val="TextBody"/>
        <w:rPr>
          <w:rFonts w:ascii="arial" w:hAnsi="arial"/>
          <w:sz w:val="20"/>
        </w:rPr>
      </w:pPr>
      <w:r>
        <w:rPr>
          <w:rFonts w:ascii="arial" w:hAnsi="arial"/>
          <w:sz w:val="20"/>
        </w:rPr>
        <w:t xml:space="preserve">Altisource serves as RESI's exclusive provider of title insurance and escrow services for the four years following the date of the Omnibus Amendment. In addition to continuing to provide REO brokerage, auction and related services on any REO related to RESI's remaining legacy loan portfolio, under the terms of the Omnibus Amendment, Altisource will manage the disposition of certain rental assets from RESI's leased portfolio, including the referral of listings to local agents and coordinating the repair of rental properties to rent-ready condition. </w:t>
      </w:r>
    </w:p>
    <w:p>
      <w:pPr>
        <w:pStyle w:val="TextBody"/>
        <w:jc w:val="center"/>
        <w:rPr>
          <w:rFonts w:ascii="arial" w:hAnsi="arial"/>
          <w:sz w:val="20"/>
        </w:rPr>
      </w:pPr>
      <w:r>
        <w:rPr>
          <w:rFonts w:ascii="arial" w:hAnsi="arial"/>
          <w:sz w:val="20"/>
        </w:rPr>
        <w:t>81</w:t>
      </w:r>
    </w:p>
    <w:p>
      <w:pPr>
        <w:pStyle w:val="HorizontalLine"/>
        <w:pBdr>
          <w:bottom w:val="single" w:sz="20" w:space="0" w:color="808080"/>
        </w:pBdr>
        <w:rPr/>
      </w:pPr>
      <w:r>
        <w:rPr/>
      </w:r>
      <w:r>
        <w:br w:type="page"/>
      </w:r>
    </w:p>
    <w:p>
      <w:pPr>
        <w:pStyle w:val="TextBody"/>
        <w:rPr/>
      </w:pPr>
      <w:hyperlink w:anchor="bg45301a_main_toc">
        <w:bookmarkStart w:id="177" w:name="page_es45301_1_82"/>
        <w:bookmarkEnd w:id="177"/>
        <w:r>
          <w:rPr>
            <w:rStyle w:val="InternetLink"/>
            <w:rFonts w:ascii="arial" w:hAnsi="arial"/>
            <w:sz w:val="20"/>
          </w:rPr>
          <w:t>Table of Contents</w:t>
        </w:r>
      </w:hyperlink>
      <w:r>
        <w:rPr>
          <w:rFonts w:ascii="arial" w:hAnsi="arial"/>
          <w:sz w:val="20"/>
        </w:rPr>
        <w:t xml:space="preserve"> </w:t>
      </w:r>
    </w:p>
    <w:p>
      <w:pPr>
        <w:pStyle w:val="Normal"/>
        <w:spacing w:before="0" w:after="0"/>
        <w:ind w:left="0" w:right="0" w:hanging="0"/>
        <w:rPr>
          <w:sz w:val="4"/>
          <w:szCs w:val="4"/>
        </w:rPr>
      </w:pPr>
      <w:r>
        <w:rPr>
          <w:sz w:val="4"/>
          <w:szCs w:val="4"/>
        </w:rPr>
      </w:r>
      <w:bookmarkStart w:id="178" w:name="toc_es45301_1"/>
      <w:bookmarkStart w:id="179" w:name="es45301_shareholder_proposals"/>
      <w:bookmarkStart w:id="180" w:name="toc_es45301_1"/>
      <w:bookmarkStart w:id="181" w:name="es45301_shareholder_proposals"/>
      <w:bookmarkEnd w:id="180"/>
      <w:bookmarkEnd w:id="181"/>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8" w:space="0" w:color="000000"/>
            </w:tcBorders>
            <w:shd w:fill="auto" w:val="clear"/>
            <w:vAlign w:val="center"/>
          </w:tcPr>
          <w:p>
            <w:pPr>
              <w:pStyle w:val="TableContents"/>
              <w:spacing w:before="0" w:after="0"/>
              <w:ind w:left="0" w:right="0" w:hanging="0"/>
              <w:jc w:val="left"/>
              <w:rPr>
                <w:rFonts w:ascii="arial" w:hAnsi="arial"/>
                <w:b/>
                <w:sz w:val="24"/>
              </w:rPr>
            </w:pPr>
            <w:r>
              <w:rPr>
                <w:rFonts w:ascii="arial" w:hAnsi="arial"/>
                <w:b/>
                <w:sz w:val="24"/>
              </w:rPr>
              <w:t xml:space="preserve">Shareholder Proposals </w:t>
            </w:r>
          </w:p>
        </w:tc>
      </w:tr>
    </w:tbl>
    <w:p>
      <w:pPr>
        <w:pStyle w:val="TextBody"/>
        <w:rPr>
          <w:rFonts w:ascii="arial" w:hAnsi="arial"/>
          <w:sz w:val="20"/>
        </w:rPr>
      </w:pPr>
      <w:r>
        <w:rPr>
          <w:rFonts w:ascii="arial" w:hAnsi="arial"/>
          <w:sz w:val="20"/>
        </w:rPr>
        <w:t xml:space="preserve">Pursuant to SEC rules, any proposal that a shareholder desires to have included in our proxy materials relating to our 2022 annual meeting of shareholders must be received at our registered office no later than December 6, 2021. In addition to any shareholders' rights under the Luxembourg Company Law and the Company's Articles of Incorporation, for any proposal that is not submitted for inclusion in the proxy statement for the 2022 annual meeting of shareholders, but is instead sought to be presented directly at the 2022 annual meeting of shareholders, SEC rules permit the persons appointed as proxies to vote shares represented by valid proxies in their discretion if we (i) receive the proposal no later than February 19, 2022 and advise shareholders in the 2022 proxy statement about the nature of the matter and how the persons appointed as proxies intend to vote on such matter or (ii) receive notice of the proposal after February 19, 2022. </w:t>
      </w:r>
    </w:p>
    <w:p>
      <w:pPr>
        <w:pStyle w:val="TextBody"/>
        <w:rPr>
          <w:rFonts w:ascii="arial" w:hAnsi="arial"/>
          <w:sz w:val="20"/>
        </w:rPr>
      </w:pPr>
      <w:r>
        <w:rPr>
          <w:rFonts w:ascii="arial" w:hAnsi="arial"/>
          <w:sz w:val="20"/>
        </w:rPr>
        <w:t xml:space="preserve">Notice of intent to present a proposal at the 2022 annual meeting of shareholders should be directed to our Corporate Secretary at Altisource Portfolio Solutions S.A., 40, avenue Monterey, L-2163 Luxembourg City, Grand Duchy of Luxembourg. Any shareholder proposal must be sent by certified mail, return-receipt requested. </w:t>
      </w:r>
    </w:p>
    <w:p>
      <w:pPr>
        <w:pStyle w:val="Normal"/>
        <w:spacing w:before="0" w:after="0"/>
        <w:ind w:left="0" w:right="0" w:hanging="0"/>
        <w:rPr>
          <w:sz w:val="4"/>
          <w:szCs w:val="4"/>
        </w:rPr>
      </w:pPr>
      <w:r>
        <w:rPr>
          <w:sz w:val="4"/>
          <w:szCs w:val="4"/>
        </w:rPr>
      </w:r>
      <w:bookmarkStart w:id="182" w:name="toc_es45301_2"/>
      <w:bookmarkStart w:id="183" w:name="es45301_annual_reports"/>
      <w:bookmarkStart w:id="184" w:name="toc_es45301_2"/>
      <w:bookmarkStart w:id="185" w:name="es45301_annual_reports"/>
      <w:bookmarkEnd w:id="184"/>
      <w:bookmarkEnd w:id="185"/>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8" w:space="0" w:color="000000"/>
            </w:tcBorders>
            <w:shd w:fill="auto" w:val="clear"/>
            <w:vAlign w:val="center"/>
          </w:tcPr>
          <w:p>
            <w:pPr>
              <w:pStyle w:val="TableContents"/>
              <w:spacing w:before="0" w:after="0"/>
              <w:ind w:left="0" w:right="0" w:hanging="0"/>
              <w:jc w:val="left"/>
              <w:rPr>
                <w:rFonts w:ascii="arial" w:hAnsi="arial"/>
                <w:b/>
                <w:sz w:val="24"/>
              </w:rPr>
            </w:pPr>
            <w:r>
              <w:rPr>
                <w:rFonts w:ascii="arial" w:hAnsi="arial"/>
                <w:b/>
                <w:sz w:val="24"/>
              </w:rPr>
              <w:t xml:space="preserve">Annual Reports </w:t>
            </w:r>
          </w:p>
        </w:tc>
      </w:tr>
    </w:tbl>
    <w:p>
      <w:pPr>
        <w:pStyle w:val="TextBody"/>
        <w:rPr>
          <w:rFonts w:ascii="arial" w:hAnsi="arial"/>
          <w:sz w:val="20"/>
        </w:rPr>
      </w:pPr>
      <w:r>
        <w:rPr>
          <w:rFonts w:ascii="arial" w:hAnsi="arial"/>
          <w:sz w:val="20"/>
        </w:rPr>
        <w:t xml:space="preserve">A copy of our annual report to shareholders on Form 10-K for the year ended December 31, 2020 was made available to shareholders on March 11, 2021. The annual report can be found on our website </w:t>
      </w:r>
      <w:r>
        <w:rPr>
          <w:rFonts w:ascii="arial" w:hAnsi="arial"/>
          <w:sz w:val="20"/>
          <w:u w:val="single"/>
        </w:rPr>
        <w:t>www.altisource.com</w:t>
      </w:r>
      <w:r>
        <w:rPr>
          <w:rFonts w:ascii="arial" w:hAnsi="arial"/>
          <w:sz w:val="20"/>
        </w:rPr>
        <w:t xml:space="preserve"> under Investor Relations. We will furnish without charge to each person whose proxy is solicited and to any beneficial owner entitled to vote at the Annual Meeting, on written request, a copy of our annual report on Form 10-K for the year ended December 31, 2020, required to be filed by us with the SEC under the Exchange Act. Such requests should be directed to Investor Relations, Altisource Portfolio Solutions S.A., 40, avenue Monterey, L-2163 Luxembourg City, Grand Duchy of Luxembourg. </w:t>
      </w:r>
    </w:p>
    <w:p>
      <w:pPr>
        <w:pStyle w:val="TextBody"/>
        <w:jc w:val="center"/>
        <w:rPr>
          <w:rFonts w:ascii="arial" w:hAnsi="arial"/>
          <w:sz w:val="20"/>
        </w:rPr>
      </w:pPr>
      <w:r>
        <w:rPr>
          <w:rFonts w:ascii="arial" w:hAnsi="arial"/>
          <w:sz w:val="20"/>
        </w:rPr>
        <w:t>82</w:t>
      </w:r>
    </w:p>
    <w:p>
      <w:pPr>
        <w:pStyle w:val="HorizontalLine"/>
        <w:pBdr>
          <w:bottom w:val="single" w:sz="20" w:space="0" w:color="808080"/>
        </w:pBdr>
        <w:rPr/>
      </w:pPr>
      <w:r>
        <w:rPr/>
      </w:r>
      <w:r>
        <w:br w:type="page"/>
      </w:r>
    </w:p>
    <w:p>
      <w:pPr>
        <w:pStyle w:val="TextBody"/>
        <w:rPr/>
      </w:pPr>
      <w:hyperlink w:anchor="bg45301a_main_toc">
        <w:bookmarkStart w:id="186" w:name="page_es45301_1_83"/>
        <w:bookmarkEnd w:id="186"/>
        <w:r>
          <w:rPr>
            <w:rStyle w:val="InternetLink"/>
            <w:rFonts w:ascii="arial" w:hAnsi="arial"/>
            <w:sz w:val="20"/>
          </w:rPr>
          <w:t>Table of Contents</w:t>
        </w:r>
      </w:hyperlink>
    </w:p>
    <w:p>
      <w:pPr>
        <w:pStyle w:val="Normal"/>
        <w:spacing w:before="0" w:after="0"/>
        <w:ind w:left="0" w:right="0" w:hanging="0"/>
        <w:rPr>
          <w:sz w:val="4"/>
          <w:szCs w:val="4"/>
        </w:rPr>
      </w:pPr>
      <w:r>
        <w:rPr>
          <w:sz w:val="4"/>
          <w:szCs w:val="4"/>
        </w:rPr>
      </w:r>
      <w:bookmarkStart w:id="187" w:name="toc_es45301_3"/>
      <w:bookmarkStart w:id="188" w:name="es45301_other_matters"/>
      <w:bookmarkStart w:id="189" w:name="toc_es45301_3"/>
      <w:bookmarkStart w:id="190" w:name="es45301_other_matters"/>
      <w:bookmarkEnd w:id="189"/>
      <w:bookmarkEnd w:id="190"/>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8" w:space="0" w:color="000000"/>
            </w:tcBorders>
            <w:shd w:fill="auto" w:val="clear"/>
            <w:vAlign w:val="center"/>
          </w:tcPr>
          <w:p>
            <w:pPr>
              <w:pStyle w:val="TableContents"/>
              <w:spacing w:before="0" w:after="0"/>
              <w:ind w:left="0" w:right="0" w:hanging="0"/>
              <w:jc w:val="left"/>
              <w:rPr>
                <w:rFonts w:ascii="arial" w:hAnsi="arial"/>
                <w:b/>
                <w:sz w:val="24"/>
              </w:rPr>
            </w:pPr>
            <w:r>
              <w:rPr>
                <w:rFonts w:ascii="arial" w:hAnsi="arial"/>
                <w:b/>
                <w:sz w:val="24"/>
              </w:rPr>
              <w:t xml:space="preserve">Other Matters </w:t>
            </w:r>
          </w:p>
        </w:tc>
      </w:tr>
    </w:tbl>
    <w:p>
      <w:pPr>
        <w:pStyle w:val="TextBody"/>
        <w:rPr>
          <w:rFonts w:ascii="arial" w:hAnsi="arial"/>
          <w:sz w:val="20"/>
        </w:rPr>
      </w:pPr>
      <w:r>
        <w:rPr>
          <w:rFonts w:ascii="arial" w:hAnsi="arial"/>
          <w:sz w:val="20"/>
        </w:rPr>
        <w:t xml:space="preserve">Proxies will be solicited on behalf of the Board of Directors by mail or electronic means, and we will pay the solicitation costs. Copies of the annual report for 2020 and this proxy statement will be made available to banks or brokers, for the purpose of soliciting proxies from beneficial owners. In addition to solicitations by mail or electronic means, our Directors, officers and employees may solicit proxies personally or by telephone without additional cost. </w:t>
      </w:r>
    </w:p>
    <w:p>
      <w:pPr>
        <w:pStyle w:val="TextBody"/>
        <w:rPr>
          <w:rFonts w:ascii="arial" w:hAnsi="arial"/>
          <w:sz w:val="20"/>
        </w:rPr>
      </w:pPr>
      <w:r>
        <w:rPr>
          <w:rFonts w:ascii="arial" w:hAnsi="arial"/>
          <w:sz w:val="20"/>
        </w:rPr>
        <w:t xml:space="preserve">The shares represented by all valid proxies will be voted in the manner specified. Where specific choices are not indicated, except with respect to "broker non-votes," each proxy received for the Annual Meeting will be voted "FOR" each of the nominees for Director named in this proxy statement and "FOR" Proposal Two through Proposal Eight, inclusive. Should any matter not described above be properly presented at the meeting, the persons appointed as proxies will vote according to their discretion. </w:t>
      </w:r>
    </w:p>
    <w:p>
      <w:pPr>
        <w:pStyle w:val="TextBody"/>
        <w:rPr>
          <w:rFonts w:ascii="arial" w:hAnsi="arial"/>
          <w:sz w:val="20"/>
        </w:rPr>
      </w:pPr>
      <w:r>
        <w:rPr>
          <w:rFonts w:ascii="arial" w:hAnsi="arial"/>
          <w:sz w:val="20"/>
        </w:rPr>
        <w:t xml:space="preserve">If you are the beneficial owner, but not the record holder of shares of our common stock and have requested a copy of this proxy statement, your bank or broker may only deliver one (1) copy of this proxy statement and our 2020 annual report to multiple shareholders who share an address unless the bank or broker has received contrary instructions from one (1) or more of the shareholders. Shareholders at an address to which a single copy of this proxy statement and our 2020 annual report was sent may request a separate copy by contacting the Office of the Corporate Secretary by mail at Altisource Portfolio Solutions S.A., 40, avenue Monterey, L-2163 Luxembourg City, Grand Duchy of Luxembourg, or by email at corporate.secretary@altisource.lu. Beneficial owners sharing an address who are receiving multiple copies and who wish to receive a single copy of the materials in the future will need to contact their bank or broker to request that only a single copy of each document be mailed to all shareholders at the shared address. </w:t>
      </w:r>
    </w:p>
    <w:p>
      <w:pPr>
        <w:pStyle w:val="TextBody"/>
        <w:rPr>
          <w:rFonts w:ascii="arial" w:hAnsi="arial"/>
          <w:sz w:val="20"/>
        </w:rPr>
      </w:pPr>
      <w:r>
        <w:rPr>
          <w:rFonts w:ascii="arial" w:hAnsi="arial"/>
          <w:sz w:val="20"/>
        </w:rPr>
        <w:t xml:space="preserve">This proxy statement and our 2020 annual report are available on our website under Investor Relations-Financial Information at </w:t>
      </w:r>
      <w:r>
        <w:rPr>
          <w:rFonts w:ascii="arial" w:hAnsi="arial"/>
          <w:sz w:val="20"/>
          <w:u w:val="single"/>
        </w:rPr>
        <w:t>http://ir.altisource.com/financials.cfm</w:t>
      </w:r>
      <w:r>
        <w:rPr>
          <w:rFonts w:ascii="arial" w:hAnsi="arial"/>
          <w:sz w:val="20"/>
        </w:rPr>
        <w:t xml:space="preserve">. In addition, this proxy statement and our 2020 annual report are available at </w:t>
      </w:r>
      <w:r>
        <w:rPr>
          <w:rFonts w:ascii="arial" w:hAnsi="arial"/>
          <w:sz w:val="20"/>
          <w:u w:val="single"/>
        </w:rPr>
        <w:t>www.proxyvote.com</w:t>
      </w:r>
      <w:r>
        <w:rPr>
          <w:rFonts w:ascii="arial" w:hAnsi="arial"/>
          <w:sz w:val="20"/>
        </w:rPr>
        <w:t xml:space="preserve">. If you are a shareholder of record, you can elect to access future proxy statements and annual reports electronically by following the instructions on your proxy cards. If you choose this option, you will receive a notice by mail listing the website locations, and your choice will remain in effect until you notify us by mail that you no longer wish to receive materials electronically. If you hold your common stock through a bank or broker, please refer to the information provided by that entity for instructions on how to elect this option. </w:t>
      </w:r>
    </w:p>
    <w:p>
      <w:pPr>
        <w:pStyle w:val="TextBody"/>
        <w:jc w:val="center"/>
        <w:rPr>
          <w:rFonts w:ascii="arial" w:hAnsi="arial"/>
          <w:sz w:val="20"/>
        </w:rPr>
      </w:pPr>
      <w:r>
        <w:rPr>
          <w:rFonts w:ascii="arial" w:hAnsi="arial"/>
          <w:sz w:val="20"/>
        </w:rPr>
        <w:t>83</w:t>
      </w:r>
    </w:p>
    <w:p>
      <w:pPr>
        <w:pStyle w:val="HorizontalLine"/>
        <w:pBdr>
          <w:bottom w:val="single" w:sz="20" w:space="0" w:color="808080"/>
        </w:pBdr>
        <w:rPr/>
      </w:pPr>
      <w:r>
        <w:rPr/>
      </w:r>
      <w:r>
        <w:br w:type="page"/>
      </w:r>
    </w:p>
    <w:p>
      <w:pPr>
        <w:pStyle w:val="TextBody"/>
        <w:spacing w:before="0" w:after="0"/>
        <w:ind w:left="0" w:right="0" w:hanging="0"/>
        <w:rPr/>
      </w:pPr>
      <w:r>
        <w:rPr/>
        <w:t> </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rFonts w:ascii="Times New Roman" w:hAnsi="Times New Roman"/>
          <w:color w:val="FFFFFF"/>
          <w:sz w:val="2"/>
        </w:rPr>
      </w:pPr>
      <w:r>
        <w:rPr>
          <w:rFonts w:ascii="Times New Roman" w:hAnsi="Times New Roman"/>
          <w:color w:val="FFFFFF"/>
          <w:sz w:val="2"/>
        </w:rPr>
        <w:t xml:space="preserve">VOTE BY INTERNET - www.proxyvote.com Use the lnternet to transmit your voting instructions and for electronic delivery of information up until 3:59 p.m. Eastern Time on May 17, 2021. Have your proxy card in hand when you access the web site and follow the instructions to obtain your records and to create an electronic voting instruction form. ALTISOURCE PORTFOLIO SOLUTIONS S.A. C/O PROXY SERVICES P.O. BOX 9142 FARMINGDALE, NY 11735 ELECTRONIC DELIVERY OF FUTURE PROXY MATERIALS If you would like to reduce the costs incurred by Altisource Portfolio Solutions S.A.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 VOTE BY MAIL Mark, sign and date your proxy card and return it in the postage-paid envelope we have provided or return it to Vote Processing, c/o Broadridge, 51 Mercedes Way, Edgewood, NY 11717. TO VOTE, MARK BLOCKS BELOW IN BLUE OR BLACK INK AS FOLLOWS: D45692-P51707 KEEP THIS PORTION FOR YOUR RECORDS DETACH AND RETURN THIS PORTION ONLY THIS PROXY CARD IS VALID ONLY WHEN SIGNED AND DATED. ALTISOURCE PORTFOLIO SOLUTIONS S.A. 1. Election of Directors For Against Abstain The Board of Directors recommends that you vote FOR the following nominees: ! ! ! ! ! ! ! ! ! ! ! ! For Against Abstain 1a. Scott E. Burg 4. Proposal to receive and approve the Directors reports for the Luxembourg Statutory Accounts for the year ended December 31, 2020 and to receive the report of the supervisory auditor (Commissaire aux Comptes) for the Luxembourg Annual Accounts for the same period Proposal to allocate the results in the Luxembourg Annual Accounts for the year ended December 31, 2020 ! ! ! ! ! ! ! ! ! 1b. Joseph L. Morettini 5. 1c. Roland Müller-Ineichen 6. Proposal to discharge each of the Directors of Altisource Portfolio Solutions S.A. for the performance of their mandates for the year ended December 31, 2020 and the supervisory auditor (Commissaire aux Comptes) for the performance of her mandate for the same period 1d. William B. Shepro The Board of Directors recommends that you vote FOR the following proposals: ! ! ! ! ! ! ! ! ! 7. Proposal to approve, on an advisory (non-binding) basis, the compensation of Altisources named executive officers as disclosed in the proxy statement ("Say-on-Pay") To approve the amendment of our 2009 Equity Incentive Plan to increase the number of shares authorized for grant by 1.7 million shares 2. Proposal to approve the appointment of Mayer Hoffman McCann P.C. to be our independent registered certified public accounting firm for the year ending December 31, 2021 and the appointment of Atwell S.à r.l. to be our certified auditor (Réviseur dEntreprises) for the same period 8. 3. Proposal to approve Altisource Portfolio Solutions S.A.'s unconsolidated annual accounts prepared in accordance with accounting principles generally accepted in Luxembourg (the "Luxembourg Annual Accounts") for the year ended December 31, 2020 and Altisource Portfolio Solutions S.A.'s consolidated financial statements prepared in accordance with International Financial Reporting Standards (the "Consolidated Accounts" and, together with the Luxembourg Annual Accounts, the "Luxembourg Statutory Accounts") as of and for the year ended December 31, 2020 NOTE: Proxies will vote in their discretion upon such other matters that may properly come before the Annual Meeting and any adjournment or postponement thereof. ! ! ! Yes ! No ! Please indicate if you plan to attend this meeting.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Signature [PLEASE SIGN WITHIN BOX] Date Signature (Joint Owners) Date </w:t>
      </w:r>
    </w:p>
    <w:p>
      <w:pPr>
        <w:pStyle w:val="TextBody"/>
        <w:spacing w:before="0" w:after="0"/>
        <w:ind w:left="0" w:right="0" w:hanging="0"/>
        <w:jc w:val="center"/>
        <w:rPr/>
      </w:pPr>
      <w:r>
        <w:rPr/>
        <w:drawing>
          <wp:inline distT="0" distB="0" distL="0" distR="0">
            <wp:extent cx="6477000" cy="8382000"/>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embed="rId111"/>
                    <a:stretch>
                      <a:fillRect/>
                    </a:stretch>
                  </pic:blipFill>
                  <pic:spPr bwMode="auto">
                    <a:xfrm>
                      <a:off x="0" y="0"/>
                      <a:ext cx="6477000" cy="8382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91" w:name="container"/>
      <w:bookmarkStart w:id="192" w:name="container"/>
      <w:bookmarkEnd w:id="1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rFonts w:ascii="Times New Roman" w:hAnsi="Times New Roman"/>
          <w:color w:val="FFFFFF"/>
          <w:sz w:val="2"/>
        </w:rPr>
      </w:pPr>
      <w:bookmarkStart w:id="193" w:name="ImgContainer"/>
      <w:bookmarkEnd w:id="193"/>
      <w:r>
        <w:rPr>
          <w:rFonts w:ascii="Times New Roman" w:hAnsi="Times New Roman"/>
          <w:color w:val="FFFFFF"/>
          <w:sz w:val="2"/>
        </w:rPr>
        <w:t xml:space="preserve">Important Notice Regarding the Availability of Proxy Materials for the Annual Meeting: The Notice, Proxy Statement and Form 10-K are available at www.proxyvote.com. D45693-P51707 ALTISOURCE PORTFOLIO SOLUTIONS S.A. 40, AVENUE MONTEREY, L-2163 LUXEMBOURG CITY, GRAND DUCHY OF LUXEMBOURG REVOCABLE PROXY THIS PROXY IS SOLICITED ON BEHALF OF THE BOARD OF DIRECTORS OF ALTISOURCE PORTFOLIO SOLUTIONS S.A. FOR USE ONLY AT THE ANNUAL MEETING OF SHAREHOLDERS TO BE HELD ON MAY 18, 2021, AND AT ANY ADJOURNMENT OR POSTPONEMENT THEREOF. The undersigned shareholder(s) hereby appoint(s), as proxy, W illiam B. Shepro and Gregory J. Ritts, or either of them (the "Proxies"), with full powers of substitution, and hereby authorize(s) them to represent and vote, as designated on the reverse side of this ballot, all of the shares of common stock of Altisource Portfolio Solutions S.A. (the "Company") that the shareholder(s) is/are entitled to vote at the Annual Meeting of Shareholders (the "Annual Meeting") to be held at the offices of the Company located at 40, avenue Monterey, L-2163 Luxembourg City, Grand Duchy of Luxembourg on Tuesday, May 18, 2021, at 9:00 a.m. Central European Time and at any adjournment or postponement thereof. This proxy, when properly executed, will be voted in the manner directed herein. If no such direction is made, this proxy will be voted FOR the election of each of the nominees to the Board of Directors; FOR the approval of the appointment of Mayer Hoffman McCann P.C. to be our independent registered certified public accounting firm for the year ending December 31, 2021 and the appointment of Atwell S.à r.l. to be our certified auditor (Réviseur dEntreprises) for the same period; FOR the approval of Altisource Portfolio Solutions S.A.'s unconsolidated annual accounts prepared in accordance with accounting principles generally accepted in Luxembourg (the "Luxembourg Annual Accounts") for the year ended December 31, 2020 and Altisource Portfolio Solutions S.A.'s consolidated financial statements prepared in accordance with International Financial Reporting Standards (the "Consolidated Accounts" and, together with the Luxembourg Annual Accounts, the "Luxembourg Statutory Accounts") as of and for the year ended December 31, 2020; FOR the receipt and approval of the Directors reports for the Luxembourg Statutory Accounts for the year ended December 31, 2020 and to receive the report of the supervisory auditor (Commissaire aux Comptes) for the Luxembourg Annual Accounts for the same period; FOR the allocation of the results in the Luxembourg Annual Accounts for the year ended December 31, 2020; FOR the discharge of each of the Directors of Altisource Portfolio Solutions S.A. for the performance of their mandates for the year ended December 31, 2020 and the supervisory auditor (Commissaire aux Comptes) for the performance of her mandate for the same period; FOR the approval, on an advisory (non-binding) basis, of the compensation of Altisources named executive officers as disclosed in the proxy statement ("Say-on-Pay"); FOR the approval of amendment of our 2009 Equity Incentive Plan to increase the number of shares authorized for grant by 1.7 million shares; and in the discretion of the Proxies on any other matter that may properly come before the Annual Meeting and any adjournment or postponement thereof. This proxy may be revoked at any time prior to the time it is voted at the Annual Meeting. The undersigned shareholder(s) hereby acknowledge(s) receipt of the Notice of Annual Meeting of Shareholders of Altisource Portfolio Solutions S.A. to be held on May 18, 2021, or any adjournment or postponement thereof, and a Proxy Statement for the Annual Meeting prior to the signing of this proxy. Continued and to be dated and signed on the reverse side </w:t>
      </w:r>
    </w:p>
    <w:p>
      <w:pPr>
        <w:pStyle w:val="TextBody"/>
        <w:spacing w:before="0" w:after="0"/>
        <w:ind w:left="0" w:right="0" w:hanging="0"/>
        <w:jc w:val="center"/>
        <w:rPr/>
      </w:pPr>
      <w:r>
        <w:rPr/>
        <w:drawing>
          <wp:inline distT="0" distB="0" distL="0" distR="0">
            <wp:extent cx="6477000" cy="8382000"/>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embed="rId112"/>
                    <a:stretch>
                      <a:fillRect/>
                    </a:stretch>
                  </pic:blipFill>
                  <pic:spPr bwMode="auto">
                    <a:xfrm>
                      <a:off x="0" y="0"/>
                      <a:ext cx="6477000" cy="83820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comment w:id="0" w:author="" w:date="2021-03-29T05:18:59Z" w:initials="">
    <w:p>
      <w:r>
        <w:rPr>
          <w:rFonts w:eastAsia="DejaVu Sans"/>
          <w:lang w:val="en-US" w:eastAsia="en-US" w:bidi="en-US"/>
        </w:rPr>
        <w:t>COMMAND=ADD_TABLEWIDTH,"100%"</w:t>
      </w:r>
    </w:p>
  </w:comment>
  <w:comment w:id="1" w:author="" w:date="2021-03-29T05:18:59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2"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3"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4" w:author="" w:date="2021-03-29T05:18:59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5" w:author="" w:date="2021-03-29T05:18:59Z" w:initials="">
    <w:p>
      <w:r>
        <w:rPr>
          <w:rFonts w:eastAsia="DejaVu Sans"/>
          <w:lang w:val="en-US" w:eastAsia="en-US" w:bidi="en-US"/>
        </w:rPr>
        <w:t>COMMAND=ADD_TABLEWIDTH,"100%"</w:t>
      </w:r>
    </w:p>
  </w:comment>
  <w:comment w:id="6" w:author="" w:date="2021-03-29T05:18:59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7"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8"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9" w:author="" w:date="2021-03-29T05:18:59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10" w:author="" w:date="2021-03-29T05:18:59Z" w:initials="">
    <w:p>
      <w:r>
        <w:rPr>
          <w:rFonts w:eastAsia="DejaVu Sans"/>
          <w:lang w:val="en-US" w:eastAsia="en-US" w:bidi="en-US"/>
        </w:rPr>
        <w:t>COMMAND=ADD_TABLEWIDTH,"100%"</w:t>
      </w:r>
    </w:p>
  </w:comment>
  <w:comment w:id="11" w:author="" w:date="2021-03-29T05:18:59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12"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13"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14" w:author="" w:date="2021-03-29T05:18:59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15" w:author="" w:date="2021-03-29T05:18:59Z" w:initials="">
    <w:p>
      <w:r>
        <w:rPr>
          <w:rFonts w:eastAsia="DejaVu Sans"/>
          <w:lang w:val="en-US" w:eastAsia="en-US" w:bidi="en-US"/>
        </w:rPr>
        <w:t>COMMAND=ADD_TABLEWIDTH,"100%"</w:t>
      </w:r>
    </w:p>
  </w:comment>
  <w:comment w:id="16" w:author="" w:date="2021-03-29T05:18:59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17"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18"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19" w:author="" w:date="2021-03-29T05:18:59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20" w:author="" w:date="2021-03-29T05:18:59Z" w:initials="">
    <w:p>
      <w:r>
        <w:rPr>
          <w:rFonts w:eastAsia="DejaVu Sans"/>
          <w:lang w:val="en-US" w:eastAsia="en-US" w:bidi="en-US"/>
        </w:rPr>
        <w:t>COMMAND=ADD_TABLEWIDTH,"100%"</w:t>
      </w:r>
    </w:p>
  </w:comment>
  <w:comment w:id="21" w:author="" w:date="2021-03-29T05:18:59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22"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23"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24" w:author="" w:date="2021-03-29T05:18:59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25" w:author="" w:date="2021-03-29T05:18:59Z" w:initials="">
    <w:p>
      <w:r>
        <w:rPr>
          <w:rFonts w:eastAsia="DejaVu Sans"/>
          <w:lang w:val="en-US" w:eastAsia="en-US" w:bidi="en-US"/>
        </w:rPr>
        <w:t>COMMAND=ADD_TABLEWIDTH,"100%"</w:t>
      </w:r>
    </w:p>
  </w:comment>
  <w:comment w:id="26" w:author="" w:date="2021-03-29T05:18:59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27"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28"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29" w:author="" w:date="2021-03-29T05:18:59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30" w:author="" w:date="2021-03-29T05:18:59Z" w:initials="">
    <w:p>
      <w:r>
        <w:rPr>
          <w:rFonts w:eastAsia="DejaVu Sans"/>
          <w:lang w:val="en-US" w:eastAsia="en-US" w:bidi="en-US"/>
        </w:rPr>
        <w:t>COMMAND=ADD_TABLEWIDTH,"100%"</w:t>
      </w:r>
    </w:p>
  </w:comment>
  <w:comment w:id="31" w:author="" w:date="2021-03-29T05:18:59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32"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33"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34" w:author="" w:date="2021-03-29T05:18:59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35" w:author="" w:date="2021-03-29T05:18:59Z" w:initials="">
    <w:p>
      <w:r>
        <w:rPr>
          <w:rFonts w:eastAsia="DejaVu Sans"/>
          <w:lang w:val="en-US" w:eastAsia="en-US" w:bidi="en-US"/>
        </w:rPr>
        <w:t>COMMAND=ADD_TABLEWIDTH,"100%"</w:t>
      </w:r>
    </w:p>
  </w:comment>
  <w:comment w:id="36" w:author="" w:date="2021-03-29T05:18:59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37"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38"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39" w:author="" w:date="2021-03-29T05:18:59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40" w:author="" w:date="2021-03-29T05:18:59Z" w:initials="">
    <w:p>
      <w:r>
        <w:rPr>
          <w:rFonts w:eastAsia="DejaVu Sans"/>
          <w:lang w:val="en-US" w:eastAsia="en-US" w:bidi="en-US"/>
        </w:rPr>
        <w:t>COMMAND=ADD_TABLEWIDTH,"100%"</w:t>
      </w:r>
    </w:p>
  </w:comment>
  <w:comment w:id="41" w:author="" w:date="2021-03-29T05:18:59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42"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43"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44" w:author="" w:date="2021-03-29T05:18:59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45" w:author="" w:date="2021-03-29T05:18:59Z" w:initials="">
    <w:p>
      <w:r>
        <w:rPr>
          <w:rFonts w:eastAsia="DejaVu Sans"/>
          <w:lang w:val="en-US" w:eastAsia="en-US" w:bidi="en-US"/>
        </w:rPr>
        <w:t>COMMAND=ADD_TABLEWIDTH,"100%"</w:t>
      </w:r>
    </w:p>
  </w:comment>
  <w:comment w:id="46" w:author="" w:date="2021-03-29T05:18:59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47"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48"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49" w:author="" w:date="2021-03-29T05:18:59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50" w:author="" w:date="2021-03-29T05:18:59Z" w:initials="">
    <w:p>
      <w:r>
        <w:rPr>
          <w:rFonts w:eastAsia="DejaVu Sans"/>
          <w:lang w:val="en-US" w:eastAsia="en-US" w:bidi="en-US"/>
        </w:rPr>
        <w:t>COMMAND=ADD_TABLEWIDTH,"100%"</w:t>
      </w:r>
    </w:p>
  </w:comment>
  <w:comment w:id="51" w:author="" w:date="2021-03-29T05:18:59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52"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53"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54" w:author="" w:date="2021-03-29T05:18:59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55" w:author="" w:date="2021-03-29T05:18:59Z" w:initials="">
    <w:p>
      <w:r>
        <w:rPr>
          <w:rFonts w:eastAsia="DejaVu Sans"/>
          <w:lang w:val="en-US" w:eastAsia="en-US" w:bidi="en-US"/>
        </w:rPr>
        <w:t>COMMAND=ADD_TABLEWIDTH,"100%"</w:t>
      </w:r>
    </w:p>
  </w:comment>
  <w:comment w:id="56" w:author="" w:date="2021-03-29T05:18:59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57"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58"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59" w:author="" w:date="2021-03-29T05:18:59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60" w:author="" w:date="2021-03-29T05:18:59Z" w:initials="">
    <w:p>
      <w:r>
        <w:rPr>
          <w:rFonts w:eastAsia="DejaVu Sans"/>
          <w:lang w:val="en-US" w:eastAsia="en-US" w:bidi="en-US"/>
        </w:rPr>
        <w:t>COMMAND=ADD_TABLEWIDTH,"100%"</w:t>
      </w:r>
    </w:p>
  </w:comment>
  <w:comment w:id="61" w:author="" w:date="2021-03-29T05:18:59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62"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63"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64" w:author="" w:date="2021-03-29T05:18:59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65" w:author="" w:date="2021-03-29T05:18:59Z" w:initials="">
    <w:p>
      <w:r>
        <w:rPr>
          <w:rFonts w:eastAsia="DejaVu Sans"/>
          <w:lang w:val="en-US" w:eastAsia="en-US" w:bidi="en-US"/>
        </w:rPr>
        <w:t>COMMAND=ADD_TABLEWIDTH,"100%"</w:t>
      </w:r>
    </w:p>
  </w:comment>
  <w:comment w:id="66" w:author="" w:date="2021-03-29T05:18:59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67"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68"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69" w:author="" w:date="2021-03-29T05:18:59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70" w:author="" w:date="2021-03-29T05:18:59Z" w:initials="">
    <w:p>
      <w:r>
        <w:rPr>
          <w:rFonts w:eastAsia="DejaVu Sans"/>
          <w:lang w:val="en-US" w:eastAsia="en-US" w:bidi="en-US"/>
        </w:rPr>
        <w:t>COMMAND=ADD_TABLEWIDTH,"100%"</w:t>
      </w:r>
    </w:p>
  </w:comment>
  <w:comment w:id="71" w:author="" w:date="2021-03-29T05:18:59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72"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73"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74" w:author="" w:date="2021-03-29T05:18:59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75" w:author="" w:date="2021-03-29T05:18:59Z" w:initials="">
    <w:p>
      <w:r>
        <w:rPr>
          <w:rFonts w:eastAsia="DejaVu Sans"/>
          <w:lang w:val="en-US" w:eastAsia="en-US" w:bidi="en-US"/>
        </w:rPr>
        <w:t>COMMAND=ADD_TABLEWIDTH,"100%"</w:t>
      </w:r>
    </w:p>
  </w:comment>
  <w:comment w:id="76" w:author="" w:date="2021-03-29T05:18:59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77"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78"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79" w:author="" w:date="2021-03-29T05:18:59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80" w:author="" w:date="2021-03-29T05:18:59Z" w:initials="">
    <w:p>
      <w:r>
        <w:rPr>
          <w:rFonts w:eastAsia="DejaVu Sans"/>
          <w:lang w:val="en-US" w:eastAsia="en-US" w:bidi="en-US"/>
        </w:rPr>
        <w:t>COMMAND=ADD_TABLEWIDTH,"100%"</w:t>
      </w:r>
    </w:p>
  </w:comment>
  <w:comment w:id="81" w:author="" w:date="2021-03-29T05:18:59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82"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83"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84" w:author="" w:date="2021-03-29T05:18:59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85" w:author="" w:date="2021-03-29T05:18:59Z" w:initials="">
    <w:p>
      <w:r>
        <w:rPr>
          <w:rFonts w:eastAsia="DejaVu Sans"/>
          <w:lang w:val="en-US" w:eastAsia="en-US" w:bidi="en-US"/>
        </w:rPr>
        <w:t>COMMAND=ADD_TABLEWIDTH,"100%"</w:t>
      </w:r>
    </w:p>
  </w:comment>
  <w:comment w:id="86" w:author="" w:date="2021-03-29T05:18:59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87"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88"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89" w:author="" w:date="2021-03-29T05:18:59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90" w:author="" w:date="2021-03-29T05:18:59Z" w:initials="">
    <w:p>
      <w:r>
        <w:rPr>
          <w:rFonts w:eastAsia="DejaVu Sans"/>
          <w:lang w:val="en-US" w:eastAsia="en-US" w:bidi="en-US"/>
        </w:rPr>
        <w:t>COMMAND=ADD_TABLEWIDTH,"100%"</w:t>
      </w:r>
    </w:p>
  </w:comment>
  <w:comment w:id="91" w:author="" w:date="2021-03-29T05:18:59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92"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93"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94" w:author="" w:date="2021-03-29T05:18:59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95" w:author="" w:date="2021-03-29T05:18:59Z" w:initials="">
    <w:p>
      <w:r>
        <w:rPr>
          <w:rFonts w:eastAsia="DejaVu Sans"/>
          <w:lang w:val="en-US" w:eastAsia="en-US" w:bidi="en-US"/>
        </w:rPr>
        <w:t>COMMAND=ADD_TABLEWIDTH,"100%"</w:t>
      </w:r>
    </w:p>
  </w:comment>
  <w:comment w:id="96" w:author="" w:date="2021-03-29T05:18:59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97"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98"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99" w:author="" w:date="2021-03-29T05:18:59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100" w:author="" w:date="2021-03-29T05:18:59Z" w:initials="">
    <w:p>
      <w:r>
        <w:rPr>
          <w:rFonts w:eastAsia="DejaVu Sans"/>
          <w:lang w:val="en-US" w:eastAsia="en-US" w:bidi="en-US"/>
        </w:rPr>
        <w:t>COMMAND=ADD_TABLEWIDTH,"100%"</w:t>
      </w:r>
    </w:p>
  </w:comment>
  <w:comment w:id="101" w:author="" w:date="2021-03-29T05:18:59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102"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103"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104" w:author="" w:date="2021-03-29T05:18:59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105" w:author="" w:date="2021-03-29T05:18:59Z" w:initials="">
    <w:p>
      <w:r>
        <w:rPr>
          <w:rFonts w:eastAsia="DejaVu Sans"/>
          <w:lang w:val="en-US" w:eastAsia="en-US" w:bidi="en-US"/>
        </w:rPr>
        <w:t>COMMAND=ADD_TABLEWIDTH,"100%"</w:t>
      </w:r>
    </w:p>
  </w:comment>
  <w:comment w:id="106" w:author="" w:date="2021-03-29T05:18:59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107"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108"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109" w:author="" w:date="2021-03-29T05:18:59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110" w:author="" w:date="2021-03-29T05:18:59Z" w:initials="">
    <w:p>
      <w:r>
        <w:rPr>
          <w:rFonts w:eastAsia="DejaVu Sans"/>
          <w:lang w:val="en-US" w:eastAsia="en-US" w:bidi="en-US"/>
        </w:rPr>
        <w:t>COMMAND=ADD_TABLEWIDTH,"100%"</w:t>
      </w:r>
    </w:p>
  </w:comment>
  <w:comment w:id="111" w:author="" w:date="2021-03-29T05:18:59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112"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113"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114" w:author="" w:date="2021-03-29T05:18:59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115" w:author="" w:date="2021-03-29T05:18:59Z" w:initials="">
    <w:p>
      <w:r>
        <w:rPr>
          <w:rFonts w:eastAsia="DejaVu Sans"/>
          <w:lang w:val="en-US" w:eastAsia="en-US" w:bidi="en-US"/>
        </w:rPr>
        <w:t>COMMAND=ADD_TABLEWIDTH,"100%"</w:t>
      </w:r>
    </w:p>
  </w:comment>
  <w:comment w:id="116" w:author="" w:date="2021-03-29T05:18:59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117"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118"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119" w:author="" w:date="2021-03-29T05:18:59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120" w:author="" w:date="2021-03-29T05:18:59Z" w:initials="">
    <w:p>
      <w:r>
        <w:rPr>
          <w:rFonts w:eastAsia="DejaVu Sans"/>
          <w:lang w:val="en-US" w:eastAsia="en-US" w:bidi="en-US"/>
        </w:rPr>
        <w:t>COMMAND=ADD_TABLEWIDTH,"100%"</w:t>
      </w:r>
    </w:p>
  </w:comment>
  <w:comment w:id="121" w:author="" w:date="2021-03-29T05:18:59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122"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123"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124" w:author="" w:date="2021-03-29T05:18:59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125" w:author="" w:date="2021-03-29T05:18:59Z" w:initials="">
    <w:p>
      <w:r>
        <w:rPr>
          <w:rFonts w:eastAsia="DejaVu Sans"/>
          <w:lang w:val="en-US" w:eastAsia="en-US" w:bidi="en-US"/>
        </w:rPr>
        <w:t>COMMAND=ADD_TABLEWIDTH,"100%"</w:t>
      </w:r>
    </w:p>
  </w:comment>
  <w:comment w:id="126" w:author="" w:date="2021-03-29T05:18:59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127"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128"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129" w:author="" w:date="2021-03-29T05:18:59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130" w:author="" w:date="2021-03-29T05:18:59Z" w:initials="">
    <w:p>
      <w:r>
        <w:rPr>
          <w:rFonts w:eastAsia="DejaVu Sans"/>
          <w:lang w:val="en-US" w:eastAsia="en-US" w:bidi="en-US"/>
        </w:rPr>
        <w:t>COMMAND=ADD_TABLEWIDTH,"100%"</w:t>
      </w:r>
    </w:p>
  </w:comment>
  <w:comment w:id="131" w:author="" w:date="2021-03-29T05:18:59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132"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133"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134" w:author="" w:date="2021-03-29T05:18:59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135" w:author="" w:date="2021-03-29T05:18:59Z" w:initials="">
    <w:p>
      <w:r>
        <w:rPr>
          <w:rFonts w:eastAsia="DejaVu Sans"/>
          <w:lang w:val="en-US" w:eastAsia="en-US" w:bidi="en-US"/>
        </w:rPr>
        <w:t>COMMAND=ADD_TABLEWIDTH,"100%"</w:t>
      </w:r>
    </w:p>
  </w:comment>
  <w:comment w:id="136" w:author="" w:date="2021-03-29T05:18:59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137"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138"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139" w:author="" w:date="2021-03-29T05:18:59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140" w:author="" w:date="2021-03-29T05:18:59Z" w:initials="">
    <w:p>
      <w:r>
        <w:rPr>
          <w:rFonts w:eastAsia="DejaVu Sans"/>
          <w:lang w:val="en-US" w:eastAsia="en-US" w:bidi="en-US"/>
        </w:rPr>
        <w:t>COMMAND=ADD_TABLEWIDTH,"100%"</w:t>
      </w:r>
    </w:p>
  </w:comment>
  <w:comment w:id="141" w:author="" w:date="2021-03-29T05:18:59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142"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143"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144" w:author="" w:date="2021-03-29T05:18:59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145" w:author="" w:date="2021-03-29T05:18:59Z" w:initials="">
    <w:p>
      <w:r>
        <w:rPr>
          <w:rFonts w:eastAsia="DejaVu Sans"/>
          <w:lang w:val="en-US" w:eastAsia="en-US" w:bidi="en-US"/>
        </w:rPr>
        <w:t>COMMAND=ADD_TABLEWIDTH,"100%"</w:t>
      </w:r>
    </w:p>
  </w:comment>
  <w:comment w:id="146" w:author="" w:date="2021-03-29T05:18:59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147"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148"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149" w:author="" w:date="2021-03-29T05:18:59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150" w:author="" w:date="2021-03-29T05:18:59Z" w:initials="">
    <w:p>
      <w:r>
        <w:rPr>
          <w:rFonts w:eastAsia="DejaVu Sans"/>
          <w:lang w:val="en-US" w:eastAsia="en-US" w:bidi="en-US"/>
        </w:rPr>
        <w:t>COMMAND=ADD_TABLEWIDTH,"100%"</w:t>
      </w:r>
    </w:p>
  </w:comment>
  <w:comment w:id="151" w:author="" w:date="2021-03-29T05:18:59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152"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153"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154" w:author="" w:date="2021-03-29T05:18:59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155" w:author="" w:date="2021-03-29T05:18:59Z" w:initials="">
    <w:p>
      <w:r>
        <w:rPr>
          <w:rFonts w:eastAsia="DejaVu Sans"/>
          <w:lang w:val="en-US" w:eastAsia="en-US" w:bidi="en-US"/>
        </w:rPr>
        <w:t>COMMAND=ADD_TABLEWIDTH,"100%"</w:t>
      </w:r>
    </w:p>
  </w:comment>
  <w:comment w:id="156" w:author="" w:date="2021-03-29T05:18:59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157"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158"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159" w:author="" w:date="2021-03-29T05:18:59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160" w:author="" w:date="2021-03-29T05:18:59Z" w:initials="">
    <w:p>
      <w:r>
        <w:rPr>
          <w:rFonts w:eastAsia="DejaVu Sans"/>
          <w:lang w:val="en-US" w:eastAsia="en-US" w:bidi="en-US"/>
        </w:rPr>
        <w:t>COMMAND=ADD_TABLEWIDTH,"100%"</w:t>
      </w:r>
    </w:p>
  </w:comment>
  <w:comment w:id="161" w:author="" w:date="2021-03-29T05:18:59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162"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163"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164" w:author="" w:date="2021-03-29T05:18:59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165" w:author="" w:date="2021-03-29T05:18:59Z" w:initials="">
    <w:p>
      <w:r>
        <w:rPr>
          <w:rFonts w:eastAsia="DejaVu Sans"/>
          <w:lang w:val="en-US" w:eastAsia="en-US" w:bidi="en-US"/>
        </w:rPr>
        <w:t>COMMAND=ADD_TABLEWIDTH,"100%"</w:t>
      </w:r>
    </w:p>
  </w:comment>
  <w:comment w:id="166" w:author="" w:date="2021-03-29T05:18:59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167"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168"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169" w:author="" w:date="2021-03-29T05:18:59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170" w:author="" w:date="2021-03-29T05:18:59Z" w:initials="">
    <w:p>
      <w:r>
        <w:rPr>
          <w:rFonts w:eastAsia="DejaVu Sans"/>
          <w:lang w:val="en-US" w:eastAsia="en-US" w:bidi="en-US"/>
        </w:rPr>
        <w:t>COMMAND=ADD_TABLEWIDTH,"100%"</w:t>
      </w:r>
    </w:p>
  </w:comment>
  <w:comment w:id="171" w:author="" w:date="2021-03-29T05:18:59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172"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173"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174" w:author="" w:date="2021-03-29T05:18:59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175" w:author="" w:date="2021-03-29T05:18:59Z" w:initials="">
    <w:p>
      <w:r>
        <w:rPr>
          <w:rFonts w:eastAsia="DejaVu Sans"/>
          <w:lang w:val="en-US" w:eastAsia="en-US" w:bidi="en-US"/>
        </w:rPr>
        <w:t>COMMAND=ADD_TABLEWIDTH,"100%"</w:t>
      </w:r>
    </w:p>
  </w:comment>
  <w:comment w:id="176" w:author="" w:date="2021-03-29T05:18:59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177"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178"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179" w:author="" w:date="2021-03-29T05:18:59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180" w:author="" w:date="2021-03-29T05:18:59Z" w:initials="">
    <w:p>
      <w:r>
        <w:rPr>
          <w:rFonts w:eastAsia="DejaVu Sans"/>
          <w:lang w:val="en-US" w:eastAsia="en-US" w:bidi="en-US"/>
        </w:rPr>
        <w:t>COMMAND=ADD_TABLEWIDTH,"100%"</w:t>
      </w:r>
    </w:p>
  </w:comment>
  <w:comment w:id="181" w:author="" w:date="2021-03-29T05:18:59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182"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183"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184" w:author="" w:date="2021-03-29T05:18:59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185" w:author="" w:date="2021-03-29T05:18:59Z" w:initials="">
    <w:p>
      <w:r>
        <w:rPr>
          <w:rFonts w:eastAsia="DejaVu Sans"/>
          <w:lang w:val="en-US" w:eastAsia="en-US" w:bidi="en-US"/>
        </w:rPr>
        <w:t>COMMAND=ADD_TABLEWIDTH,"100%"</w:t>
      </w:r>
    </w:p>
  </w:comment>
  <w:comment w:id="186" w:author="" w:date="2021-03-29T05:18:59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187"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188"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189" w:author="" w:date="2021-03-29T05:18:59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190" w:author="" w:date="2021-03-29T05:18:59Z" w:initials="">
    <w:p>
      <w:r>
        <w:rPr>
          <w:rFonts w:eastAsia="DejaVu Sans"/>
          <w:lang w:val="en-US" w:eastAsia="en-US" w:bidi="en-US"/>
        </w:rPr>
        <w:t>COMMAND=ADD_TABLEWIDTH,"100%"</w:t>
      </w:r>
    </w:p>
  </w:comment>
  <w:comment w:id="191" w:author="" w:date="2021-03-29T05:18:59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192"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193"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194" w:author="" w:date="2021-03-29T05:18:59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195" w:author="" w:date="2021-03-29T05:18:59Z" w:initials="">
    <w:p>
      <w:r>
        <w:rPr>
          <w:rFonts w:eastAsia="DejaVu Sans"/>
          <w:lang w:val="en-US" w:eastAsia="en-US" w:bidi="en-US"/>
        </w:rPr>
        <w:t>COMMAND=ADD_TABLEWIDTH,"100%"</w:t>
      </w:r>
    </w:p>
  </w:comment>
  <w:comment w:id="196" w:author="" w:date="2021-03-29T05:18:59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197"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198"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199" w:author="" w:date="2021-03-29T05:18:59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200" w:author="" w:date="2021-03-29T05:18:59Z" w:initials="">
    <w:p>
      <w:r>
        <w:rPr>
          <w:rFonts w:eastAsia="DejaVu Sans"/>
          <w:lang w:val="en-US" w:eastAsia="en-US" w:bidi="en-US"/>
        </w:rPr>
        <w:t>COMMAND=ADD_TABLEWIDTH,"100%"</w:t>
      </w:r>
    </w:p>
  </w:comment>
  <w:comment w:id="201" w:author="" w:date="2021-03-29T05:18:59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202"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203"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204" w:author="" w:date="2021-03-29T05:18:59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205" w:author="" w:date="2021-03-29T05:18:59Z" w:initials="">
    <w:p>
      <w:r>
        <w:rPr>
          <w:rFonts w:eastAsia="DejaVu Sans"/>
          <w:lang w:val="en-US" w:eastAsia="en-US" w:bidi="en-US"/>
        </w:rPr>
        <w:t>COMMAND=ADD_TABLEWIDTH,"100%"</w:t>
      </w:r>
    </w:p>
  </w:comment>
  <w:comment w:id="206" w:author="" w:date="2021-03-29T05:18:59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207"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208"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209" w:author="" w:date="2021-03-29T05:18:59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210" w:author="" w:date="2021-03-29T05:18:59Z" w:initials="">
    <w:p>
      <w:r>
        <w:rPr>
          <w:rFonts w:eastAsia="DejaVu Sans"/>
          <w:lang w:val="en-US" w:eastAsia="en-US" w:bidi="en-US"/>
        </w:rPr>
        <w:t>COMMAND=ADD_TABLEWIDTH,"100%"</w:t>
      </w:r>
    </w:p>
  </w:comment>
  <w:comment w:id="211" w:author="" w:date="2021-03-29T05:18:59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212"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213"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214" w:author="" w:date="2021-03-29T05:18:59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215" w:author="" w:date="2021-03-29T05:18:59Z" w:initials="">
    <w:p>
      <w:r>
        <w:rPr>
          <w:rFonts w:eastAsia="DejaVu Sans"/>
          <w:lang w:val="en-US" w:eastAsia="en-US" w:bidi="en-US"/>
        </w:rPr>
        <w:t>COMMAND=ADD_TABLEWIDTH,"100%"</w:t>
      </w:r>
    </w:p>
  </w:comment>
  <w:comment w:id="216" w:author="" w:date="2021-03-29T05:18:59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217"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218"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219" w:author="" w:date="2021-03-29T05:18:59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220" w:author="" w:date="2021-03-29T05:18:59Z" w:initials="">
    <w:p>
      <w:r>
        <w:rPr>
          <w:rFonts w:eastAsia="DejaVu Sans"/>
          <w:lang w:val="en-US" w:eastAsia="en-US" w:bidi="en-US"/>
        </w:rPr>
        <w:t>COMMAND=ADD_TABLEWIDTH,"100%"</w:t>
      </w:r>
    </w:p>
  </w:comment>
  <w:comment w:id="221" w:author="" w:date="2021-03-29T05:18:59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222"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223"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224" w:author="" w:date="2021-03-29T05:18:59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225" w:author="" w:date="2021-03-29T05:18:59Z" w:initials="">
    <w:p>
      <w:r>
        <w:rPr>
          <w:rFonts w:eastAsia="DejaVu Sans"/>
          <w:lang w:val="en-US" w:eastAsia="en-US" w:bidi="en-US"/>
        </w:rPr>
        <w:t>COMMAND=ADD_TABLEWIDTH,"100%"</w:t>
      </w:r>
    </w:p>
  </w:comment>
  <w:comment w:id="226" w:author="" w:date="2021-03-29T05:18:59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227"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228" w:author="" w:date="2021-03-29T05:18:59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229" w:author="" w:date="2021-03-29T05:18:59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230" w:author="" w:date="2021-03-29T05:19:00Z" w:initials="">
    <w:p>
      <w:r>
        <w:rPr>
          <w:rFonts w:eastAsia="DejaVu Sans"/>
          <w:lang w:val="en-US" w:eastAsia="en-US" w:bidi="en-US"/>
        </w:rPr>
        <w:t>COMMAND=ADD_TABLEWIDTH,"100%"</w:t>
      </w:r>
    </w:p>
  </w:comment>
  <w:comment w:id="231" w:author="" w:date="2021-03-29T05:19:00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232" w:author="" w:date="2021-03-29T05:19:00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233" w:author="" w:date="2021-03-29T05:19:00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234" w:author="" w:date="2021-03-29T05:19:00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235" w:author="" w:date="2021-03-29T05:19:00Z" w:initials="">
    <w:p>
      <w:r>
        <w:rPr>
          <w:rFonts w:eastAsia="DejaVu Sans"/>
          <w:lang w:val="en-US" w:eastAsia="en-US" w:bidi="en-US"/>
        </w:rPr>
        <w:t>COMMAND=ADD_TABLEWIDTH,"100%"</w:t>
      </w:r>
    </w:p>
  </w:comment>
  <w:comment w:id="236" w:author="" w:date="2021-03-29T05:19:00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237" w:author="" w:date="2021-03-29T05:19:00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238" w:author="" w:date="2021-03-29T05:19:00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239" w:author="" w:date="2021-03-29T05:19:00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240" w:author="" w:date="2021-03-29T05:19:00Z" w:initials="">
    <w:p>
      <w:r>
        <w:rPr>
          <w:rFonts w:eastAsia="DejaVu Sans"/>
          <w:lang w:val="en-US" w:eastAsia="en-US" w:bidi="en-US"/>
        </w:rPr>
        <w:t>COMMAND=ADD_TABLEWIDTH,"100%"</w:t>
      </w:r>
    </w:p>
  </w:comment>
  <w:comment w:id="241" w:author="" w:date="2021-03-29T05:19:00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242" w:author="" w:date="2021-03-29T05:19:00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243" w:author="" w:date="2021-03-29T05:19:00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244" w:author="" w:date="2021-03-29T05:19:00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245" w:author="" w:date="2021-03-29T05:19:00Z" w:initials="">
    <w:p>
      <w:r>
        <w:rPr>
          <w:rFonts w:eastAsia="DejaVu Sans"/>
          <w:lang w:val="en-US" w:eastAsia="en-US" w:bidi="en-US"/>
        </w:rPr>
        <w:t>COMMAND=ADD_TABLEWIDTH,"100%"</w:t>
      </w:r>
    </w:p>
  </w:comment>
  <w:comment w:id="246" w:author="" w:date="2021-03-29T05:19:00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247" w:author="" w:date="2021-03-29T05:19:00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248" w:author="" w:date="2021-03-29T05:19:00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249" w:author="" w:date="2021-03-29T05:19:00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250" w:author="" w:date="2021-03-29T05:19:00Z" w:initials="">
    <w:p>
      <w:r>
        <w:rPr>
          <w:rFonts w:eastAsia="DejaVu Sans"/>
          <w:lang w:val="en-US" w:eastAsia="en-US" w:bidi="en-US"/>
        </w:rPr>
        <w:t>COMMAND=ADD_TABLEWIDTH,"100%"</w:t>
      </w:r>
    </w:p>
  </w:comment>
  <w:comment w:id="251" w:author="" w:date="2021-03-29T05:19:00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252" w:author="" w:date="2021-03-29T05:19:00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253" w:author="" w:date="2021-03-29T05:19:00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254" w:author="" w:date="2021-03-29T05:19:00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255" w:author="" w:date="2021-03-29T05:19:00Z" w:initials="">
    <w:p>
      <w:r>
        <w:rPr>
          <w:rFonts w:eastAsia="DejaVu Sans"/>
          <w:lang w:val="en-US" w:eastAsia="en-US" w:bidi="en-US"/>
        </w:rPr>
        <w:t>COMMAND=ADD_TABLEWIDTH,"100%"</w:t>
      </w:r>
    </w:p>
  </w:comment>
  <w:comment w:id="256" w:author="" w:date="2021-03-29T05:19:00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257" w:author="" w:date="2021-03-29T05:19:00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258" w:author="" w:date="2021-03-29T05:19:00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259" w:author="" w:date="2021-03-29T05:19:00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260" w:author="" w:date="2021-03-29T05:19:00Z" w:initials="">
    <w:p>
      <w:r>
        <w:rPr>
          <w:rFonts w:eastAsia="DejaVu Sans"/>
          <w:lang w:val="en-US" w:eastAsia="en-US" w:bidi="en-US"/>
        </w:rPr>
        <w:t>COMMAND=ADD_TABLEWIDTH,"100%"</w:t>
      </w:r>
    </w:p>
  </w:comment>
  <w:comment w:id="261" w:author="" w:date="2021-03-29T05:19:00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262" w:author="" w:date="2021-03-29T05:19:00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263" w:author="" w:date="2021-03-29T05:19:00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264" w:author="" w:date="2021-03-29T05:19:00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265" w:author="" w:date="2021-03-29T05:19:00Z" w:initials="">
    <w:p>
      <w:r>
        <w:rPr>
          <w:rFonts w:eastAsia="DejaVu Sans"/>
          <w:lang w:val="en-US" w:eastAsia="en-US" w:bidi="en-US"/>
        </w:rPr>
        <w:t>COMMAND=ADD_TABLEWIDTH,"100%"</w:t>
      </w:r>
    </w:p>
  </w:comment>
  <w:comment w:id="266" w:author="" w:date="2021-03-29T05:19:00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267" w:author="" w:date="2021-03-29T05:19:00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268" w:author="" w:date="2021-03-29T05:19:00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269" w:author="" w:date="2021-03-29T05:19:00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270" w:author="" w:date="2021-03-29T05:19:00Z" w:initials="">
    <w:p>
      <w:r>
        <w:rPr>
          <w:rFonts w:eastAsia="DejaVu Sans"/>
          <w:lang w:val="en-US" w:eastAsia="en-US" w:bidi="en-US"/>
        </w:rPr>
        <w:t>COMMAND=ADD_TABLEWIDTH,"100%"</w:t>
      </w:r>
    </w:p>
  </w:comment>
  <w:comment w:id="271" w:author="" w:date="2021-03-29T05:19:00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272" w:author="" w:date="2021-03-29T05:19:00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273" w:author="" w:date="2021-03-29T05:19:00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274" w:author="" w:date="2021-03-29T05:19:00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275" w:author="" w:date="2021-03-29T05:19:00Z" w:initials="">
    <w:p>
      <w:r>
        <w:rPr>
          <w:rFonts w:eastAsia="DejaVu Sans"/>
          <w:lang w:val="en-US" w:eastAsia="en-US" w:bidi="en-US"/>
        </w:rPr>
        <w:t>COMMAND=ADD_TABLEWIDTH,"100%"</w:t>
      </w:r>
    </w:p>
  </w:comment>
  <w:comment w:id="276" w:author="" w:date="2021-03-29T05:19:00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277" w:author="" w:date="2021-03-29T05:19:00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278" w:author="" w:date="2021-03-29T05:19:00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279" w:author="" w:date="2021-03-29T05:19:00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280" w:author="" w:date="2021-03-29T05:19:00Z" w:initials="">
    <w:p>
      <w:r>
        <w:rPr>
          <w:rFonts w:eastAsia="DejaVu Sans"/>
          <w:lang w:val="en-US" w:eastAsia="en-US" w:bidi="en-US"/>
        </w:rPr>
        <w:t>COMMAND=ADD_TABLEWIDTH,"100%"</w:t>
      </w:r>
    </w:p>
  </w:comment>
  <w:comment w:id="281" w:author="" w:date="2021-03-29T05:19:00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282" w:author="" w:date="2021-03-29T05:19:00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283" w:author="" w:date="2021-03-29T05:19:00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284" w:author="" w:date="2021-03-29T05:19:00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285" w:author="" w:date="2021-03-29T05:19:00Z" w:initials="">
    <w:p>
      <w:r>
        <w:rPr>
          <w:rFonts w:eastAsia="DejaVu Sans"/>
          <w:lang w:val="en-US" w:eastAsia="en-US" w:bidi="en-US"/>
        </w:rPr>
        <w:t>COMMAND=ADD_TABLEWIDTH,"100%"</w:t>
      </w:r>
    </w:p>
  </w:comment>
  <w:comment w:id="286" w:author="" w:date="2021-03-29T05:19:00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287" w:author="" w:date="2021-03-29T05:19:00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288" w:author="" w:date="2021-03-29T05:19:00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289" w:author="" w:date="2021-03-29T05:19:00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290" w:author="" w:date="2021-03-29T05:19:00Z" w:initials="">
    <w:p>
      <w:r>
        <w:rPr>
          <w:rFonts w:eastAsia="DejaVu Sans"/>
          <w:lang w:val="en-US" w:eastAsia="en-US" w:bidi="en-US"/>
        </w:rPr>
        <w:t>COMMAND=ADD_TABLEWIDTH,"100%"</w:t>
      </w:r>
    </w:p>
  </w:comment>
  <w:comment w:id="291" w:author="" w:date="2021-03-29T05:19:00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292" w:author="" w:date="2021-03-29T05:19:00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293" w:author="" w:date="2021-03-29T05:19:00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294" w:author="" w:date="2021-03-29T05:19:00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295" w:author="" w:date="2021-03-29T05:19:00Z" w:initials="">
    <w:p>
      <w:r>
        <w:rPr>
          <w:rFonts w:eastAsia="DejaVu Sans"/>
          <w:lang w:val="en-US" w:eastAsia="en-US" w:bidi="en-US"/>
        </w:rPr>
        <w:t>COMMAND=ADD_TABLEWIDTH,"100%"</w:t>
      </w:r>
    </w:p>
  </w:comment>
  <w:comment w:id="296" w:author="" w:date="2021-03-29T05:19:00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297" w:author="" w:date="2021-03-29T05:19:00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298" w:author="" w:date="2021-03-29T05:19:00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299" w:author="" w:date="2021-03-29T05:19:00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300" w:author="" w:date="2021-03-29T05:19:00Z" w:initials="">
    <w:p>
      <w:r>
        <w:rPr>
          <w:rFonts w:eastAsia="DejaVu Sans"/>
          <w:lang w:val="en-US" w:eastAsia="en-US" w:bidi="en-US"/>
        </w:rPr>
        <w:t>COMMAND=ADD_TABLEWIDTH,"100%"</w:t>
      </w:r>
    </w:p>
  </w:comment>
  <w:comment w:id="301" w:author="" w:date="2021-03-29T05:19:00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302" w:author="" w:date="2021-03-29T05:19:00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303" w:author="" w:date="2021-03-29T05:19:00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304" w:author="" w:date="2021-03-29T05:19:00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305" w:author="" w:date="2021-03-29T05:19:00Z" w:initials="">
    <w:p>
      <w:r>
        <w:rPr>
          <w:rFonts w:eastAsia="DejaVu Sans"/>
          <w:lang w:val="en-US" w:eastAsia="en-US" w:bidi="en-US"/>
        </w:rPr>
        <w:t>COMMAND=ADD_TABLEWIDTH,"100%"</w:t>
      </w:r>
    </w:p>
  </w:comment>
  <w:comment w:id="306" w:author="" w:date="2021-03-29T05:19:00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307" w:author="" w:date="2021-03-29T05:19:00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308" w:author="" w:date="2021-03-29T05:19:00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309" w:author="" w:date="2021-03-29T05:19:00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310" w:author="" w:date="2021-03-29T05:19:00Z" w:initials="">
    <w:p>
      <w:r>
        <w:rPr>
          <w:rFonts w:eastAsia="DejaVu Sans"/>
          <w:lang w:val="en-US" w:eastAsia="en-US" w:bidi="en-US"/>
        </w:rPr>
        <w:t>COMMAND=ADD_TABLEWIDTH,"100%"</w:t>
      </w:r>
    </w:p>
  </w:comment>
  <w:comment w:id="311" w:author="" w:date="2021-03-29T05:19:00Z" w:initials="">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 w:id="312" w:author="" w:date="2021-03-29T05:19:00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SET</w:t>
      </w:r>
    </w:p>
  </w:comment>
  <w:comment w:id="313" w:author="" w:date="2021-03-29T05:19:00Z" w:initials="">
    <w:p>
      <w:r>
        <w:rPr>
          <w:rFonts w:eastAsia="DejaVu Sans"/>
          <w:lang w:val="en-US" w:eastAsia="en-US" w:bidi="en-US"/>
        </w:rPr>
        <w:t>TABLE</w:t>
      </w:r>
    </w:p>
    <w:p>
      <w:r>
        <w:rPr>
          <w:rFonts w:eastAsia="DejaVu Sans"/>
          <w:lang w:val="en-US" w:eastAsia="en-US" w:bidi="en-US"/>
        </w:rPr>
        <w:t>COLUMN</w:t>
      </w:r>
    </w:p>
    <w:p>
      <w:r>
        <w:rPr>
          <w:rFonts w:eastAsia="DejaVu Sans"/>
          <w:lang w:val="en-US" w:eastAsia="en-US" w:bidi="en-US"/>
        </w:rPr>
        <w:t>WIDTHS</w:t>
      </w:r>
    </w:p>
    <w:p>
      <w:r>
        <w:rPr>
          <w:rFonts w:eastAsia="DejaVu Sans"/>
          <w:lang w:val="en-US" w:eastAsia="en-US" w:bidi="en-US"/>
        </w:rPr>
        <w:t>END</w:t>
      </w:r>
    </w:p>
  </w:comment>
  <w:comment w:id="314" w:author="" w:date="2021-03-29T05:19:00Z" w:initials="">
    <w:p>
      <w:r>
        <w:rPr>
          <w:rFonts w:eastAsia="DejaVu Sans"/>
          <w:lang w:val="en-US" w:eastAsia="en-US" w:bidi="en-US"/>
        </w:rPr>
        <w:t>end</w:t>
      </w:r>
    </w:p>
    <w:p>
      <w:r>
        <w:rPr>
          <w:rFonts w:eastAsia="DejaVu Sans"/>
          <w:lang w:val="en-US" w:eastAsia="en-US" w:bidi="en-US"/>
        </w:rPr>
        <w:t>of</w:t>
      </w:r>
    </w:p>
    <w:p>
      <w:r>
        <w:rPr>
          <w:rFonts w:eastAsia="DejaVu Sans"/>
          <w:lang w:val="en-US" w:eastAsia="en-US" w:bidi="en-US"/>
        </w:rPr>
        <w:t>user-specified</w:t>
      </w:r>
    </w:p>
    <w:p>
      <w:r>
        <w:rPr>
          <w:rFonts w:eastAsia="DejaVu Sans"/>
          <w:lang w:val="en-US" w:eastAsia="en-US" w:bidi="en-US"/>
        </w:rPr>
        <w:t>TAGGED</w:t>
      </w:r>
    </w:p>
    <w:p>
      <w:r>
        <w:rPr>
          <w:rFonts w:eastAsia="DejaVu Sans"/>
          <w:lang w:val="en-US" w:eastAsia="en-US" w:bidi="en-US"/>
        </w:rPr>
        <w:t>TABLE</w:t>
      </w:r>
    </w:p>
  </w:comment>
</w:comment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arial">
    <w:charset w:val="00"/>
    <w:family w:val="auto"/>
    <w:pitch w:val="default"/>
  </w:font>
  <w:font w:name="WINGDINGS">
    <w:charset w:val="00"/>
    <w:family w:val="auto"/>
    <w:pitch w:val="default"/>
  </w:font>
  <w:font w:name="Times New Roman">
    <w:charset w:val="00"/>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ListHeading">
    <w:name w:val="List Heading"/>
    <w:basedOn w:val="Normal"/>
    <w:next w:val="ListContents"/>
    <w:qFormat/>
    <w:pPr>
      <w:ind w:left="0" w:right="0" w:hanging="0"/>
    </w:pPr>
    <w:rPr/>
  </w:style>
  <w:style w:type="paragraph" w:styleId="ListContents">
    <w:name w:val="List Contents"/>
    <w:basedOn w:val="Normal"/>
    <w:qFormat/>
    <w:pPr>
      <w:ind w:left="567" w:right="0" w:hanging="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gif"/><Relationship Id="rId112" Type="http://schemas.openxmlformats.org/officeDocument/2006/relationships/image" Target="media/image111.gif"/><Relationship Id="rId113" Type="http://schemas.openxmlformats.org/officeDocument/2006/relationships/comments" Target="comments.xml"/><Relationship Id="rId114" Type="http://schemas.openxmlformats.org/officeDocument/2006/relationships/numbering" Target="numbering.xml"/><Relationship Id="rId115" Type="http://schemas.openxmlformats.org/officeDocument/2006/relationships/fontTable" Target="fontTable.xml"/><Relationship Id="rId1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84</Pages>
  <Words>41938</Words>
  <CharactersWithSpaces>269460</CharactersWithSpaces>
  <Paragraphs>7986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