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UNITED STATES</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SCHEDULE 14A</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of 1934</w:t>
      </w:r>
    </w:p>
    <w:p>
      <w:pPr>
        <w:spacing w:after="0" w:line="118" w:lineRule="exact"/>
        <w:rPr>
          <w:sz w:val="24"/>
          <w:szCs w:val="24"/>
          <w:color w:val="auto"/>
        </w:rPr>
      </w:pPr>
    </w:p>
    <w:p>
      <w:pPr>
        <w:ind w:left="1080"/>
        <w:spacing w:after="0"/>
        <w:rPr>
          <w:sz w:val="20"/>
          <w:szCs w:val="20"/>
          <w:color w:val="auto"/>
        </w:rPr>
      </w:pPr>
      <w:r>
        <w:rPr>
          <w:rFonts w:ascii="Arial" w:cs="Arial" w:eastAsia="Arial" w:hAnsi="Arial"/>
          <w:sz w:val="15"/>
          <w:szCs w:val="15"/>
          <w:color w:val="auto"/>
        </w:rPr>
        <w:t>Filed by the Registrant</w:t>
      </w:r>
    </w:p>
    <w:p>
      <w:pPr>
        <w:spacing w:after="0" w:line="25" w:lineRule="exact"/>
        <w:rPr>
          <w:sz w:val="24"/>
          <w:szCs w:val="24"/>
          <w:color w:val="auto"/>
        </w:rPr>
      </w:pPr>
    </w:p>
    <w:p>
      <w:pPr>
        <w:ind w:left="108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80" w:lineRule="exact"/>
        <w:rPr>
          <w:sz w:val="24"/>
          <w:szCs w:val="24"/>
          <w:color w:val="auto"/>
        </w:rPr>
      </w:pPr>
    </w:p>
    <w:p>
      <w:pPr>
        <w:ind w:left="1080"/>
        <w:spacing w:after="0"/>
        <w:rPr>
          <w:sz w:val="20"/>
          <w:szCs w:val="20"/>
          <w:color w:val="auto"/>
        </w:rPr>
      </w:pPr>
      <w:r>
        <w:rPr>
          <w:rFonts w:ascii="Arial" w:cs="Arial" w:eastAsia="Arial" w:hAnsi="Arial"/>
          <w:sz w:val="15"/>
          <w:szCs w:val="15"/>
          <w:color w:val="auto"/>
        </w:rPr>
        <w:t>Check the appropriate box</w:t>
      </w:r>
    </w:p>
    <w:p>
      <w:pPr>
        <w:spacing w:after="0" w:line="53" w:lineRule="exact"/>
        <w:rPr>
          <w:sz w:val="24"/>
          <w:szCs w:val="24"/>
          <w:color w:val="auto"/>
        </w:rPr>
      </w:pPr>
    </w:p>
    <w:p>
      <w:pPr>
        <w:ind w:left="1380" w:hanging="301"/>
        <w:spacing w:after="0"/>
        <w:tabs>
          <w:tab w:leader="none" w:pos="1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Preliminary Proxy Statement</w:t>
      </w:r>
    </w:p>
    <w:p>
      <w:pPr>
        <w:spacing w:after="0" w:line="45" w:lineRule="exact"/>
        <w:rPr>
          <w:rFonts w:ascii="MS PGothic" w:cs="MS PGothic" w:eastAsia="MS PGothic" w:hAnsi="MS PGothic"/>
          <w:sz w:val="15"/>
          <w:szCs w:val="15"/>
          <w:color w:val="auto"/>
        </w:rPr>
      </w:pPr>
    </w:p>
    <w:p>
      <w:pPr>
        <w:ind w:left="1080" w:right="1719" w:hanging="1"/>
        <w:spacing w:after="0" w:line="209" w:lineRule="exact"/>
        <w:tabs>
          <w:tab w:leader="none" w:pos="1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xml:space="preserve">Confidential, For Use of the Commission only (as permitted by Rule 14a-6(e)(2)) </w:t>
      </w:r>
      <w:r>
        <w:rPr>
          <w:rFonts w:ascii="MS PGothic" w:cs="MS PGothic" w:eastAsia="MS PGothic" w:hAnsi="MS PGothic"/>
          <w:sz w:val="15"/>
          <w:szCs w:val="15"/>
          <w:color w:val="auto"/>
        </w:rPr>
        <w:t>☒</w:t>
      </w:r>
      <w:r>
        <w:rPr>
          <w:rFonts w:ascii="Arial" w:cs="Arial" w:eastAsia="Arial" w:hAnsi="Arial"/>
          <w:sz w:val="15"/>
          <w:szCs w:val="15"/>
          <w:color w:val="auto"/>
        </w:rPr>
        <w:t xml:space="preserve"> Definitive Proxy Statement</w:t>
      </w:r>
    </w:p>
    <w:p>
      <w:pPr>
        <w:ind w:left="1380" w:hanging="301"/>
        <w:spacing w:after="0"/>
        <w:tabs>
          <w:tab w:leader="none" w:pos="1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41" w:lineRule="exact"/>
        <w:rPr>
          <w:rFonts w:ascii="MS PGothic" w:cs="MS PGothic" w:eastAsia="MS PGothic" w:hAnsi="MS PGothic"/>
          <w:sz w:val="15"/>
          <w:szCs w:val="15"/>
          <w:color w:val="auto"/>
        </w:rPr>
      </w:pPr>
    </w:p>
    <w:p>
      <w:pPr>
        <w:ind w:left="1380" w:hanging="301"/>
        <w:spacing w:after="0"/>
        <w:tabs>
          <w:tab w:leader="none" w:pos="1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under §240.14a-12</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685165</wp:posOffset>
            </wp:positionH>
            <wp:positionV relativeFrom="paragraph">
              <wp:posOffset>31750</wp:posOffset>
            </wp:positionV>
            <wp:extent cx="43503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N/A</w:t>
      </w:r>
      <w:r>
        <w:rPr>
          <w:rFonts w:ascii="Arial" w:cs="Arial" w:eastAsia="Arial" w:hAnsi="Arial"/>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685165</wp:posOffset>
            </wp:positionH>
            <wp:positionV relativeFrom="paragraph">
              <wp:posOffset>43180</wp:posOffset>
            </wp:positionV>
            <wp:extent cx="43503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85" w:lineRule="exact"/>
        <w:rPr>
          <w:sz w:val="24"/>
          <w:szCs w:val="24"/>
          <w:color w:val="auto"/>
        </w:rPr>
      </w:pPr>
    </w:p>
    <w:p>
      <w:pPr>
        <w:ind w:left="246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26" w:lineRule="exact"/>
        <w:rPr>
          <w:sz w:val="24"/>
          <w:szCs w:val="24"/>
          <w:color w:val="auto"/>
        </w:rPr>
      </w:pPr>
    </w:p>
    <w:p>
      <w:pPr>
        <w:ind w:left="1080"/>
        <w:spacing w:after="0"/>
        <w:rPr>
          <w:sz w:val="20"/>
          <w:szCs w:val="20"/>
          <w:color w:val="auto"/>
        </w:rPr>
      </w:pPr>
      <w:r>
        <w:rPr>
          <w:rFonts w:ascii="Arial" w:cs="Arial" w:eastAsia="Arial" w:hAnsi="Arial"/>
          <w:sz w:val="15"/>
          <w:szCs w:val="15"/>
          <w:color w:val="auto"/>
        </w:rPr>
        <w:t>Payment of Filing Fee (Check the appropriate box):</w:t>
      </w:r>
    </w:p>
    <w:p>
      <w:pPr>
        <w:spacing w:after="0" w:line="53" w:lineRule="exact"/>
        <w:rPr>
          <w:sz w:val="24"/>
          <w:szCs w:val="24"/>
          <w:color w:val="auto"/>
        </w:rPr>
      </w:pPr>
    </w:p>
    <w:p>
      <w:pPr>
        <w:ind w:left="1380" w:hanging="301"/>
        <w:spacing w:after="0"/>
        <w:tabs>
          <w:tab w:leader="none" w:pos="1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20" w:lineRule="exact"/>
        <w:rPr>
          <w:sz w:val="24"/>
          <w:szCs w:val="24"/>
          <w:color w:val="auto"/>
        </w:rPr>
      </w:pPr>
    </w:p>
    <w:p>
      <w:pPr>
        <w:ind w:left="1380" w:hanging="301"/>
        <w:spacing w:after="0"/>
        <w:tabs>
          <w:tab w:leader="none" w:pos="138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31" w:lineRule="exact"/>
        <w:rPr>
          <w:rFonts w:ascii="MS PGothic" w:cs="MS PGothic" w:eastAsia="MS PGothic" w:hAnsi="MS PGothic"/>
          <w:sz w:val="15"/>
          <w:szCs w:val="15"/>
          <w:color w:val="auto"/>
        </w:rPr>
      </w:pPr>
    </w:p>
    <w:p>
      <w:pPr>
        <w:ind w:left="1380" w:hanging="301"/>
        <w:spacing w:after="0"/>
        <w:tabs>
          <w:tab w:leader="none" w:pos="138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w:t>
      </w:r>
    </w:p>
    <w:p>
      <w:pPr>
        <w:spacing w:after="0" w:line="21" w:lineRule="exact"/>
        <w:rPr>
          <w:rFonts w:ascii="MS PGothic" w:cs="MS PGothic" w:eastAsia="MS PGothic" w:hAnsi="MS PGothic"/>
          <w:sz w:val="15"/>
          <w:szCs w:val="15"/>
          <w:color w:val="auto"/>
        </w:rPr>
      </w:pPr>
    </w:p>
    <w:p>
      <w:pPr>
        <w:ind w:left="1380"/>
        <w:spacing w:after="0"/>
        <w:rPr>
          <w:rFonts w:ascii="MS PGothic" w:cs="MS PGothic" w:eastAsia="MS PGothic" w:hAnsi="MS PGothic"/>
          <w:sz w:val="15"/>
          <w:szCs w:val="15"/>
          <w:color w:val="auto"/>
        </w:rPr>
      </w:pPr>
      <w:r>
        <w:rPr>
          <w:rFonts w:ascii="Arial" w:cs="Arial" w:eastAsia="Arial" w:hAnsi="Arial"/>
          <w:sz w:val="15"/>
          <w:szCs w:val="15"/>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3041015</wp:posOffset>
            </wp:positionV>
            <wp:extent cx="570674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510540</wp:posOffset>
            </wp:positionV>
            <wp:extent cx="1094740" cy="543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4740" cy="54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March 31, 2025</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Dear Fellow Shareholder:</w:t>
      </w:r>
    </w:p>
    <w:p>
      <w:pPr>
        <w:spacing w:after="0" w:line="132" w:lineRule="exact"/>
        <w:rPr>
          <w:sz w:val="20"/>
          <w:szCs w:val="20"/>
          <w:color w:val="auto"/>
        </w:rPr>
      </w:pPr>
    </w:p>
    <w:p>
      <w:pPr>
        <w:ind w:left="1080" w:right="1159"/>
        <w:spacing w:after="0" w:line="256" w:lineRule="auto"/>
        <w:rPr>
          <w:sz w:val="20"/>
          <w:szCs w:val="20"/>
          <w:color w:val="auto"/>
        </w:rPr>
      </w:pPr>
      <w:r>
        <w:rPr>
          <w:rFonts w:ascii="Arial" w:cs="Arial" w:eastAsia="Arial" w:hAnsi="Arial"/>
          <w:sz w:val="15"/>
          <w:szCs w:val="15"/>
          <w:color w:val="auto"/>
        </w:rPr>
        <w:t>On behalf of our Board of Directors, I cordially invite you to attend the Annual General Meeting of Shareholders (the “Annual Meeting”) of Altisource Portfolio Solutions S.A. (the “Company”), which will be held at our registered office located at 33, Boulevard Prince Henri, L-1724 Luxembourg City, Grand Duchy of Luxembourg, on Tuesday, May 13, 2025, at 9:00 a.m. Central European Time. Immediately following, at approximately 9:30 a.m. Central European Time, we will hold an Extraordinary General Meeting of Shareholders before a Luxembourg civil law notary (the “Extraordinary Meeting” and, together with the Annual Meeting, the “Meetings”) at the same location.</w:t>
      </w:r>
    </w:p>
    <w:p>
      <w:pPr>
        <w:spacing w:after="0" w:line="278" w:lineRule="exact"/>
        <w:rPr>
          <w:sz w:val="20"/>
          <w:szCs w:val="20"/>
          <w:color w:val="auto"/>
        </w:rPr>
      </w:pPr>
    </w:p>
    <w:p>
      <w:pPr>
        <w:ind w:left="1080" w:right="1179"/>
        <w:spacing w:after="0" w:line="242" w:lineRule="auto"/>
        <w:rPr>
          <w:sz w:val="20"/>
          <w:szCs w:val="20"/>
          <w:color w:val="auto"/>
        </w:rPr>
      </w:pPr>
      <w:r>
        <w:rPr>
          <w:rFonts w:ascii="Arial" w:cs="Arial" w:eastAsia="Arial" w:hAnsi="Arial"/>
          <w:sz w:val="15"/>
          <w:szCs w:val="15"/>
          <w:color w:val="auto"/>
        </w:rPr>
        <w:t>Your vote is requested to approve the proposals outlined in the attached proxy statement, which include, among other things, matters related to the election of Directors, approval of auditors and financial statements, advisory approval of the compensation of our named executive officers, the consolidation of the Company’s shares, the decrease in share capital through a reduction in par value, establishing a minimum quorum requirement of 33</w:t>
      </w:r>
      <w:r>
        <w:rPr>
          <w:rFonts w:ascii="Arial" w:cs="Arial" w:eastAsia="Arial" w:hAnsi="Arial"/>
          <w:sz w:val="21"/>
          <w:szCs w:val="21"/>
          <w:color w:val="auto"/>
          <w:vertAlign w:val="superscript"/>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for all meetings of shareholders, and other important business. Please refer to the accompanying notices and proxy statement for a detailed description of the proposals to be considered at the Meetings.</w:t>
      </w:r>
    </w:p>
    <w:p>
      <w:pPr>
        <w:spacing w:after="0" w:line="279" w:lineRule="exact"/>
        <w:rPr>
          <w:sz w:val="20"/>
          <w:szCs w:val="20"/>
          <w:color w:val="auto"/>
        </w:rPr>
      </w:pPr>
    </w:p>
    <w:p>
      <w:pPr>
        <w:ind w:left="1080" w:right="1099"/>
        <w:spacing w:after="0" w:line="255" w:lineRule="auto"/>
        <w:rPr>
          <w:sz w:val="20"/>
          <w:szCs w:val="20"/>
          <w:color w:val="auto"/>
        </w:rPr>
      </w:pPr>
      <w:r>
        <w:rPr>
          <w:rFonts w:ascii="Arial" w:cs="Arial" w:eastAsia="Arial" w:hAnsi="Arial"/>
          <w:sz w:val="15"/>
          <w:szCs w:val="15"/>
          <w:color w:val="auto"/>
        </w:rPr>
        <w:t>It is very important that you be present or represented at the Meetings, regardless of the number of shares you own or whether you are able to attend in person. If you are a shareholder of record (that is, you hold your shares in your name with our transfer agent), you may only authorize your proxy by mail. If you are a beneficial holder (i.e., you hold your shares through a bank or broker), please follow the voting instructions you receive from your bank or broker. Many banks and brokers allow beneficial holders to vote over the Internet, by telephone or by mail. Authorizing your proxy in advance will ensure that your vote is counted even if you are unable to attend the Meetings, without preventing you from voting in person.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Thank you for your continued support of Altisource Portfolio Solutions S.A.</w:t>
      </w:r>
    </w:p>
    <w:p>
      <w:pPr>
        <w:spacing w:after="0" w:line="36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150495</wp:posOffset>
            </wp:positionV>
            <wp:extent cx="836930" cy="29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6930" cy="29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William B. Shepro</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1445260</wp:posOffset>
            </wp:positionV>
            <wp:extent cx="570674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 w:name="page3"/>
    <w:bookmarkEnd w:id="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ALTISOURCE PORTFOLIO SOLUTIONS S.A.</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33, Boulevard Prince Henri</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L-1724 Luxembourg City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Grand Duchy of Luxembourg</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R.C.S. Luxembourg B72391</w:t>
      </w:r>
    </w:p>
    <w:p>
      <w:pPr>
        <w:spacing w:after="0" w:line="174" w:lineRule="exact"/>
        <w:rPr>
          <w:sz w:val="20"/>
          <w:szCs w:val="20"/>
          <w:color w:val="auto"/>
        </w:rPr>
      </w:pPr>
    </w:p>
    <w:p>
      <w:pPr>
        <w:jc w:val="center"/>
        <w:ind w:left="2640"/>
        <w:spacing w:after="0" w:line="274" w:lineRule="auto"/>
        <w:rPr>
          <w:sz w:val="20"/>
          <w:szCs w:val="20"/>
          <w:color w:val="auto"/>
        </w:rPr>
      </w:pPr>
      <w:r>
        <w:rPr>
          <w:rFonts w:ascii="Arial" w:cs="Arial" w:eastAsia="Arial" w:hAnsi="Arial"/>
          <w:sz w:val="15"/>
          <w:szCs w:val="15"/>
          <w:b w:val="1"/>
          <w:bCs w:val="1"/>
          <w:color w:val="auto"/>
        </w:rPr>
        <w:t>NOTICE OF ANNUAL GENERAL MEETING OF SHAREHOLDERS AND IMPORTANT NOTICE REGARDING THE AVAILABILITY OF PROXY MATERIALS FOR THE ANNUAL GENERAL MEETING OF SHAREHOLDERS TO BE HELD ON MAY 13, 2025</w:t>
      </w:r>
    </w:p>
    <w:p>
      <w:pPr>
        <w:sectPr>
          <w:pgSz w:w="11900" w:h="16838" w:orient="portrait"/>
          <w:cols w:equalWidth="0" w:num="1">
            <w:col w:w="9019"/>
          </w:cols>
          <w:pgMar w:left="1440" w:top="102" w:right="1440" w:bottom="1440" w:gutter="0" w:footer="0" w:header="0"/>
        </w:sectPr>
      </w:pP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b w:val="1"/>
          <w:bCs w:val="1"/>
          <w:u w:val="single" w:color="auto"/>
          <w:color w:val="auto"/>
        </w:rPr>
        <w:t>NOTICE</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Annual General Meeting of Shareholders (“Annual Meeting”) will be held:</w:t>
      </w:r>
    </w:p>
    <w:p>
      <w:pPr>
        <w:spacing w:after="0" w:line="256"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54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2800" w:type="dxa"/>
            <w:vAlign w:val="bottom"/>
            <w:gridSpan w:val="2"/>
          </w:tcPr>
          <w:p>
            <w:pPr>
              <w:ind w:left="140"/>
              <w:spacing w:after="0"/>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15"/>
                <w:szCs w:val="15"/>
                <w:color w:val="auto"/>
              </w:rPr>
              <w:t>Tuesday, May 13, 2025</w:t>
            </w:r>
          </w:p>
        </w:tc>
        <w:tc>
          <w:tcPr>
            <w:tcW w:w="0" w:type="dxa"/>
            <w:vAlign w:val="bottom"/>
          </w:tcPr>
          <w:p>
            <w:pPr>
              <w:spacing w:after="0"/>
              <w:rPr>
                <w:sz w:val="1"/>
                <w:szCs w:val="1"/>
                <w:color w:val="auto"/>
              </w:rPr>
            </w:pPr>
          </w:p>
        </w:tc>
      </w:tr>
      <w:tr>
        <w:trPr>
          <w:trHeight w:val="150"/>
        </w:trPr>
        <w:tc>
          <w:tcPr>
            <w:tcW w:w="540" w:type="dxa"/>
            <w:vAlign w:val="bottom"/>
          </w:tcPr>
          <w:p>
            <w:pPr>
              <w:spacing w:after="0" w:line="150" w:lineRule="exact"/>
              <w:rPr>
                <w:sz w:val="20"/>
                <w:szCs w:val="20"/>
                <w:color w:val="auto"/>
              </w:rPr>
            </w:pPr>
            <w:r>
              <w:rPr>
                <w:rFonts w:ascii="Arial" w:cs="Arial" w:eastAsia="Arial" w:hAnsi="Arial"/>
                <w:sz w:val="15"/>
                <w:szCs w:val="15"/>
                <w:b w:val="1"/>
                <w:bCs w:val="1"/>
                <w:color w:val="auto"/>
              </w:rPr>
              <w:t>​</w:t>
            </w:r>
          </w:p>
        </w:tc>
        <w:tc>
          <w:tcPr>
            <w:tcW w:w="280" w:type="dxa"/>
            <w:vAlign w:val="bottom"/>
          </w:tcPr>
          <w:p>
            <w:pPr>
              <w:ind w:left="140"/>
              <w:spacing w:after="0" w:line="150" w:lineRule="exact"/>
              <w:rPr>
                <w:sz w:val="20"/>
                <w:szCs w:val="20"/>
                <w:color w:val="auto"/>
              </w:rPr>
            </w:pPr>
            <w:r>
              <w:rPr>
                <w:rFonts w:ascii="Arial" w:cs="Arial" w:eastAsia="Arial" w:hAnsi="Arial"/>
                <w:sz w:val="15"/>
                <w:szCs w:val="15"/>
                <w:b w:val="1"/>
                <w:bCs w:val="1"/>
                <w:color w:val="auto"/>
              </w:rPr>
              <w:t>​ ​</w:t>
            </w:r>
          </w:p>
        </w:tc>
        <w:tc>
          <w:tcPr>
            <w:tcW w:w="2520" w:type="dxa"/>
            <w:vAlign w:val="bottom"/>
            <w:vMerge w:val="restart"/>
          </w:tcPr>
          <w:p>
            <w:pPr>
              <w:ind w:left="20"/>
              <w:spacing w:after="0"/>
              <w:rPr>
                <w:sz w:val="20"/>
                <w:szCs w:val="20"/>
                <w:color w:val="auto"/>
              </w:rPr>
            </w:pPr>
            <w:r>
              <w:rPr>
                <w:rFonts w:ascii="Arial" w:cs="Arial" w:eastAsia="Arial" w:hAnsi="Arial"/>
                <w:sz w:val="15"/>
                <w:szCs w:val="15"/>
                <w:color w:val="auto"/>
              </w:rPr>
              <w:t>9:00 a.m. Central European Time</w:t>
            </w:r>
          </w:p>
        </w:tc>
        <w:tc>
          <w:tcPr>
            <w:tcW w:w="0" w:type="dxa"/>
            <w:vAlign w:val="bottom"/>
          </w:tcPr>
          <w:p>
            <w:pPr>
              <w:spacing w:after="0"/>
              <w:rPr>
                <w:sz w:val="1"/>
                <w:szCs w:val="1"/>
                <w:color w:val="auto"/>
              </w:rPr>
            </w:pPr>
          </w:p>
        </w:tc>
      </w:tr>
      <w:tr>
        <w:trPr>
          <w:trHeight w:val="132"/>
        </w:trPr>
        <w:tc>
          <w:tcPr>
            <w:tcW w:w="540" w:type="dxa"/>
            <w:vAlign w:val="bottom"/>
          </w:tcPr>
          <w:p>
            <w:pPr>
              <w:spacing w:after="0" w:line="132" w:lineRule="exact"/>
              <w:rPr>
                <w:sz w:val="20"/>
                <w:szCs w:val="20"/>
                <w:color w:val="auto"/>
              </w:rPr>
            </w:pPr>
            <w:r>
              <w:rPr>
                <w:rFonts w:ascii="Arial" w:cs="Arial" w:eastAsia="Arial" w:hAnsi="Arial"/>
                <w:sz w:val="15"/>
                <w:szCs w:val="15"/>
                <w:b w:val="1"/>
                <w:bCs w:val="1"/>
                <w:color w:val="auto"/>
              </w:rPr>
              <w:t>Time:</w:t>
            </w:r>
          </w:p>
        </w:tc>
        <w:tc>
          <w:tcPr>
            <w:tcW w:w="28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40" w:type="dxa"/>
            <w:vAlign w:val="bottom"/>
          </w:tcPr>
          <w:p>
            <w:pPr>
              <w:spacing w:after="0" w:line="150" w:lineRule="exact"/>
              <w:rPr>
                <w:sz w:val="20"/>
                <w:szCs w:val="20"/>
                <w:color w:val="auto"/>
              </w:rPr>
            </w:pPr>
            <w:r>
              <w:rPr>
                <w:rFonts w:ascii="Arial" w:cs="Arial" w:eastAsia="Arial" w:hAnsi="Arial"/>
                <w:sz w:val="15"/>
                <w:szCs w:val="15"/>
                <w:color w:val="auto"/>
              </w:rPr>
              <w:t>​</w:t>
            </w:r>
          </w:p>
        </w:tc>
        <w:tc>
          <w:tcPr>
            <w:tcW w:w="280" w:type="dxa"/>
            <w:vAlign w:val="bottom"/>
          </w:tcPr>
          <w:p>
            <w:pPr>
              <w:ind w:left="140"/>
              <w:spacing w:after="0" w:line="150" w:lineRule="exact"/>
              <w:rPr>
                <w:sz w:val="20"/>
                <w:szCs w:val="20"/>
                <w:color w:val="auto"/>
              </w:rPr>
            </w:pPr>
            <w:r>
              <w:rPr>
                <w:rFonts w:ascii="Arial" w:cs="Arial" w:eastAsia="Arial" w:hAnsi="Arial"/>
                <w:sz w:val="15"/>
                <w:szCs w:val="15"/>
                <w:color w:val="auto"/>
              </w:rPr>
              <w:t>​ ​</w:t>
            </w:r>
          </w:p>
        </w:tc>
        <w:tc>
          <w:tcPr>
            <w:tcW w:w="2520" w:type="dxa"/>
            <w:vAlign w:val="bottom"/>
            <w:vMerge w:val="restart"/>
          </w:tcPr>
          <w:p>
            <w:pPr>
              <w:ind w:left="20"/>
              <w:spacing w:after="0"/>
              <w:rPr>
                <w:sz w:val="20"/>
                <w:szCs w:val="20"/>
                <w:color w:val="auto"/>
              </w:rPr>
            </w:pPr>
            <w:r>
              <w:rPr>
                <w:rFonts w:ascii="Arial" w:cs="Arial" w:eastAsia="Arial" w:hAnsi="Arial"/>
                <w:sz w:val="15"/>
                <w:szCs w:val="15"/>
                <w:color w:val="auto"/>
              </w:rPr>
              <w:t>Altisource Portfolio Solutions S.A.</w:t>
            </w:r>
          </w:p>
        </w:tc>
        <w:tc>
          <w:tcPr>
            <w:tcW w:w="0" w:type="dxa"/>
            <w:vAlign w:val="bottom"/>
          </w:tcPr>
          <w:p>
            <w:pPr>
              <w:spacing w:after="0"/>
              <w:rPr>
                <w:sz w:val="1"/>
                <w:szCs w:val="1"/>
                <w:color w:val="auto"/>
              </w:rPr>
            </w:pPr>
          </w:p>
        </w:tc>
      </w:tr>
      <w:tr>
        <w:trPr>
          <w:trHeight w:val="101"/>
        </w:trPr>
        <w:tc>
          <w:tcPr>
            <w:tcW w:w="82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rPr>
              <w:t>Location:</w:t>
            </w: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2220"/>
        <w:spacing w:after="0" w:line="235" w:lineRule="auto"/>
        <w:rPr>
          <w:sz w:val="20"/>
          <w:szCs w:val="20"/>
          <w:color w:val="auto"/>
        </w:rPr>
      </w:pPr>
      <w:r>
        <w:rPr>
          <w:rFonts w:ascii="Arial" w:cs="Arial" w:eastAsia="Arial" w:hAnsi="Arial"/>
          <w:sz w:val="15"/>
          <w:szCs w:val="15"/>
          <w:color w:val="auto"/>
        </w:rPr>
        <w:t>33, Boulevard Prince Henri</w:t>
      </w:r>
    </w:p>
    <w:p>
      <w:pPr>
        <w:ind w:left="2220"/>
        <w:spacing w:after="0"/>
        <w:rPr>
          <w:sz w:val="20"/>
          <w:szCs w:val="20"/>
          <w:color w:val="auto"/>
        </w:rPr>
      </w:pPr>
      <w:r>
        <w:rPr>
          <w:rFonts w:ascii="Arial" w:cs="Arial" w:eastAsia="Arial" w:hAnsi="Arial"/>
          <w:sz w:val="15"/>
          <w:szCs w:val="15"/>
          <w:color w:val="auto"/>
        </w:rPr>
        <w:t>L-1724 Luxembourg City</w:t>
      </w:r>
    </w:p>
    <w:p>
      <w:pPr>
        <w:spacing w:after="0" w:line="8"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Grand Duchy of Luxembourg</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5"/>
          <w:szCs w:val="15"/>
          <w:b w:val="1"/>
          <w:bCs w:val="1"/>
          <w:u w:val="single" w:color="auto"/>
          <w:color w:val="auto"/>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089" w:lineRule="exact"/>
        <w:rPr>
          <w:sz w:val="20"/>
          <w:szCs w:val="20"/>
          <w:color w:val="auto"/>
        </w:rPr>
      </w:pPr>
    </w:p>
    <w:p>
      <w:pPr>
        <w:sectPr>
          <w:pgSz w:w="11900" w:h="16838" w:orient="portrait"/>
          <w:cols w:equalWidth="0" w:num="2">
            <w:col w:w="6900" w:space="720"/>
            <w:col w:w="1399"/>
          </w:cols>
          <w:pgMar w:left="1440" w:top="102" w:right="1440" w:bottom="1440" w:gutter="0" w:footer="0" w:header="0"/>
          <w:type w:val="continuous"/>
        </w:sectPr>
      </w:pPr>
    </w:p>
    <w:p>
      <w:pPr>
        <w:ind w:left="1520" w:right="1459" w:hanging="141"/>
        <w:spacing w:after="0" w:line="286"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elect seven (7) Directors to serve until the next annual general meeting of shareholders or until their respective successors have been elected and qualified;</w:t>
      </w:r>
    </w:p>
    <w:p>
      <w:pPr>
        <w:spacing w:after="0" w:line="39" w:lineRule="exact"/>
        <w:rPr>
          <w:rFonts w:ascii="Arial" w:cs="Arial" w:eastAsia="Arial" w:hAnsi="Arial"/>
          <w:sz w:val="15"/>
          <w:szCs w:val="15"/>
          <w:color w:val="auto"/>
        </w:rPr>
      </w:pPr>
    </w:p>
    <w:p>
      <w:pPr>
        <w:ind w:left="1520" w:right="1119" w:hanging="141"/>
        <w:spacing w:after="0" w:line="262"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To approve the appointment of RSM US LLP as our independent registered public accounting firm for the year ending December 31, 2025 and until our 2026 annual general meeting of shareholders, and the appointment of Atwell S.à r.l. as our certified auditor </w:t>
      </w:r>
      <w:r>
        <w:rPr>
          <w:rFonts w:ascii="Arial" w:cs="Arial" w:eastAsia="Arial" w:hAnsi="Arial"/>
          <w:sz w:val="15"/>
          <w:szCs w:val="15"/>
          <w:i w:val="1"/>
          <w:iCs w:val="1"/>
          <w:color w:val="auto"/>
        </w:rPr>
        <w:t>(Réviseur d’Entreprises)</w:t>
      </w:r>
      <w:r>
        <w:rPr>
          <w:rFonts w:ascii="Arial" w:cs="Arial" w:eastAsia="Arial" w:hAnsi="Arial"/>
          <w:sz w:val="15"/>
          <w:szCs w:val="15"/>
          <w:color w:val="auto"/>
        </w:rPr>
        <w:t xml:space="preserve"> for the same period;</w:t>
      </w:r>
    </w:p>
    <w:p>
      <w:pPr>
        <w:spacing w:after="0" w:line="58" w:lineRule="exact"/>
        <w:rPr>
          <w:rFonts w:ascii="Arial" w:cs="Arial" w:eastAsia="Arial" w:hAnsi="Arial"/>
          <w:sz w:val="15"/>
          <w:szCs w:val="15"/>
          <w:color w:val="auto"/>
        </w:rPr>
      </w:pPr>
    </w:p>
    <w:p>
      <w:pPr>
        <w:ind w:left="1520" w:right="1139" w:hanging="141"/>
        <w:spacing w:after="0" w:line="261"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our Luxembourg Annual Accounts for the year ended December 31, 2024 and consolidated financial statements prepared in accordance with International Financial Reporting Standards (the “Consolidated Accounts” and, together with the Luxembourg Annual Accounts, the “Luxembourg Statutory Accounts”) as of and for the year ended December 31, 2024;</w:t>
      </w:r>
    </w:p>
    <w:p>
      <w:pPr>
        <w:spacing w:after="0" w:line="241" w:lineRule="exact"/>
        <w:rPr>
          <w:rFonts w:ascii="Arial" w:cs="Arial" w:eastAsia="Arial" w:hAnsi="Arial"/>
          <w:sz w:val="15"/>
          <w:szCs w:val="15"/>
          <w:color w:val="auto"/>
        </w:rPr>
      </w:pPr>
    </w:p>
    <w:p>
      <w:pPr>
        <w:ind w:left="1520" w:right="1299" w:hanging="141"/>
        <w:spacing w:after="0" w:line="265"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To receive and approve our Directors’ report for the Luxembourg Statutory Accounts for the year ended December 31, 2024 and to receive our supervisory auditor’s </w:t>
      </w:r>
      <w:r>
        <w:rPr>
          <w:rFonts w:ascii="Arial" w:cs="Arial" w:eastAsia="Arial" w:hAnsi="Arial"/>
          <w:sz w:val="15"/>
          <w:szCs w:val="15"/>
          <w:i w:val="1"/>
          <w:iCs w:val="1"/>
          <w:color w:val="auto"/>
        </w:rPr>
        <w:t xml:space="preserve">(Commissaire aux Comptes) </w:t>
      </w:r>
      <w:r>
        <w:rPr>
          <w:rFonts w:ascii="Arial" w:cs="Arial" w:eastAsia="Arial" w:hAnsi="Arial"/>
          <w:sz w:val="15"/>
          <w:szCs w:val="15"/>
          <w:color w:val="auto"/>
        </w:rPr>
        <w:t>report for the Luxembourg Annual Accounts for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period;</w:t>
      </w:r>
    </w:p>
    <w:p>
      <w:pPr>
        <w:spacing w:after="0" w:line="239" w:lineRule="exact"/>
        <w:rPr>
          <w:rFonts w:ascii="Arial" w:cs="Arial" w:eastAsia="Arial" w:hAnsi="Arial"/>
          <w:sz w:val="15"/>
          <w:szCs w:val="15"/>
          <w:color w:val="auto"/>
        </w:rPr>
      </w:pPr>
    </w:p>
    <w:p>
      <w:pPr>
        <w:ind w:left="1520" w:right="1759" w:hanging="141"/>
        <w:spacing w:after="0" w:line="286"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allocate the results in the Luxembourg Annual Accounts for the year ended December 31, 2024;</w:t>
      </w:r>
    </w:p>
    <w:p>
      <w:pPr>
        <w:spacing w:after="0" w:line="50" w:lineRule="exact"/>
        <w:rPr>
          <w:rFonts w:ascii="Arial" w:cs="Arial" w:eastAsia="Arial" w:hAnsi="Arial"/>
          <w:sz w:val="15"/>
          <w:szCs w:val="15"/>
          <w:color w:val="auto"/>
        </w:rPr>
      </w:pPr>
    </w:p>
    <w:p>
      <w:pPr>
        <w:jc w:val="both"/>
        <w:ind w:left="1520" w:right="1279" w:hanging="141"/>
        <w:spacing w:after="0" w:line="268"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To discharge each of our Directors for the performance of their mandate for the year ended December 31, 2024 and our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xml:space="preserve"> for the performance of her mandate for the same period;</w:t>
      </w:r>
    </w:p>
    <w:p>
      <w:pPr>
        <w:spacing w:after="0" w:line="53" w:lineRule="exact"/>
        <w:rPr>
          <w:rFonts w:ascii="Arial" w:cs="Arial" w:eastAsia="Arial" w:hAnsi="Arial"/>
          <w:sz w:val="15"/>
          <w:szCs w:val="15"/>
          <w:color w:val="auto"/>
        </w:rPr>
      </w:pPr>
    </w:p>
    <w:p>
      <w:pPr>
        <w:ind w:left="1520" w:right="1779" w:hanging="141"/>
        <w:spacing w:after="0" w:line="286"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on a non-binding advisory basis, the compensation of our Named Executive Officers as defined below (“Say-on-Pay”); and</w:t>
      </w:r>
    </w:p>
    <w:p>
      <w:pPr>
        <w:spacing w:after="0" w:line="39" w:lineRule="exact"/>
        <w:rPr>
          <w:rFonts w:ascii="Arial" w:cs="Arial" w:eastAsia="Arial" w:hAnsi="Arial"/>
          <w:sz w:val="15"/>
          <w:szCs w:val="15"/>
          <w:color w:val="auto"/>
        </w:rPr>
      </w:pPr>
    </w:p>
    <w:p>
      <w:pPr>
        <w:ind w:left="1520" w:right="1159" w:hanging="141"/>
        <w:spacing w:after="0" w:line="286"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Annual Meeting and any adjournment or postponement thereof.</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7"/>
          <w:szCs w:val="17"/>
          <w:b w:val="1"/>
          <w:bCs w:val="1"/>
          <w:u w:val="single" w:color="auto"/>
          <w:color w:val="auto"/>
        </w:rPr>
        <w:t>PROCEDURES</w:t>
      </w:r>
    </w:p>
    <w:p>
      <w:pPr>
        <w:spacing w:after="0" w:line="91" w:lineRule="exact"/>
        <w:rPr>
          <w:sz w:val="20"/>
          <w:szCs w:val="20"/>
          <w:color w:val="auto"/>
        </w:rPr>
      </w:pPr>
    </w:p>
    <w:p>
      <w:pPr>
        <w:ind w:left="1520" w:right="1659" w:hanging="141"/>
        <w:spacing w:after="0" w:line="286"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Board has fixed March 17, 2025 as the record date for the determination of shareholders entitled to notice of and to vote at the Annual Meeting.</w:t>
      </w:r>
    </w:p>
    <w:p>
      <w:pPr>
        <w:spacing w:after="0" w:line="39" w:lineRule="exact"/>
        <w:rPr>
          <w:rFonts w:ascii="Arial" w:cs="Arial" w:eastAsia="Arial" w:hAnsi="Arial"/>
          <w:sz w:val="15"/>
          <w:szCs w:val="15"/>
          <w:color w:val="auto"/>
        </w:rPr>
      </w:pPr>
    </w:p>
    <w:p>
      <w:pPr>
        <w:ind w:left="1520" w:right="1439" w:hanging="141"/>
        <w:spacing w:after="0" w:line="286"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Only shareholders as of the close of business on the record date will be eligible to vote at the Annual Meeting.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3" w:name="page4"/>
    <w:bookmarkEnd w:id="3"/>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520" w:right="1459" w:hanging="141"/>
        <w:spacing w:after="0" w:line="255" w:lineRule="auto"/>
        <w:tabs>
          <w:tab w:leader="none" w:pos="15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 order to be admitted to the Annual Meeting, shareholders must present proof of ownership as of the record date and valid government-issued photo identification. Shareholders holding shares in “street name” through a bank or broker, must also obtain a “legal proxy” from the holder of record to vote at the Annual Meeting.</w:t>
      </w:r>
    </w:p>
    <w:p>
      <w:pPr>
        <w:spacing w:after="0" w:line="2" w:lineRule="exact"/>
        <w:rPr>
          <w:rFonts w:ascii="Arial" w:cs="Arial" w:eastAsia="Arial" w:hAnsi="Arial"/>
          <w:sz w:val="15"/>
          <w:szCs w:val="15"/>
          <w:color w:val="auto"/>
        </w:rPr>
      </w:pPr>
    </w:p>
    <w:p>
      <w:pPr>
        <w:ind w:left="1520" w:right="1319"/>
        <w:spacing w:after="0" w:line="258" w:lineRule="auto"/>
        <w:rPr>
          <w:rFonts w:ascii="Arial" w:cs="Arial" w:eastAsia="Arial" w:hAnsi="Arial"/>
          <w:sz w:val="15"/>
          <w:szCs w:val="15"/>
          <w:color w:val="auto"/>
        </w:rPr>
      </w:pPr>
      <w:r>
        <w:rPr>
          <w:rFonts w:ascii="Arial" w:cs="Arial" w:eastAsia="Arial" w:hAnsi="Arial"/>
          <w:sz w:val="15"/>
          <w:szCs w:val="15"/>
          <w:b w:val="1"/>
          <w:bCs w:val="1"/>
          <w:color w:val="auto"/>
        </w:rPr>
        <w:t xml:space="preserve">Shareholders are encouraged to vote in advance of the Annual Meeting to ensure their vote is counted even if they are unable to attend in person. </w:t>
      </w:r>
      <w:r>
        <w:rPr>
          <w:rFonts w:ascii="Arial" w:cs="Arial" w:eastAsia="Arial" w:hAnsi="Arial"/>
          <w:sz w:val="15"/>
          <w:szCs w:val="15"/>
          <w:color w:val="auto"/>
        </w:rPr>
        <w:t>Instructions for voting in</w:t>
      </w:r>
      <w:r>
        <w:rPr>
          <w:rFonts w:ascii="Arial" w:cs="Arial" w:eastAsia="Arial" w:hAnsi="Arial"/>
          <w:sz w:val="15"/>
          <w:szCs w:val="15"/>
          <w:b w:val="1"/>
          <w:bCs w:val="1"/>
          <w:color w:val="auto"/>
        </w:rPr>
        <w:t xml:space="preserve"> </w:t>
      </w:r>
      <w:r>
        <w:rPr>
          <w:rFonts w:ascii="Arial" w:cs="Arial" w:eastAsia="Arial" w:hAnsi="Arial"/>
          <w:sz w:val="15"/>
          <w:szCs w:val="15"/>
          <w:color w:val="auto"/>
        </w:rPr>
        <w:t>advance are included in the accompanying materials.</w:t>
      </w:r>
    </w:p>
    <w:p>
      <w:pPr>
        <w:spacing w:after="0" w:line="83" w:lineRule="exact"/>
        <w:rPr>
          <w:rFonts w:ascii="Arial" w:cs="Arial" w:eastAsia="Arial" w:hAnsi="Arial"/>
          <w:sz w:val="15"/>
          <w:szCs w:val="15"/>
          <w:color w:val="auto"/>
        </w:rPr>
      </w:pPr>
    </w:p>
    <w:p>
      <w:pPr>
        <w:ind w:left="1520" w:right="1099" w:hanging="141"/>
        <w:spacing w:after="0" w:line="255" w:lineRule="auto"/>
        <w:tabs>
          <w:tab w:leader="none" w:pos="1520"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The joint proxy statement for our Annual General Meeting and Extraordinary General Meeting of Shareholders (the “proxy statement”) and our annual report to shareholders on Form 10-K for the year ended December 31, 2024 will be available on our website under Investor Relations—Financial Information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accordance with the rules of the U.S. Securities and Exchange Commission, you may also access our proxy statement and annual report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a website that does not identify or track visitors to the site, by entering the Control Number provided in the Notice and Access Card, proxy card or email notification, as applicable.</w:t>
      </w:r>
    </w:p>
    <w:p>
      <w:pPr>
        <w:spacing w:after="0" w:line="257" w:lineRule="exact"/>
        <w:rPr>
          <w:rFonts w:ascii="Arial" w:cs="Arial" w:eastAsia="Arial" w:hAnsi="Arial"/>
          <w:sz w:val="15"/>
          <w:szCs w:val="15"/>
          <w:color w:val="auto"/>
        </w:rPr>
      </w:pPr>
    </w:p>
    <w:p>
      <w:pPr>
        <w:ind w:left="1520" w:right="1199" w:hanging="141"/>
        <w:spacing w:after="0" w:line="261" w:lineRule="auto"/>
        <w:tabs>
          <w:tab w:leader="none" w:pos="15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Although Luxembourg law does not require a quorum for the conduct of business at the Annual Meeting, in accordance with the requirements of the Nasdaq Stock Market listing standards, we have established that the presence at our Annual Meeting of holders of at least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our issued and outstanding shares of common stock able to be voted, whether represented in person or by proxy, will constitute a quorum for the transaction of business at the Annual Meeting.</w:t>
      </w:r>
    </w:p>
    <w:p>
      <w:pPr>
        <w:spacing w:after="0" w:line="80" w:lineRule="exact"/>
        <w:rPr>
          <w:rFonts w:ascii="Arial" w:cs="Arial" w:eastAsia="Arial" w:hAnsi="Arial"/>
          <w:sz w:val="15"/>
          <w:szCs w:val="15"/>
          <w:color w:val="auto"/>
        </w:rPr>
      </w:pPr>
    </w:p>
    <w:p>
      <w:pPr>
        <w:ind w:left="1520" w:right="1179" w:hanging="141"/>
        <w:spacing w:after="0" w:line="256" w:lineRule="auto"/>
        <w:tabs>
          <w:tab w:leader="none" w:pos="1520"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The Luxembourg Statutory Accounts, our Directors’ report for the Luxembourg Statutory Accounts, our certified auditor’s (Réviseur d’Entreprises) report for the Consolidated Accounts and our supervisory auditor’s (Commissaire aux Comptes) report for the Luxembourg Annual Accounts will be available for inspection at our registered office during business hours, by appointment, from May 3, 2025 until the conclusion of the Annual Meeting. Beginning May 3, 2025, .pdf copies will also be available to any shareholder who requests them by writing to our Corporate Secretary at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w:t>
      </w:r>
    </w:p>
    <w:p>
      <w:pPr>
        <w:spacing w:after="0" w:line="267" w:lineRule="exact"/>
        <w:rPr>
          <w:rFonts w:ascii="Arial" w:cs="Arial" w:eastAsia="Arial" w:hAnsi="Arial"/>
          <w:sz w:val="15"/>
          <w:szCs w:val="15"/>
          <w:color w:val="auto"/>
        </w:rPr>
      </w:pPr>
    </w:p>
    <w:p>
      <w:pPr>
        <w:ind w:left="1520" w:right="1619" w:hanging="141"/>
        <w:spacing w:after="0" w:line="286" w:lineRule="auto"/>
        <w:tabs>
          <w:tab w:leader="none" w:pos="15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following documents will be available at the Company’s registered office for inspection by shareholders and copies are available upon request:</w:t>
      </w:r>
    </w:p>
    <w:p>
      <w:pPr>
        <w:spacing w:after="0" w:line="85"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—the present convening notice</w:t>
      </w:r>
    </w:p>
    <w:p>
      <w:pPr>
        <w:spacing w:after="0" w:line="14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—the draft resolutions of the Annual Meeting</w:t>
      </w:r>
    </w:p>
    <w:p>
      <w:pPr>
        <w:spacing w:after="0" w:line="14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—a copy of the Luxembourg Statutory Accounts and the Director’s Report</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—the draft power of attorney</w:t>
      </w:r>
    </w:p>
    <w:p>
      <w:pPr>
        <w:spacing w:after="0" w:line="120"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 xml:space="preserve">Any such request should be made to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w:t>
      </w:r>
    </w:p>
    <w:p>
      <w:pPr>
        <w:spacing w:after="0" w:line="27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By authorization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121920</wp:posOffset>
            </wp:positionV>
            <wp:extent cx="1137920" cy="379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7920" cy="37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Gregory J. Ritts</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Corporate Secretary</w:t>
      </w:r>
    </w:p>
    <w:p>
      <w:pPr>
        <w:spacing w:after="0" w:line="2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March 31, 2025</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Luxembourg City, Grand Duchy of Luxembourg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 w:name="page5"/>
    <w:bookmarkEnd w:id="4"/>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20"/>
        <w:spacing w:after="0"/>
        <w:rPr>
          <w:sz w:val="20"/>
          <w:szCs w:val="20"/>
          <w:color w:val="auto"/>
        </w:rPr>
      </w:pPr>
      <w:r>
        <w:rPr>
          <w:rFonts w:ascii="Arial" w:cs="Arial" w:eastAsia="Arial" w:hAnsi="Arial"/>
          <w:sz w:val="15"/>
          <w:szCs w:val="15"/>
          <w:b w:val="1"/>
          <w:bCs w:val="1"/>
          <w:color w:val="auto"/>
        </w:rPr>
        <w:t>ALTISOURCE PORTFOLIO SOLUTIONS S.A.</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33, Boulevard Prince Henri</w:t>
      </w:r>
    </w:p>
    <w:p>
      <w:pPr>
        <w:ind w:left="3600"/>
        <w:spacing w:after="0" w:line="219" w:lineRule="auto"/>
        <w:rPr>
          <w:sz w:val="20"/>
          <w:szCs w:val="20"/>
          <w:color w:val="auto"/>
        </w:rPr>
      </w:pPr>
      <w:r>
        <w:rPr>
          <w:rFonts w:ascii="Arial" w:cs="Arial" w:eastAsia="Arial" w:hAnsi="Arial"/>
          <w:sz w:val="15"/>
          <w:szCs w:val="15"/>
          <w:b w:val="1"/>
          <w:bCs w:val="1"/>
          <w:color w:val="auto"/>
        </w:rPr>
        <w:t>L-1724 Luxembourg City</w:t>
      </w:r>
    </w:p>
    <w:p>
      <w:pPr>
        <w:jc w:val="right"/>
        <w:ind w:right="3499"/>
        <w:spacing w:after="0" w:line="235" w:lineRule="auto"/>
        <w:rPr>
          <w:sz w:val="20"/>
          <w:szCs w:val="20"/>
          <w:color w:val="auto"/>
        </w:rPr>
      </w:pPr>
      <w:r>
        <w:rPr>
          <w:rFonts w:ascii="Arial" w:cs="Arial" w:eastAsia="Arial" w:hAnsi="Arial"/>
          <w:sz w:val="15"/>
          <w:szCs w:val="15"/>
          <w:b w:val="1"/>
          <w:bCs w:val="1"/>
          <w:color w:val="auto"/>
        </w:rPr>
        <w:t>Grand Duchy of Luxembourg</w:t>
      </w:r>
    </w:p>
    <w:p>
      <w:pPr>
        <w:jc w:val="right"/>
        <w:ind w:right="3539"/>
        <w:spacing w:after="0"/>
        <w:rPr>
          <w:sz w:val="20"/>
          <w:szCs w:val="20"/>
          <w:color w:val="auto"/>
        </w:rPr>
      </w:pPr>
      <w:r>
        <w:rPr>
          <w:rFonts w:ascii="Arial" w:cs="Arial" w:eastAsia="Arial" w:hAnsi="Arial"/>
          <w:sz w:val="15"/>
          <w:szCs w:val="15"/>
          <w:b w:val="1"/>
          <w:bCs w:val="1"/>
          <w:color w:val="auto"/>
        </w:rPr>
        <w:t>R.C.S. Luxembourg B72391</w:t>
      </w:r>
    </w:p>
    <w:p>
      <w:pPr>
        <w:spacing w:after="0" w:line="163" w:lineRule="exact"/>
        <w:rPr>
          <w:sz w:val="20"/>
          <w:szCs w:val="20"/>
          <w:color w:val="auto"/>
        </w:rPr>
      </w:pPr>
    </w:p>
    <w:p>
      <w:pPr>
        <w:ind w:left="1700" w:right="1739" w:hanging="6"/>
        <w:spacing w:after="0" w:line="253" w:lineRule="auto"/>
        <w:rPr>
          <w:sz w:val="20"/>
          <w:szCs w:val="20"/>
          <w:color w:val="auto"/>
        </w:rPr>
      </w:pPr>
      <w:r>
        <w:rPr>
          <w:rFonts w:ascii="Arial" w:cs="Arial" w:eastAsia="Arial" w:hAnsi="Arial"/>
          <w:sz w:val="14"/>
          <w:szCs w:val="14"/>
          <w:b w:val="1"/>
          <w:bCs w:val="1"/>
          <w:color w:val="auto"/>
        </w:rPr>
        <w:t>NOTICE OF EXTRAORDINARY GENERAL MEETING OF SHAREHOLDERS AND IMPORTANT NOTICE REGARDING THE AVAILABILITY OF PROXY MATERIALS</w:t>
      </w:r>
    </w:p>
    <w:p>
      <w:pPr>
        <w:jc w:val="center"/>
        <w:ind w:right="19"/>
        <w:spacing w:after="0" w:line="237" w:lineRule="auto"/>
        <w:rPr>
          <w:sz w:val="20"/>
          <w:szCs w:val="20"/>
          <w:color w:val="auto"/>
        </w:rPr>
      </w:pPr>
      <w:r>
        <w:rPr>
          <w:rFonts w:ascii="Arial" w:cs="Arial" w:eastAsia="Arial" w:hAnsi="Arial"/>
          <w:sz w:val="15"/>
          <w:szCs w:val="15"/>
          <w:b w:val="1"/>
          <w:bCs w:val="1"/>
          <w:color w:val="auto"/>
        </w:rPr>
        <w:t>FOR THE EXTRAORDINARY GENERAL MEETING OF SHAREHOLDERS TO BE HELD ON MAY</w:t>
      </w:r>
    </w:p>
    <w:p>
      <w:pPr>
        <w:jc w:val="center"/>
        <w:ind w:right="19"/>
        <w:spacing w:after="0"/>
        <w:rPr>
          <w:sz w:val="20"/>
          <w:szCs w:val="20"/>
          <w:color w:val="auto"/>
        </w:rPr>
      </w:pPr>
      <w:r>
        <w:rPr>
          <w:rFonts w:ascii="Arial" w:cs="Arial" w:eastAsia="Arial" w:hAnsi="Arial"/>
          <w:sz w:val="15"/>
          <w:szCs w:val="15"/>
          <w:b w:val="1"/>
          <w:bCs w:val="1"/>
          <w:color w:val="auto"/>
        </w:rPr>
        <w:t>13, 2025</w:t>
      </w:r>
    </w:p>
    <w:p>
      <w:pPr>
        <w:spacing w:after="0" w:line="163" w:lineRule="exact"/>
        <w:rPr>
          <w:sz w:val="20"/>
          <w:szCs w:val="20"/>
          <w:color w:val="auto"/>
        </w:rPr>
      </w:pPr>
    </w:p>
    <w:p>
      <w:pPr>
        <w:ind w:left="1080"/>
        <w:spacing w:after="0"/>
        <w:rPr>
          <w:sz w:val="20"/>
          <w:szCs w:val="20"/>
          <w:color w:val="auto"/>
        </w:rPr>
      </w:pPr>
      <w:r>
        <w:rPr>
          <w:rFonts w:ascii="Arial" w:cs="Arial" w:eastAsia="Arial" w:hAnsi="Arial"/>
          <w:sz w:val="15"/>
          <w:szCs w:val="15"/>
          <w:b w:val="1"/>
          <w:bCs w:val="1"/>
          <w:u w:val="single" w:color="auto"/>
          <w:color w:val="auto"/>
        </w:rPr>
        <w:t>NOTICE</w:t>
      </w:r>
    </w:p>
    <w:p>
      <w:pPr>
        <w:spacing w:after="0" w:line="87" w:lineRule="exact"/>
        <w:rPr>
          <w:sz w:val="20"/>
          <w:szCs w:val="20"/>
          <w:color w:val="auto"/>
        </w:rPr>
      </w:pPr>
    </w:p>
    <w:p>
      <w:pPr>
        <w:ind w:left="1080" w:right="1379"/>
        <w:spacing w:after="0" w:line="270" w:lineRule="auto"/>
        <w:rPr>
          <w:sz w:val="20"/>
          <w:szCs w:val="20"/>
          <w:color w:val="auto"/>
        </w:rPr>
      </w:pPr>
      <w:r>
        <w:rPr>
          <w:rFonts w:ascii="Arial" w:cs="Arial" w:eastAsia="Arial" w:hAnsi="Arial"/>
          <w:sz w:val="15"/>
          <w:szCs w:val="15"/>
          <w:color w:val="auto"/>
        </w:rPr>
        <w:t>Our Extraordinary General Meeting of Shareholders before a Luxembourg civil law notary (“Extraordinary Meeting”) will be held:</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68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410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15"/>
                <w:szCs w:val="15"/>
                <w:color w:val="auto"/>
              </w:rPr>
              <w:t>Tuesday, May 13, 2025</w:t>
            </w:r>
          </w:p>
        </w:tc>
        <w:tc>
          <w:tcPr>
            <w:tcW w:w="1500" w:type="dxa"/>
            <w:vAlign w:val="bottom"/>
          </w:tcPr>
          <w:p>
            <w:pPr>
              <w:ind w:left="14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0"/>
        </w:trPr>
        <w:tc>
          <w:tcPr>
            <w:tcW w:w="680" w:type="dxa"/>
            <w:vAlign w:val="bottom"/>
          </w:tcPr>
          <w:p>
            <w:pPr>
              <w:spacing w:after="0" w:line="150"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line="150" w:lineRule="exact"/>
              <w:rPr>
                <w:sz w:val="20"/>
                <w:szCs w:val="20"/>
                <w:color w:val="auto"/>
              </w:rPr>
            </w:pPr>
            <w:r>
              <w:rPr>
                <w:rFonts w:ascii="Arial" w:cs="Arial" w:eastAsia="Arial" w:hAnsi="Arial"/>
                <w:sz w:val="15"/>
                <w:szCs w:val="15"/>
                <w:b w:val="1"/>
                <w:bCs w:val="1"/>
                <w:color w:val="auto"/>
              </w:rPr>
              <w:t>​ ​</w:t>
            </w:r>
          </w:p>
        </w:tc>
        <w:tc>
          <w:tcPr>
            <w:tcW w:w="3960" w:type="dxa"/>
            <w:vAlign w:val="bottom"/>
            <w:vMerge w:val="restart"/>
          </w:tcPr>
          <w:p>
            <w:pPr>
              <w:ind w:left="20"/>
              <w:spacing w:after="0"/>
              <w:rPr>
                <w:sz w:val="20"/>
                <w:szCs w:val="20"/>
                <w:color w:val="auto"/>
              </w:rPr>
            </w:pPr>
            <w:r>
              <w:rPr>
                <w:rFonts w:ascii="Arial" w:cs="Arial" w:eastAsia="Arial" w:hAnsi="Arial"/>
                <w:sz w:val="15"/>
                <w:szCs w:val="15"/>
                <w:color w:val="auto"/>
              </w:rPr>
              <w:t>9:30 a.m. Central European Time</w:t>
            </w:r>
          </w:p>
        </w:tc>
        <w:tc>
          <w:tcPr>
            <w:tcW w:w="1500" w:type="dxa"/>
            <w:vAlign w:val="bottom"/>
          </w:tcPr>
          <w:p>
            <w:pPr>
              <w:ind w:left="1460"/>
              <w:spacing w:after="0" w:line="15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32"/>
        </w:trPr>
        <w:tc>
          <w:tcPr>
            <w:tcW w:w="680" w:type="dxa"/>
            <w:vAlign w:val="bottom"/>
          </w:tcPr>
          <w:p>
            <w:pPr>
              <w:spacing w:after="0" w:line="132" w:lineRule="exact"/>
              <w:rPr>
                <w:sz w:val="20"/>
                <w:szCs w:val="20"/>
                <w:color w:val="auto"/>
              </w:rPr>
            </w:pPr>
            <w:r>
              <w:rPr>
                <w:rFonts w:ascii="Arial" w:cs="Arial" w:eastAsia="Arial" w:hAnsi="Arial"/>
                <w:sz w:val="15"/>
                <w:szCs w:val="15"/>
                <w:b w:val="1"/>
                <w:bCs w:val="1"/>
                <w:color w:val="auto"/>
              </w:rPr>
              <w:t>Time:</w:t>
            </w:r>
          </w:p>
        </w:tc>
        <w:tc>
          <w:tcPr>
            <w:tcW w:w="14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line="150" w:lineRule="exact"/>
              <w:rPr>
                <w:sz w:val="20"/>
                <w:szCs w:val="20"/>
                <w:color w:val="auto"/>
              </w:rPr>
            </w:pPr>
            <w:r>
              <w:rPr>
                <w:rFonts w:ascii="Arial" w:cs="Arial" w:eastAsia="Arial" w:hAnsi="Arial"/>
                <w:sz w:val="15"/>
                <w:szCs w:val="15"/>
                <w:color w:val="auto"/>
              </w:rPr>
              <w:t>​</w:t>
            </w:r>
          </w:p>
        </w:tc>
        <w:tc>
          <w:tcPr>
            <w:tcW w:w="140" w:type="dxa"/>
            <w:vAlign w:val="bottom"/>
          </w:tcPr>
          <w:p>
            <w:pPr>
              <w:spacing w:after="0" w:line="150" w:lineRule="exact"/>
              <w:rPr>
                <w:sz w:val="20"/>
                <w:szCs w:val="20"/>
                <w:color w:val="auto"/>
              </w:rPr>
            </w:pPr>
            <w:r>
              <w:rPr>
                <w:rFonts w:ascii="Arial" w:cs="Arial" w:eastAsia="Arial" w:hAnsi="Arial"/>
                <w:sz w:val="15"/>
                <w:szCs w:val="15"/>
                <w:color w:val="auto"/>
              </w:rPr>
              <w:t>​ ​</w:t>
            </w:r>
          </w:p>
        </w:tc>
        <w:tc>
          <w:tcPr>
            <w:tcW w:w="3960" w:type="dxa"/>
            <w:vAlign w:val="bottom"/>
            <w:vMerge w:val="restart"/>
          </w:tcPr>
          <w:p>
            <w:pPr>
              <w:ind w:left="20"/>
              <w:spacing w:after="0"/>
              <w:rPr>
                <w:sz w:val="20"/>
                <w:szCs w:val="20"/>
                <w:color w:val="auto"/>
              </w:rPr>
            </w:pPr>
            <w:r>
              <w:rPr>
                <w:rFonts w:ascii="Arial" w:cs="Arial" w:eastAsia="Arial" w:hAnsi="Arial"/>
                <w:sz w:val="15"/>
                <w:szCs w:val="15"/>
                <w:color w:val="auto"/>
              </w:rPr>
              <w:t>Altisource Portfolio Solutions S.A.</w:t>
            </w:r>
          </w:p>
        </w:tc>
        <w:tc>
          <w:tcPr>
            <w:tcW w:w="1500" w:type="dxa"/>
            <w:vAlign w:val="bottom"/>
          </w:tcPr>
          <w:p>
            <w:pPr>
              <w:ind w:left="1460"/>
              <w:spacing w:after="0" w:line="15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1"/>
        </w:trPr>
        <w:tc>
          <w:tcPr>
            <w:tcW w:w="680" w:type="dxa"/>
            <w:vAlign w:val="bottom"/>
          </w:tcPr>
          <w:p>
            <w:pPr>
              <w:spacing w:after="0" w:line="101" w:lineRule="exact"/>
              <w:rPr>
                <w:sz w:val="20"/>
                <w:szCs w:val="20"/>
                <w:color w:val="auto"/>
              </w:rPr>
            </w:pPr>
            <w:r>
              <w:rPr>
                <w:rFonts w:ascii="Arial" w:cs="Arial" w:eastAsia="Arial" w:hAnsi="Arial"/>
                <w:sz w:val="11"/>
                <w:szCs w:val="11"/>
                <w:b w:val="1"/>
                <w:bCs w:val="1"/>
                <w:color w:val="auto"/>
              </w:rPr>
              <w:t>Location:</w:t>
            </w:r>
          </w:p>
        </w:tc>
        <w:tc>
          <w:tcPr>
            <w:tcW w:w="14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2220"/>
        <w:spacing w:after="0" w:line="235" w:lineRule="auto"/>
        <w:rPr>
          <w:sz w:val="20"/>
          <w:szCs w:val="20"/>
          <w:color w:val="auto"/>
        </w:rPr>
      </w:pPr>
      <w:r>
        <w:rPr>
          <w:rFonts w:ascii="Arial" w:cs="Arial" w:eastAsia="Arial" w:hAnsi="Arial"/>
          <w:sz w:val="15"/>
          <w:szCs w:val="15"/>
          <w:color w:val="auto"/>
        </w:rPr>
        <w:t>33, Boulevard Prince Henri</w:t>
      </w:r>
    </w:p>
    <w:p>
      <w:pPr>
        <w:ind w:left="2220"/>
        <w:spacing w:after="0"/>
        <w:rPr>
          <w:sz w:val="20"/>
          <w:szCs w:val="20"/>
          <w:color w:val="auto"/>
        </w:rPr>
      </w:pPr>
      <w:r>
        <w:rPr>
          <w:rFonts w:ascii="Arial" w:cs="Arial" w:eastAsia="Arial" w:hAnsi="Arial"/>
          <w:sz w:val="15"/>
          <w:szCs w:val="15"/>
          <w:color w:val="auto"/>
        </w:rPr>
        <w:t>L-1724 Luxembourg City</w:t>
      </w:r>
    </w:p>
    <w:p>
      <w:pPr>
        <w:spacing w:after="0" w:line="8"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Grand Duchy of Luxembourg</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5"/>
          <w:szCs w:val="15"/>
          <w:b w:val="1"/>
          <w:bCs w:val="1"/>
          <w:u w:val="single" w:color="auto"/>
          <w:color w:val="auto"/>
        </w:rPr>
        <w:t>PURPOSE</w:t>
      </w:r>
    </w:p>
    <w:p>
      <w:pPr>
        <w:spacing w:after="0" w:line="98" w:lineRule="exact"/>
        <w:rPr>
          <w:sz w:val="20"/>
          <w:szCs w:val="20"/>
          <w:color w:val="auto"/>
        </w:rPr>
      </w:pPr>
    </w:p>
    <w:p>
      <w:pPr>
        <w:ind w:left="1520" w:right="1119" w:hanging="141"/>
        <w:spacing w:after="0" w:line="254" w:lineRule="auto"/>
        <w:tabs>
          <w:tab w:leader="none" w:pos="1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approve an amendment to Article 5 of the Company’s Amended and Restated Articles of Incorporation (the “Articles”) to consolidate eighty-eight million nine hundred fifty-one thousand nine hundred twenty-five (88,951,925) shares of the Company’s common stock without designation of nominal value into eleven million one hundred eighteen thousand nine hundred ninety (11,118,990) shares of the Company’s common stock without designation of nominal value, on the basis of a ratio of one</w:t>
      </w:r>
    </w:p>
    <w:p>
      <w:pPr>
        <w:ind w:left="1520"/>
        <w:spacing w:after="0"/>
        <w:rPr>
          <w:sz w:val="20"/>
          <w:szCs w:val="20"/>
          <w:color w:val="auto"/>
        </w:rPr>
      </w:pPr>
      <w:r>
        <w:rPr>
          <w:rFonts w:ascii="Arial" w:cs="Arial" w:eastAsia="Arial" w:hAnsi="Arial"/>
          <w:sz w:val="15"/>
          <w:szCs w:val="15"/>
          <w:color w:val="auto"/>
        </w:rPr>
        <w:t>(1) post-consolidation share of the Company’s common stock for every eight</w:t>
      </w:r>
    </w:p>
    <w:p>
      <w:pPr>
        <w:spacing w:after="0" w:line="8" w:lineRule="exact"/>
        <w:rPr>
          <w:sz w:val="20"/>
          <w:szCs w:val="20"/>
          <w:color w:val="auto"/>
        </w:rPr>
      </w:pPr>
    </w:p>
    <w:p>
      <w:pPr>
        <w:ind w:left="1520" w:right="1199"/>
        <w:spacing w:after="0" w:line="258" w:lineRule="auto"/>
        <w:rPr>
          <w:sz w:val="20"/>
          <w:szCs w:val="20"/>
          <w:color w:val="auto"/>
        </w:rPr>
      </w:pPr>
      <w:r>
        <w:rPr>
          <w:rFonts w:ascii="Arial" w:cs="Arial" w:eastAsia="Arial" w:hAnsi="Arial"/>
          <w:sz w:val="15"/>
          <w:szCs w:val="15"/>
          <w:color w:val="auto"/>
        </w:rPr>
        <w:t>(8) outstanding pre-consolidation shares of the Company’s common stock (the “Share Consolidation”), and to authorize the Board of Directors of the Company to proceed with all formalities to effect the Share Consolidation;</w:t>
      </w:r>
    </w:p>
    <w:p>
      <w:pPr>
        <w:spacing w:after="0" w:line="49" w:lineRule="exact"/>
        <w:rPr>
          <w:sz w:val="20"/>
          <w:szCs w:val="20"/>
          <w:color w:val="auto"/>
        </w:rPr>
      </w:pPr>
    </w:p>
    <w:p>
      <w:pPr>
        <w:ind w:left="1520" w:right="1119" w:hanging="141"/>
        <w:spacing w:after="0" w:line="254" w:lineRule="auto"/>
        <w:tabs>
          <w:tab w:leader="none" w:pos="15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approve an amendment to Article 5 of the Articles to decrease the share capital of the Company by an amount of seven hundred seventy-eight thousand three hundred twenty-nine dollars and thirty-five cents (USD 778,329.35) without cancellation of the outstanding Company’s common stock post-consolidation, by decreasing the par value of the existing shares of the Company’s common stock, in order to bring the share capital of the Company from its current amount of eight hundred eighty-nine thousand five hundred nineteen dollars and twenty-five cents (USD 889,519.25) to an amount of one hundred eleven thousand one hundred eighty-nine dollars and ninety cents (USD 111,189.90) represented by eleven million one hundred eighteen thousand nine hundred ninety (11,118,990) shares of the Company’s common stock without designation of nominal value, and by allocating such amount deriving from the share capital decrease to the share premium account of the Company;</w:t>
      </w:r>
    </w:p>
    <w:p>
      <w:pPr>
        <w:spacing w:after="0" w:line="234" w:lineRule="exact"/>
        <w:rPr>
          <w:rFonts w:ascii="Arial" w:cs="Arial" w:eastAsia="Arial" w:hAnsi="Arial"/>
          <w:sz w:val="15"/>
          <w:szCs w:val="15"/>
          <w:color w:val="auto"/>
        </w:rPr>
      </w:pPr>
    </w:p>
    <w:p>
      <w:pPr>
        <w:ind w:left="1520" w:right="1279" w:hanging="141"/>
        <w:spacing w:after="0" w:line="276" w:lineRule="auto"/>
        <w:tabs>
          <w:tab w:leader="none" w:pos="15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approve amendments to Articles 20 and 23 of the Articles to establish a minimum quorum requirement of at least thirty-three and one-third percent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for all general meetings of shareholders per Nasdaq Stock Market Rule 5620(c);</w:t>
      </w:r>
    </w:p>
    <w:p>
      <w:pPr>
        <w:spacing w:after="0" w:line="47" w:lineRule="exact"/>
        <w:rPr>
          <w:rFonts w:ascii="Arial" w:cs="Arial" w:eastAsia="Arial" w:hAnsi="Arial"/>
          <w:sz w:val="15"/>
          <w:szCs w:val="15"/>
          <w:color w:val="auto"/>
        </w:rPr>
      </w:pPr>
    </w:p>
    <w:p>
      <w:pPr>
        <w:ind w:left="1520" w:right="1819" w:hanging="141"/>
        <w:spacing w:after="0" w:line="286" w:lineRule="auto"/>
        <w:tabs>
          <w:tab w:leader="none" w:pos="15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approve minor administrative updates to the Articles to streamline internal governance processes; and</w:t>
      </w:r>
    </w:p>
    <w:p>
      <w:pPr>
        <w:spacing w:after="0" w:line="28" w:lineRule="exact"/>
        <w:rPr>
          <w:rFonts w:ascii="Arial" w:cs="Arial" w:eastAsia="Arial" w:hAnsi="Arial"/>
          <w:sz w:val="15"/>
          <w:szCs w:val="15"/>
          <w:color w:val="auto"/>
        </w:rPr>
      </w:pPr>
    </w:p>
    <w:p>
      <w:pPr>
        <w:ind w:left="1520" w:right="1639" w:hanging="141"/>
        <w:spacing w:after="0" w:line="286" w:lineRule="auto"/>
        <w:tabs>
          <w:tab w:leader="none" w:pos="15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Extraordinary Meeting and any adjournment or postponement thereof.</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7"/>
          <w:szCs w:val="17"/>
          <w:b w:val="1"/>
          <w:bCs w:val="1"/>
          <w:u w:val="single" w:color="auto"/>
          <w:color w:val="auto"/>
        </w:rPr>
        <w:t>PROCEDURES</w:t>
      </w:r>
    </w:p>
    <w:p>
      <w:pPr>
        <w:spacing w:after="0" w:line="91" w:lineRule="exact"/>
        <w:rPr>
          <w:sz w:val="20"/>
          <w:szCs w:val="20"/>
          <w:color w:val="auto"/>
        </w:rPr>
      </w:pPr>
    </w:p>
    <w:p>
      <w:pPr>
        <w:ind w:left="1520" w:right="1439" w:hanging="141"/>
        <w:spacing w:after="0" w:line="278" w:lineRule="auto"/>
        <w:tabs>
          <w:tab w:leader="none" w:pos="1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Board of Directors has fixed March 17, 2025 as the record date for the determination of shareholders entitled to notice of and to vote at the Extraordinary Meeting.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 w:name="page6"/>
    <w:bookmarkEnd w:id="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20" w:right="1439" w:hanging="141"/>
        <w:spacing w:after="0" w:line="286"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Only shareholders as of the close of business on the record date will be eligible to vote at the Extraordinary Meeting.</w:t>
      </w:r>
    </w:p>
    <w:p>
      <w:pPr>
        <w:spacing w:after="0" w:line="39" w:lineRule="exact"/>
        <w:rPr>
          <w:rFonts w:ascii="Arial" w:cs="Arial" w:eastAsia="Arial" w:hAnsi="Arial"/>
          <w:sz w:val="15"/>
          <w:szCs w:val="15"/>
          <w:color w:val="auto"/>
        </w:rPr>
      </w:pPr>
    </w:p>
    <w:p>
      <w:pPr>
        <w:ind w:left="1520" w:right="1179" w:hanging="141"/>
        <w:spacing w:after="0" w:line="255"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order to be admitted to the Extraordinary Meeting, shareholders must present proof of ownership as of the record date and valid government-issued photo identification. Shareholders holding shares in “street name” through a bank or broker, must also obtain a “legal proxy” from the holder of record to vote at the Extraordinary Meeting.</w:t>
      </w:r>
    </w:p>
    <w:p>
      <w:pPr>
        <w:spacing w:after="0" w:line="2" w:lineRule="exact"/>
        <w:rPr>
          <w:rFonts w:ascii="Arial" w:cs="Arial" w:eastAsia="Arial" w:hAnsi="Arial"/>
          <w:sz w:val="15"/>
          <w:szCs w:val="15"/>
          <w:color w:val="auto"/>
        </w:rPr>
      </w:pPr>
    </w:p>
    <w:p>
      <w:pPr>
        <w:ind w:left="1520" w:right="1099"/>
        <w:spacing w:after="0" w:line="258" w:lineRule="auto"/>
        <w:rPr>
          <w:rFonts w:ascii="Arial" w:cs="Arial" w:eastAsia="Arial" w:hAnsi="Arial"/>
          <w:sz w:val="15"/>
          <w:szCs w:val="15"/>
          <w:color w:val="auto"/>
        </w:rPr>
      </w:pPr>
      <w:r>
        <w:rPr>
          <w:rFonts w:ascii="Arial" w:cs="Arial" w:eastAsia="Arial" w:hAnsi="Arial"/>
          <w:sz w:val="15"/>
          <w:szCs w:val="15"/>
          <w:b w:val="1"/>
          <w:bCs w:val="1"/>
          <w:color w:val="auto"/>
        </w:rPr>
        <w:t xml:space="preserve">Shareholders are encouraged to vote in advance of the Extraordinary Meeting to ensure their vote is counted even if they are unable to attend in person. </w:t>
      </w:r>
      <w:r>
        <w:rPr>
          <w:rFonts w:ascii="Arial" w:cs="Arial" w:eastAsia="Arial" w:hAnsi="Arial"/>
          <w:sz w:val="15"/>
          <w:szCs w:val="15"/>
          <w:color w:val="auto"/>
        </w:rPr>
        <w:t>Instructions for voting in</w:t>
      </w:r>
      <w:r>
        <w:rPr>
          <w:rFonts w:ascii="Arial" w:cs="Arial" w:eastAsia="Arial" w:hAnsi="Arial"/>
          <w:sz w:val="15"/>
          <w:szCs w:val="15"/>
          <w:b w:val="1"/>
          <w:bCs w:val="1"/>
          <w:color w:val="auto"/>
        </w:rPr>
        <w:t xml:space="preserve"> </w:t>
      </w:r>
      <w:r>
        <w:rPr>
          <w:rFonts w:ascii="Arial" w:cs="Arial" w:eastAsia="Arial" w:hAnsi="Arial"/>
          <w:sz w:val="15"/>
          <w:szCs w:val="15"/>
          <w:color w:val="auto"/>
        </w:rPr>
        <w:t>advance are included in the accompanying materials.</w:t>
      </w:r>
    </w:p>
    <w:p>
      <w:pPr>
        <w:spacing w:after="0" w:line="60" w:lineRule="exact"/>
        <w:rPr>
          <w:rFonts w:ascii="Arial" w:cs="Arial" w:eastAsia="Arial" w:hAnsi="Arial"/>
          <w:sz w:val="15"/>
          <w:szCs w:val="15"/>
          <w:color w:val="auto"/>
        </w:rPr>
      </w:pPr>
    </w:p>
    <w:p>
      <w:pPr>
        <w:ind w:left="1520" w:right="1119" w:hanging="141"/>
        <w:spacing w:after="0" w:line="256"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The joint proxy statement for our Extraordinary General Meeting and Annual General Meeting of Shareholders (the “proxy statement”) will be available on our website under Investor Relations—Financial​ Information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accordance with the rules of the U.S. Securities and Exchange Commission, you may also access our proxy statement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a website that does not identify or track visitors to the site, by entering the Control Number provided in the Notice and Access Card, proxy card or email notification, as applicable.</w:t>
      </w:r>
    </w:p>
    <w:p>
      <w:pPr>
        <w:spacing w:after="0" w:line="244" w:lineRule="exact"/>
        <w:rPr>
          <w:rFonts w:ascii="Arial" w:cs="Arial" w:eastAsia="Arial" w:hAnsi="Arial"/>
          <w:sz w:val="15"/>
          <w:szCs w:val="15"/>
          <w:color w:val="auto"/>
        </w:rPr>
      </w:pPr>
    </w:p>
    <w:p>
      <w:pPr>
        <w:ind w:left="1520" w:right="1139" w:hanging="141"/>
        <w:spacing w:after="0" w:line="258"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presence at the Extraordinary Meeting of holders of at least 50% of the issued and outstanding shares of common stock able to be voted, whether represented in person or by proxy, will constitute a quorum for the transaction of business at the Extraordinary Meeting. If the quorum of at least 50% is not met, in accordance with Luxembourg law, we will hold a second extraordinary meeting with at least 15 days prior notice, in lieu of an adjourned, postponed or rescheduled meeting. At the second extraordinary meeting, a quorum of at least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our issued and outstanding shares of common stock able to be voted shall apply.</w:t>
      </w:r>
    </w:p>
    <w:p>
      <w:pPr>
        <w:spacing w:after="0" w:line="245" w:lineRule="exact"/>
        <w:rPr>
          <w:rFonts w:ascii="Arial" w:cs="Arial" w:eastAsia="Arial" w:hAnsi="Arial"/>
          <w:sz w:val="15"/>
          <w:szCs w:val="15"/>
          <w:color w:val="auto"/>
        </w:rPr>
      </w:pPr>
    </w:p>
    <w:p>
      <w:pPr>
        <w:ind w:left="1520" w:right="1619" w:hanging="141"/>
        <w:spacing w:after="0" w:line="286"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following documents will be available at the Company’s registered office for inspection by shareholders and copies are available upon request:</w:t>
      </w:r>
    </w:p>
    <w:p>
      <w:pPr>
        <w:spacing w:after="0" w:line="7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—the present convening notice</w:t>
      </w:r>
    </w:p>
    <w:p>
      <w:pPr>
        <w:spacing w:after="0" w:line="132" w:lineRule="exact"/>
        <w:rPr>
          <w:sz w:val="20"/>
          <w:szCs w:val="20"/>
          <w:color w:val="auto"/>
        </w:rPr>
      </w:pPr>
    </w:p>
    <w:p>
      <w:pPr>
        <w:ind w:left="1820" w:right="1539" w:hanging="134"/>
        <w:spacing w:after="0" w:line="286" w:lineRule="auto"/>
        <w:rPr>
          <w:sz w:val="20"/>
          <w:szCs w:val="20"/>
          <w:color w:val="auto"/>
        </w:rPr>
      </w:pPr>
      <w:r>
        <w:rPr>
          <w:rFonts w:ascii="Arial" w:cs="Arial" w:eastAsia="Arial" w:hAnsi="Arial"/>
          <w:sz w:val="15"/>
          <w:szCs w:val="15"/>
          <w:color w:val="auto"/>
        </w:rPr>
        <w:t>—the draft resolutions of the Extraordinary Meeting, which reflect the proposed amendments to the Articles of Incorporation of the Company</w:t>
      </w:r>
    </w:p>
    <w:p>
      <w:pPr>
        <w:spacing w:after="0" w:line="62"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—the draft power of attorney</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 xml:space="preserve">Any such request should be made to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w:t>
      </w:r>
    </w:p>
    <w:p>
      <w:pPr>
        <w:spacing w:after="0" w:line="27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By authorization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107315</wp:posOffset>
            </wp:positionV>
            <wp:extent cx="1137920" cy="379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7920" cy="37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Gregory J. Ritts</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Corporate Secretary</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March 31, 2025</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 w:name="page7"/>
    <w:bookmarkEnd w:id="6"/>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ALTISOURCE PORTFOLIO SOLUTIONS S.A.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24"/>
        </w:trPr>
        <w:tc>
          <w:tcPr>
            <w:tcW w:w="11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160" w:type="dxa"/>
            <w:vAlign w:val="bottom"/>
            <w:tcBorders>
              <w:top w:val="single" w:sz="8" w:color="CCEEFF"/>
              <w:bottom w:val="single" w:sz="8" w:color="0000EE"/>
            </w:tcBorders>
            <w:gridSpan w:val="3"/>
            <w:shd w:val="clear" w:color="auto" w:fill="CCEEFF"/>
          </w:tcPr>
          <w:p>
            <w:pPr>
              <w:spacing w:after="0"/>
              <w:rPr>
                <w:sz w:val="20"/>
                <w:szCs w:val="20"/>
                <w:color w:val="auto"/>
              </w:rPr>
            </w:pPr>
            <w:r>
              <w:rPr>
                <w:rFonts w:ascii="Arial" w:cs="Arial" w:eastAsia="Arial" w:hAnsi="Arial"/>
                <w:sz w:val="15"/>
                <w:szCs w:val="15"/>
                <w:color w:val="0000EE"/>
              </w:rPr>
              <w:t>Proxy Summary</w:t>
            </w: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1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3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20" w:type="dxa"/>
            <w:vAlign w:val="bottom"/>
            <w:tcBorders>
              <w:top w:val="single" w:sz="8" w:color="auto"/>
              <w:bottom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auto"/>
              <w:bottom w:val="single" w:sz="8" w:color="auto"/>
            </w:tcBorders>
            <w:vMerge w:val="restart"/>
            <w:shd w:val="clear" w:color="auto" w:fill="CCEEFF"/>
          </w:tcPr>
          <w:p>
            <w:pPr>
              <w:spacing w:after="0"/>
              <w:rPr>
                <w:sz w:val="16"/>
                <w:szCs w:val="16"/>
                <w:color w:val="auto"/>
              </w:rPr>
            </w:pPr>
          </w:p>
        </w:tc>
        <w:tc>
          <w:tcPr>
            <w:tcW w:w="120" w:type="dxa"/>
            <w:vAlign w:val="bottom"/>
            <w:tcBorders>
              <w:top w:val="single" w:sz="8" w:color="auto"/>
              <w:bottom w:val="single" w:sz="8" w:color="0000EE"/>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00EE"/>
                <w:w w:val="71"/>
              </w:rPr>
              <w:t>8</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7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14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right w:val="single" w:sz="8" w:color="CCEEFF"/>
            </w:tcBorders>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rPr>
              <w:t>Meeting Information</w:t>
            </w:r>
          </w:p>
        </w:tc>
        <w:tc>
          <w:tcPr>
            <w:tcW w:w="20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140" w:type="dxa"/>
            <w:vAlign w:val="bottom"/>
            <w:vMerge w:val="restart"/>
          </w:tcPr>
          <w:p>
            <w:pPr>
              <w:spacing w:after="0"/>
              <w:rPr>
                <w:sz w:val="16"/>
                <w:szCs w:val="16"/>
                <w:color w:val="auto"/>
              </w:rPr>
            </w:pPr>
          </w:p>
        </w:tc>
        <w:tc>
          <w:tcPr>
            <w:tcW w:w="3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6"/>
                <w:szCs w:val="16"/>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8</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940" w:type="dxa"/>
            <w:vAlign w:val="bottom"/>
            <w:tcBorders>
              <w:bottom w:val="single" w:sz="8" w:color="0000EE"/>
            </w:tcBorders>
            <w:gridSpan w:val="39"/>
            <w:shd w:val="clear" w:color="auto" w:fill="CCEEFF"/>
          </w:tcPr>
          <w:p>
            <w:pPr>
              <w:spacing w:after="0" w:line="127" w:lineRule="exact"/>
              <w:rPr>
                <w:sz w:val="20"/>
                <w:szCs w:val="20"/>
                <w:color w:val="auto"/>
              </w:rPr>
            </w:pPr>
            <w:r>
              <w:rPr>
                <w:rFonts w:ascii="Arial" w:cs="Arial" w:eastAsia="Arial" w:hAnsi="Arial"/>
                <w:sz w:val="14"/>
                <w:szCs w:val="14"/>
                <w:color w:val="0000EE"/>
              </w:rPr>
              <w:t>Annual Meeting, Voting Matters and Recommendations of our Board of Directors</w:t>
            </w:r>
          </w:p>
        </w:tc>
        <w:tc>
          <w:tcPr>
            <w:tcW w:w="44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0000EE"/>
              <w:right w:val="single" w:sz="8" w:color="CCEEFF"/>
            </w:tcBorders>
            <w:shd w:val="clear" w:color="auto" w:fill="CCEEFF"/>
          </w:tcPr>
          <w:p>
            <w:pPr>
              <w:jc w:val="right"/>
              <w:spacing w:after="0" w:line="127" w:lineRule="exact"/>
              <w:rPr>
                <w:sz w:val="20"/>
                <w:szCs w:val="20"/>
                <w:color w:val="auto"/>
              </w:rPr>
            </w:pPr>
            <w:r>
              <w:rPr>
                <w:rFonts w:ascii="Arial" w:cs="Arial" w:eastAsia="Arial" w:hAnsi="Arial"/>
                <w:sz w:val="14"/>
                <w:szCs w:val="14"/>
                <w:color w:val="0000EE"/>
                <w:w w:val="76"/>
              </w:rPr>
              <w:t>8</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740" w:type="dxa"/>
            <w:vAlign w:val="bottom"/>
            <w:tcBorders>
              <w:bottom w:val="single" w:sz="8" w:color="CCEEFF"/>
            </w:tcBorders>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right w:val="single" w:sz="8" w:color="CCEEFF"/>
            </w:tcBorders>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bottom w:val="single" w:sz="8" w:color="0000EE"/>
            </w:tcBorders>
          </w:tcPr>
          <w:p>
            <w:pPr>
              <w:spacing w:after="0" w:line="127" w:lineRule="exact"/>
              <w:rPr>
                <w:sz w:val="20"/>
                <w:szCs w:val="20"/>
                <w:color w:val="auto"/>
              </w:rPr>
            </w:pPr>
            <w:r>
              <w:rPr>
                <w:rFonts w:ascii="Arial" w:cs="Arial" w:eastAsia="Arial" w:hAnsi="Arial"/>
                <w:sz w:val="14"/>
                <w:szCs w:val="14"/>
                <w:color w:val="0000EE"/>
              </w:rPr>
              <w:t>Highlights</w:t>
            </w:r>
          </w:p>
        </w:tc>
        <w:tc>
          <w:tcPr>
            <w:tcW w:w="34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6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20" w:type="dxa"/>
            <w:vAlign w:val="bottom"/>
            <w:gridSpan w:val="2"/>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140" w:type="dxa"/>
            <w:vAlign w:val="bottom"/>
            <w:vMerge w:val="restart"/>
          </w:tcPr>
          <w:p>
            <w:pPr>
              <w:spacing w:after="0"/>
              <w:rPr>
                <w:sz w:val="10"/>
                <w:szCs w:val="10"/>
                <w:color w:val="auto"/>
              </w:rPr>
            </w:pPr>
          </w:p>
        </w:tc>
        <w:tc>
          <w:tcPr>
            <w:tcW w:w="760" w:type="dxa"/>
            <w:vAlign w:val="bottom"/>
            <w:gridSpan w:val="2"/>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0"/>
                <w:szCs w:val="10"/>
                <w:color w:val="auto"/>
              </w:rPr>
            </w:pPr>
          </w:p>
        </w:tc>
        <w:tc>
          <w:tcPr>
            <w:tcW w:w="120" w:type="dxa"/>
            <w:vAlign w:val="bottom"/>
            <w:tcBorders>
              <w:bottom w:val="single" w:sz="8" w:color="0000EE"/>
            </w:tcBorders>
          </w:tcPr>
          <w:p>
            <w:pPr>
              <w:jc w:val="right"/>
              <w:spacing w:after="0" w:line="127" w:lineRule="exact"/>
              <w:rPr>
                <w:sz w:val="20"/>
                <w:szCs w:val="20"/>
                <w:color w:val="auto"/>
              </w:rPr>
            </w:pPr>
            <w:r>
              <w:rPr>
                <w:rFonts w:ascii="Arial" w:cs="Arial" w:eastAsia="Arial" w:hAnsi="Arial"/>
                <w:sz w:val="14"/>
                <w:szCs w:val="14"/>
                <w:color w:val="0000EE"/>
                <w:w w:val="76"/>
              </w:rPr>
              <w:t>9</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40" w:type="dxa"/>
            <w:vAlign w:val="bottom"/>
          </w:tcPr>
          <w:p>
            <w:pPr>
              <w:spacing w:after="0"/>
              <w:rPr>
                <w:sz w:val="18"/>
                <w:szCs w:val="18"/>
                <w:color w:val="auto"/>
              </w:rPr>
            </w:pPr>
          </w:p>
        </w:tc>
        <w:tc>
          <w:tcPr>
            <w:tcW w:w="4180" w:type="dxa"/>
            <w:vAlign w:val="bottom"/>
            <w:tcBorders>
              <w:bottom w:val="single" w:sz="8" w:color="0000EE"/>
            </w:tcBorders>
            <w:gridSpan w:val="35"/>
            <w:shd w:val="clear" w:color="auto" w:fill="CCEEFF"/>
          </w:tcPr>
          <w:p>
            <w:pPr>
              <w:spacing w:after="0"/>
              <w:rPr>
                <w:sz w:val="20"/>
                <w:szCs w:val="20"/>
                <w:color w:val="auto"/>
              </w:rPr>
            </w:pPr>
            <w:r>
              <w:rPr>
                <w:rFonts w:ascii="Arial" w:cs="Arial" w:eastAsia="Arial" w:hAnsi="Arial"/>
                <w:sz w:val="15"/>
                <w:szCs w:val="15"/>
                <w:color w:val="0000EE"/>
              </w:rPr>
              <w:t>Altisource Portfolio Solutions S.A. Joint Proxy Statement</w:t>
            </w:r>
          </w:p>
        </w:tc>
        <w:tc>
          <w:tcPr>
            <w:tcW w:w="280" w:type="dxa"/>
            <w:vAlign w:val="bottom"/>
            <w:tcBorders>
              <w:bottom w:val="single" w:sz="8" w:color="CCEEFF"/>
            </w:tcBorders>
            <w:vMerge w:val="restart"/>
            <w:shd w:val="clear" w:color="auto" w:fill="CCEEFF"/>
          </w:tcPr>
          <w:p>
            <w:pPr>
              <w:spacing w:after="0"/>
              <w:rPr>
                <w:sz w:val="18"/>
                <w:szCs w:val="18"/>
                <w:color w:val="auto"/>
              </w:rPr>
            </w:pP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1140" w:type="dxa"/>
            <w:vAlign w:val="bottom"/>
            <w:tcBorders>
              <w:bottom w:val="single" w:sz="8" w:color="CCEEFF"/>
            </w:tcBorders>
            <w:vMerge w:val="restart"/>
            <w:shd w:val="clear" w:color="auto" w:fill="CCEEFF"/>
          </w:tcPr>
          <w:p>
            <w:pPr>
              <w:spacing w:after="0"/>
              <w:rPr>
                <w:sz w:val="18"/>
                <w:szCs w:val="18"/>
                <w:color w:val="auto"/>
              </w:rPr>
            </w:pPr>
          </w:p>
        </w:tc>
        <w:tc>
          <w:tcPr>
            <w:tcW w:w="760" w:type="dxa"/>
            <w:vAlign w:val="bottom"/>
            <w:tcBorders>
              <w:bottom w:val="single" w:sz="8" w:color="CCEEFF"/>
            </w:tcBorders>
            <w:gridSpan w:val="2"/>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13</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22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140" w:type="dxa"/>
            <w:vAlign w:val="bottom"/>
            <w:tcBorders>
              <w:bottom w:val="single" w:sz="8" w:color="CCEEFF"/>
            </w:tcBorders>
            <w:vMerge w:val="continue"/>
            <w:shd w:val="clear" w:color="auto" w:fill="CCEEFF"/>
          </w:tcPr>
          <w:p>
            <w:pPr>
              <w:spacing w:after="0"/>
              <w:rPr>
                <w:sz w:val="2"/>
                <w:szCs w:val="2"/>
                <w:color w:val="auto"/>
              </w:rPr>
            </w:pPr>
          </w:p>
        </w:tc>
        <w:tc>
          <w:tcPr>
            <w:tcW w:w="76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rPr>
              <w:t>General Information</w:t>
            </w:r>
          </w:p>
        </w:tc>
        <w:tc>
          <w:tcPr>
            <w:tcW w:w="20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140" w:type="dxa"/>
            <w:vAlign w:val="bottom"/>
            <w:vMerge w:val="restart"/>
          </w:tcPr>
          <w:p>
            <w:pPr>
              <w:spacing w:after="0"/>
              <w:rPr>
                <w:sz w:val="16"/>
                <w:szCs w:val="16"/>
                <w:color w:val="auto"/>
              </w:rPr>
            </w:pPr>
          </w:p>
        </w:tc>
        <w:tc>
          <w:tcPr>
            <w:tcW w:w="760" w:type="dxa"/>
            <w:vAlign w:val="bottom"/>
            <w:gridSpan w:val="2"/>
            <w:vMerge w:val="restart"/>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13</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820" w:type="dxa"/>
            <w:vAlign w:val="bottom"/>
            <w:tcBorders>
              <w:bottom w:val="single" w:sz="8" w:color="0000EE"/>
            </w:tcBorders>
            <w:gridSpan w:val="22"/>
            <w:shd w:val="clear" w:color="auto" w:fill="CCEEFF"/>
          </w:tcPr>
          <w:p>
            <w:pPr>
              <w:spacing w:after="0" w:line="127" w:lineRule="exact"/>
              <w:rPr>
                <w:sz w:val="20"/>
                <w:szCs w:val="20"/>
                <w:color w:val="auto"/>
              </w:rPr>
            </w:pPr>
            <w:r>
              <w:rPr>
                <w:rFonts w:ascii="Arial" w:cs="Arial" w:eastAsia="Arial" w:hAnsi="Arial"/>
                <w:sz w:val="14"/>
                <w:szCs w:val="14"/>
                <w:color w:val="0000EE"/>
              </w:rPr>
              <w:t>Internet Availability of Proxy Materials</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140" w:type="dxa"/>
            <w:vAlign w:val="bottom"/>
            <w:tcBorders>
              <w:bottom w:val="single" w:sz="8" w:color="CCEEFF"/>
            </w:tcBorders>
            <w:vMerge w:val="restart"/>
            <w:shd w:val="clear" w:color="auto" w:fill="CCEEFF"/>
          </w:tcPr>
          <w:p>
            <w:pPr>
              <w:spacing w:after="0"/>
              <w:rPr>
                <w:sz w:val="12"/>
                <w:szCs w:val="12"/>
                <w:color w:val="auto"/>
              </w:rPr>
            </w:pPr>
          </w:p>
        </w:tc>
        <w:tc>
          <w:tcPr>
            <w:tcW w:w="760" w:type="dxa"/>
            <w:vAlign w:val="bottom"/>
            <w:tcBorders>
              <w:bottom w:val="single" w:sz="8" w:color="CCEEFF"/>
            </w:tcBorders>
            <w:gridSpan w:val="2"/>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13</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0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140" w:type="dxa"/>
            <w:vAlign w:val="bottom"/>
            <w:tcBorders>
              <w:bottom w:val="single" w:sz="8" w:color="CCEEFF"/>
            </w:tcBorders>
            <w:vMerge w:val="continue"/>
            <w:shd w:val="clear" w:color="auto" w:fill="CCEEFF"/>
          </w:tcPr>
          <w:p>
            <w:pPr>
              <w:spacing w:after="0"/>
              <w:rPr>
                <w:sz w:val="2"/>
                <w:szCs w:val="2"/>
                <w:color w:val="auto"/>
              </w:rPr>
            </w:pPr>
          </w:p>
        </w:tc>
        <w:tc>
          <w:tcPr>
            <w:tcW w:w="76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bottom w:val="single" w:sz="8" w:color="0000EE"/>
            </w:tcBorders>
            <w:gridSpan w:val="3"/>
          </w:tcPr>
          <w:p>
            <w:pPr>
              <w:spacing w:after="0" w:line="127" w:lineRule="exact"/>
              <w:rPr>
                <w:sz w:val="20"/>
                <w:szCs w:val="20"/>
                <w:color w:val="auto"/>
              </w:rPr>
            </w:pPr>
            <w:r>
              <w:rPr>
                <w:rFonts w:ascii="Arial" w:cs="Arial" w:eastAsia="Arial" w:hAnsi="Arial"/>
                <w:sz w:val="14"/>
                <w:szCs w:val="14"/>
                <w:color w:val="0000EE"/>
              </w:rPr>
              <w:t>Who May Vote</w:t>
            </w:r>
          </w:p>
        </w:tc>
        <w:tc>
          <w:tcPr>
            <w:tcW w:w="20" w:type="dxa"/>
            <w:vAlign w:val="bottom"/>
            <w:vMerge w:val="restart"/>
          </w:tcPr>
          <w:p>
            <w:pPr>
              <w:spacing w:after="0"/>
              <w:rPr>
                <w:sz w:val="10"/>
                <w:szCs w:val="10"/>
                <w:color w:val="auto"/>
              </w:rPr>
            </w:pPr>
          </w:p>
        </w:tc>
        <w:tc>
          <w:tcPr>
            <w:tcW w:w="26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20" w:type="dxa"/>
            <w:vAlign w:val="bottom"/>
            <w:gridSpan w:val="2"/>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140" w:type="dxa"/>
            <w:vAlign w:val="bottom"/>
            <w:vMerge w:val="restart"/>
          </w:tcPr>
          <w:p>
            <w:pPr>
              <w:spacing w:after="0"/>
              <w:rPr>
                <w:sz w:val="10"/>
                <w:szCs w:val="10"/>
                <w:color w:val="auto"/>
              </w:rPr>
            </w:pPr>
          </w:p>
        </w:tc>
        <w:tc>
          <w:tcPr>
            <w:tcW w:w="760" w:type="dxa"/>
            <w:vAlign w:val="bottom"/>
            <w:gridSpan w:val="2"/>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13</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2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0000EE"/>
            </w:tcBorders>
            <w:gridSpan w:val="5"/>
            <w:shd w:val="clear" w:color="auto" w:fill="CCEEFF"/>
          </w:tcPr>
          <w:p>
            <w:pPr>
              <w:spacing w:after="0" w:line="127" w:lineRule="exact"/>
              <w:rPr>
                <w:sz w:val="20"/>
                <w:szCs w:val="20"/>
                <w:color w:val="auto"/>
              </w:rPr>
            </w:pPr>
            <w:r>
              <w:rPr>
                <w:rFonts w:ascii="Arial" w:cs="Arial" w:eastAsia="Arial" w:hAnsi="Arial"/>
                <w:sz w:val="14"/>
                <w:szCs w:val="14"/>
                <w:color w:val="0000EE"/>
              </w:rPr>
              <w:t>Voting Procedures</w:t>
            </w: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gridSpan w:val="2"/>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140" w:type="dxa"/>
            <w:vAlign w:val="bottom"/>
            <w:tcBorders>
              <w:bottom w:val="single" w:sz="8" w:color="CCEEFF"/>
            </w:tcBorders>
            <w:vMerge w:val="restart"/>
            <w:shd w:val="clear" w:color="auto" w:fill="CCEEFF"/>
          </w:tcPr>
          <w:p>
            <w:pPr>
              <w:spacing w:after="0"/>
              <w:rPr>
                <w:sz w:val="12"/>
                <w:szCs w:val="12"/>
                <w:color w:val="auto"/>
              </w:rPr>
            </w:pPr>
          </w:p>
        </w:tc>
        <w:tc>
          <w:tcPr>
            <w:tcW w:w="760" w:type="dxa"/>
            <w:vAlign w:val="bottom"/>
            <w:tcBorders>
              <w:bottom w:val="single" w:sz="8" w:color="CCEEFF"/>
            </w:tcBorders>
            <w:gridSpan w:val="2"/>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13</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100" w:type="dxa"/>
            <w:vAlign w:val="bottom"/>
            <w:tcBorders>
              <w:bottom w:val="single" w:sz="8" w:color="CCEEFF"/>
            </w:tcBorders>
            <w:gridSpan w:val="4"/>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140" w:type="dxa"/>
            <w:vAlign w:val="bottom"/>
            <w:tcBorders>
              <w:bottom w:val="single" w:sz="8" w:color="CCEEFF"/>
            </w:tcBorders>
            <w:vMerge w:val="continue"/>
            <w:shd w:val="clear" w:color="auto" w:fill="CCEEFF"/>
          </w:tcPr>
          <w:p>
            <w:pPr>
              <w:spacing w:after="0"/>
              <w:rPr>
                <w:sz w:val="2"/>
                <w:szCs w:val="2"/>
                <w:color w:val="auto"/>
              </w:rPr>
            </w:pPr>
          </w:p>
        </w:tc>
        <w:tc>
          <w:tcPr>
            <w:tcW w:w="76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Borders>
              <w:bottom w:val="single" w:sz="8" w:color="0000EE"/>
            </w:tcBorders>
            <w:gridSpan w:val="7"/>
          </w:tcPr>
          <w:p>
            <w:pPr>
              <w:spacing w:after="0" w:line="127" w:lineRule="exact"/>
              <w:rPr>
                <w:sz w:val="20"/>
                <w:szCs w:val="20"/>
                <w:color w:val="auto"/>
              </w:rPr>
            </w:pPr>
            <w:r>
              <w:rPr>
                <w:rFonts w:ascii="Arial" w:cs="Arial" w:eastAsia="Arial" w:hAnsi="Arial"/>
                <w:sz w:val="14"/>
                <w:szCs w:val="14"/>
                <w:color w:val="0000EE"/>
              </w:rPr>
              <w:t>How a Proxy Works</w:t>
            </w:r>
          </w:p>
        </w:tc>
        <w:tc>
          <w:tcPr>
            <w:tcW w:w="220" w:type="dxa"/>
            <w:vAlign w:val="bottom"/>
            <w:gridSpan w:val="2"/>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140" w:type="dxa"/>
            <w:vAlign w:val="bottom"/>
            <w:vMerge w:val="restart"/>
          </w:tcPr>
          <w:p>
            <w:pPr>
              <w:spacing w:after="0"/>
              <w:rPr>
                <w:sz w:val="10"/>
                <w:szCs w:val="10"/>
                <w:color w:val="auto"/>
              </w:rPr>
            </w:pPr>
          </w:p>
        </w:tc>
        <w:tc>
          <w:tcPr>
            <w:tcW w:w="760" w:type="dxa"/>
            <w:vAlign w:val="bottom"/>
            <w:gridSpan w:val="2"/>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14</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3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20" w:type="dxa"/>
            <w:vAlign w:val="bottom"/>
            <w:tcBorders>
              <w:bottom w:val="single" w:sz="8" w:color="0000EE"/>
            </w:tcBorders>
            <w:gridSpan w:val="38"/>
            <w:shd w:val="clear" w:color="auto" w:fill="CCEEFF"/>
          </w:tcPr>
          <w:p>
            <w:pPr>
              <w:spacing w:after="0" w:line="127" w:lineRule="exact"/>
              <w:rPr>
                <w:sz w:val="20"/>
                <w:szCs w:val="20"/>
                <w:color w:val="auto"/>
              </w:rPr>
            </w:pPr>
            <w:r>
              <w:rPr>
                <w:rFonts w:ascii="Arial" w:cs="Arial" w:eastAsia="Arial" w:hAnsi="Arial"/>
                <w:sz w:val="14"/>
                <w:szCs w:val="14"/>
                <w:color w:val="0000EE"/>
              </w:rPr>
              <w:t>How to Revoke a Proxy or, if You Are a Beneficial Owner, Change Your Vote</w:t>
            </w:r>
          </w:p>
        </w:tc>
        <w:tc>
          <w:tcPr>
            <w:tcW w:w="760" w:type="dxa"/>
            <w:vAlign w:val="bottom"/>
            <w:tcBorders>
              <w:bottom w:val="single" w:sz="8" w:color="CCEEFF"/>
            </w:tcBorders>
            <w:gridSpan w:val="2"/>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14</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100" w:type="dxa"/>
            <w:vAlign w:val="bottom"/>
            <w:tcBorders>
              <w:bottom w:val="single" w:sz="8" w:color="CCEEFF"/>
            </w:tcBorders>
            <w:gridSpan w:val="4"/>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3"/>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shd w:val="clear" w:color="auto" w:fill="CCEEFF"/>
          </w:tcPr>
          <w:p>
            <w:pPr>
              <w:spacing w:after="0"/>
              <w:rPr>
                <w:sz w:val="2"/>
                <w:szCs w:val="2"/>
                <w:color w:val="auto"/>
              </w:rPr>
            </w:pPr>
          </w:p>
        </w:tc>
        <w:tc>
          <w:tcPr>
            <w:tcW w:w="76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20" w:type="dxa"/>
            <w:vAlign w:val="bottom"/>
            <w:tcBorders>
              <w:bottom w:val="single" w:sz="8" w:color="0000EE"/>
            </w:tcBorders>
            <w:gridSpan w:val="16"/>
          </w:tcPr>
          <w:p>
            <w:pPr>
              <w:spacing w:after="0" w:line="127" w:lineRule="exact"/>
              <w:rPr>
                <w:sz w:val="20"/>
                <w:szCs w:val="20"/>
                <w:color w:val="auto"/>
              </w:rPr>
            </w:pPr>
            <w:r>
              <w:rPr>
                <w:rFonts w:ascii="Arial" w:cs="Arial" w:eastAsia="Arial" w:hAnsi="Arial"/>
                <w:sz w:val="14"/>
                <w:szCs w:val="14"/>
                <w:color w:val="0000EE"/>
              </w:rPr>
              <w:t>Quorum and Voting Information</w:t>
            </w:r>
          </w:p>
        </w:tc>
        <w:tc>
          <w:tcPr>
            <w:tcW w:w="4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900" w:type="dxa"/>
            <w:vAlign w:val="bottom"/>
            <w:gridSpan w:val="3"/>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15</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32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40" w:type="dxa"/>
            <w:vAlign w:val="bottom"/>
          </w:tcPr>
          <w:p>
            <w:pPr>
              <w:spacing w:after="0"/>
              <w:rPr>
                <w:sz w:val="18"/>
                <w:szCs w:val="18"/>
                <w:color w:val="auto"/>
              </w:rPr>
            </w:pPr>
          </w:p>
        </w:tc>
        <w:tc>
          <w:tcPr>
            <w:tcW w:w="3040" w:type="dxa"/>
            <w:vAlign w:val="bottom"/>
            <w:tcBorders>
              <w:bottom w:val="single" w:sz="8" w:color="0000EE"/>
            </w:tcBorders>
            <w:gridSpan w:val="25"/>
            <w:shd w:val="clear" w:color="auto" w:fill="CCEEFF"/>
          </w:tcPr>
          <w:p>
            <w:pPr>
              <w:spacing w:after="0"/>
              <w:rPr>
                <w:sz w:val="20"/>
                <w:szCs w:val="20"/>
                <w:color w:val="auto"/>
              </w:rPr>
            </w:pPr>
            <w:r>
              <w:rPr>
                <w:rFonts w:ascii="Arial" w:cs="Arial" w:eastAsia="Arial" w:hAnsi="Arial"/>
                <w:sz w:val="15"/>
                <w:szCs w:val="15"/>
                <w:color w:val="0000EE"/>
              </w:rPr>
              <w:t>Proposal One: Director Election Proposal</w:t>
            </w: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200" w:type="dxa"/>
            <w:vAlign w:val="bottom"/>
            <w:tcBorders>
              <w:bottom w:val="single" w:sz="8" w:color="CCEEFF"/>
            </w:tcBorders>
            <w:vMerge w:val="restart"/>
            <w:shd w:val="clear" w:color="auto" w:fill="CCEEFF"/>
          </w:tcPr>
          <w:p>
            <w:pPr>
              <w:spacing w:after="0"/>
              <w:rPr>
                <w:sz w:val="18"/>
                <w:szCs w:val="18"/>
                <w:color w:val="auto"/>
              </w:rPr>
            </w:pP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160" w:type="dxa"/>
            <w:vAlign w:val="bottom"/>
            <w:tcBorders>
              <w:bottom w:val="single" w:sz="8" w:color="CCEEFF"/>
            </w:tcBorders>
            <w:vMerge w:val="restart"/>
            <w:shd w:val="clear" w:color="auto" w:fill="CCEEFF"/>
          </w:tcPr>
          <w:p>
            <w:pPr>
              <w:spacing w:after="0"/>
              <w:rPr>
                <w:sz w:val="18"/>
                <w:szCs w:val="18"/>
                <w:color w:val="auto"/>
              </w:rPr>
            </w:pPr>
          </w:p>
        </w:tc>
        <w:tc>
          <w:tcPr>
            <w:tcW w:w="140" w:type="dxa"/>
            <w:vAlign w:val="bottom"/>
            <w:tcBorders>
              <w:bottom w:val="single" w:sz="8" w:color="CCEEFF"/>
            </w:tcBorders>
            <w:vMerge w:val="restart"/>
            <w:shd w:val="clear" w:color="auto" w:fill="CCEEFF"/>
          </w:tcPr>
          <w:p>
            <w:pPr>
              <w:spacing w:after="0"/>
              <w:rPr>
                <w:sz w:val="18"/>
                <w:szCs w:val="18"/>
                <w:color w:val="auto"/>
              </w:rPr>
            </w:pPr>
          </w:p>
        </w:tc>
        <w:tc>
          <w:tcPr>
            <w:tcW w:w="280" w:type="dxa"/>
            <w:vAlign w:val="bottom"/>
            <w:tcBorders>
              <w:bottom w:val="single" w:sz="8" w:color="CCEEFF"/>
            </w:tcBorders>
            <w:vMerge w:val="restart"/>
            <w:shd w:val="clear" w:color="auto" w:fill="CCEEFF"/>
          </w:tcPr>
          <w:p>
            <w:pPr>
              <w:spacing w:after="0"/>
              <w:rPr>
                <w:sz w:val="18"/>
                <w:szCs w:val="18"/>
                <w:color w:val="auto"/>
              </w:rPr>
            </w:pPr>
          </w:p>
        </w:tc>
        <w:tc>
          <w:tcPr>
            <w:tcW w:w="320" w:type="dxa"/>
            <w:vAlign w:val="bottom"/>
            <w:tcBorders>
              <w:bottom w:val="single" w:sz="8" w:color="CCEEFF"/>
            </w:tcBorders>
            <w:gridSpan w:val="2"/>
            <w:vMerge w:val="restart"/>
            <w:shd w:val="clear" w:color="auto" w:fill="CCEEFF"/>
          </w:tcPr>
          <w:p>
            <w:pPr>
              <w:spacing w:after="0"/>
              <w:rPr>
                <w:sz w:val="18"/>
                <w:szCs w:val="18"/>
                <w:color w:val="auto"/>
              </w:rPr>
            </w:pP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1900" w:type="dxa"/>
            <w:vAlign w:val="bottom"/>
            <w:tcBorders>
              <w:bottom w:val="single" w:sz="8" w:color="CCEEFF"/>
            </w:tcBorders>
            <w:gridSpan w:val="3"/>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16</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240" w:type="dxa"/>
            <w:vAlign w:val="bottom"/>
            <w:tcBorders>
              <w:bottom w:val="single" w:sz="8" w:color="CCEEFF"/>
            </w:tcBorders>
            <w:gridSpan w:val="5"/>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3"/>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900" w:type="dxa"/>
            <w:vAlign w:val="bottom"/>
            <w:tcBorders>
              <w:bottom w:val="single" w:sz="8" w:color="CCEEFF"/>
            </w:tcBorders>
            <w:gridSpan w:val="3"/>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040" w:type="dxa"/>
            <w:vAlign w:val="bottom"/>
            <w:vMerge w:val="restart"/>
          </w:tcPr>
          <w:p>
            <w:pPr>
              <w:spacing w:after="0"/>
              <w:rPr>
                <w:sz w:val="16"/>
                <w:szCs w:val="16"/>
                <w:color w:val="auto"/>
              </w:rPr>
            </w:pPr>
          </w:p>
        </w:tc>
        <w:tc>
          <w:tcPr>
            <w:tcW w:w="3400" w:type="dxa"/>
            <w:vAlign w:val="bottom"/>
            <w:tcBorders>
              <w:bottom w:val="single" w:sz="8" w:color="0000EE"/>
            </w:tcBorders>
            <w:gridSpan w:val="29"/>
          </w:tcPr>
          <w:p>
            <w:pPr>
              <w:spacing w:after="0"/>
              <w:rPr>
                <w:sz w:val="20"/>
                <w:szCs w:val="20"/>
                <w:color w:val="auto"/>
              </w:rPr>
            </w:pPr>
            <w:r>
              <w:rPr>
                <w:rFonts w:ascii="Arial" w:cs="Arial" w:eastAsia="Arial" w:hAnsi="Arial"/>
                <w:sz w:val="15"/>
                <w:szCs w:val="15"/>
                <w:color w:val="0000EE"/>
              </w:rPr>
              <w:t>Board of Directors and Corporate Governance</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900" w:type="dxa"/>
            <w:vAlign w:val="bottom"/>
            <w:gridSpan w:val="3"/>
            <w:vMerge w:val="restart"/>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19</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vMerge w:val="continue"/>
          </w:tcPr>
          <w:p>
            <w:pPr>
              <w:spacing w:after="0"/>
              <w:rPr>
                <w:sz w:val="2"/>
                <w:szCs w:val="2"/>
                <w:color w:val="auto"/>
              </w:rPr>
            </w:pPr>
          </w:p>
        </w:tc>
        <w:tc>
          <w:tcPr>
            <w:tcW w:w="1240" w:type="dxa"/>
            <w:vAlign w:val="bottom"/>
            <w:gridSpan w:val="5"/>
          </w:tcPr>
          <w:p>
            <w:pPr>
              <w:spacing w:after="0"/>
              <w:rPr>
                <w:sz w:val="2"/>
                <w:szCs w:val="2"/>
                <w:color w:val="auto"/>
              </w:rPr>
            </w:pPr>
          </w:p>
        </w:tc>
        <w:tc>
          <w:tcPr>
            <w:tcW w:w="32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4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560" w:type="dxa"/>
            <w:vAlign w:val="bottom"/>
            <w:tcBorders>
              <w:bottom w:val="single" w:sz="8" w:color="0000EE"/>
            </w:tcBorders>
            <w:gridSpan w:val="20"/>
            <w:shd w:val="clear" w:color="auto" w:fill="CCEEFF"/>
          </w:tcPr>
          <w:p>
            <w:pPr>
              <w:spacing w:after="0"/>
              <w:rPr>
                <w:sz w:val="20"/>
                <w:szCs w:val="20"/>
                <w:color w:val="auto"/>
              </w:rPr>
            </w:pPr>
            <w:r>
              <w:rPr>
                <w:rFonts w:ascii="Arial" w:cs="Arial" w:eastAsia="Arial" w:hAnsi="Arial"/>
                <w:sz w:val="15"/>
                <w:szCs w:val="15"/>
                <w:color w:val="0000EE"/>
              </w:rPr>
              <w:t>Meetings of our Board of Directors</w:t>
            </w:r>
          </w:p>
        </w:tc>
        <w:tc>
          <w:tcPr>
            <w:tcW w:w="200" w:type="dxa"/>
            <w:vAlign w:val="bottom"/>
            <w:tcBorders>
              <w:bottom w:val="single" w:sz="8" w:color="CCEEFF"/>
            </w:tcBorders>
            <w:vMerge w:val="restart"/>
            <w:shd w:val="clear" w:color="auto" w:fill="CCEEFF"/>
          </w:tcPr>
          <w:p>
            <w:pPr>
              <w:spacing w:after="0"/>
              <w:rPr>
                <w:sz w:val="18"/>
                <w:szCs w:val="18"/>
                <w:color w:val="auto"/>
              </w:rPr>
            </w:pPr>
          </w:p>
        </w:tc>
        <w:tc>
          <w:tcPr>
            <w:tcW w:w="80" w:type="dxa"/>
            <w:vAlign w:val="bottom"/>
            <w:tcBorders>
              <w:bottom w:val="single" w:sz="8" w:color="CCEEFF"/>
            </w:tcBorders>
            <w:gridSpan w:val="2"/>
            <w:vMerge w:val="restart"/>
            <w:shd w:val="clear" w:color="auto" w:fill="CCEEFF"/>
          </w:tcPr>
          <w:p>
            <w:pPr>
              <w:spacing w:after="0"/>
              <w:rPr>
                <w:sz w:val="18"/>
                <w:szCs w:val="18"/>
                <w:color w:val="auto"/>
              </w:rPr>
            </w:pPr>
          </w:p>
        </w:tc>
        <w:tc>
          <w:tcPr>
            <w:tcW w:w="80" w:type="dxa"/>
            <w:vAlign w:val="bottom"/>
            <w:tcBorders>
              <w:bottom w:val="single" w:sz="8" w:color="CCEEFF"/>
            </w:tcBorders>
            <w:gridSpan w:val="2"/>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260" w:type="dxa"/>
            <w:vAlign w:val="bottom"/>
            <w:tcBorders>
              <w:bottom w:val="single" w:sz="8" w:color="CCEEFF"/>
            </w:tcBorders>
            <w:gridSpan w:val="2"/>
            <w:vMerge w:val="restart"/>
            <w:shd w:val="clear" w:color="auto" w:fill="CCEEFF"/>
          </w:tcPr>
          <w:p>
            <w:pPr>
              <w:spacing w:after="0"/>
              <w:rPr>
                <w:sz w:val="18"/>
                <w:szCs w:val="18"/>
                <w:color w:val="auto"/>
              </w:rPr>
            </w:pP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160" w:type="dxa"/>
            <w:vAlign w:val="bottom"/>
            <w:tcBorders>
              <w:bottom w:val="single" w:sz="8" w:color="CCEEFF"/>
            </w:tcBorders>
            <w:vMerge w:val="restart"/>
            <w:shd w:val="clear" w:color="auto" w:fill="CCEEFF"/>
          </w:tcPr>
          <w:p>
            <w:pPr>
              <w:spacing w:after="0"/>
              <w:rPr>
                <w:sz w:val="18"/>
                <w:szCs w:val="18"/>
                <w:color w:val="auto"/>
              </w:rPr>
            </w:pPr>
          </w:p>
        </w:tc>
        <w:tc>
          <w:tcPr>
            <w:tcW w:w="140" w:type="dxa"/>
            <w:vAlign w:val="bottom"/>
            <w:tcBorders>
              <w:bottom w:val="single" w:sz="8" w:color="CCEEFF"/>
            </w:tcBorders>
            <w:vMerge w:val="restart"/>
            <w:shd w:val="clear" w:color="auto" w:fill="CCEEFF"/>
          </w:tcPr>
          <w:p>
            <w:pPr>
              <w:spacing w:after="0"/>
              <w:rPr>
                <w:sz w:val="18"/>
                <w:szCs w:val="18"/>
                <w:color w:val="auto"/>
              </w:rPr>
            </w:pPr>
          </w:p>
        </w:tc>
        <w:tc>
          <w:tcPr>
            <w:tcW w:w="280" w:type="dxa"/>
            <w:vAlign w:val="bottom"/>
            <w:tcBorders>
              <w:bottom w:val="single" w:sz="8" w:color="CCEEFF"/>
            </w:tcBorders>
            <w:vMerge w:val="restart"/>
            <w:shd w:val="clear" w:color="auto" w:fill="CCEEFF"/>
          </w:tcPr>
          <w:p>
            <w:pPr>
              <w:spacing w:after="0"/>
              <w:rPr>
                <w:sz w:val="18"/>
                <w:szCs w:val="18"/>
                <w:color w:val="auto"/>
              </w:rPr>
            </w:pPr>
          </w:p>
        </w:tc>
        <w:tc>
          <w:tcPr>
            <w:tcW w:w="320" w:type="dxa"/>
            <w:vAlign w:val="bottom"/>
            <w:tcBorders>
              <w:bottom w:val="single" w:sz="8" w:color="CCEEFF"/>
            </w:tcBorders>
            <w:gridSpan w:val="2"/>
            <w:vMerge w:val="restart"/>
            <w:shd w:val="clear" w:color="auto" w:fill="CCEEFF"/>
          </w:tcPr>
          <w:p>
            <w:pPr>
              <w:spacing w:after="0"/>
              <w:rPr>
                <w:sz w:val="18"/>
                <w:szCs w:val="18"/>
                <w:color w:val="auto"/>
              </w:rPr>
            </w:pP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1900" w:type="dxa"/>
            <w:vAlign w:val="bottom"/>
            <w:tcBorders>
              <w:bottom w:val="single" w:sz="8" w:color="CCEEFF"/>
            </w:tcBorders>
            <w:gridSpan w:val="3"/>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19</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100" w:type="dxa"/>
            <w:vAlign w:val="bottom"/>
            <w:tcBorders>
              <w:bottom w:val="single" w:sz="8" w:color="CCEEFF"/>
            </w:tcBorders>
            <w:gridSpan w:val="4"/>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3"/>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900" w:type="dxa"/>
            <w:vAlign w:val="bottom"/>
            <w:tcBorders>
              <w:bottom w:val="single" w:sz="8" w:color="CCEEFF"/>
            </w:tcBorders>
            <w:gridSpan w:val="3"/>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tcBorders>
              <w:bottom w:val="single" w:sz="8" w:color="0000EE"/>
            </w:tcBorders>
            <w:gridSpan w:val="12"/>
          </w:tcPr>
          <w:p>
            <w:pPr>
              <w:spacing w:after="0" w:line="127" w:lineRule="exact"/>
              <w:rPr>
                <w:sz w:val="20"/>
                <w:szCs w:val="20"/>
                <w:color w:val="auto"/>
              </w:rPr>
            </w:pPr>
            <w:r>
              <w:rPr>
                <w:rFonts w:ascii="Arial" w:cs="Arial" w:eastAsia="Arial" w:hAnsi="Arial"/>
                <w:sz w:val="14"/>
                <w:szCs w:val="14"/>
                <w:color w:val="0000EE"/>
              </w:rPr>
              <w:t>Independence of Directors</w:t>
            </w:r>
          </w:p>
        </w:tc>
        <w:tc>
          <w:tcPr>
            <w:tcW w:w="8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40" w:type="dxa"/>
            <w:vAlign w:val="bottom"/>
            <w:gridSpan w:val="2"/>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60" w:type="dxa"/>
            <w:vAlign w:val="bottom"/>
            <w:gridSpan w:val="2"/>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900" w:type="dxa"/>
            <w:vAlign w:val="bottom"/>
            <w:gridSpan w:val="3"/>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19</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32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320" w:type="dxa"/>
            <w:vAlign w:val="bottom"/>
            <w:tcBorders>
              <w:bottom w:val="single" w:sz="8" w:color="0000EE"/>
            </w:tcBorders>
            <w:gridSpan w:val="29"/>
            <w:shd w:val="clear" w:color="auto" w:fill="CCEEFF"/>
          </w:tcPr>
          <w:p>
            <w:pPr>
              <w:spacing w:after="0" w:line="127" w:lineRule="exact"/>
              <w:rPr>
                <w:sz w:val="20"/>
                <w:szCs w:val="20"/>
                <w:color w:val="auto"/>
              </w:rPr>
            </w:pPr>
            <w:r>
              <w:rPr>
                <w:rFonts w:ascii="Arial" w:cs="Arial" w:eastAsia="Arial" w:hAnsi="Arial"/>
                <w:sz w:val="14"/>
                <w:szCs w:val="14"/>
                <w:color w:val="0000EE"/>
              </w:rPr>
              <w:t>Executive Sessions of Independent Directors</w:t>
            </w: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900" w:type="dxa"/>
            <w:vAlign w:val="bottom"/>
            <w:tcBorders>
              <w:bottom w:val="single" w:sz="8" w:color="CCEEFF"/>
            </w:tcBorders>
            <w:gridSpan w:val="3"/>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19</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100" w:type="dxa"/>
            <w:vAlign w:val="bottom"/>
            <w:tcBorders>
              <w:bottom w:val="single" w:sz="8" w:color="CCEEFF"/>
            </w:tcBorders>
            <w:gridSpan w:val="4"/>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3"/>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900" w:type="dxa"/>
            <w:vAlign w:val="bottom"/>
            <w:tcBorders>
              <w:bottom w:val="single" w:sz="8" w:color="CCEEFF"/>
            </w:tcBorders>
            <w:gridSpan w:val="3"/>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tcBorders>
              <w:bottom w:val="single" w:sz="8" w:color="0000EE"/>
            </w:tcBorders>
            <w:gridSpan w:val="13"/>
          </w:tcPr>
          <w:p>
            <w:pPr>
              <w:spacing w:after="0" w:line="127" w:lineRule="exact"/>
              <w:rPr>
                <w:sz w:val="20"/>
                <w:szCs w:val="20"/>
                <w:color w:val="auto"/>
              </w:rPr>
            </w:pPr>
            <w:r>
              <w:rPr>
                <w:rFonts w:ascii="Arial" w:cs="Arial" w:eastAsia="Arial" w:hAnsi="Arial"/>
                <w:sz w:val="14"/>
                <w:szCs w:val="14"/>
                <w:color w:val="0000EE"/>
              </w:rPr>
              <w:t>Board Leadership Structure</w:t>
            </w:r>
          </w:p>
        </w:tc>
        <w:tc>
          <w:tcPr>
            <w:tcW w:w="14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40" w:type="dxa"/>
            <w:vAlign w:val="bottom"/>
            <w:gridSpan w:val="2"/>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360" w:type="dxa"/>
            <w:vAlign w:val="bottom"/>
            <w:gridSpan w:val="3"/>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900" w:type="dxa"/>
            <w:vAlign w:val="bottom"/>
            <w:gridSpan w:val="3"/>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20</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32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760" w:type="dxa"/>
            <w:vAlign w:val="bottom"/>
            <w:tcBorders>
              <w:bottom w:val="single" w:sz="8" w:color="0000EE"/>
            </w:tcBorders>
            <w:gridSpan w:val="21"/>
            <w:shd w:val="clear" w:color="auto" w:fill="CCEEFF"/>
          </w:tcPr>
          <w:p>
            <w:pPr>
              <w:spacing w:after="0" w:line="127" w:lineRule="exact"/>
              <w:rPr>
                <w:sz w:val="20"/>
                <w:szCs w:val="20"/>
                <w:color w:val="auto"/>
              </w:rPr>
            </w:pPr>
            <w:r>
              <w:rPr>
                <w:rFonts w:ascii="Arial" w:cs="Arial" w:eastAsia="Arial" w:hAnsi="Arial"/>
                <w:sz w:val="14"/>
                <w:szCs w:val="14"/>
                <w:color w:val="0000EE"/>
              </w:rPr>
              <w:t>Committees of our Board of Directors</w:t>
            </w: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gridSpan w:val="3"/>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900" w:type="dxa"/>
            <w:vAlign w:val="bottom"/>
            <w:tcBorders>
              <w:bottom w:val="single" w:sz="8" w:color="CCEEFF"/>
            </w:tcBorders>
            <w:gridSpan w:val="3"/>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20</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100" w:type="dxa"/>
            <w:vAlign w:val="bottom"/>
            <w:tcBorders>
              <w:bottom w:val="single" w:sz="8" w:color="CCEEFF"/>
            </w:tcBorders>
            <w:gridSpan w:val="4"/>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3"/>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60" w:type="dxa"/>
            <w:vAlign w:val="bottom"/>
            <w:tcBorders>
              <w:bottom w:val="single" w:sz="8" w:color="CCEEFF"/>
            </w:tcBorders>
            <w:gridSpan w:val="3"/>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900" w:type="dxa"/>
            <w:vAlign w:val="bottom"/>
            <w:tcBorders>
              <w:bottom w:val="single" w:sz="8" w:color="CCEEFF"/>
            </w:tcBorders>
            <w:gridSpan w:val="3"/>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tcBorders>
              <w:bottom w:val="single" w:sz="8" w:color="0000EE"/>
            </w:tcBorders>
            <w:gridSpan w:val="19"/>
          </w:tcPr>
          <w:p>
            <w:pPr>
              <w:spacing w:after="0" w:line="127" w:lineRule="exact"/>
              <w:rPr>
                <w:sz w:val="20"/>
                <w:szCs w:val="20"/>
                <w:color w:val="auto"/>
              </w:rPr>
            </w:pPr>
            <w:r>
              <w:rPr>
                <w:rFonts w:ascii="Arial" w:cs="Arial" w:eastAsia="Arial" w:hAnsi="Arial"/>
                <w:sz w:val="14"/>
                <w:szCs w:val="14"/>
                <w:color w:val="0000EE"/>
              </w:rPr>
              <w:t>Corporate Governance Guidelines</w:t>
            </w:r>
          </w:p>
        </w:tc>
        <w:tc>
          <w:tcPr>
            <w:tcW w:w="320" w:type="dxa"/>
            <w:vAlign w:val="bottom"/>
            <w:gridSpan w:val="4"/>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360" w:type="dxa"/>
            <w:vAlign w:val="bottom"/>
            <w:gridSpan w:val="3"/>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900" w:type="dxa"/>
            <w:vAlign w:val="bottom"/>
            <w:gridSpan w:val="3"/>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23</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32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4"/>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0000EE"/>
            </w:tcBorders>
            <w:gridSpan w:val="6"/>
            <w:shd w:val="clear" w:color="auto" w:fill="CCEEFF"/>
          </w:tcPr>
          <w:p>
            <w:pPr>
              <w:spacing w:after="0" w:line="127" w:lineRule="exact"/>
              <w:rPr>
                <w:sz w:val="20"/>
                <w:szCs w:val="20"/>
                <w:color w:val="auto"/>
              </w:rPr>
            </w:pPr>
            <w:r>
              <w:rPr>
                <w:rFonts w:ascii="Arial" w:cs="Arial" w:eastAsia="Arial" w:hAnsi="Arial"/>
                <w:sz w:val="14"/>
                <w:szCs w:val="14"/>
                <w:color w:val="0000EE"/>
              </w:rPr>
              <w:t>Shareholder Rights</w:t>
            </w:r>
          </w:p>
        </w:tc>
        <w:tc>
          <w:tcPr>
            <w:tcW w:w="260" w:type="dxa"/>
            <w:vAlign w:val="bottom"/>
            <w:tcBorders>
              <w:bottom w:val="single" w:sz="8" w:color="CCEEFF"/>
            </w:tcBorders>
            <w:gridSpan w:val="3"/>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00" w:type="dxa"/>
            <w:vAlign w:val="bottom"/>
            <w:tcBorders>
              <w:bottom w:val="single" w:sz="8" w:color="CCEEFF"/>
            </w:tcBorders>
            <w:gridSpan w:val="3"/>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gridSpan w:val="2"/>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80" w:type="dxa"/>
            <w:vAlign w:val="bottom"/>
            <w:tcBorders>
              <w:bottom w:val="single" w:sz="8" w:color="CCEEFF"/>
            </w:tcBorders>
            <w:gridSpan w:val="5"/>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gridSpan w:val="3"/>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900" w:type="dxa"/>
            <w:vAlign w:val="bottom"/>
            <w:tcBorders>
              <w:bottom w:val="single" w:sz="8" w:color="CCEEFF"/>
            </w:tcBorders>
            <w:gridSpan w:val="3"/>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23</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100" w:type="dxa"/>
            <w:vAlign w:val="bottom"/>
            <w:tcBorders>
              <w:bottom w:val="single" w:sz="8" w:color="CCEEFF"/>
            </w:tcBorders>
            <w:gridSpan w:val="4"/>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3"/>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gridSpan w:val="3"/>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60" w:type="dxa"/>
            <w:vAlign w:val="bottom"/>
            <w:tcBorders>
              <w:bottom w:val="single" w:sz="8" w:color="CCEEFF"/>
            </w:tcBorders>
            <w:gridSpan w:val="3"/>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900" w:type="dxa"/>
            <w:vAlign w:val="bottom"/>
            <w:tcBorders>
              <w:bottom w:val="single" w:sz="8" w:color="CCEEFF"/>
            </w:tcBorders>
            <w:gridSpan w:val="3"/>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tcBorders>
              <w:bottom w:val="single" w:sz="8" w:color="0000EE"/>
            </w:tcBorders>
            <w:gridSpan w:val="11"/>
          </w:tcPr>
          <w:p>
            <w:pPr>
              <w:spacing w:after="0" w:line="127" w:lineRule="exact"/>
              <w:rPr>
                <w:sz w:val="20"/>
                <w:szCs w:val="20"/>
                <w:color w:val="auto"/>
              </w:rPr>
            </w:pPr>
            <w:r>
              <w:rPr>
                <w:rFonts w:ascii="Arial" w:cs="Arial" w:eastAsia="Arial" w:hAnsi="Arial"/>
                <w:sz w:val="14"/>
                <w:szCs w:val="14"/>
                <w:color w:val="0000EE"/>
              </w:rPr>
              <w:t>Shareholder Engagement</w:t>
            </w:r>
          </w:p>
        </w:tc>
        <w:tc>
          <w:tcPr>
            <w:tcW w:w="300" w:type="dxa"/>
            <w:vAlign w:val="bottom"/>
            <w:gridSpan w:val="3"/>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380" w:type="dxa"/>
            <w:vAlign w:val="bottom"/>
            <w:gridSpan w:val="5"/>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360" w:type="dxa"/>
            <w:vAlign w:val="bottom"/>
            <w:gridSpan w:val="3"/>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900" w:type="dxa"/>
            <w:vAlign w:val="bottom"/>
            <w:gridSpan w:val="3"/>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24</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58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80" w:type="dxa"/>
            <w:vAlign w:val="bottom"/>
            <w:gridSpan w:val="5"/>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0000EE"/>
            </w:tcBorders>
            <w:gridSpan w:val="4"/>
            <w:shd w:val="clear" w:color="auto" w:fill="CCEEFF"/>
          </w:tcPr>
          <w:p>
            <w:pPr>
              <w:spacing w:after="0" w:line="127" w:lineRule="exact"/>
              <w:rPr>
                <w:sz w:val="20"/>
                <w:szCs w:val="20"/>
                <w:color w:val="auto"/>
              </w:rPr>
            </w:pPr>
            <w:r>
              <w:rPr>
                <w:rFonts w:ascii="Arial" w:cs="Arial" w:eastAsia="Arial" w:hAnsi="Arial"/>
                <w:sz w:val="14"/>
                <w:szCs w:val="14"/>
                <w:color w:val="0000EE"/>
              </w:rPr>
              <w:t>Code of Ethics</w:t>
            </w:r>
          </w:p>
        </w:tc>
        <w:tc>
          <w:tcPr>
            <w:tcW w:w="580" w:type="dxa"/>
            <w:vAlign w:val="bottom"/>
            <w:tcBorders>
              <w:bottom w:val="single" w:sz="8" w:color="CCEEFF"/>
            </w:tcBorders>
            <w:gridSpan w:val="5"/>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4"/>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gridSpan w:val="2"/>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80" w:type="dxa"/>
            <w:vAlign w:val="bottom"/>
            <w:tcBorders>
              <w:bottom w:val="single" w:sz="8" w:color="CCEEFF"/>
            </w:tcBorders>
            <w:gridSpan w:val="5"/>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gridSpan w:val="3"/>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900" w:type="dxa"/>
            <w:vAlign w:val="bottom"/>
            <w:tcBorders>
              <w:bottom w:val="single" w:sz="8" w:color="CCEEFF"/>
            </w:tcBorders>
            <w:gridSpan w:val="3"/>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24</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100" w:type="dxa"/>
            <w:vAlign w:val="bottom"/>
            <w:tcBorders>
              <w:bottom w:val="single" w:sz="8" w:color="CCEEFF"/>
            </w:tcBorders>
            <w:gridSpan w:val="4"/>
            <w:shd w:val="clear" w:color="auto" w:fill="CCEEFF"/>
          </w:tcPr>
          <w:p>
            <w:pPr>
              <w:spacing w:after="0"/>
              <w:rPr>
                <w:sz w:val="2"/>
                <w:szCs w:val="2"/>
                <w:color w:val="auto"/>
              </w:rPr>
            </w:pPr>
          </w:p>
        </w:tc>
        <w:tc>
          <w:tcPr>
            <w:tcW w:w="580" w:type="dxa"/>
            <w:vAlign w:val="bottom"/>
            <w:tcBorders>
              <w:bottom w:val="single" w:sz="8" w:color="CCEEFF"/>
            </w:tcBorders>
            <w:gridSpan w:val="5"/>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4"/>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60" w:type="dxa"/>
            <w:vAlign w:val="bottom"/>
            <w:tcBorders>
              <w:bottom w:val="single" w:sz="8" w:color="CCEEFF"/>
            </w:tcBorders>
            <w:gridSpan w:val="3"/>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900" w:type="dxa"/>
            <w:vAlign w:val="bottom"/>
            <w:tcBorders>
              <w:bottom w:val="single" w:sz="8" w:color="CCEEFF"/>
            </w:tcBorders>
            <w:gridSpan w:val="3"/>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60" w:type="dxa"/>
            <w:vAlign w:val="bottom"/>
            <w:tcBorders>
              <w:bottom w:val="single" w:sz="8" w:color="0000EE"/>
            </w:tcBorders>
            <w:gridSpan w:val="27"/>
          </w:tcPr>
          <w:p>
            <w:pPr>
              <w:spacing w:after="0" w:line="127" w:lineRule="exact"/>
              <w:rPr>
                <w:sz w:val="20"/>
                <w:szCs w:val="20"/>
                <w:color w:val="auto"/>
              </w:rPr>
            </w:pPr>
            <w:r>
              <w:rPr>
                <w:rFonts w:ascii="Arial" w:cs="Arial" w:eastAsia="Arial" w:hAnsi="Arial"/>
                <w:sz w:val="14"/>
                <w:szCs w:val="14"/>
                <w:color w:val="0000EE"/>
              </w:rPr>
              <w:t>Risk Management and Oversight Process</w:t>
            </w:r>
          </w:p>
        </w:tc>
        <w:tc>
          <w:tcPr>
            <w:tcW w:w="360" w:type="dxa"/>
            <w:vAlign w:val="bottom"/>
            <w:gridSpan w:val="3"/>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900" w:type="dxa"/>
            <w:vAlign w:val="bottom"/>
            <w:gridSpan w:val="3"/>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24</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9"/>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580" w:type="dxa"/>
            <w:vAlign w:val="bottom"/>
            <w:tcBorders>
              <w:bottom w:val="single" w:sz="8" w:color="0000EE"/>
            </w:tcBorders>
            <w:gridSpan w:val="31"/>
            <w:shd w:val="clear" w:color="auto" w:fill="CCEEFF"/>
          </w:tcPr>
          <w:p>
            <w:pPr>
              <w:spacing w:after="0" w:line="127" w:lineRule="exact"/>
              <w:rPr>
                <w:sz w:val="20"/>
                <w:szCs w:val="20"/>
                <w:color w:val="auto"/>
              </w:rPr>
            </w:pPr>
            <w:r>
              <w:rPr>
                <w:rFonts w:ascii="Arial" w:cs="Arial" w:eastAsia="Arial" w:hAnsi="Arial"/>
                <w:sz w:val="14"/>
                <w:szCs w:val="14"/>
                <w:color w:val="0000EE"/>
              </w:rPr>
              <w:t>Share Hedging, Margin Lending, Share Pledging</w:t>
            </w: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900" w:type="dxa"/>
            <w:vAlign w:val="bottom"/>
            <w:tcBorders>
              <w:bottom w:val="single" w:sz="8" w:color="CCEEFF"/>
            </w:tcBorders>
            <w:gridSpan w:val="3"/>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25</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9"/>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4"/>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5"/>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4"/>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900" w:type="dxa"/>
            <w:vAlign w:val="bottom"/>
            <w:tcBorders>
              <w:bottom w:val="single" w:sz="8" w:color="CCEEFF"/>
            </w:tcBorders>
            <w:gridSpan w:val="3"/>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320" w:type="dxa"/>
            <w:vAlign w:val="bottom"/>
            <w:tcBorders>
              <w:bottom w:val="single" w:sz="8" w:color="0000EE"/>
            </w:tcBorders>
            <w:gridSpan w:val="35"/>
          </w:tcPr>
          <w:p>
            <w:pPr>
              <w:spacing w:after="0" w:line="127" w:lineRule="exact"/>
              <w:rPr>
                <w:sz w:val="20"/>
                <w:szCs w:val="20"/>
                <w:color w:val="auto"/>
              </w:rPr>
            </w:pPr>
            <w:r>
              <w:rPr>
                <w:rFonts w:ascii="Arial" w:cs="Arial" w:eastAsia="Arial" w:hAnsi="Arial"/>
                <w:sz w:val="14"/>
                <w:szCs w:val="14"/>
                <w:color w:val="0000EE"/>
              </w:rPr>
              <w:t>Corporate Responsibility, Sustainability and Human Rights</w:t>
            </w:r>
          </w:p>
        </w:tc>
        <w:tc>
          <w:tcPr>
            <w:tcW w:w="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900" w:type="dxa"/>
            <w:vAlign w:val="bottom"/>
            <w:gridSpan w:val="3"/>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25</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9"/>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40" w:type="dxa"/>
            <w:vAlign w:val="bottom"/>
          </w:tcPr>
          <w:p>
            <w:pPr>
              <w:spacing w:after="0"/>
              <w:rPr>
                <w:sz w:val="18"/>
                <w:szCs w:val="18"/>
                <w:color w:val="auto"/>
              </w:rPr>
            </w:pPr>
          </w:p>
        </w:tc>
        <w:tc>
          <w:tcPr>
            <w:tcW w:w="250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5"/>
                <w:szCs w:val="15"/>
                <w:color w:val="0000EE"/>
              </w:rPr>
              <w:t>Board of Directors’ Compensation</w:t>
            </w: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380" w:type="dxa"/>
            <w:vAlign w:val="bottom"/>
            <w:tcBorders>
              <w:bottom w:val="single" w:sz="8" w:color="CCEEFF"/>
            </w:tcBorders>
            <w:gridSpan w:val="5"/>
            <w:vMerge w:val="restart"/>
            <w:shd w:val="clear" w:color="auto" w:fill="CCEEFF"/>
          </w:tcPr>
          <w:p>
            <w:pPr>
              <w:spacing w:after="0"/>
              <w:rPr>
                <w:sz w:val="18"/>
                <w:szCs w:val="18"/>
                <w:color w:val="auto"/>
              </w:rPr>
            </w:pPr>
          </w:p>
        </w:tc>
        <w:tc>
          <w:tcPr>
            <w:tcW w:w="80" w:type="dxa"/>
            <w:vAlign w:val="bottom"/>
            <w:tcBorders>
              <w:bottom w:val="single" w:sz="8" w:color="CCEEFF"/>
            </w:tcBorders>
            <w:gridSpan w:val="2"/>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spacing w:after="0"/>
              <w:rPr>
                <w:sz w:val="18"/>
                <w:szCs w:val="18"/>
                <w:color w:val="auto"/>
              </w:rPr>
            </w:pPr>
          </w:p>
        </w:tc>
        <w:tc>
          <w:tcPr>
            <w:tcW w:w="380" w:type="dxa"/>
            <w:vAlign w:val="bottom"/>
            <w:tcBorders>
              <w:bottom w:val="single" w:sz="8" w:color="CCEEFF"/>
            </w:tcBorders>
            <w:gridSpan w:val="4"/>
            <w:vMerge w:val="restart"/>
            <w:shd w:val="clear" w:color="auto" w:fill="CCEEFF"/>
          </w:tcPr>
          <w:p>
            <w:pPr>
              <w:spacing w:after="0"/>
              <w:rPr>
                <w:sz w:val="18"/>
                <w:szCs w:val="18"/>
                <w:color w:val="auto"/>
              </w:rPr>
            </w:pPr>
          </w:p>
        </w:tc>
        <w:tc>
          <w:tcPr>
            <w:tcW w:w="300" w:type="dxa"/>
            <w:vAlign w:val="bottom"/>
            <w:tcBorders>
              <w:bottom w:val="single" w:sz="8" w:color="CCEEFF"/>
            </w:tcBorders>
            <w:gridSpan w:val="2"/>
            <w:vMerge w:val="restart"/>
            <w:shd w:val="clear" w:color="auto" w:fill="CCEEFF"/>
          </w:tcPr>
          <w:p>
            <w:pPr>
              <w:spacing w:after="0"/>
              <w:rPr>
                <w:sz w:val="18"/>
                <w:szCs w:val="18"/>
                <w:color w:val="auto"/>
              </w:rPr>
            </w:pPr>
          </w:p>
        </w:tc>
        <w:tc>
          <w:tcPr>
            <w:tcW w:w="280" w:type="dxa"/>
            <w:vAlign w:val="bottom"/>
            <w:tcBorders>
              <w:bottom w:val="single" w:sz="8" w:color="CCEEFF"/>
            </w:tcBorders>
            <w:vMerge w:val="restart"/>
            <w:shd w:val="clear" w:color="auto" w:fill="CCEEFF"/>
          </w:tcPr>
          <w:p>
            <w:pPr>
              <w:spacing w:after="0"/>
              <w:rPr>
                <w:sz w:val="18"/>
                <w:szCs w:val="18"/>
                <w:color w:val="auto"/>
              </w:rPr>
            </w:pPr>
          </w:p>
        </w:tc>
        <w:tc>
          <w:tcPr>
            <w:tcW w:w="380" w:type="dxa"/>
            <w:vAlign w:val="bottom"/>
            <w:tcBorders>
              <w:bottom w:val="single" w:sz="8" w:color="CCEEFF"/>
            </w:tcBorders>
            <w:gridSpan w:val="3"/>
            <w:vMerge w:val="restart"/>
            <w:shd w:val="clear" w:color="auto" w:fill="CCEEFF"/>
          </w:tcPr>
          <w:p>
            <w:pPr>
              <w:spacing w:after="0"/>
              <w:rPr>
                <w:sz w:val="18"/>
                <w:szCs w:val="18"/>
                <w:color w:val="auto"/>
              </w:rPr>
            </w:pP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1900" w:type="dxa"/>
            <w:vAlign w:val="bottom"/>
            <w:tcBorders>
              <w:bottom w:val="single" w:sz="8" w:color="CCEEFF"/>
            </w:tcBorders>
            <w:gridSpan w:val="3"/>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26</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820" w:type="dxa"/>
            <w:vAlign w:val="bottom"/>
            <w:tcBorders>
              <w:bottom w:val="single" w:sz="8" w:color="CCEEFF"/>
            </w:tcBorders>
            <w:gridSpan w:val="10"/>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4"/>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4"/>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900" w:type="dxa"/>
            <w:vAlign w:val="bottom"/>
            <w:tcBorders>
              <w:bottom w:val="single" w:sz="8" w:color="CCEEFF"/>
            </w:tcBorders>
            <w:gridSpan w:val="3"/>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80" w:type="dxa"/>
            <w:vAlign w:val="bottom"/>
            <w:tcBorders>
              <w:bottom w:val="single" w:sz="8" w:color="0000EE"/>
            </w:tcBorders>
            <w:gridSpan w:val="37"/>
          </w:tcPr>
          <w:p>
            <w:pPr>
              <w:spacing w:after="0"/>
              <w:rPr>
                <w:sz w:val="20"/>
                <w:szCs w:val="20"/>
                <w:color w:val="auto"/>
              </w:rPr>
            </w:pPr>
            <w:r>
              <w:rPr>
                <w:rFonts w:ascii="Arial" w:cs="Arial" w:eastAsia="Arial" w:hAnsi="Arial"/>
                <w:sz w:val="15"/>
                <w:szCs w:val="15"/>
                <w:color w:val="0000EE"/>
              </w:rPr>
              <w:t>Compensation Arrangements for Non-Management Directors</w:t>
            </w:r>
          </w:p>
        </w:tc>
        <w:tc>
          <w:tcPr>
            <w:tcW w:w="1900" w:type="dxa"/>
            <w:vAlign w:val="bottom"/>
            <w:gridSpan w:val="3"/>
            <w:vMerge w:val="restart"/>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26</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9"/>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380" w:type="dxa"/>
            <w:vAlign w:val="bottom"/>
            <w:gridSpan w:val="5"/>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720" w:type="dxa"/>
            <w:vAlign w:val="bottom"/>
            <w:tcBorders>
              <w:bottom w:val="single" w:sz="8" w:color="0000EE"/>
            </w:tcBorders>
            <w:gridSpan w:val="32"/>
            <w:shd w:val="clear" w:color="auto" w:fill="CCEEFF"/>
          </w:tcPr>
          <w:p>
            <w:pPr>
              <w:spacing w:after="0" w:line="127" w:lineRule="exact"/>
              <w:rPr>
                <w:sz w:val="20"/>
                <w:szCs w:val="20"/>
                <w:color w:val="auto"/>
              </w:rPr>
            </w:pPr>
            <w:r>
              <w:rPr>
                <w:rFonts w:ascii="Arial" w:cs="Arial" w:eastAsia="Arial" w:hAnsi="Arial"/>
                <w:sz w:val="14"/>
                <w:szCs w:val="14"/>
                <w:color w:val="0000EE"/>
              </w:rPr>
              <w:t>Non-Management Director Compensation for 2024</w:t>
            </w: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80" w:type="dxa"/>
            <w:vAlign w:val="bottom"/>
            <w:tcBorders>
              <w:bottom w:val="single" w:sz="8" w:color="CCEEFF"/>
            </w:tcBorders>
            <w:gridSpan w:val="3"/>
            <w:vMerge w:val="restart"/>
            <w:shd w:val="clear" w:color="auto" w:fill="CCEEFF"/>
          </w:tcPr>
          <w:p>
            <w:pPr>
              <w:spacing w:after="0"/>
              <w:rPr>
                <w:sz w:val="12"/>
                <w:szCs w:val="12"/>
                <w:color w:val="auto"/>
              </w:rPr>
            </w:pPr>
          </w:p>
        </w:tc>
        <w:tc>
          <w:tcPr>
            <w:tcW w:w="2000" w:type="dxa"/>
            <w:vAlign w:val="bottom"/>
            <w:tcBorders>
              <w:bottom w:val="single" w:sz="8" w:color="CCEEFF"/>
            </w:tcBorders>
            <w:gridSpan w:val="4"/>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27</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9"/>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4"/>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380" w:type="dxa"/>
            <w:vAlign w:val="bottom"/>
            <w:tcBorders>
              <w:bottom w:val="single" w:sz="8" w:color="CCEEFF"/>
            </w:tcBorders>
            <w:gridSpan w:val="5"/>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4"/>
            <w:shd w:val="clear" w:color="auto" w:fill="CCEEFF"/>
          </w:tcPr>
          <w:p>
            <w:pPr>
              <w:spacing w:after="0"/>
              <w:rPr>
                <w:sz w:val="2"/>
                <w:szCs w:val="2"/>
                <w:color w:val="auto"/>
              </w:rPr>
            </w:pPr>
          </w:p>
        </w:tc>
        <w:tc>
          <w:tcPr>
            <w:tcW w:w="300" w:type="dxa"/>
            <w:vAlign w:val="bottom"/>
            <w:tcBorders>
              <w:bottom w:val="single" w:sz="8" w:color="CCEEFF"/>
            </w:tcBorders>
            <w:gridSpan w:val="2"/>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2000" w:type="dxa"/>
            <w:vAlign w:val="bottom"/>
            <w:tcBorders>
              <w:bottom w:val="single" w:sz="8" w:color="CCEEFF"/>
            </w:tcBorders>
            <w:gridSpan w:val="4"/>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40" w:type="dxa"/>
            <w:vAlign w:val="bottom"/>
            <w:tcBorders>
              <w:bottom w:val="single" w:sz="8" w:color="0000EE"/>
            </w:tcBorders>
            <w:gridSpan w:val="26"/>
          </w:tcPr>
          <w:p>
            <w:pPr>
              <w:spacing w:after="0" w:line="127" w:lineRule="exact"/>
              <w:rPr>
                <w:sz w:val="20"/>
                <w:szCs w:val="20"/>
                <w:color w:val="auto"/>
              </w:rPr>
            </w:pPr>
            <w:r>
              <w:rPr>
                <w:rFonts w:ascii="Arial" w:cs="Arial" w:eastAsia="Arial" w:hAnsi="Arial"/>
                <w:sz w:val="14"/>
                <w:szCs w:val="14"/>
                <w:color w:val="0000EE"/>
              </w:rPr>
              <w:t>Minimum Stock Ownership Requirements</w:t>
            </w:r>
          </w:p>
        </w:tc>
        <w:tc>
          <w:tcPr>
            <w:tcW w:w="380" w:type="dxa"/>
            <w:vAlign w:val="bottom"/>
            <w:gridSpan w:val="4"/>
            <w:vMerge w:val="restart"/>
          </w:tcPr>
          <w:p>
            <w:pPr>
              <w:spacing w:after="0"/>
              <w:rPr>
                <w:sz w:val="10"/>
                <w:szCs w:val="10"/>
                <w:color w:val="auto"/>
              </w:rPr>
            </w:pPr>
          </w:p>
        </w:tc>
        <w:tc>
          <w:tcPr>
            <w:tcW w:w="580" w:type="dxa"/>
            <w:vAlign w:val="bottom"/>
            <w:gridSpan w:val="3"/>
            <w:vMerge w:val="restart"/>
          </w:tcPr>
          <w:p>
            <w:pPr>
              <w:spacing w:after="0"/>
              <w:rPr>
                <w:sz w:val="10"/>
                <w:szCs w:val="10"/>
                <w:color w:val="auto"/>
              </w:rPr>
            </w:pPr>
          </w:p>
        </w:tc>
        <w:tc>
          <w:tcPr>
            <w:tcW w:w="380" w:type="dxa"/>
            <w:vAlign w:val="bottom"/>
            <w:gridSpan w:val="3"/>
            <w:vMerge w:val="restart"/>
          </w:tcPr>
          <w:p>
            <w:pPr>
              <w:spacing w:after="0"/>
              <w:rPr>
                <w:sz w:val="10"/>
                <w:szCs w:val="10"/>
                <w:color w:val="auto"/>
              </w:rPr>
            </w:pPr>
          </w:p>
        </w:tc>
        <w:tc>
          <w:tcPr>
            <w:tcW w:w="2000" w:type="dxa"/>
            <w:vAlign w:val="bottom"/>
            <w:gridSpan w:val="4"/>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28</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9"/>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380" w:type="dxa"/>
            <w:vAlign w:val="bottom"/>
            <w:gridSpan w:val="5"/>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gridSpan w:val="4"/>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2000" w:type="dxa"/>
            <w:vAlign w:val="bottom"/>
            <w:gridSpan w:val="4"/>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920" w:type="dxa"/>
            <w:vAlign w:val="bottom"/>
            <w:tcBorders>
              <w:bottom w:val="single" w:sz="8" w:color="0000EE"/>
            </w:tcBorders>
            <w:gridSpan w:val="25"/>
            <w:shd w:val="clear" w:color="auto" w:fill="CCEEFF"/>
          </w:tcPr>
          <w:p>
            <w:pPr>
              <w:spacing w:after="0" w:line="127" w:lineRule="exact"/>
              <w:rPr>
                <w:sz w:val="20"/>
                <w:szCs w:val="20"/>
                <w:color w:val="auto"/>
              </w:rPr>
            </w:pPr>
            <w:r>
              <w:rPr>
                <w:rFonts w:ascii="Arial" w:cs="Arial" w:eastAsia="Arial" w:hAnsi="Arial"/>
                <w:sz w:val="14"/>
                <w:szCs w:val="14"/>
                <w:color w:val="0000EE"/>
              </w:rPr>
              <w:t>Beneficial Ownership of Common Stock</w:t>
            </w:r>
          </w:p>
        </w:tc>
        <w:tc>
          <w:tcPr>
            <w:tcW w:w="500" w:type="dxa"/>
            <w:vAlign w:val="bottom"/>
            <w:tcBorders>
              <w:bottom w:val="single" w:sz="8" w:color="CCEEFF"/>
            </w:tcBorders>
            <w:gridSpan w:val="5"/>
            <w:vMerge w:val="restart"/>
            <w:shd w:val="clear" w:color="auto" w:fill="CCEEFF"/>
          </w:tcPr>
          <w:p>
            <w:pPr>
              <w:spacing w:after="0"/>
              <w:rPr>
                <w:sz w:val="12"/>
                <w:szCs w:val="12"/>
                <w:color w:val="auto"/>
              </w:rPr>
            </w:pPr>
          </w:p>
        </w:tc>
        <w:tc>
          <w:tcPr>
            <w:tcW w:w="580" w:type="dxa"/>
            <w:vAlign w:val="bottom"/>
            <w:tcBorders>
              <w:bottom w:val="single" w:sz="8" w:color="CCEEFF"/>
            </w:tcBorders>
            <w:gridSpan w:val="3"/>
            <w:vMerge w:val="restart"/>
            <w:shd w:val="clear" w:color="auto" w:fill="CCEEFF"/>
          </w:tcPr>
          <w:p>
            <w:pPr>
              <w:spacing w:after="0"/>
              <w:rPr>
                <w:sz w:val="12"/>
                <w:szCs w:val="12"/>
                <w:color w:val="auto"/>
              </w:rPr>
            </w:pPr>
          </w:p>
        </w:tc>
        <w:tc>
          <w:tcPr>
            <w:tcW w:w="380" w:type="dxa"/>
            <w:vAlign w:val="bottom"/>
            <w:tcBorders>
              <w:bottom w:val="single" w:sz="8" w:color="CCEEFF"/>
            </w:tcBorders>
            <w:gridSpan w:val="3"/>
            <w:vMerge w:val="restart"/>
            <w:shd w:val="clear" w:color="auto" w:fill="CCEEFF"/>
          </w:tcPr>
          <w:p>
            <w:pPr>
              <w:spacing w:after="0"/>
              <w:rPr>
                <w:sz w:val="12"/>
                <w:szCs w:val="12"/>
                <w:color w:val="auto"/>
              </w:rPr>
            </w:pPr>
          </w:p>
        </w:tc>
        <w:tc>
          <w:tcPr>
            <w:tcW w:w="2000" w:type="dxa"/>
            <w:vAlign w:val="bottom"/>
            <w:tcBorders>
              <w:bottom w:val="single" w:sz="8" w:color="CCEEFF"/>
            </w:tcBorders>
            <w:gridSpan w:val="4"/>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29</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9"/>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4"/>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380" w:type="dxa"/>
            <w:vAlign w:val="bottom"/>
            <w:tcBorders>
              <w:bottom w:val="single" w:sz="8" w:color="CCEEFF"/>
            </w:tcBorders>
            <w:gridSpan w:val="5"/>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5"/>
            <w:vMerge w:val="continue"/>
            <w:shd w:val="clear" w:color="auto" w:fill="CCEEFF"/>
          </w:tcPr>
          <w:p>
            <w:pPr>
              <w:spacing w:after="0"/>
              <w:rPr>
                <w:sz w:val="2"/>
                <w:szCs w:val="2"/>
                <w:color w:val="auto"/>
              </w:rPr>
            </w:pPr>
          </w:p>
        </w:tc>
        <w:tc>
          <w:tcPr>
            <w:tcW w:w="580" w:type="dxa"/>
            <w:vAlign w:val="bottom"/>
            <w:tcBorders>
              <w:bottom w:val="single" w:sz="8" w:color="CCEEFF"/>
            </w:tcBorders>
            <w:gridSpan w:val="3"/>
            <w:vMerge w:val="continue"/>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2000" w:type="dxa"/>
            <w:vAlign w:val="bottom"/>
            <w:tcBorders>
              <w:bottom w:val="single" w:sz="8" w:color="CCEEFF"/>
            </w:tcBorders>
            <w:gridSpan w:val="4"/>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40" w:type="dxa"/>
            <w:vAlign w:val="bottom"/>
            <w:tcBorders>
              <w:bottom w:val="single" w:sz="8" w:color="0000EE"/>
            </w:tcBorders>
            <w:gridSpan w:val="23"/>
          </w:tcPr>
          <w:p>
            <w:pPr>
              <w:spacing w:after="0" w:line="127" w:lineRule="exact"/>
              <w:rPr>
                <w:sz w:val="20"/>
                <w:szCs w:val="20"/>
                <w:color w:val="auto"/>
              </w:rPr>
            </w:pPr>
            <w:r>
              <w:rPr>
                <w:rFonts w:ascii="Arial" w:cs="Arial" w:eastAsia="Arial" w:hAnsi="Arial"/>
                <w:sz w:val="14"/>
                <w:szCs w:val="14"/>
                <w:color w:val="0000EE"/>
              </w:rPr>
              <w:t>Equity Compensation Plan Information</w:t>
            </w:r>
          </w:p>
        </w:tc>
        <w:tc>
          <w:tcPr>
            <w:tcW w:w="580" w:type="dxa"/>
            <w:vAlign w:val="bottom"/>
            <w:gridSpan w:val="7"/>
            <w:vMerge w:val="restart"/>
          </w:tcPr>
          <w:p>
            <w:pPr>
              <w:spacing w:after="0"/>
              <w:rPr>
                <w:sz w:val="10"/>
                <w:szCs w:val="10"/>
                <w:color w:val="auto"/>
              </w:rPr>
            </w:pPr>
          </w:p>
        </w:tc>
        <w:tc>
          <w:tcPr>
            <w:tcW w:w="580" w:type="dxa"/>
            <w:vAlign w:val="bottom"/>
            <w:gridSpan w:val="3"/>
            <w:vMerge w:val="restart"/>
          </w:tcPr>
          <w:p>
            <w:pPr>
              <w:spacing w:after="0"/>
              <w:rPr>
                <w:sz w:val="10"/>
                <w:szCs w:val="10"/>
                <w:color w:val="auto"/>
              </w:rPr>
            </w:pPr>
          </w:p>
        </w:tc>
        <w:tc>
          <w:tcPr>
            <w:tcW w:w="380" w:type="dxa"/>
            <w:vAlign w:val="bottom"/>
            <w:gridSpan w:val="3"/>
            <w:vMerge w:val="restart"/>
          </w:tcPr>
          <w:p>
            <w:pPr>
              <w:spacing w:after="0"/>
              <w:rPr>
                <w:sz w:val="10"/>
                <w:szCs w:val="10"/>
                <w:color w:val="auto"/>
              </w:rPr>
            </w:pPr>
          </w:p>
        </w:tc>
        <w:tc>
          <w:tcPr>
            <w:tcW w:w="2000" w:type="dxa"/>
            <w:vAlign w:val="bottom"/>
            <w:gridSpan w:val="4"/>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31</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9"/>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380" w:type="dxa"/>
            <w:vAlign w:val="bottom"/>
            <w:gridSpan w:val="5"/>
          </w:tcPr>
          <w:p>
            <w:pPr>
              <w:spacing w:after="0"/>
              <w:rPr>
                <w:sz w:val="2"/>
                <w:szCs w:val="2"/>
                <w:color w:val="auto"/>
              </w:rPr>
            </w:pPr>
          </w:p>
        </w:tc>
        <w:tc>
          <w:tcPr>
            <w:tcW w:w="580" w:type="dxa"/>
            <w:vAlign w:val="bottom"/>
            <w:gridSpan w:val="7"/>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2000" w:type="dxa"/>
            <w:vAlign w:val="bottom"/>
            <w:gridSpan w:val="4"/>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60" w:type="dxa"/>
            <w:vAlign w:val="bottom"/>
            <w:tcBorders>
              <w:bottom w:val="single" w:sz="8" w:color="0000EE"/>
            </w:tcBorders>
            <w:gridSpan w:val="18"/>
            <w:shd w:val="clear" w:color="auto" w:fill="CCEEFF"/>
          </w:tcPr>
          <w:p>
            <w:pPr>
              <w:spacing w:after="0" w:line="127" w:lineRule="exact"/>
              <w:rPr>
                <w:sz w:val="20"/>
                <w:szCs w:val="20"/>
                <w:color w:val="auto"/>
              </w:rPr>
            </w:pPr>
            <w:r>
              <w:rPr>
                <w:rFonts w:ascii="Arial" w:cs="Arial" w:eastAsia="Arial" w:hAnsi="Arial"/>
                <w:sz w:val="14"/>
                <w:szCs w:val="14"/>
                <w:color w:val="0000EE"/>
              </w:rPr>
              <w:t>Delinquent Section 16(a) Reports</w:t>
            </w:r>
          </w:p>
        </w:tc>
        <w:tc>
          <w:tcPr>
            <w:tcW w:w="960" w:type="dxa"/>
            <w:vAlign w:val="bottom"/>
            <w:tcBorders>
              <w:bottom w:val="single" w:sz="8" w:color="CCEEFF"/>
            </w:tcBorders>
            <w:gridSpan w:val="12"/>
            <w:vMerge w:val="restart"/>
            <w:shd w:val="clear" w:color="auto" w:fill="CCEEFF"/>
          </w:tcPr>
          <w:p>
            <w:pPr>
              <w:spacing w:after="0"/>
              <w:rPr>
                <w:sz w:val="12"/>
                <w:szCs w:val="12"/>
                <w:color w:val="auto"/>
              </w:rPr>
            </w:pPr>
          </w:p>
        </w:tc>
        <w:tc>
          <w:tcPr>
            <w:tcW w:w="580" w:type="dxa"/>
            <w:vAlign w:val="bottom"/>
            <w:tcBorders>
              <w:bottom w:val="single" w:sz="8" w:color="CCEEFF"/>
            </w:tcBorders>
            <w:gridSpan w:val="3"/>
            <w:vMerge w:val="restart"/>
            <w:shd w:val="clear" w:color="auto" w:fill="CCEEFF"/>
          </w:tcPr>
          <w:p>
            <w:pPr>
              <w:spacing w:after="0"/>
              <w:rPr>
                <w:sz w:val="12"/>
                <w:szCs w:val="12"/>
                <w:color w:val="auto"/>
              </w:rPr>
            </w:pPr>
          </w:p>
        </w:tc>
        <w:tc>
          <w:tcPr>
            <w:tcW w:w="380" w:type="dxa"/>
            <w:vAlign w:val="bottom"/>
            <w:tcBorders>
              <w:bottom w:val="single" w:sz="8" w:color="CCEEFF"/>
            </w:tcBorders>
            <w:gridSpan w:val="3"/>
            <w:vMerge w:val="restart"/>
            <w:shd w:val="clear" w:color="auto" w:fill="CCEEFF"/>
          </w:tcPr>
          <w:p>
            <w:pPr>
              <w:spacing w:after="0"/>
              <w:rPr>
                <w:sz w:val="12"/>
                <w:szCs w:val="12"/>
                <w:color w:val="auto"/>
              </w:rPr>
            </w:pPr>
          </w:p>
        </w:tc>
        <w:tc>
          <w:tcPr>
            <w:tcW w:w="2000" w:type="dxa"/>
            <w:vAlign w:val="bottom"/>
            <w:tcBorders>
              <w:bottom w:val="single" w:sz="8" w:color="CCEEFF"/>
            </w:tcBorders>
            <w:gridSpan w:val="4"/>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31</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9"/>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4"/>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960" w:type="dxa"/>
            <w:vAlign w:val="bottom"/>
            <w:tcBorders>
              <w:bottom w:val="single" w:sz="8" w:color="CCEEFF"/>
            </w:tcBorders>
            <w:gridSpan w:val="12"/>
            <w:vMerge w:val="continue"/>
            <w:shd w:val="clear" w:color="auto" w:fill="CCEEFF"/>
          </w:tcPr>
          <w:p>
            <w:pPr>
              <w:spacing w:after="0"/>
              <w:rPr>
                <w:sz w:val="2"/>
                <w:szCs w:val="2"/>
                <w:color w:val="auto"/>
              </w:rPr>
            </w:pPr>
          </w:p>
        </w:tc>
        <w:tc>
          <w:tcPr>
            <w:tcW w:w="580" w:type="dxa"/>
            <w:vAlign w:val="bottom"/>
            <w:tcBorders>
              <w:bottom w:val="single" w:sz="8" w:color="CCEEFF"/>
            </w:tcBorders>
            <w:gridSpan w:val="3"/>
            <w:vMerge w:val="continue"/>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2000" w:type="dxa"/>
            <w:vAlign w:val="bottom"/>
            <w:tcBorders>
              <w:bottom w:val="single" w:sz="8" w:color="CCEEFF"/>
            </w:tcBorders>
            <w:gridSpan w:val="4"/>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040" w:type="dxa"/>
            <w:vAlign w:val="bottom"/>
            <w:vMerge w:val="restart"/>
          </w:tcPr>
          <w:p>
            <w:pPr>
              <w:spacing w:after="0"/>
              <w:rPr>
                <w:sz w:val="16"/>
                <w:szCs w:val="16"/>
                <w:color w:val="auto"/>
              </w:rPr>
            </w:pPr>
          </w:p>
        </w:tc>
        <w:tc>
          <w:tcPr>
            <w:tcW w:w="1820" w:type="dxa"/>
            <w:vAlign w:val="bottom"/>
            <w:tcBorders>
              <w:bottom w:val="single" w:sz="8" w:color="0000EE"/>
            </w:tcBorders>
            <w:gridSpan w:val="10"/>
          </w:tcPr>
          <w:p>
            <w:pPr>
              <w:spacing w:after="0"/>
              <w:rPr>
                <w:sz w:val="20"/>
                <w:szCs w:val="20"/>
                <w:color w:val="auto"/>
              </w:rPr>
            </w:pPr>
            <w:r>
              <w:rPr>
                <w:rFonts w:ascii="Arial" w:cs="Arial" w:eastAsia="Arial" w:hAnsi="Arial"/>
                <w:sz w:val="15"/>
                <w:szCs w:val="15"/>
                <w:color w:val="0000EE"/>
              </w:rPr>
              <w:t>Executive Compensation</w:t>
            </w:r>
          </w:p>
        </w:tc>
        <w:tc>
          <w:tcPr>
            <w:tcW w:w="180" w:type="dxa"/>
            <w:vAlign w:val="bottom"/>
            <w:vMerge w:val="restart"/>
          </w:tcPr>
          <w:p>
            <w:pPr>
              <w:spacing w:after="0"/>
              <w:rPr>
                <w:sz w:val="16"/>
                <w:szCs w:val="16"/>
                <w:color w:val="auto"/>
              </w:rPr>
            </w:pPr>
          </w:p>
        </w:tc>
        <w:tc>
          <w:tcPr>
            <w:tcW w:w="320" w:type="dxa"/>
            <w:vAlign w:val="bottom"/>
            <w:gridSpan w:val="4"/>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160" w:type="dxa"/>
            <w:vAlign w:val="bottom"/>
            <w:gridSpan w:val="15"/>
            <w:vMerge w:val="restart"/>
          </w:tcPr>
          <w:p>
            <w:pPr>
              <w:spacing w:after="0"/>
              <w:rPr>
                <w:sz w:val="16"/>
                <w:szCs w:val="16"/>
                <w:color w:val="auto"/>
              </w:rPr>
            </w:pPr>
          </w:p>
        </w:tc>
        <w:tc>
          <w:tcPr>
            <w:tcW w:w="580" w:type="dxa"/>
            <w:vAlign w:val="bottom"/>
            <w:gridSpan w:val="3"/>
            <w:vMerge w:val="restart"/>
          </w:tcPr>
          <w:p>
            <w:pPr>
              <w:spacing w:after="0"/>
              <w:rPr>
                <w:sz w:val="16"/>
                <w:szCs w:val="16"/>
                <w:color w:val="auto"/>
              </w:rPr>
            </w:pPr>
          </w:p>
        </w:tc>
        <w:tc>
          <w:tcPr>
            <w:tcW w:w="380" w:type="dxa"/>
            <w:vAlign w:val="bottom"/>
            <w:gridSpan w:val="3"/>
            <w:vMerge w:val="restart"/>
          </w:tcPr>
          <w:p>
            <w:pPr>
              <w:spacing w:after="0"/>
              <w:rPr>
                <w:sz w:val="16"/>
                <w:szCs w:val="16"/>
                <w:color w:val="auto"/>
              </w:rPr>
            </w:pPr>
          </w:p>
        </w:tc>
        <w:tc>
          <w:tcPr>
            <w:tcW w:w="2000" w:type="dxa"/>
            <w:vAlign w:val="bottom"/>
            <w:gridSpan w:val="4"/>
            <w:vMerge w:val="restart"/>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32</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vMerge w:val="continue"/>
          </w:tcPr>
          <w:p>
            <w:pPr>
              <w:spacing w:after="0"/>
              <w:rPr>
                <w:sz w:val="2"/>
                <w:szCs w:val="2"/>
                <w:color w:val="auto"/>
              </w:rPr>
            </w:pPr>
          </w:p>
        </w:tc>
        <w:tc>
          <w:tcPr>
            <w:tcW w:w="1820" w:type="dxa"/>
            <w:vAlign w:val="bottom"/>
            <w:gridSpan w:val="10"/>
          </w:tcPr>
          <w:p>
            <w:pPr>
              <w:spacing w:after="0"/>
              <w:rPr>
                <w:sz w:val="2"/>
                <w:szCs w:val="2"/>
                <w:color w:val="auto"/>
              </w:rPr>
            </w:pPr>
          </w:p>
        </w:tc>
        <w:tc>
          <w:tcPr>
            <w:tcW w:w="180" w:type="dxa"/>
            <w:vAlign w:val="bottom"/>
            <w:vMerge w:val="continue"/>
          </w:tcPr>
          <w:p>
            <w:pPr>
              <w:spacing w:after="0"/>
              <w:rPr>
                <w:sz w:val="2"/>
                <w:szCs w:val="2"/>
                <w:color w:val="auto"/>
              </w:rPr>
            </w:pPr>
          </w:p>
        </w:tc>
        <w:tc>
          <w:tcPr>
            <w:tcW w:w="320" w:type="dxa"/>
            <w:vAlign w:val="bottom"/>
            <w:gridSpan w:val="4"/>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160" w:type="dxa"/>
            <w:vAlign w:val="bottom"/>
            <w:gridSpan w:val="15"/>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2000" w:type="dxa"/>
            <w:vAlign w:val="bottom"/>
            <w:gridSpan w:val="4"/>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4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0000EE"/>
            </w:tcBorders>
            <w:gridSpan w:val="15"/>
            <w:shd w:val="clear" w:color="auto" w:fill="CCEEFF"/>
          </w:tcPr>
          <w:p>
            <w:pPr>
              <w:spacing w:after="0"/>
              <w:rPr>
                <w:sz w:val="20"/>
                <w:szCs w:val="20"/>
                <w:color w:val="auto"/>
              </w:rPr>
            </w:pPr>
            <w:r>
              <w:rPr>
                <w:rFonts w:ascii="Arial" w:cs="Arial" w:eastAsia="Arial" w:hAnsi="Arial"/>
                <w:sz w:val="15"/>
                <w:szCs w:val="15"/>
                <w:color w:val="0000EE"/>
              </w:rPr>
              <w:t>Summary Compensation Table</w:t>
            </w:r>
          </w:p>
        </w:tc>
        <w:tc>
          <w:tcPr>
            <w:tcW w:w="1160" w:type="dxa"/>
            <w:vAlign w:val="bottom"/>
            <w:tcBorders>
              <w:bottom w:val="single" w:sz="8" w:color="CCEEFF"/>
            </w:tcBorders>
            <w:gridSpan w:val="15"/>
            <w:vMerge w:val="restart"/>
            <w:shd w:val="clear" w:color="auto" w:fill="CCEEFF"/>
          </w:tcPr>
          <w:p>
            <w:pPr>
              <w:spacing w:after="0"/>
              <w:rPr>
                <w:sz w:val="18"/>
                <w:szCs w:val="18"/>
                <w:color w:val="auto"/>
              </w:rPr>
            </w:pPr>
          </w:p>
        </w:tc>
        <w:tc>
          <w:tcPr>
            <w:tcW w:w="580" w:type="dxa"/>
            <w:vAlign w:val="bottom"/>
            <w:tcBorders>
              <w:bottom w:val="single" w:sz="8" w:color="CCEEFF"/>
            </w:tcBorders>
            <w:gridSpan w:val="3"/>
            <w:vMerge w:val="restart"/>
            <w:shd w:val="clear" w:color="auto" w:fill="CCEEFF"/>
          </w:tcPr>
          <w:p>
            <w:pPr>
              <w:spacing w:after="0"/>
              <w:rPr>
                <w:sz w:val="18"/>
                <w:szCs w:val="18"/>
                <w:color w:val="auto"/>
              </w:rPr>
            </w:pPr>
          </w:p>
        </w:tc>
        <w:tc>
          <w:tcPr>
            <w:tcW w:w="380" w:type="dxa"/>
            <w:vAlign w:val="bottom"/>
            <w:tcBorders>
              <w:bottom w:val="single" w:sz="8" w:color="CCEEFF"/>
            </w:tcBorders>
            <w:gridSpan w:val="3"/>
            <w:vMerge w:val="restart"/>
            <w:shd w:val="clear" w:color="auto" w:fill="CCEEFF"/>
          </w:tcPr>
          <w:p>
            <w:pPr>
              <w:spacing w:after="0"/>
              <w:rPr>
                <w:sz w:val="18"/>
                <w:szCs w:val="18"/>
                <w:color w:val="auto"/>
              </w:rPr>
            </w:pPr>
          </w:p>
        </w:tc>
        <w:tc>
          <w:tcPr>
            <w:tcW w:w="2000" w:type="dxa"/>
            <w:vAlign w:val="bottom"/>
            <w:tcBorders>
              <w:bottom w:val="single" w:sz="8" w:color="CCEEFF"/>
            </w:tcBorders>
            <w:gridSpan w:val="4"/>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32</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860" w:type="dxa"/>
            <w:vAlign w:val="bottom"/>
            <w:tcBorders>
              <w:bottom w:val="single" w:sz="8" w:color="CCEEFF"/>
            </w:tcBorders>
            <w:gridSpan w:val="10"/>
            <w:shd w:val="clear" w:color="auto" w:fill="CCEEFF"/>
          </w:tcPr>
          <w:p>
            <w:pPr>
              <w:spacing w:after="0"/>
              <w:rPr>
                <w:sz w:val="2"/>
                <w:szCs w:val="2"/>
                <w:color w:val="auto"/>
              </w:rPr>
            </w:pPr>
          </w:p>
        </w:tc>
        <w:tc>
          <w:tcPr>
            <w:tcW w:w="320" w:type="dxa"/>
            <w:vAlign w:val="bottom"/>
            <w:tcBorders>
              <w:bottom w:val="single" w:sz="8" w:color="CCEEFF"/>
            </w:tcBorders>
            <w:gridSpan w:val="4"/>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160" w:type="dxa"/>
            <w:vAlign w:val="bottom"/>
            <w:tcBorders>
              <w:bottom w:val="single" w:sz="8" w:color="CCEEFF"/>
            </w:tcBorders>
            <w:gridSpan w:val="15"/>
            <w:vMerge w:val="continue"/>
            <w:shd w:val="clear" w:color="auto" w:fill="CCEEFF"/>
          </w:tcPr>
          <w:p>
            <w:pPr>
              <w:spacing w:after="0"/>
              <w:rPr>
                <w:sz w:val="2"/>
                <w:szCs w:val="2"/>
                <w:color w:val="auto"/>
              </w:rPr>
            </w:pPr>
          </w:p>
        </w:tc>
        <w:tc>
          <w:tcPr>
            <w:tcW w:w="580" w:type="dxa"/>
            <w:vAlign w:val="bottom"/>
            <w:tcBorders>
              <w:bottom w:val="single" w:sz="8" w:color="CCEEFF"/>
            </w:tcBorders>
            <w:gridSpan w:val="3"/>
            <w:vMerge w:val="continue"/>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2000" w:type="dxa"/>
            <w:vAlign w:val="bottom"/>
            <w:tcBorders>
              <w:bottom w:val="single" w:sz="8" w:color="CCEEFF"/>
            </w:tcBorders>
            <w:gridSpan w:val="4"/>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0" w:type="dxa"/>
            <w:vAlign w:val="bottom"/>
            <w:tcBorders>
              <w:bottom w:val="single" w:sz="8" w:color="0000EE"/>
            </w:tcBorders>
            <w:gridSpan w:val="33"/>
          </w:tcPr>
          <w:p>
            <w:pPr>
              <w:spacing w:after="0" w:line="127" w:lineRule="exact"/>
              <w:rPr>
                <w:sz w:val="20"/>
                <w:szCs w:val="20"/>
                <w:color w:val="auto"/>
              </w:rPr>
            </w:pPr>
            <w:r>
              <w:rPr>
                <w:rFonts w:ascii="Arial" w:cs="Arial" w:eastAsia="Arial" w:hAnsi="Arial"/>
                <w:sz w:val="14"/>
                <w:szCs w:val="14"/>
                <w:color w:val="0000EE"/>
              </w:rPr>
              <w:t>Narrative Disclosure to Summary Compensation Table</w:t>
            </w:r>
          </w:p>
        </w:tc>
        <w:tc>
          <w:tcPr>
            <w:tcW w:w="380" w:type="dxa"/>
            <w:vAlign w:val="bottom"/>
            <w:gridSpan w:val="3"/>
            <w:vMerge w:val="restart"/>
          </w:tcPr>
          <w:p>
            <w:pPr>
              <w:spacing w:after="0"/>
              <w:rPr>
                <w:sz w:val="10"/>
                <w:szCs w:val="10"/>
                <w:color w:val="auto"/>
              </w:rPr>
            </w:pPr>
          </w:p>
        </w:tc>
        <w:tc>
          <w:tcPr>
            <w:tcW w:w="2000" w:type="dxa"/>
            <w:vAlign w:val="bottom"/>
            <w:gridSpan w:val="4"/>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33</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gridSpan w:val="10"/>
          </w:tcPr>
          <w:p>
            <w:pPr>
              <w:spacing w:after="0"/>
              <w:rPr>
                <w:sz w:val="2"/>
                <w:szCs w:val="2"/>
                <w:color w:val="auto"/>
              </w:rPr>
            </w:pPr>
          </w:p>
        </w:tc>
        <w:tc>
          <w:tcPr>
            <w:tcW w:w="320" w:type="dxa"/>
            <w:vAlign w:val="bottom"/>
            <w:gridSpan w:val="4"/>
          </w:tcPr>
          <w:p>
            <w:pPr>
              <w:spacing w:after="0"/>
              <w:rPr>
                <w:sz w:val="2"/>
                <w:szCs w:val="2"/>
                <w:color w:val="auto"/>
              </w:rPr>
            </w:pPr>
          </w:p>
        </w:tc>
        <w:tc>
          <w:tcPr>
            <w:tcW w:w="1240" w:type="dxa"/>
            <w:vAlign w:val="bottom"/>
            <w:gridSpan w:val="16"/>
          </w:tcPr>
          <w:p>
            <w:pPr>
              <w:spacing w:after="0"/>
              <w:rPr>
                <w:sz w:val="2"/>
                <w:szCs w:val="2"/>
                <w:color w:val="auto"/>
              </w:rPr>
            </w:pPr>
          </w:p>
        </w:tc>
        <w:tc>
          <w:tcPr>
            <w:tcW w:w="580" w:type="dxa"/>
            <w:vAlign w:val="bottom"/>
            <w:gridSpan w:val="3"/>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2000" w:type="dxa"/>
            <w:vAlign w:val="bottom"/>
            <w:gridSpan w:val="4"/>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0000EE"/>
            </w:tcBorders>
            <w:gridSpan w:val="30"/>
            <w:shd w:val="clear" w:color="auto" w:fill="CCEEFF"/>
          </w:tcPr>
          <w:p>
            <w:pPr>
              <w:spacing w:after="0" w:line="127" w:lineRule="exact"/>
              <w:rPr>
                <w:sz w:val="20"/>
                <w:szCs w:val="20"/>
                <w:color w:val="auto"/>
              </w:rPr>
            </w:pPr>
            <w:r>
              <w:rPr>
                <w:rFonts w:ascii="Arial" w:cs="Arial" w:eastAsia="Arial" w:hAnsi="Arial"/>
                <w:sz w:val="14"/>
                <w:szCs w:val="14"/>
                <w:color w:val="0000EE"/>
              </w:rPr>
              <w:t>Outstanding Equity Awards at Fiscal Year-End</w:t>
            </w:r>
          </w:p>
        </w:tc>
        <w:tc>
          <w:tcPr>
            <w:tcW w:w="960" w:type="dxa"/>
            <w:vAlign w:val="bottom"/>
            <w:tcBorders>
              <w:bottom w:val="single" w:sz="8" w:color="CCEEFF"/>
            </w:tcBorders>
            <w:gridSpan w:val="6"/>
            <w:vMerge w:val="restart"/>
            <w:shd w:val="clear" w:color="auto" w:fill="CCEEFF"/>
          </w:tcPr>
          <w:p>
            <w:pPr>
              <w:spacing w:after="0"/>
              <w:rPr>
                <w:sz w:val="12"/>
                <w:szCs w:val="12"/>
                <w:color w:val="auto"/>
              </w:rPr>
            </w:pPr>
          </w:p>
        </w:tc>
        <w:tc>
          <w:tcPr>
            <w:tcW w:w="2000" w:type="dxa"/>
            <w:vAlign w:val="bottom"/>
            <w:tcBorders>
              <w:bottom w:val="single" w:sz="8" w:color="CCEEFF"/>
            </w:tcBorders>
            <w:gridSpan w:val="4"/>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36</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860" w:type="dxa"/>
            <w:vAlign w:val="bottom"/>
            <w:tcBorders>
              <w:bottom w:val="single" w:sz="8" w:color="CCEEFF"/>
            </w:tcBorders>
            <w:gridSpan w:val="10"/>
            <w:shd w:val="clear" w:color="auto" w:fill="CCEEFF"/>
          </w:tcPr>
          <w:p>
            <w:pPr>
              <w:spacing w:after="0"/>
              <w:rPr>
                <w:sz w:val="2"/>
                <w:szCs w:val="2"/>
                <w:color w:val="auto"/>
              </w:rPr>
            </w:pPr>
          </w:p>
        </w:tc>
        <w:tc>
          <w:tcPr>
            <w:tcW w:w="320" w:type="dxa"/>
            <w:vAlign w:val="bottom"/>
            <w:tcBorders>
              <w:bottom w:val="single" w:sz="8" w:color="CCEEFF"/>
            </w:tcBorders>
            <w:gridSpan w:val="4"/>
            <w:shd w:val="clear" w:color="auto" w:fill="CCEEFF"/>
          </w:tcPr>
          <w:p>
            <w:pPr>
              <w:spacing w:after="0"/>
              <w:rPr>
                <w:sz w:val="2"/>
                <w:szCs w:val="2"/>
                <w:color w:val="auto"/>
              </w:rPr>
            </w:pPr>
          </w:p>
        </w:tc>
        <w:tc>
          <w:tcPr>
            <w:tcW w:w="1240" w:type="dxa"/>
            <w:vAlign w:val="bottom"/>
            <w:tcBorders>
              <w:bottom w:val="single" w:sz="8" w:color="CCEEFF"/>
            </w:tcBorders>
            <w:gridSpan w:val="16"/>
            <w:shd w:val="clear" w:color="auto" w:fill="CCEEFF"/>
          </w:tcPr>
          <w:p>
            <w:pPr>
              <w:spacing w:after="0"/>
              <w:rPr>
                <w:sz w:val="2"/>
                <w:szCs w:val="2"/>
                <w:color w:val="auto"/>
              </w:rPr>
            </w:pPr>
          </w:p>
        </w:tc>
        <w:tc>
          <w:tcPr>
            <w:tcW w:w="960" w:type="dxa"/>
            <w:vAlign w:val="bottom"/>
            <w:tcBorders>
              <w:bottom w:val="single" w:sz="8" w:color="CCEEFF"/>
            </w:tcBorders>
            <w:gridSpan w:val="6"/>
            <w:vMerge w:val="continue"/>
            <w:shd w:val="clear" w:color="auto" w:fill="CCEEFF"/>
          </w:tcPr>
          <w:p>
            <w:pPr>
              <w:spacing w:after="0"/>
              <w:rPr>
                <w:sz w:val="2"/>
                <w:szCs w:val="2"/>
                <w:color w:val="auto"/>
              </w:rPr>
            </w:pPr>
          </w:p>
        </w:tc>
        <w:tc>
          <w:tcPr>
            <w:tcW w:w="2000" w:type="dxa"/>
            <w:vAlign w:val="bottom"/>
            <w:tcBorders>
              <w:bottom w:val="single" w:sz="8" w:color="CCEEFF"/>
            </w:tcBorders>
            <w:gridSpan w:val="4"/>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tcBorders>
              <w:bottom w:val="single" w:sz="8" w:color="0000EE"/>
            </w:tcBorders>
            <w:gridSpan w:val="10"/>
          </w:tcPr>
          <w:p>
            <w:pPr>
              <w:spacing w:after="0" w:line="127" w:lineRule="exact"/>
              <w:rPr>
                <w:sz w:val="20"/>
                <w:szCs w:val="20"/>
                <w:color w:val="auto"/>
              </w:rPr>
            </w:pPr>
            <w:r>
              <w:rPr>
                <w:rFonts w:ascii="Arial" w:cs="Arial" w:eastAsia="Arial" w:hAnsi="Arial"/>
                <w:sz w:val="14"/>
                <w:szCs w:val="14"/>
                <w:color w:val="0000EE"/>
              </w:rPr>
              <w:t>Employment Agreements</w:t>
            </w:r>
          </w:p>
        </w:tc>
        <w:tc>
          <w:tcPr>
            <w:tcW w:w="320" w:type="dxa"/>
            <w:vAlign w:val="bottom"/>
            <w:gridSpan w:val="4"/>
            <w:vMerge w:val="restart"/>
          </w:tcPr>
          <w:p>
            <w:pPr>
              <w:spacing w:after="0"/>
              <w:rPr>
                <w:sz w:val="10"/>
                <w:szCs w:val="10"/>
                <w:color w:val="auto"/>
              </w:rPr>
            </w:pPr>
          </w:p>
        </w:tc>
        <w:tc>
          <w:tcPr>
            <w:tcW w:w="2200" w:type="dxa"/>
            <w:vAlign w:val="bottom"/>
            <w:gridSpan w:val="22"/>
            <w:vMerge w:val="restart"/>
          </w:tcPr>
          <w:p>
            <w:pPr>
              <w:spacing w:after="0"/>
              <w:rPr>
                <w:sz w:val="10"/>
                <w:szCs w:val="10"/>
                <w:color w:val="auto"/>
              </w:rPr>
            </w:pPr>
          </w:p>
        </w:tc>
        <w:tc>
          <w:tcPr>
            <w:tcW w:w="2000" w:type="dxa"/>
            <w:vAlign w:val="bottom"/>
            <w:gridSpan w:val="4"/>
            <w:vMerge w:val="restart"/>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39</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gridSpan w:val="10"/>
          </w:tcPr>
          <w:p>
            <w:pPr>
              <w:spacing w:after="0"/>
              <w:rPr>
                <w:sz w:val="2"/>
                <w:szCs w:val="2"/>
                <w:color w:val="auto"/>
              </w:rPr>
            </w:pPr>
          </w:p>
        </w:tc>
        <w:tc>
          <w:tcPr>
            <w:tcW w:w="320" w:type="dxa"/>
            <w:vAlign w:val="bottom"/>
            <w:gridSpan w:val="4"/>
            <w:vMerge w:val="continue"/>
          </w:tcPr>
          <w:p>
            <w:pPr>
              <w:spacing w:after="0"/>
              <w:rPr>
                <w:sz w:val="2"/>
                <w:szCs w:val="2"/>
                <w:color w:val="auto"/>
              </w:rPr>
            </w:pPr>
          </w:p>
        </w:tc>
        <w:tc>
          <w:tcPr>
            <w:tcW w:w="2200" w:type="dxa"/>
            <w:vAlign w:val="bottom"/>
            <w:gridSpan w:val="22"/>
            <w:vMerge w:val="continue"/>
          </w:tcPr>
          <w:p>
            <w:pPr>
              <w:spacing w:after="0"/>
              <w:rPr>
                <w:sz w:val="2"/>
                <w:szCs w:val="2"/>
                <w:color w:val="auto"/>
              </w:rPr>
            </w:pPr>
          </w:p>
        </w:tc>
        <w:tc>
          <w:tcPr>
            <w:tcW w:w="2000" w:type="dxa"/>
            <w:vAlign w:val="bottom"/>
            <w:gridSpan w:val="4"/>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380" w:type="dxa"/>
            <w:vAlign w:val="bottom"/>
            <w:tcBorders>
              <w:bottom w:val="single" w:sz="8" w:color="0000EE"/>
            </w:tcBorders>
            <w:gridSpan w:val="36"/>
            <w:shd w:val="clear" w:color="auto" w:fill="CCEEFF"/>
          </w:tcPr>
          <w:p>
            <w:pPr>
              <w:spacing w:after="0" w:line="127" w:lineRule="exact"/>
              <w:rPr>
                <w:sz w:val="20"/>
                <w:szCs w:val="20"/>
                <w:color w:val="auto"/>
              </w:rPr>
            </w:pPr>
            <w:r>
              <w:rPr>
                <w:rFonts w:ascii="Arial" w:cs="Arial" w:eastAsia="Arial" w:hAnsi="Arial"/>
                <w:sz w:val="14"/>
                <w:szCs w:val="14"/>
                <w:color w:val="0000EE"/>
              </w:rPr>
              <w:t>Potential Payments Upon Termination or Change of Control</w:t>
            </w:r>
          </w:p>
        </w:tc>
        <w:tc>
          <w:tcPr>
            <w:tcW w:w="2000" w:type="dxa"/>
            <w:vAlign w:val="bottom"/>
            <w:tcBorders>
              <w:bottom w:val="single" w:sz="8" w:color="CCEEFF"/>
            </w:tcBorders>
            <w:gridSpan w:val="4"/>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39</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180" w:type="dxa"/>
            <w:vAlign w:val="bottom"/>
            <w:tcBorders>
              <w:bottom w:val="single" w:sz="8" w:color="CCEEFF"/>
            </w:tcBorders>
            <w:gridSpan w:val="14"/>
            <w:shd w:val="clear" w:color="auto" w:fill="CCEEFF"/>
          </w:tcPr>
          <w:p>
            <w:pPr>
              <w:spacing w:after="0"/>
              <w:rPr>
                <w:sz w:val="2"/>
                <w:szCs w:val="2"/>
                <w:color w:val="auto"/>
              </w:rPr>
            </w:pPr>
          </w:p>
        </w:tc>
        <w:tc>
          <w:tcPr>
            <w:tcW w:w="2200" w:type="dxa"/>
            <w:vAlign w:val="bottom"/>
            <w:tcBorders>
              <w:bottom w:val="single" w:sz="8" w:color="CCEEFF"/>
            </w:tcBorders>
            <w:gridSpan w:val="22"/>
            <w:shd w:val="clear" w:color="auto" w:fill="CCEEFF"/>
          </w:tcPr>
          <w:p>
            <w:pPr>
              <w:spacing w:after="0"/>
              <w:rPr>
                <w:sz w:val="2"/>
                <w:szCs w:val="2"/>
                <w:color w:val="auto"/>
              </w:rPr>
            </w:pPr>
          </w:p>
        </w:tc>
        <w:tc>
          <w:tcPr>
            <w:tcW w:w="2000" w:type="dxa"/>
            <w:vAlign w:val="bottom"/>
            <w:tcBorders>
              <w:bottom w:val="single" w:sz="8" w:color="CCEEFF"/>
            </w:tcBorders>
            <w:gridSpan w:val="4"/>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Borders>
              <w:bottom w:val="single" w:sz="8" w:color="0000EE"/>
            </w:tcBorders>
            <w:gridSpan w:val="14"/>
          </w:tcPr>
          <w:p>
            <w:pPr>
              <w:spacing w:after="0" w:line="138" w:lineRule="exact"/>
              <w:rPr>
                <w:sz w:val="20"/>
                <w:szCs w:val="20"/>
                <w:color w:val="auto"/>
              </w:rPr>
            </w:pPr>
            <w:r>
              <w:rPr>
                <w:rFonts w:ascii="Arial" w:cs="Arial" w:eastAsia="Arial" w:hAnsi="Arial"/>
                <w:sz w:val="15"/>
                <w:szCs w:val="15"/>
                <w:color w:val="0000EE"/>
              </w:rPr>
              <w:t>Equity Award Grant Practices</w:t>
            </w:r>
          </w:p>
        </w:tc>
        <w:tc>
          <w:tcPr>
            <w:tcW w:w="4200" w:type="dxa"/>
            <w:vAlign w:val="bottom"/>
            <w:gridSpan w:val="26"/>
            <w:vMerge w:val="restart"/>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38" w:lineRule="exact"/>
              <w:rPr>
                <w:sz w:val="20"/>
                <w:szCs w:val="20"/>
                <w:color w:val="auto"/>
              </w:rPr>
            </w:pPr>
            <w:r>
              <w:rPr>
                <w:rFonts w:ascii="Arial" w:cs="Arial" w:eastAsia="Arial" w:hAnsi="Arial"/>
                <w:sz w:val="15"/>
                <w:szCs w:val="15"/>
                <w:color w:val="0000EE"/>
                <w:w w:val="83"/>
              </w:rPr>
              <w:t>40</w:t>
            </w:r>
          </w:p>
        </w:tc>
        <w:tc>
          <w:tcPr>
            <w:tcW w:w="106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1"/>
        </w:trPr>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180" w:type="dxa"/>
            <w:vAlign w:val="bottom"/>
            <w:gridSpan w:val="14"/>
          </w:tcPr>
          <w:p>
            <w:pPr>
              <w:spacing w:after="0"/>
              <w:rPr>
                <w:sz w:val="4"/>
                <w:szCs w:val="4"/>
                <w:color w:val="auto"/>
              </w:rPr>
            </w:pPr>
          </w:p>
        </w:tc>
        <w:tc>
          <w:tcPr>
            <w:tcW w:w="4200" w:type="dxa"/>
            <w:vAlign w:val="bottom"/>
            <w:gridSpan w:val="26"/>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5"/>
        </w:trPr>
        <w:tc>
          <w:tcPr>
            <w:tcW w:w="4600" w:type="dxa"/>
            <w:vAlign w:val="bottom"/>
            <w:gridSpan w:val="32"/>
          </w:tcPr>
          <w:p>
            <w:pPr>
              <w:jc w:val="right"/>
              <w:ind w:right="100"/>
              <w:spacing w:after="0"/>
              <w:rPr>
                <w:sz w:val="20"/>
                <w:szCs w:val="20"/>
                <w:color w:val="auto"/>
              </w:rPr>
            </w:pPr>
            <w:r>
              <w:rPr>
                <w:rFonts w:ascii="Arial" w:cs="Arial" w:eastAsia="Arial" w:hAnsi="Arial"/>
                <w:sz w:val="15"/>
                <w:szCs w:val="15"/>
                <w:color w:val="auto"/>
              </w:rPr>
              <w:t>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-5887720</wp:posOffset>
            </wp:positionV>
            <wp:extent cx="413575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35755" cy="698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-26670</wp:posOffset>
            </wp:positionV>
            <wp:extent cx="3238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-26670</wp:posOffset>
            </wp:positionV>
            <wp:extent cx="3238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 w:name="page8"/>
    <w:bookmarkEnd w:id="7"/>
    <w:p>
      <w:pPr>
        <w:ind w:left="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240"/>
          </w:cols>
          <w:pgMar w:left="1440" w:top="105"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hanging="149"/>
        <w:spacing w:after="0" w:line="263" w:lineRule="auto"/>
        <w:rPr>
          <w:sz w:val="20"/>
          <w:szCs w:val="20"/>
          <w:color w:val="auto"/>
        </w:rPr>
      </w:pPr>
      <w:r>
        <w:rPr>
          <w:rFonts w:ascii="Arial" w:cs="Arial" w:eastAsia="Arial" w:hAnsi="Arial"/>
          <w:sz w:val="15"/>
          <w:szCs w:val="15"/>
          <w:u w:val="single" w:color="auto"/>
          <w:color w:val="0000EE"/>
        </w:rPr>
        <w:t>Proposal Two: Approval of Appointment of Independent Registered Accounting Firm and Certified Auditor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-146050</wp:posOffset>
            </wp:positionV>
            <wp:extent cx="5165725" cy="278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5725" cy="278765"/>
                    </a:xfrm>
                    <a:prstGeom prst="rect">
                      <a:avLst/>
                    </a:prstGeom>
                    <a:noFill/>
                  </pic:spPr>
                </pic:pic>
              </a:graphicData>
            </a:graphic>
          </wp:anchor>
        </w:drawing>
      </w:r>
    </w:p>
    <w:p>
      <w:pPr>
        <w:spacing w:after="0" w:line="230"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21590</wp:posOffset>
            </wp:positionV>
            <wp:extent cx="5165725" cy="157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65725" cy="157480"/>
                    </a:xfrm>
                    <a:prstGeom prst="rect">
                      <a:avLst/>
                    </a:prstGeom>
                    <a:noFill/>
                  </pic:spPr>
                </pic:pic>
              </a:graphicData>
            </a:graphic>
          </wp:anchor>
        </w:drawing>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External Auditor Fees</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5"/>
          <w:szCs w:val="15"/>
          <w:u w:val="single" w:color="auto"/>
          <w:color w:val="0000EE"/>
        </w:rPr>
        <w:t>Audit Fees</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5"/>
          <w:szCs w:val="15"/>
          <w:u w:val="single" w:color="auto"/>
          <w:color w:val="0000EE"/>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-100965</wp:posOffset>
            </wp:positionV>
            <wp:extent cx="5165725"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5725" cy="11430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5"/>
          <w:szCs w:val="15"/>
          <w:u w:val="single" w:color="auto"/>
          <w:color w:val="0000EE"/>
        </w:rPr>
        <w:t>Tax Fees</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5"/>
          <w:szCs w:val="15"/>
          <w:u w:val="single" w:color="auto"/>
          <w:color w:val="0000EE"/>
        </w:rPr>
        <w:t>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-100965</wp:posOffset>
            </wp:positionV>
            <wp:extent cx="5165725"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5725" cy="11430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5"/>
          <w:szCs w:val="15"/>
          <w:u w:val="single" w:color="auto"/>
          <w:color w:val="0000EE"/>
        </w:rPr>
        <w:t>Audit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17145</wp:posOffset>
            </wp:positionV>
            <wp:extent cx="5165725" cy="164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5725" cy="164465"/>
                    </a:xfrm>
                    <a:prstGeom prst="rect">
                      <a:avLst/>
                    </a:prstGeom>
                    <a:noFill/>
                  </pic:spPr>
                </pic:pic>
              </a:graphicData>
            </a:graphic>
          </wp:anchor>
        </w:drawing>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Proposal Three: Luxembourg Statutory Accounts Proposal</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Proposal Four: Receipt of Directors’ Report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21590</wp:posOffset>
            </wp:positionV>
            <wp:extent cx="5165725" cy="164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5725" cy="164465"/>
                    </a:xfrm>
                    <a:prstGeom prst="rect">
                      <a:avLst/>
                    </a:prstGeom>
                    <a:noFill/>
                  </pic:spPr>
                </pic:pic>
              </a:graphicData>
            </a:graphic>
          </wp:anchor>
        </w:drawing>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Proposal Five: Luxembourg Annual Accounts Allocation Proposal</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Proposal Six: Discharge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21590</wp:posOffset>
            </wp:positionV>
            <wp:extent cx="5165725" cy="164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5725" cy="164465"/>
                    </a:xfrm>
                    <a:prstGeom prst="rect">
                      <a:avLst/>
                    </a:prstGeom>
                    <a:noFill/>
                  </pic:spPr>
                </pic:pic>
              </a:graphicData>
            </a:graphic>
          </wp:anchor>
        </w:drawing>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Proposal Seven: Say-on-Pay Proposal</w:t>
      </w:r>
    </w:p>
    <w:p>
      <w:pPr>
        <w:spacing w:after="0" w:line="87" w:lineRule="exact"/>
        <w:rPr>
          <w:sz w:val="20"/>
          <w:szCs w:val="20"/>
          <w:color w:val="auto"/>
        </w:rPr>
      </w:pPr>
    </w:p>
    <w:p>
      <w:pPr>
        <w:ind w:left="1220" w:right="1700" w:hanging="149"/>
        <w:spacing w:after="0" w:line="270" w:lineRule="auto"/>
        <w:rPr>
          <w:sz w:val="20"/>
          <w:szCs w:val="20"/>
          <w:color w:val="auto"/>
        </w:rPr>
      </w:pPr>
      <w:r>
        <w:rPr>
          <w:rFonts w:ascii="Arial" w:cs="Arial" w:eastAsia="Arial" w:hAnsi="Arial"/>
          <w:sz w:val="15"/>
          <w:szCs w:val="15"/>
          <w:u w:val="single" w:color="auto"/>
          <w:color w:val="0000EE"/>
        </w:rPr>
        <w:t>Proposals to be Considered at the Extraordinary General Meeting of Shareholders Proposal One: Share Consolidation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-114935</wp:posOffset>
            </wp:positionV>
            <wp:extent cx="5165725" cy="121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5725" cy="12192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5"/>
          <w:szCs w:val="15"/>
          <w:u w:val="single" w:color="auto"/>
          <w:color w:val="0000EE"/>
        </w:rPr>
        <w:t>Proposal Two: Share Capital Decrease Proposal</w:t>
      </w:r>
    </w:p>
    <w:p>
      <w:pPr>
        <w:spacing w:after="0" w:line="19" w:lineRule="exact"/>
        <w:rPr>
          <w:sz w:val="20"/>
          <w:szCs w:val="20"/>
          <w:color w:val="auto"/>
        </w:rPr>
      </w:pPr>
    </w:p>
    <w:p>
      <w:pPr>
        <w:ind w:left="1220"/>
        <w:spacing w:after="0"/>
        <w:rPr>
          <w:sz w:val="20"/>
          <w:szCs w:val="20"/>
          <w:color w:val="auto"/>
        </w:rPr>
      </w:pPr>
      <w:r>
        <w:rPr>
          <w:rFonts w:ascii="Arial" w:cs="Arial" w:eastAsia="Arial" w:hAnsi="Arial"/>
          <w:sz w:val="15"/>
          <w:szCs w:val="15"/>
          <w:u w:val="single" w:color="auto"/>
          <w:color w:val="0000EE"/>
        </w:rPr>
        <w:t>Proposal Three: Quorum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-103505</wp:posOffset>
            </wp:positionV>
            <wp:extent cx="5165725" cy="121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65725" cy="12192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5"/>
          <w:szCs w:val="15"/>
          <w:u w:val="single" w:color="auto"/>
          <w:color w:val="0000EE"/>
        </w:rPr>
        <w:t>Proposal Four: Amendments to the Articles of Incorporation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17145</wp:posOffset>
            </wp:positionV>
            <wp:extent cx="5165725" cy="164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5725" cy="164465"/>
                    </a:xfrm>
                    <a:prstGeom prst="rect">
                      <a:avLst/>
                    </a:prstGeom>
                    <a:noFill/>
                  </pic:spPr>
                </pic:pic>
              </a:graphicData>
            </a:graphic>
          </wp:anchor>
        </w:drawing>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Business Relationships and Related Person Transactions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21590</wp:posOffset>
            </wp:positionV>
            <wp:extent cx="5165725" cy="164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5725" cy="164465"/>
                    </a:xfrm>
                    <a:prstGeom prst="rect">
                      <a:avLst/>
                    </a:prstGeom>
                    <a:noFill/>
                  </pic:spPr>
                </pic:pic>
              </a:graphicData>
            </a:graphic>
          </wp:anchor>
        </w:drawing>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Annual Report</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21590</wp:posOffset>
            </wp:positionV>
            <wp:extent cx="5165725" cy="164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5725" cy="164465"/>
                    </a:xfrm>
                    <a:prstGeom prst="rect">
                      <a:avLst/>
                    </a:prstGeom>
                    <a:noFill/>
                  </pic:spPr>
                </pic:pic>
              </a:graphicData>
            </a:graphic>
          </wp:anchor>
        </w:drawing>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0000EE"/>
        </w:rPr>
        <w:t>Appendix A — Altisource Amended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8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u w:val="single" w:color="auto"/>
          <w:color w:val="0000EE"/>
        </w:rPr>
        <w:t>44</w:t>
      </w:r>
      <w:r>
        <w:rPr>
          <w:rFonts w:ascii="Arial" w:cs="Arial" w:eastAsia="Arial" w:hAnsi="Arial"/>
          <w:sz w:val="15"/>
          <w:szCs w:val="15"/>
          <w:color w:val="auto"/>
        </w:rPr>
        <w:t xml:space="preserve"> ​</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45</w:t>
      </w:r>
      <w:r>
        <w:rPr>
          <w:rFonts w:ascii="Arial" w:cs="Arial" w:eastAsia="Arial" w:hAnsi="Arial"/>
          <w:sz w:val="15"/>
          <w:szCs w:val="15"/>
          <w:color w:val="auto"/>
        </w:rPr>
        <w:t xml:space="preserve"> ​</w:t>
      </w:r>
    </w:p>
    <w:p>
      <w:pPr>
        <w:jc w:val="both"/>
        <w:ind w:left="20"/>
        <w:spacing w:after="0" w:line="181" w:lineRule="auto"/>
        <w:rPr>
          <w:sz w:val="20"/>
          <w:szCs w:val="20"/>
          <w:color w:val="auto"/>
        </w:rPr>
      </w:pPr>
      <w:r>
        <w:rPr>
          <w:rFonts w:ascii="Arial" w:cs="Arial" w:eastAsia="Arial" w:hAnsi="Arial"/>
          <w:sz w:val="12"/>
          <w:szCs w:val="12"/>
          <w:color w:val="auto"/>
        </w:rPr>
        <w:t xml:space="preserve">​ </w:t>
      </w:r>
      <w:r>
        <w:rPr>
          <w:rFonts w:ascii="Arial" w:cs="Arial" w:eastAsia="Arial" w:hAnsi="Arial"/>
          <w:sz w:val="21"/>
          <w:szCs w:val="21"/>
          <w:u w:val="single" w:color="auto"/>
          <w:color w:val="0000EE"/>
          <w:vertAlign w:val="superscript"/>
        </w:rPr>
        <w:t>46</w:t>
      </w:r>
      <w:r>
        <w:rPr>
          <w:rFonts w:ascii="Arial" w:cs="Arial" w:eastAsia="Arial" w:hAnsi="Arial"/>
          <w:sz w:val="12"/>
          <w:szCs w:val="12"/>
          <w:color w:val="auto"/>
        </w:rPr>
        <w:t xml:space="preserve"> ​ ​ </w:t>
      </w:r>
      <w:r>
        <w:rPr>
          <w:rFonts w:ascii="Arial" w:cs="Arial" w:eastAsia="Arial" w:hAnsi="Arial"/>
          <w:sz w:val="21"/>
          <w:szCs w:val="21"/>
          <w:u w:val="single" w:color="auto"/>
          <w:color w:val="0000EE"/>
          <w:vertAlign w:val="superscript"/>
        </w:rPr>
        <w:t>46</w:t>
      </w:r>
      <w:r>
        <w:rPr>
          <w:rFonts w:ascii="Arial" w:cs="Arial" w:eastAsia="Arial" w:hAnsi="Arial"/>
          <w:sz w:val="12"/>
          <w:szCs w:val="12"/>
          <w:color w:val="auto"/>
        </w:rPr>
        <w:t xml:space="preserve"> ​ ​ </w:t>
      </w:r>
      <w:r>
        <w:rPr>
          <w:rFonts w:ascii="Arial" w:cs="Arial" w:eastAsia="Arial" w:hAnsi="Arial"/>
          <w:sz w:val="21"/>
          <w:szCs w:val="21"/>
          <w:u w:val="single" w:color="auto"/>
          <w:color w:val="0000EE"/>
          <w:vertAlign w:val="superscript"/>
        </w:rPr>
        <w:t>46</w:t>
      </w:r>
      <w:r>
        <w:rPr>
          <w:rFonts w:ascii="Arial" w:cs="Arial" w:eastAsia="Arial" w:hAnsi="Arial"/>
          <w:sz w:val="12"/>
          <w:szCs w:val="12"/>
          <w:color w:val="auto"/>
        </w:rPr>
        <w:t xml:space="preserve"> ​ ​ </w:t>
      </w:r>
      <w:r>
        <w:rPr>
          <w:rFonts w:ascii="Arial" w:cs="Arial" w:eastAsia="Arial" w:hAnsi="Arial"/>
          <w:sz w:val="21"/>
          <w:szCs w:val="21"/>
          <w:u w:val="single" w:color="auto"/>
          <w:color w:val="0000EE"/>
          <w:vertAlign w:val="superscript"/>
        </w:rPr>
        <w:t>46</w:t>
      </w:r>
      <w:r>
        <w:rPr>
          <w:rFonts w:ascii="Arial" w:cs="Arial" w:eastAsia="Arial" w:hAnsi="Arial"/>
          <w:sz w:val="12"/>
          <w:szCs w:val="12"/>
          <w:color w:val="auto"/>
        </w:rPr>
        <w:t xml:space="preserve"> ​ ​ </w:t>
      </w:r>
      <w:r>
        <w:rPr>
          <w:rFonts w:ascii="Arial" w:cs="Arial" w:eastAsia="Arial" w:hAnsi="Arial"/>
          <w:sz w:val="21"/>
          <w:szCs w:val="21"/>
          <w:u w:val="single" w:color="auto"/>
          <w:color w:val="0000EE"/>
          <w:vertAlign w:val="superscript"/>
        </w:rPr>
        <w:t>46</w:t>
      </w:r>
      <w:r>
        <w:rPr>
          <w:rFonts w:ascii="Arial" w:cs="Arial" w:eastAsia="Arial" w:hAnsi="Arial"/>
          <w:sz w:val="12"/>
          <w:szCs w:val="12"/>
          <w:color w:val="auto"/>
        </w:rPr>
        <w:t xml:space="preserve"> ​</w:t>
      </w:r>
    </w:p>
    <w:p>
      <w:pPr>
        <w:ind w:left="20"/>
        <w:spacing w:after="0" w:line="183" w:lineRule="auto"/>
        <w:rPr>
          <w:sz w:val="20"/>
          <w:szCs w:val="20"/>
          <w:color w:val="auto"/>
        </w:rPr>
      </w:pPr>
      <w:r>
        <w:rPr>
          <w:rFonts w:ascii="Arial" w:cs="Arial" w:eastAsia="Arial" w:hAnsi="Arial"/>
          <w:sz w:val="25"/>
          <w:szCs w:val="25"/>
          <w:color w:val="000000"/>
          <w:vertAlign w:val="subscript"/>
        </w:rPr>
        <w:t>​</w:t>
      </w:r>
      <w:r>
        <w:rPr>
          <w:rFonts w:ascii="Arial" w:cs="Arial" w:eastAsia="Arial" w:hAnsi="Arial"/>
          <w:sz w:val="13"/>
          <w:szCs w:val="13"/>
          <w:color w:val="0000EE"/>
        </w:rPr>
        <w:t xml:space="preserve"> </w:t>
      </w:r>
      <w:r>
        <w:rPr>
          <w:rFonts w:ascii="Arial" w:cs="Arial" w:eastAsia="Arial" w:hAnsi="Arial"/>
          <w:sz w:val="13"/>
          <w:szCs w:val="13"/>
          <w:u w:val="single" w:color="auto"/>
          <w:color w:val="0000EE"/>
        </w:rPr>
        <w:t>47</w:t>
      </w:r>
      <w:r>
        <w:rPr>
          <w:rFonts w:ascii="Arial" w:cs="Arial" w:eastAsia="Arial" w:hAnsi="Arial"/>
          <w:sz w:val="13"/>
          <w:szCs w:val="13"/>
          <w:color w:val="0000EE"/>
        </w:rPr>
        <w:t xml:space="preserve"> </w:t>
      </w:r>
      <w:r>
        <w:rPr>
          <w:rFonts w:ascii="Arial" w:cs="Arial" w:eastAsia="Arial" w:hAnsi="Arial"/>
          <w:sz w:val="25"/>
          <w:szCs w:val="25"/>
          <w:color w:val="000000"/>
          <w:vertAlign w:val="subscript"/>
        </w:rPr>
        <w:t>​</w:t>
      </w:r>
    </w:p>
    <w:p>
      <w:pPr>
        <w:ind w:left="20"/>
        <w:spacing w:after="0" w:line="209"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48</w:t>
      </w:r>
      <w:r>
        <w:rPr>
          <w:rFonts w:ascii="Arial" w:cs="Arial" w:eastAsia="Arial" w:hAnsi="Arial"/>
          <w:sz w:val="15"/>
          <w:szCs w:val="15"/>
          <w:color w:val="auto"/>
        </w:rPr>
        <w:t xml:space="preserve"> ​</w:t>
      </w:r>
    </w:p>
    <w:p>
      <w:pPr>
        <w:ind w:left="20"/>
        <w:spacing w:after="0" w:line="180"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49</w:t>
      </w:r>
      <w:r>
        <w:rPr>
          <w:rFonts w:ascii="Arial" w:cs="Arial" w:eastAsia="Arial" w:hAnsi="Arial"/>
          <w:sz w:val="15"/>
          <w:szCs w:val="15"/>
          <w:color w:val="auto"/>
        </w:rPr>
        <w:t xml:space="preserve"> ​</w:t>
      </w:r>
    </w:p>
    <w:p>
      <w:pPr>
        <w:ind w:left="20"/>
        <w:spacing w:after="0" w:line="181"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50</w:t>
      </w:r>
      <w:r>
        <w:rPr>
          <w:rFonts w:ascii="Arial" w:cs="Arial" w:eastAsia="Arial" w:hAnsi="Arial"/>
          <w:sz w:val="15"/>
          <w:szCs w:val="15"/>
          <w:color w:val="auto"/>
        </w:rPr>
        <w:t xml:space="preserve"> ​</w:t>
      </w:r>
    </w:p>
    <w:p>
      <w:pPr>
        <w:ind w:left="20"/>
        <w:spacing w:after="0" w:line="181" w:lineRule="auto"/>
        <w:rPr>
          <w:sz w:val="20"/>
          <w:szCs w:val="20"/>
          <w:color w:val="auto"/>
        </w:rPr>
      </w:pPr>
      <w:r>
        <w:rPr>
          <w:rFonts w:ascii="Arial" w:cs="Arial" w:eastAsia="Arial" w:hAnsi="Arial"/>
          <w:sz w:val="25"/>
          <w:szCs w:val="25"/>
          <w:color w:val="000000"/>
          <w:vertAlign w:val="subscript"/>
        </w:rPr>
        <w:t>​</w:t>
      </w:r>
      <w:r>
        <w:rPr>
          <w:rFonts w:ascii="Arial" w:cs="Arial" w:eastAsia="Arial" w:hAnsi="Arial"/>
          <w:sz w:val="13"/>
          <w:szCs w:val="13"/>
          <w:color w:val="0000EE"/>
        </w:rPr>
        <w:t xml:space="preserve"> </w:t>
      </w:r>
      <w:r>
        <w:rPr>
          <w:rFonts w:ascii="Arial" w:cs="Arial" w:eastAsia="Arial" w:hAnsi="Arial"/>
          <w:sz w:val="13"/>
          <w:szCs w:val="13"/>
          <w:u w:val="single" w:color="auto"/>
          <w:color w:val="0000EE"/>
        </w:rPr>
        <w:t>51</w:t>
      </w:r>
      <w:r>
        <w:rPr>
          <w:rFonts w:ascii="Arial" w:cs="Arial" w:eastAsia="Arial" w:hAnsi="Arial"/>
          <w:sz w:val="13"/>
          <w:szCs w:val="13"/>
          <w:color w:val="0000EE"/>
        </w:rPr>
        <w:t xml:space="preserve"> </w:t>
      </w:r>
      <w:r>
        <w:rPr>
          <w:rFonts w:ascii="Arial" w:cs="Arial" w:eastAsia="Arial" w:hAnsi="Arial"/>
          <w:sz w:val="25"/>
          <w:szCs w:val="25"/>
          <w:color w:val="000000"/>
          <w:vertAlign w:val="subscript"/>
        </w:rPr>
        <w:t>​</w:t>
      </w:r>
    </w:p>
    <w:p>
      <w:pPr>
        <w:ind w:left="20"/>
        <w:spacing w:after="0" w:line="209"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52</w:t>
      </w:r>
      <w:r>
        <w:rPr>
          <w:rFonts w:ascii="Arial" w:cs="Arial" w:eastAsia="Arial" w:hAnsi="Arial"/>
          <w:sz w:val="15"/>
          <w:szCs w:val="15"/>
          <w:color w:val="auto"/>
        </w:rPr>
        <w:t xml:space="preserve"> ​</w:t>
      </w:r>
    </w:p>
    <w:p>
      <w:pPr>
        <w:spacing w:after="0" w:line="1" w:lineRule="exact"/>
        <w:rPr>
          <w:sz w:val="20"/>
          <w:szCs w:val="20"/>
          <w:color w:val="auto"/>
        </w:rPr>
      </w:pPr>
    </w:p>
    <w:p>
      <w:pPr>
        <w:jc w:val="both"/>
        <w:ind w:left="20"/>
        <w:spacing w:after="0" w:line="186" w:lineRule="auto"/>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u w:val="single" w:color="auto"/>
          <w:color w:val="0000EE"/>
          <w:vertAlign w:val="superscript"/>
        </w:rPr>
        <w:t>53</w:t>
      </w:r>
      <w:r>
        <w:rPr>
          <w:rFonts w:ascii="Arial" w:cs="Arial" w:eastAsia="Arial" w:hAnsi="Arial"/>
          <w:sz w:val="13"/>
          <w:szCs w:val="13"/>
          <w:color w:val="auto"/>
        </w:rPr>
        <w:t xml:space="preserve"> ​ ​ </w:t>
      </w:r>
      <w:r>
        <w:rPr>
          <w:rFonts w:ascii="Arial" w:cs="Arial" w:eastAsia="Arial" w:hAnsi="Arial"/>
          <w:sz w:val="23"/>
          <w:szCs w:val="23"/>
          <w:u w:val="single" w:color="auto"/>
          <w:color w:val="0000EE"/>
          <w:vertAlign w:val="superscript"/>
        </w:rPr>
        <w:t>53</w:t>
      </w:r>
      <w:r>
        <w:rPr>
          <w:rFonts w:ascii="Arial" w:cs="Arial" w:eastAsia="Arial" w:hAnsi="Arial"/>
          <w:sz w:val="13"/>
          <w:szCs w:val="13"/>
          <w:color w:val="auto"/>
        </w:rPr>
        <w:t xml:space="preserve"> ​ </w:t>
      </w:r>
      <w:r>
        <w:rPr>
          <w:rFonts w:ascii="Arial" w:cs="Arial" w:eastAsia="Arial" w:hAnsi="Arial"/>
          <w:sz w:val="23"/>
          <w:szCs w:val="23"/>
          <w:color w:val="000000"/>
          <w:vertAlign w:val="subscript"/>
        </w:rPr>
        <w:t>​</w:t>
      </w:r>
      <w:r>
        <w:rPr>
          <w:rFonts w:ascii="Arial" w:cs="Arial" w:eastAsia="Arial" w:hAnsi="Arial"/>
          <w:sz w:val="13"/>
          <w:szCs w:val="13"/>
          <w:color w:val="0000EE"/>
        </w:rPr>
        <w:t xml:space="preserve"> </w:t>
      </w:r>
      <w:r>
        <w:rPr>
          <w:rFonts w:ascii="Arial" w:cs="Arial" w:eastAsia="Arial" w:hAnsi="Arial"/>
          <w:sz w:val="13"/>
          <w:szCs w:val="13"/>
          <w:u w:val="single" w:color="auto"/>
          <w:color w:val="0000EE"/>
        </w:rPr>
        <w:t>57</w:t>
      </w:r>
      <w:r>
        <w:rPr>
          <w:rFonts w:ascii="Arial" w:cs="Arial" w:eastAsia="Arial" w:hAnsi="Arial"/>
          <w:sz w:val="13"/>
          <w:szCs w:val="13"/>
          <w:color w:val="0000EE"/>
        </w:rPr>
        <w:t xml:space="preserve"> </w:t>
      </w:r>
      <w:r>
        <w:rPr>
          <w:rFonts w:ascii="Arial" w:cs="Arial" w:eastAsia="Arial" w:hAnsi="Arial"/>
          <w:sz w:val="23"/>
          <w:szCs w:val="23"/>
          <w:color w:val="000000"/>
          <w:vertAlign w:val="subscript"/>
        </w:rPr>
        <w:t>​</w:t>
      </w:r>
      <w:r>
        <w:rPr>
          <w:rFonts w:ascii="Arial" w:cs="Arial" w:eastAsia="Arial" w:hAnsi="Arial"/>
          <w:sz w:val="13"/>
          <w:szCs w:val="13"/>
          <w:color w:val="0000EE"/>
        </w:rPr>
        <w:t xml:space="preserve"> </w:t>
      </w:r>
      <w:r>
        <w:rPr>
          <w:rFonts w:ascii="Arial" w:cs="Arial" w:eastAsia="Arial" w:hAnsi="Arial"/>
          <w:sz w:val="13"/>
          <w:szCs w:val="13"/>
          <w:color w:val="000000"/>
        </w:rPr>
        <w:t xml:space="preserve">​ </w:t>
      </w:r>
      <w:r>
        <w:rPr>
          <w:rFonts w:ascii="Arial" w:cs="Arial" w:eastAsia="Arial" w:hAnsi="Arial"/>
          <w:sz w:val="23"/>
          <w:szCs w:val="23"/>
          <w:u w:val="single" w:color="auto"/>
          <w:color w:val="0000EE"/>
          <w:vertAlign w:val="superscript"/>
        </w:rPr>
        <w:t>58</w:t>
      </w:r>
      <w:r>
        <w:rPr>
          <w:rFonts w:ascii="Arial" w:cs="Arial" w:eastAsia="Arial" w:hAnsi="Arial"/>
          <w:sz w:val="13"/>
          <w:szCs w:val="13"/>
          <w:color w:val="000000"/>
        </w:rPr>
        <w:t xml:space="preserve"> ​ ​ </w:t>
      </w:r>
      <w:r>
        <w:rPr>
          <w:rFonts w:ascii="Arial" w:cs="Arial" w:eastAsia="Arial" w:hAnsi="Arial"/>
          <w:sz w:val="23"/>
          <w:szCs w:val="23"/>
          <w:u w:val="single" w:color="auto"/>
          <w:color w:val="0000EE"/>
          <w:vertAlign w:val="superscript"/>
        </w:rPr>
        <w:t>59</w:t>
      </w:r>
      <w:r>
        <w:rPr>
          <w:rFonts w:ascii="Arial" w:cs="Arial" w:eastAsia="Arial" w:hAnsi="Arial"/>
          <w:sz w:val="13"/>
          <w:szCs w:val="13"/>
          <w:color w:val="000000"/>
        </w:rPr>
        <w:t xml:space="preserve"> ​</w:t>
      </w:r>
    </w:p>
    <w:p>
      <w:pPr>
        <w:ind w:left="20"/>
        <w:spacing w:after="0" w:line="182" w:lineRule="auto"/>
        <w:rPr>
          <w:sz w:val="20"/>
          <w:szCs w:val="20"/>
          <w:color w:val="auto"/>
        </w:rPr>
      </w:pPr>
      <w:r>
        <w:rPr>
          <w:rFonts w:ascii="Arial" w:cs="Arial" w:eastAsia="Arial" w:hAnsi="Arial"/>
          <w:sz w:val="25"/>
          <w:szCs w:val="25"/>
          <w:color w:val="000000"/>
          <w:vertAlign w:val="subscript"/>
        </w:rPr>
        <w:t>​</w:t>
      </w:r>
      <w:r>
        <w:rPr>
          <w:rFonts w:ascii="Arial" w:cs="Arial" w:eastAsia="Arial" w:hAnsi="Arial"/>
          <w:sz w:val="13"/>
          <w:szCs w:val="13"/>
          <w:color w:val="0000EE"/>
        </w:rPr>
        <w:t xml:space="preserve"> </w:t>
      </w:r>
      <w:r>
        <w:rPr>
          <w:rFonts w:ascii="Arial" w:cs="Arial" w:eastAsia="Arial" w:hAnsi="Arial"/>
          <w:sz w:val="13"/>
          <w:szCs w:val="13"/>
          <w:u w:val="single" w:color="auto"/>
          <w:color w:val="0000EE"/>
        </w:rPr>
        <w:t>60</w:t>
      </w:r>
      <w:r>
        <w:rPr>
          <w:rFonts w:ascii="Arial" w:cs="Arial" w:eastAsia="Arial" w:hAnsi="Arial"/>
          <w:sz w:val="13"/>
          <w:szCs w:val="13"/>
          <w:color w:val="0000EE"/>
        </w:rPr>
        <w:t xml:space="preserve"> </w:t>
      </w:r>
      <w:r>
        <w:rPr>
          <w:rFonts w:ascii="Arial" w:cs="Arial" w:eastAsia="Arial" w:hAnsi="Arial"/>
          <w:sz w:val="25"/>
          <w:szCs w:val="25"/>
          <w:color w:val="000000"/>
          <w:vertAlign w:val="subscript"/>
        </w:rPr>
        <w:t>​</w:t>
      </w:r>
    </w:p>
    <w:p>
      <w:pPr>
        <w:ind w:left="20"/>
        <w:spacing w:after="0" w:line="209"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61</w:t>
      </w:r>
      <w:r>
        <w:rPr>
          <w:rFonts w:ascii="Arial" w:cs="Arial" w:eastAsia="Arial" w:hAnsi="Arial"/>
          <w:sz w:val="15"/>
          <w:szCs w:val="15"/>
          <w:color w:val="auto"/>
        </w:rPr>
        <w:t xml:space="preserve"> ​</w:t>
      </w:r>
    </w:p>
    <w:p>
      <w:pPr>
        <w:ind w:left="20"/>
        <w:spacing w:after="0" w:line="180"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61</w:t>
      </w:r>
      <w:r>
        <w:rPr>
          <w:rFonts w:ascii="Arial" w:cs="Arial" w:eastAsia="Arial" w:hAnsi="Arial"/>
          <w:sz w:val="15"/>
          <w:szCs w:val="15"/>
          <w:color w:val="auto"/>
        </w:rPr>
        <w:t xml:space="preserve"> ​</w:t>
      </w:r>
    </w:p>
    <w:p>
      <w:pPr>
        <w:ind w:left="20"/>
        <w:spacing w:after="0" w:line="180"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62</w:t>
      </w:r>
      <w:r>
        <w:rPr>
          <w:rFonts w:ascii="Arial" w:cs="Arial" w:eastAsia="Arial" w:hAnsi="Arial"/>
          <w:sz w:val="15"/>
          <w:szCs w:val="15"/>
          <w:color w:val="auto"/>
        </w:rPr>
        <w:t xml:space="preserve"> ​</w:t>
      </w:r>
    </w:p>
    <w:p>
      <w:pPr>
        <w:ind w:left="20"/>
        <w:spacing w:after="0" w:line="182" w:lineRule="auto"/>
        <w:rPr>
          <w:sz w:val="20"/>
          <w:szCs w:val="20"/>
          <w:color w:val="auto"/>
        </w:rPr>
      </w:pPr>
      <w:r>
        <w:rPr>
          <w:rFonts w:ascii="Arial" w:cs="Arial" w:eastAsia="Arial" w:hAnsi="Arial"/>
          <w:sz w:val="25"/>
          <w:szCs w:val="25"/>
          <w:color w:val="000000"/>
          <w:vertAlign w:val="subscript"/>
        </w:rPr>
        <w:t>​</w:t>
      </w:r>
      <w:r>
        <w:rPr>
          <w:rFonts w:ascii="Arial" w:cs="Arial" w:eastAsia="Arial" w:hAnsi="Arial"/>
          <w:sz w:val="13"/>
          <w:szCs w:val="13"/>
          <w:u w:val="single" w:color="auto"/>
          <w:color w:val="0000EE"/>
        </w:rPr>
        <w:t>A-1</w:t>
      </w:r>
      <w:r>
        <w:rPr>
          <w:rFonts w:ascii="Arial" w:cs="Arial" w:eastAsia="Arial" w:hAnsi="Arial"/>
          <w:sz w:val="13"/>
          <w:szCs w:val="13"/>
          <w:color w:val="0000EE"/>
        </w:rPr>
        <w:t xml:space="preserve"> </w:t>
      </w:r>
      <w:r>
        <w:rPr>
          <w:rFonts w:ascii="Arial" w:cs="Arial" w:eastAsia="Arial" w:hAnsi="Arial"/>
          <w:sz w:val="25"/>
          <w:szCs w:val="25"/>
          <w:color w:val="000000"/>
          <w:vertAlign w:val="subscript"/>
        </w:rPr>
        <w:t>​</w:t>
      </w:r>
    </w:p>
    <w:p>
      <w:pPr>
        <w:sectPr>
          <w:pgSz w:w="11900" w:h="16838" w:orient="portrait"/>
          <w:cols w:equalWidth="0" w:num="2">
            <w:col w:w="8820" w:space="60"/>
            <w:col w:w="360"/>
          </w:cols>
          <w:pgMar w:left="1440" w:top="105" w:right="1219" w:bottom="1440" w:gutter="0" w:footer="0" w:header="0"/>
          <w:type w:val="continuous"/>
        </w:sectPr>
      </w:pPr>
    </w:p>
    <w:bookmarkStart w:id="8" w:name="page9"/>
    <w:bookmarkEnd w:id="8"/>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33655</wp:posOffset>
            </wp:positionV>
            <wp:extent cx="435038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65" w:lineRule="exact"/>
        <w:rPr>
          <w:sz w:val="20"/>
          <w:szCs w:val="20"/>
          <w:color w:val="auto"/>
        </w:rPr>
      </w:pPr>
    </w:p>
    <w:p>
      <w:pPr>
        <w:ind w:left="1080" w:right="1199"/>
        <w:spacing w:after="0" w:line="257" w:lineRule="auto"/>
        <w:rPr>
          <w:sz w:val="20"/>
          <w:szCs w:val="20"/>
          <w:color w:val="auto"/>
        </w:rPr>
      </w:pPr>
      <w:r>
        <w:rPr>
          <w:rFonts w:ascii="Arial" w:cs="Arial" w:eastAsia="Arial" w:hAnsi="Arial"/>
          <w:sz w:val="15"/>
          <w:szCs w:val="15"/>
          <w:color w:val="auto"/>
        </w:rPr>
        <w:t>This summary highlights information contained elsewhere in this proxy statement relating to the Annual General Meeting of Shareholders (the “Annual Meeting”) of Altisource Portfolio Solutions S.A. (the “Company”) and the Extraordinary General Meeting of Shareholders of the Company before a Luxembourg civil law notary (the “Extraordinary Meeting” and, together with the Annual Meeting, the “Meetings”) . This summary does not contain all information you should consider. Please read this entire proxy statement carefully before voting.</w:t>
      </w:r>
    </w:p>
    <w:p>
      <w:pPr>
        <w:spacing w:after="0" w:line="330"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Meeting Information</w:t>
      </w:r>
    </w:p>
    <w:p>
      <w:pPr>
        <w:spacing w:after="0" w:line="102" w:lineRule="exact"/>
        <w:rPr>
          <w:sz w:val="20"/>
          <w:szCs w:val="20"/>
          <w:color w:val="auto"/>
        </w:rPr>
      </w:pPr>
    </w:p>
    <w:p>
      <w:pPr>
        <w:ind w:left="1520" w:hanging="141"/>
        <w:spacing w:after="0"/>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Date: Tuesday, May 13, 2025</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Annual Meeting Time: 9:00 a.m. Central European Time</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Extraordinary Meeting Time: 9:30 a.m. Central European Time</w:t>
      </w:r>
    </w:p>
    <w:p>
      <w:pPr>
        <w:spacing w:after="0" w:line="97" w:lineRule="exact"/>
        <w:rPr>
          <w:rFonts w:ascii="Arial" w:cs="Arial" w:eastAsia="Arial" w:hAnsi="Arial"/>
          <w:sz w:val="15"/>
          <w:szCs w:val="15"/>
          <w:color w:val="auto"/>
        </w:rPr>
      </w:pPr>
    </w:p>
    <w:p>
      <w:pPr>
        <w:ind w:left="1520" w:right="1839" w:hanging="141"/>
        <w:spacing w:after="0" w:line="286"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Place: 33, Boulevard Prince Henri, L-1724 Luxembourg City, Grand Duchy of Luxembourg</w:t>
      </w:r>
    </w:p>
    <w:p>
      <w:pPr>
        <w:spacing w:after="0" w:line="39" w:lineRule="exact"/>
        <w:rPr>
          <w:rFonts w:ascii="Arial" w:cs="Arial" w:eastAsia="Arial" w:hAnsi="Arial"/>
          <w:sz w:val="15"/>
          <w:szCs w:val="15"/>
          <w:color w:val="auto"/>
        </w:rPr>
      </w:pPr>
    </w:p>
    <w:p>
      <w:pPr>
        <w:ind w:left="1520" w:hanging="141"/>
        <w:spacing w:after="0"/>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Record Date: March 17, 2025</w:t>
      </w:r>
    </w:p>
    <w:p>
      <w:pPr>
        <w:spacing w:after="0" w:line="97" w:lineRule="exact"/>
        <w:rPr>
          <w:rFonts w:ascii="Arial" w:cs="Arial" w:eastAsia="Arial" w:hAnsi="Arial"/>
          <w:sz w:val="15"/>
          <w:szCs w:val="15"/>
          <w:color w:val="auto"/>
        </w:rPr>
      </w:pPr>
    </w:p>
    <w:p>
      <w:pPr>
        <w:ind w:left="1520" w:right="1239" w:hanging="141"/>
        <w:spacing w:after="0" w:line="286"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Agendas: The Meetings will cover the proposals listed below, and any other business that may properly come before the meetings</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Annual Meeting, Voting Matters and Recommendations of our Board of Directors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Annual General Meeting of Shareholders</w:t>
      </w:r>
    </w:p>
    <w:p>
      <w:pPr>
        <w:spacing w:after="0" w:line="9" w:lineRule="exact"/>
        <w:rPr>
          <w:sz w:val="20"/>
          <w:szCs w:val="20"/>
          <w:color w:val="auto"/>
        </w:rPr>
      </w:pPr>
    </w:p>
    <w:tbl>
      <w:tblPr>
        <w:tblLayout w:type="fixed"/>
        <w:tblInd w:w="1080" w:type="dxa"/>
        <w:tblCellMar>
          <w:top w:w="0" w:type="dxa"/>
          <w:left w:w="0" w:type="dxa"/>
          <w:bottom w:w="0" w:type="dxa"/>
          <w:right w:w="0" w:type="dxa"/>
        </w:tblCellMar>
      </w:tblPr>
      <w:tr>
        <w:trPr>
          <w:trHeight w:val="160"/>
        </w:trPr>
        <w:tc>
          <w:tcPr>
            <w:tcW w:w="220" w:type="dxa"/>
            <w:vAlign w:val="bottom"/>
            <w:tcBorders>
              <w:top w:val="single" w:sz="8" w:color="auto"/>
              <w:bottom w:val="single" w:sz="8" w:color="auto"/>
            </w:tcBorders>
          </w:tcPr>
          <w:p>
            <w:pPr>
              <w:spacing w:after="0"/>
              <w:rPr>
                <w:sz w:val="13"/>
                <w:szCs w:val="13"/>
                <w:color w:val="auto"/>
              </w:rPr>
            </w:pPr>
          </w:p>
        </w:tc>
        <w:tc>
          <w:tcPr>
            <w:tcW w:w="5000" w:type="dxa"/>
            <w:vAlign w:val="bottom"/>
            <w:tcBorders>
              <w:top w:val="single" w:sz="8" w:color="auto"/>
              <w:bottom w:val="single" w:sz="8" w:color="auto"/>
            </w:tcBorders>
          </w:tcPr>
          <w:p>
            <w:pPr>
              <w:ind w:left="2060"/>
              <w:spacing w:after="0"/>
              <w:rPr>
                <w:sz w:val="20"/>
                <w:szCs w:val="20"/>
                <w:color w:val="auto"/>
              </w:rPr>
            </w:pPr>
            <w:r>
              <w:rPr>
                <w:rFonts w:ascii="Arial" w:cs="Arial" w:eastAsia="Arial" w:hAnsi="Arial"/>
                <w:sz w:val="14"/>
                <w:szCs w:val="14"/>
                <w:b w:val="1"/>
                <w:bCs w:val="1"/>
                <w:color w:val="auto"/>
              </w:rPr>
              <w:t>Proposals</w:t>
            </w: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Recommendation</w:t>
            </w:r>
          </w:p>
        </w:tc>
        <w:tc>
          <w:tcPr>
            <w:tcW w:w="0" w:type="dxa"/>
            <w:vAlign w:val="bottom"/>
          </w:tcPr>
          <w:p>
            <w:pPr>
              <w:spacing w:after="0"/>
              <w:rPr>
                <w:sz w:val="1"/>
                <w:szCs w:val="1"/>
                <w:color w:val="auto"/>
              </w:rPr>
            </w:pPr>
          </w:p>
        </w:tc>
      </w:tr>
      <w:tr>
        <w:trPr>
          <w:trHeight w:val="150"/>
        </w:trPr>
        <w:tc>
          <w:tcPr>
            <w:tcW w:w="220" w:type="dxa"/>
            <w:vAlign w:val="bottom"/>
          </w:tcPr>
          <w:p>
            <w:pPr>
              <w:jc w:val="right"/>
              <w:spacing w:after="0" w:line="150" w:lineRule="exact"/>
              <w:rPr>
                <w:sz w:val="20"/>
                <w:szCs w:val="20"/>
                <w:color w:val="auto"/>
              </w:rPr>
            </w:pPr>
            <w:r>
              <w:rPr>
                <w:rFonts w:ascii="Arial" w:cs="Arial" w:eastAsia="Arial" w:hAnsi="Arial"/>
                <w:sz w:val="14"/>
                <w:szCs w:val="14"/>
                <w:color w:val="auto"/>
                <w:w w:val="81"/>
              </w:rPr>
              <w:t>(1)</w:t>
            </w:r>
          </w:p>
        </w:tc>
        <w:tc>
          <w:tcPr>
            <w:tcW w:w="5180" w:type="dxa"/>
            <w:vAlign w:val="bottom"/>
            <w:gridSpan w:val="2"/>
          </w:tcPr>
          <w:p>
            <w:pPr>
              <w:ind w:left="40"/>
              <w:spacing w:after="0" w:line="150" w:lineRule="exact"/>
              <w:rPr>
                <w:sz w:val="20"/>
                <w:szCs w:val="20"/>
                <w:color w:val="auto"/>
              </w:rPr>
            </w:pPr>
            <w:r>
              <w:rPr>
                <w:rFonts w:ascii="Arial" w:cs="Arial" w:eastAsia="Arial" w:hAnsi="Arial"/>
                <w:sz w:val="14"/>
                <w:szCs w:val="14"/>
                <w:color w:val="auto"/>
              </w:rPr>
              <w:t>To elect seven (7) Directors to serve until the next annual general meeting</w:t>
            </w:r>
          </w:p>
        </w:tc>
        <w:tc>
          <w:tcPr>
            <w:tcW w:w="1440" w:type="dxa"/>
            <w:vAlign w:val="bottom"/>
          </w:tcPr>
          <w:p>
            <w:pPr>
              <w:jc w:val="center"/>
              <w:spacing w:after="0" w:line="150"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FOR each nominee</w:t>
            </w: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of shareholders or until their respective successors have been elected and</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180" w:type="dxa"/>
            <w:vAlign w:val="bottom"/>
            <w:gridSpan w:val="2"/>
          </w:tcPr>
          <w:p>
            <w:pPr>
              <w:ind w:left="40"/>
              <w:spacing w:after="0"/>
              <w:rPr>
                <w:sz w:val="20"/>
                <w:szCs w:val="20"/>
                <w:color w:val="auto"/>
              </w:rPr>
            </w:pPr>
            <w:r>
              <w:rPr>
                <w:rFonts w:ascii="Arial" w:cs="Arial" w:eastAsia="Arial" w:hAnsi="Arial"/>
                <w:sz w:val="14"/>
                <w:szCs w:val="14"/>
                <w:color w:val="auto"/>
              </w:rPr>
              <w:t>qualified (the “Director Election 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88"/>
              </w:rPr>
              <w:t>✓</w:t>
            </w:r>
            <w:r>
              <w:rPr>
                <w:rFonts w:ascii="Arial" w:cs="Arial" w:eastAsia="Arial" w:hAnsi="Arial"/>
                <w:sz w:val="14"/>
                <w:szCs w:val="14"/>
                <w:color w:val="auto"/>
                <w:w w:val="88"/>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8" w:lineRule="exact"/>
              <w:rPr>
                <w:sz w:val="20"/>
                <w:szCs w:val="20"/>
                <w:color w:val="auto"/>
              </w:rPr>
            </w:pPr>
            <w:r>
              <w:rPr>
                <w:rFonts w:ascii="Arial" w:cs="Arial" w:eastAsia="Arial" w:hAnsi="Arial"/>
                <w:sz w:val="14"/>
                <w:szCs w:val="14"/>
                <w:color w:val="auto"/>
                <w:w w:val="81"/>
              </w:rPr>
              <w:t>(2)</w:t>
            </w: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To approve the appointment of RSM US LLP as our independent</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registered public accounting firm for the year ending December 31, 2025</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and until our 2026 annual general meeting of shareholders, and the</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 xml:space="preserve">appointment of Atwell S.à r.l. as our certified auditor </w:t>
            </w:r>
            <w:r>
              <w:rPr>
                <w:rFonts w:ascii="Arial" w:cs="Arial" w:eastAsia="Arial" w:hAnsi="Arial"/>
                <w:sz w:val="14"/>
                <w:szCs w:val="14"/>
                <w:i w:val="1"/>
                <w:iCs w:val="1"/>
                <w:color w:val="auto"/>
              </w:rPr>
              <w:t>(Réviseur d’Entreprises)</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for the same period (the “Approval of Appointment of Independent</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180" w:type="dxa"/>
            <w:vAlign w:val="bottom"/>
            <w:gridSpan w:val="2"/>
          </w:tcPr>
          <w:p>
            <w:pPr>
              <w:ind w:left="40"/>
              <w:spacing w:after="0"/>
              <w:rPr>
                <w:sz w:val="20"/>
                <w:szCs w:val="20"/>
                <w:color w:val="auto"/>
              </w:rPr>
            </w:pPr>
            <w:r>
              <w:rPr>
                <w:rFonts w:ascii="Arial" w:cs="Arial" w:eastAsia="Arial" w:hAnsi="Arial"/>
                <w:sz w:val="14"/>
                <w:szCs w:val="14"/>
                <w:color w:val="auto"/>
              </w:rPr>
              <w:t>Registered Accounting Firm and Certified Auditor 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88"/>
              </w:rPr>
              <w:t>✓</w:t>
            </w:r>
            <w:r>
              <w:rPr>
                <w:rFonts w:ascii="Arial" w:cs="Arial" w:eastAsia="Arial" w:hAnsi="Arial"/>
                <w:sz w:val="14"/>
                <w:szCs w:val="14"/>
                <w:color w:val="auto"/>
                <w:w w:val="88"/>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8" w:lineRule="exact"/>
              <w:rPr>
                <w:sz w:val="20"/>
                <w:szCs w:val="20"/>
                <w:color w:val="auto"/>
              </w:rPr>
            </w:pPr>
            <w:r>
              <w:rPr>
                <w:rFonts w:ascii="Arial" w:cs="Arial" w:eastAsia="Arial" w:hAnsi="Arial"/>
                <w:sz w:val="14"/>
                <w:szCs w:val="14"/>
                <w:color w:val="auto"/>
                <w:w w:val="81"/>
              </w:rPr>
              <w:t>(3)</w:t>
            </w: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To approve our Luxembourg Annual Accounts for the year ended</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December 31, 2024 and consolidated financial statements prepared in</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accordance with International Financial Reporting Standards (the</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“Consolidated Accounts” and, together with the Luxembourg Annual</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Accounts, the “Luxembourg Statutory Accounts”) as of and for the year</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ended December 31, 2024 (the “Luxembourg Statutory Accounts</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180" w:type="dxa"/>
            <w:vAlign w:val="bottom"/>
            <w:gridSpan w:val="2"/>
          </w:tcPr>
          <w:p>
            <w:pPr>
              <w:ind w:left="40"/>
              <w:spacing w:after="0"/>
              <w:rPr>
                <w:sz w:val="20"/>
                <w:szCs w:val="20"/>
                <w:color w:val="auto"/>
              </w:rPr>
            </w:pPr>
            <w:r>
              <w:rPr>
                <w:rFonts w:ascii="Arial" w:cs="Arial" w:eastAsia="Arial" w:hAnsi="Arial"/>
                <w:sz w:val="14"/>
                <w:szCs w:val="14"/>
                <w:color w:val="auto"/>
              </w:rPr>
              <w:t>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88"/>
              </w:rPr>
              <w:t>✓</w:t>
            </w:r>
            <w:r>
              <w:rPr>
                <w:rFonts w:ascii="Arial" w:cs="Arial" w:eastAsia="Arial" w:hAnsi="Arial"/>
                <w:sz w:val="14"/>
                <w:szCs w:val="14"/>
                <w:color w:val="auto"/>
                <w:w w:val="88"/>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8" w:lineRule="exact"/>
              <w:rPr>
                <w:sz w:val="20"/>
                <w:szCs w:val="20"/>
                <w:color w:val="auto"/>
              </w:rPr>
            </w:pPr>
            <w:r>
              <w:rPr>
                <w:rFonts w:ascii="Arial" w:cs="Arial" w:eastAsia="Arial" w:hAnsi="Arial"/>
                <w:sz w:val="14"/>
                <w:szCs w:val="14"/>
                <w:color w:val="auto"/>
                <w:w w:val="81"/>
              </w:rPr>
              <w:t>(4)</w:t>
            </w: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To receive and approve our Directors’ report for the Luxembourg Statutory</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Accounts for the year ended December 31, 2024 and to receive our</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 xml:space="preserve">supervisory auditor’s </w:t>
            </w:r>
            <w:r>
              <w:rPr>
                <w:rFonts w:ascii="Arial" w:cs="Arial" w:eastAsia="Arial" w:hAnsi="Arial"/>
                <w:sz w:val="14"/>
                <w:szCs w:val="14"/>
                <w:i w:val="1"/>
                <w:iCs w:val="1"/>
                <w:color w:val="auto"/>
              </w:rPr>
              <w:t>(Commissaire aux Comptes)</w:t>
            </w:r>
            <w:r>
              <w:rPr>
                <w:rFonts w:ascii="Arial" w:cs="Arial" w:eastAsia="Arial" w:hAnsi="Arial"/>
                <w:sz w:val="14"/>
                <w:szCs w:val="14"/>
                <w:color w:val="auto"/>
              </w:rPr>
              <w:t xml:space="preserve"> report for the Luxembourg</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Annual Accounts for the same period (the “Receipt of Directors’ Report</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180" w:type="dxa"/>
            <w:vAlign w:val="bottom"/>
            <w:gridSpan w:val="2"/>
          </w:tcPr>
          <w:p>
            <w:pPr>
              <w:ind w:left="40"/>
              <w:spacing w:after="0"/>
              <w:rPr>
                <w:sz w:val="20"/>
                <w:szCs w:val="20"/>
                <w:color w:val="auto"/>
              </w:rPr>
            </w:pPr>
            <w:r>
              <w:rPr>
                <w:rFonts w:ascii="Arial" w:cs="Arial" w:eastAsia="Arial" w:hAnsi="Arial"/>
                <w:sz w:val="14"/>
                <w:szCs w:val="14"/>
                <w:color w:val="auto"/>
              </w:rPr>
              <w:t>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88"/>
              </w:rPr>
              <w:t>✓</w:t>
            </w:r>
            <w:r>
              <w:rPr>
                <w:rFonts w:ascii="Arial" w:cs="Arial" w:eastAsia="Arial" w:hAnsi="Arial"/>
                <w:sz w:val="14"/>
                <w:szCs w:val="14"/>
                <w:color w:val="auto"/>
                <w:w w:val="88"/>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8" w:lineRule="exact"/>
              <w:rPr>
                <w:sz w:val="20"/>
                <w:szCs w:val="20"/>
                <w:color w:val="auto"/>
              </w:rPr>
            </w:pPr>
            <w:r>
              <w:rPr>
                <w:rFonts w:ascii="Arial" w:cs="Arial" w:eastAsia="Arial" w:hAnsi="Arial"/>
                <w:sz w:val="14"/>
                <w:szCs w:val="14"/>
                <w:color w:val="auto"/>
                <w:w w:val="81"/>
              </w:rPr>
              <w:t>(5)</w:t>
            </w: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To allocate the results in the Luxembourg Annual Accounts for the year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ended December 31, 2024 (the “Luxembourg Annual Accounts Allocation</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180" w:type="dxa"/>
            <w:vAlign w:val="bottom"/>
            <w:gridSpan w:val="2"/>
          </w:tcPr>
          <w:p>
            <w:pPr>
              <w:ind w:left="40"/>
              <w:spacing w:after="0"/>
              <w:rPr>
                <w:sz w:val="20"/>
                <w:szCs w:val="20"/>
                <w:color w:val="auto"/>
              </w:rPr>
            </w:pPr>
            <w:r>
              <w:rPr>
                <w:rFonts w:ascii="Arial" w:cs="Arial" w:eastAsia="Arial" w:hAnsi="Arial"/>
                <w:sz w:val="14"/>
                <w:szCs w:val="14"/>
                <w:color w:val="auto"/>
              </w:rPr>
              <w:t>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88"/>
              </w:rPr>
              <w:t>✓</w:t>
            </w:r>
            <w:r>
              <w:rPr>
                <w:rFonts w:ascii="Arial" w:cs="Arial" w:eastAsia="Arial" w:hAnsi="Arial"/>
                <w:sz w:val="14"/>
                <w:szCs w:val="14"/>
                <w:color w:val="auto"/>
                <w:w w:val="88"/>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8" w:lineRule="exact"/>
              <w:rPr>
                <w:sz w:val="20"/>
                <w:szCs w:val="20"/>
                <w:color w:val="auto"/>
              </w:rPr>
            </w:pPr>
            <w:r>
              <w:rPr>
                <w:rFonts w:ascii="Arial" w:cs="Arial" w:eastAsia="Arial" w:hAnsi="Arial"/>
                <w:sz w:val="14"/>
                <w:szCs w:val="14"/>
                <w:color w:val="auto"/>
                <w:w w:val="81"/>
              </w:rPr>
              <w:t>(6)</w:t>
            </w: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To discharge each of our Directors for the performance of their mandate</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for the year ended December 31, 2024 and our supervisory auditor</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i w:val="1"/>
                <w:iCs w:val="1"/>
                <w:color w:val="auto"/>
              </w:rPr>
              <w:t xml:space="preserve">(Commissaire aux Comptes) </w:t>
            </w:r>
            <w:r>
              <w:rPr>
                <w:rFonts w:ascii="Arial" w:cs="Arial" w:eastAsia="Arial" w:hAnsi="Arial"/>
                <w:sz w:val="14"/>
                <w:szCs w:val="14"/>
                <w:color w:val="auto"/>
              </w:rPr>
              <w:t>for the performance of her mandate for the</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180" w:type="dxa"/>
            <w:vAlign w:val="bottom"/>
            <w:gridSpan w:val="2"/>
          </w:tcPr>
          <w:p>
            <w:pPr>
              <w:ind w:left="40"/>
              <w:spacing w:after="0"/>
              <w:rPr>
                <w:sz w:val="20"/>
                <w:szCs w:val="20"/>
                <w:color w:val="auto"/>
              </w:rPr>
            </w:pPr>
            <w:r>
              <w:rPr>
                <w:rFonts w:ascii="Arial" w:cs="Arial" w:eastAsia="Arial" w:hAnsi="Arial"/>
                <w:sz w:val="14"/>
                <w:szCs w:val="14"/>
                <w:color w:val="auto"/>
              </w:rPr>
              <w:t>same period (the “Discharge 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88"/>
              </w:rPr>
              <w:t>✓</w:t>
            </w:r>
            <w:r>
              <w:rPr>
                <w:rFonts w:ascii="Arial" w:cs="Arial" w:eastAsia="Arial" w:hAnsi="Arial"/>
                <w:sz w:val="14"/>
                <w:szCs w:val="14"/>
                <w:color w:val="auto"/>
                <w:w w:val="88"/>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8" w:lineRule="exact"/>
              <w:rPr>
                <w:sz w:val="20"/>
                <w:szCs w:val="20"/>
                <w:color w:val="auto"/>
              </w:rPr>
            </w:pPr>
            <w:r>
              <w:rPr>
                <w:rFonts w:ascii="Arial" w:cs="Arial" w:eastAsia="Arial" w:hAnsi="Arial"/>
                <w:sz w:val="14"/>
                <w:szCs w:val="14"/>
                <w:color w:val="auto"/>
                <w:w w:val="81"/>
              </w:rPr>
              <w:t>(7)</w:t>
            </w: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To approve, on a non-binding advisory basis, the compensation of our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1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Named Executive Officers (“Say-on-Pay”) as disclosed in this proxy</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180" w:type="dxa"/>
            <w:vAlign w:val="bottom"/>
            <w:gridSpan w:val="2"/>
          </w:tcPr>
          <w:p>
            <w:pPr>
              <w:ind w:left="40"/>
              <w:spacing w:after="0"/>
              <w:rPr>
                <w:sz w:val="20"/>
                <w:szCs w:val="20"/>
                <w:color w:val="auto"/>
              </w:rPr>
            </w:pPr>
            <w:r>
              <w:rPr>
                <w:rFonts w:ascii="Arial" w:cs="Arial" w:eastAsia="Arial" w:hAnsi="Arial"/>
                <w:sz w:val="14"/>
                <w:szCs w:val="14"/>
                <w:color w:val="auto"/>
              </w:rPr>
              <w:t>statement (the “Say-on-Pay Proposal”)</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08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340" w:right="2839"/>
        <w:spacing w:after="0"/>
        <w:rPr>
          <w:sz w:val="20"/>
          <w:szCs w:val="20"/>
          <w:color w:val="auto"/>
        </w:rPr>
      </w:pPr>
      <w:r>
        <w:rPr>
          <w:rFonts w:ascii="Arial" w:cs="Arial" w:eastAsia="Arial" w:hAnsi="Arial"/>
          <w:sz w:val="14"/>
          <w:szCs w:val="14"/>
          <w:color w:val="auto"/>
        </w:rPr>
        <w:t>To transact such other business as may properly come before the Annual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 w:name="page10"/>
    <w:bookmarkEnd w:id="9"/>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68" w:lineRule="exact"/>
        <w:rPr>
          <w:sz w:val="20"/>
          <w:szCs w:val="20"/>
          <w:color w:val="auto"/>
        </w:rPr>
      </w:pPr>
    </w:p>
    <w:tbl>
      <w:tblPr>
        <w:tblLayout w:type="fixed"/>
        <w:tblInd w:w="1080" w:type="dxa"/>
        <w:tblCellMar>
          <w:top w:w="0" w:type="dxa"/>
          <w:left w:w="0" w:type="dxa"/>
          <w:bottom w:w="0" w:type="dxa"/>
          <w:right w:w="0" w:type="dxa"/>
        </w:tblCellMar>
      </w:tblPr>
      <w:tr>
        <w:trPr>
          <w:trHeight w:val="130"/>
        </w:trPr>
        <w:tc>
          <w:tcPr>
            <w:tcW w:w="2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460" w:type="dxa"/>
            <w:vAlign w:val="bottom"/>
            <w:gridSpan w:val="4"/>
            <w:vMerge w:val="restart"/>
          </w:tcPr>
          <w:p>
            <w:pPr>
              <w:spacing w:after="0"/>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SUMMARY  </w:t>
            </w:r>
            <w:r>
              <w:rPr>
                <w:rFonts w:ascii="Arial" w:cs="Arial" w:eastAsia="Arial" w:hAnsi="Arial"/>
                <w:sz w:val="27"/>
                <w:szCs w:val="27"/>
                <w:b w:val="1"/>
                <w:bCs w:val="1"/>
                <w:color w:val="314F60"/>
                <w:vertAlign w:val="superscript"/>
              </w:rPr>
              <w:t>​</w:t>
            </w: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5200" w:type="dxa"/>
            <w:vAlign w:val="bottom"/>
            <w:tcBorders>
              <w:right w:val="single" w:sz="8" w:color="75FF00"/>
            </w:tcBorders>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Extraordinary General Meeting of Shareholders</w:t>
            </w:r>
          </w:p>
        </w:tc>
        <w:tc>
          <w:tcPr>
            <w:tcW w:w="300" w:type="dxa"/>
            <w:vAlign w:val="bottom"/>
            <w:tcBorders>
              <w:top w:val="single" w:sz="8" w:color="75FF00"/>
              <w:bottom w:val="single" w:sz="8" w:color="auto"/>
            </w:tcBorders>
            <w:gridSpan w:val="2"/>
          </w:tcPr>
          <w:p>
            <w:pPr>
              <w:spacing w:after="0"/>
              <w:rPr>
                <w:sz w:val="24"/>
                <w:szCs w:val="24"/>
                <w:color w:val="auto"/>
              </w:rPr>
            </w:pPr>
          </w:p>
        </w:tc>
        <w:tc>
          <w:tcPr>
            <w:tcW w:w="1120" w:type="dxa"/>
            <w:vAlign w:val="bottom"/>
            <w:tcBorders>
              <w:top w:val="single" w:sz="8" w:color="75FF00"/>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0" w:type="dxa"/>
            <w:vAlign w:val="bottom"/>
            <w:tcBorders>
              <w:bottom w:val="single" w:sz="8" w:color="auto"/>
            </w:tcBorders>
          </w:tcPr>
          <w:p>
            <w:pPr>
              <w:spacing w:after="0"/>
              <w:rPr>
                <w:sz w:val="13"/>
                <w:szCs w:val="13"/>
                <w:color w:val="auto"/>
              </w:rPr>
            </w:pPr>
          </w:p>
        </w:tc>
        <w:tc>
          <w:tcPr>
            <w:tcW w:w="5320" w:type="dxa"/>
            <w:vAlign w:val="bottom"/>
            <w:tcBorders>
              <w:bottom w:val="single" w:sz="8" w:color="auto"/>
            </w:tcBorders>
            <w:gridSpan w:val="2"/>
          </w:tcPr>
          <w:p>
            <w:pPr>
              <w:ind w:left="2220"/>
              <w:spacing w:after="0"/>
              <w:rPr>
                <w:sz w:val="20"/>
                <w:szCs w:val="20"/>
                <w:color w:val="auto"/>
              </w:rPr>
            </w:pPr>
            <w:r>
              <w:rPr>
                <w:rFonts w:ascii="Arial" w:cs="Arial" w:eastAsia="Arial" w:hAnsi="Arial"/>
                <w:sz w:val="14"/>
                <w:szCs w:val="14"/>
                <w:b w:val="1"/>
                <w:bCs w:val="1"/>
                <w:color w:val="auto"/>
              </w:rPr>
              <w:t>Proposals</w:t>
            </w:r>
          </w:p>
        </w:tc>
        <w:tc>
          <w:tcPr>
            <w:tcW w:w="18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Recommendation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line="150" w:lineRule="exact"/>
              <w:rPr>
                <w:sz w:val="20"/>
                <w:szCs w:val="20"/>
                <w:color w:val="auto"/>
              </w:rPr>
            </w:pPr>
            <w:r>
              <w:rPr>
                <w:rFonts w:ascii="Arial" w:cs="Arial" w:eastAsia="Arial" w:hAnsi="Arial"/>
                <w:sz w:val="14"/>
                <w:szCs w:val="14"/>
                <w:color w:val="auto"/>
              </w:rPr>
              <w:t>(1)</w:t>
            </w:r>
          </w:p>
        </w:tc>
        <w:tc>
          <w:tcPr>
            <w:tcW w:w="5500" w:type="dxa"/>
            <w:vAlign w:val="bottom"/>
            <w:gridSpan w:val="3"/>
          </w:tcPr>
          <w:p>
            <w:pPr>
              <w:ind w:left="40"/>
              <w:spacing w:after="0" w:line="150" w:lineRule="exact"/>
              <w:rPr>
                <w:sz w:val="20"/>
                <w:szCs w:val="20"/>
                <w:color w:val="auto"/>
              </w:rPr>
            </w:pPr>
            <w:r>
              <w:rPr>
                <w:rFonts w:ascii="Arial" w:cs="Arial" w:eastAsia="Arial" w:hAnsi="Arial"/>
                <w:sz w:val="14"/>
                <w:szCs w:val="14"/>
                <w:color w:val="auto"/>
              </w:rPr>
              <w:t>To approve an amendment to Article 5 of the Company’s Amended and</w:t>
            </w:r>
          </w:p>
        </w:tc>
        <w:tc>
          <w:tcPr>
            <w:tcW w:w="1120" w:type="dxa"/>
            <w:vAlign w:val="bottom"/>
          </w:tcPr>
          <w:p>
            <w:pPr>
              <w:jc w:val="center"/>
              <w:spacing w:after="0" w:line="150"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Restated Articles of Incorporation (the “Articles”) to consolidate eighty-eight</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million nine hundred fifty-one thousand nine hundred twenty-five (88,951,925)</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shares of the Company’s common stock without designation of nominal value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into eleven million one hundred eighteen thousand nine hundred ninety</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(11,118,990) shares of the Company’s common stock without designation of</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nominal value, on the basis of a ratio of one (1) post-consolidation share of the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Company’s common stock for every eight (8) outstanding pre-consolidation</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shares of the Company’s common stock (the “Share Consolidation”), and to</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authorize the Board of Directors of the Company to proceed with all formalities</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500" w:type="dxa"/>
            <w:vAlign w:val="bottom"/>
            <w:gridSpan w:val="3"/>
          </w:tcPr>
          <w:p>
            <w:pPr>
              <w:ind w:left="40"/>
              <w:spacing w:after="0"/>
              <w:rPr>
                <w:sz w:val="20"/>
                <w:szCs w:val="20"/>
                <w:color w:val="auto"/>
              </w:rPr>
            </w:pPr>
            <w:r>
              <w:rPr>
                <w:rFonts w:ascii="Arial" w:cs="Arial" w:eastAsia="Arial" w:hAnsi="Arial"/>
                <w:sz w:val="14"/>
                <w:szCs w:val="14"/>
                <w:color w:val="auto"/>
              </w:rPr>
              <w:t>to effect the Share Consolidation (the “Share Consolidation Proposal”)</w:t>
            </w:r>
          </w:p>
        </w:tc>
        <w:tc>
          <w:tcPr>
            <w:tcW w:w="1160" w:type="dxa"/>
            <w:vAlign w:val="bottom"/>
            <w:gridSpan w:val="2"/>
            <w:vMerge w:val="restart"/>
          </w:tcPr>
          <w:p>
            <w:pPr>
              <w:jc w:val="center"/>
              <w:ind w:right="40"/>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spacing w:after="0" w:line="158" w:lineRule="exact"/>
              <w:rPr>
                <w:sz w:val="20"/>
                <w:szCs w:val="20"/>
                <w:color w:val="auto"/>
              </w:rPr>
            </w:pPr>
            <w:r>
              <w:rPr>
                <w:rFonts w:ascii="Arial" w:cs="Arial" w:eastAsia="Arial" w:hAnsi="Arial"/>
                <w:sz w:val="14"/>
                <w:szCs w:val="14"/>
                <w:color w:val="auto"/>
              </w:rPr>
              <w:t>(2)</w:t>
            </w: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To approve an amendment to Article 5 of the Articles to decrease the share</w:t>
            </w: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capital of the Company by an amount of seven hundred seventy-eight</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thousand three hundred twenty-nine dollars and thirty-five cents (USD</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778,329.35) without cancellation of the outstanding Company’s common stock</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post-consolidation, by decreasing the par value of the existing shares of the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Company’s common stock, in order to bring the share capital of the Company</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from its current amount of eight hundred eighty-nine thousand five hundred</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nineteen dollars and twenty-five cents (USD 889,519.25) to an amount of one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hundred eleven thousand one hundred eighty-nine dollars and ninety cents</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(USD 111,189.90) represented by eleven million one hundred eighteen</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thousand nine hundred ninety (11,118,990) shares of the Company’s common</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stock without designation of nominal value, and by allocating such amount</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deriving from the share capital decrease to the share premium account of the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500" w:type="dxa"/>
            <w:vAlign w:val="bottom"/>
            <w:gridSpan w:val="3"/>
          </w:tcPr>
          <w:p>
            <w:pPr>
              <w:ind w:left="40"/>
              <w:spacing w:after="0"/>
              <w:rPr>
                <w:sz w:val="20"/>
                <w:szCs w:val="20"/>
                <w:color w:val="auto"/>
              </w:rPr>
            </w:pPr>
            <w:r>
              <w:rPr>
                <w:rFonts w:ascii="Arial" w:cs="Arial" w:eastAsia="Arial" w:hAnsi="Arial"/>
                <w:sz w:val="14"/>
                <w:szCs w:val="14"/>
                <w:color w:val="auto"/>
              </w:rPr>
              <w:t>Company (the “Share Capital Decrease Proposal”)</w:t>
            </w:r>
          </w:p>
        </w:tc>
        <w:tc>
          <w:tcPr>
            <w:tcW w:w="1160" w:type="dxa"/>
            <w:vAlign w:val="bottom"/>
            <w:gridSpan w:val="2"/>
            <w:vMerge w:val="restart"/>
          </w:tcPr>
          <w:p>
            <w:pPr>
              <w:jc w:val="center"/>
              <w:ind w:right="40"/>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spacing w:after="0" w:line="158" w:lineRule="exact"/>
              <w:rPr>
                <w:sz w:val="20"/>
                <w:szCs w:val="20"/>
                <w:color w:val="auto"/>
              </w:rPr>
            </w:pPr>
            <w:r>
              <w:rPr>
                <w:rFonts w:ascii="Arial" w:cs="Arial" w:eastAsia="Arial" w:hAnsi="Arial"/>
                <w:sz w:val="14"/>
                <w:szCs w:val="14"/>
                <w:color w:val="auto"/>
              </w:rPr>
              <w:t>(3)</w:t>
            </w: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To approve amendments to Articles 20 and 23 of the Articles to establish a</w:t>
            </w: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minimum quorum requirement of at least thirty-three and one-third percent</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500" w:type="dxa"/>
            <w:vAlign w:val="bottom"/>
            <w:gridSpan w:val="3"/>
          </w:tcPr>
          <w:p>
            <w:pPr>
              <w:ind w:left="40"/>
              <w:spacing w:after="0"/>
              <w:rPr>
                <w:sz w:val="20"/>
                <w:szCs w:val="20"/>
                <w:color w:val="auto"/>
              </w:rPr>
            </w:pPr>
            <w:r>
              <w:rPr>
                <w:rFonts w:ascii="Arial" w:cs="Arial" w:eastAsia="Arial" w:hAnsi="Arial"/>
                <w:sz w:val="14"/>
                <w:szCs w:val="14"/>
                <w:color w:val="auto"/>
              </w:rPr>
              <w:t>(33</w:t>
            </w:r>
            <w:r>
              <w:rPr>
                <w:rFonts w:ascii="Arial" w:cs="Arial" w:eastAsia="Arial" w:hAnsi="Arial"/>
                <w:sz w:val="8"/>
                <w:szCs w:val="8"/>
                <w:color w:val="auto"/>
              </w:rPr>
              <w:t>1</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issued and outstanding shares entitled to vote (the “Minimum</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5500" w:type="dxa"/>
            <w:vAlign w:val="bottom"/>
            <w:gridSpan w:val="3"/>
          </w:tcPr>
          <w:p>
            <w:pPr>
              <w:ind w:left="40"/>
              <w:spacing w:after="0"/>
              <w:rPr>
                <w:sz w:val="20"/>
                <w:szCs w:val="20"/>
                <w:color w:val="auto"/>
              </w:rPr>
            </w:pPr>
            <w:r>
              <w:rPr>
                <w:rFonts w:ascii="Arial" w:cs="Arial" w:eastAsia="Arial" w:hAnsi="Arial"/>
                <w:sz w:val="14"/>
                <w:szCs w:val="14"/>
                <w:color w:val="auto"/>
              </w:rPr>
              <w:t>Quorum”) for all general meetings of shareholders and any extraordinary</w:t>
            </w: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meeting at which no quorum is required, in each case, per Nasdaq Stock</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500" w:type="dxa"/>
            <w:vAlign w:val="bottom"/>
            <w:gridSpan w:val="3"/>
          </w:tcPr>
          <w:p>
            <w:pPr>
              <w:ind w:left="40"/>
              <w:spacing w:after="0"/>
              <w:rPr>
                <w:sz w:val="20"/>
                <w:szCs w:val="20"/>
                <w:color w:val="auto"/>
              </w:rPr>
            </w:pPr>
            <w:r>
              <w:rPr>
                <w:rFonts w:ascii="Arial" w:cs="Arial" w:eastAsia="Arial" w:hAnsi="Arial"/>
                <w:sz w:val="14"/>
                <w:szCs w:val="14"/>
                <w:color w:val="auto"/>
              </w:rPr>
              <w:t>Market Rule 5620(c) (the “Quorum Proposal”)</w:t>
            </w:r>
          </w:p>
        </w:tc>
        <w:tc>
          <w:tcPr>
            <w:tcW w:w="1160" w:type="dxa"/>
            <w:vAlign w:val="bottom"/>
            <w:gridSpan w:val="2"/>
            <w:vMerge w:val="restart"/>
          </w:tcPr>
          <w:p>
            <w:pPr>
              <w:jc w:val="center"/>
              <w:ind w:right="40"/>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spacing w:after="0" w:line="158" w:lineRule="exact"/>
              <w:rPr>
                <w:sz w:val="20"/>
                <w:szCs w:val="20"/>
                <w:color w:val="auto"/>
              </w:rPr>
            </w:pPr>
            <w:r>
              <w:rPr>
                <w:rFonts w:ascii="Arial" w:cs="Arial" w:eastAsia="Arial" w:hAnsi="Arial"/>
                <w:sz w:val="14"/>
                <w:szCs w:val="14"/>
                <w:color w:val="auto"/>
              </w:rPr>
              <w:t>(4)</w:t>
            </w: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To approve minor administrative updates to the Articles to streamline internal</w:t>
            </w: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governance processes (the “Amendments to the Articles of Incorporation</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4"/>
                <w:szCs w:val="14"/>
                <w:color w:val="auto"/>
              </w:rPr>
              <w:t> </w:t>
            </w:r>
          </w:p>
        </w:tc>
        <w:tc>
          <w:tcPr>
            <w:tcW w:w="5500" w:type="dxa"/>
            <w:vAlign w:val="bottom"/>
            <w:gridSpan w:val="3"/>
          </w:tcPr>
          <w:p>
            <w:pPr>
              <w:ind w:left="40"/>
              <w:spacing w:after="0"/>
              <w:rPr>
                <w:sz w:val="20"/>
                <w:szCs w:val="20"/>
                <w:color w:val="auto"/>
              </w:rPr>
            </w:pPr>
            <w:r>
              <w:rPr>
                <w:rFonts w:ascii="Arial" w:cs="Arial" w:eastAsia="Arial" w:hAnsi="Arial"/>
                <w:sz w:val="14"/>
                <w:szCs w:val="14"/>
                <w:color w:val="auto"/>
              </w:rPr>
              <w:t>Proposal”)</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 w:type="dxa"/>
            <w:vAlign w:val="bottom"/>
            <w:vMerge w:val="continue"/>
          </w:tcPr>
          <w:p>
            <w:pPr>
              <w:spacing w:after="0"/>
              <w:rPr>
                <w:sz w:val="14"/>
                <w:szCs w:val="14"/>
                <w:color w:val="auto"/>
              </w:rPr>
            </w:pPr>
          </w:p>
        </w:tc>
        <w:tc>
          <w:tcPr>
            <w:tcW w:w="5500" w:type="dxa"/>
            <w:vAlign w:val="bottom"/>
            <w:gridSpan w:val="3"/>
            <w:vMerge w:val="restart"/>
          </w:tcPr>
          <w:p>
            <w:pPr>
              <w:ind w:left="40"/>
              <w:spacing w:after="0"/>
              <w:rPr>
                <w:sz w:val="20"/>
                <w:szCs w:val="20"/>
                <w:color w:val="auto"/>
              </w:rPr>
            </w:pPr>
            <w:r>
              <w:rPr>
                <w:rFonts w:ascii="Arial" w:cs="Arial" w:eastAsia="Arial" w:hAnsi="Arial"/>
                <w:sz w:val="14"/>
                <w:szCs w:val="14"/>
                <w:color w:val="auto"/>
              </w:rPr>
              <w:t>To transact such other business as may properly come before the meeting and</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20" w:type="dxa"/>
            <w:vAlign w:val="bottom"/>
          </w:tcPr>
          <w:p>
            <w:pPr>
              <w:spacing w:after="0"/>
              <w:rPr>
                <w:sz w:val="12"/>
                <w:szCs w:val="12"/>
                <w:color w:val="auto"/>
              </w:rPr>
            </w:pPr>
          </w:p>
        </w:tc>
        <w:tc>
          <w:tcPr>
            <w:tcW w:w="550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any adjournment or postponement thereof and at any second extraordinary</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500" w:type="dxa"/>
            <w:vAlign w:val="bottom"/>
            <w:gridSpan w:val="3"/>
          </w:tcPr>
          <w:p>
            <w:pPr>
              <w:ind w:left="40"/>
              <w:spacing w:after="0"/>
              <w:rPr>
                <w:sz w:val="20"/>
                <w:szCs w:val="20"/>
                <w:color w:val="auto"/>
              </w:rPr>
            </w:pPr>
            <w:r>
              <w:rPr>
                <w:rFonts w:ascii="Arial" w:cs="Arial" w:eastAsia="Arial" w:hAnsi="Arial"/>
                <w:sz w:val="14"/>
                <w:szCs w:val="14"/>
                <w:color w:val="auto"/>
              </w:rPr>
              <w:t>meeting in lieu of an adjourned meeting.</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Highlights</w:t>
      </w:r>
    </w:p>
    <w:p>
      <w:pPr>
        <w:spacing w:after="0" w:line="102" w:lineRule="exact"/>
        <w:rPr>
          <w:sz w:val="20"/>
          <w:szCs w:val="20"/>
          <w:color w:val="auto"/>
        </w:rPr>
      </w:pPr>
    </w:p>
    <w:p>
      <w:pPr>
        <w:ind w:left="1080" w:right="1299"/>
        <w:spacing w:after="0" w:line="247" w:lineRule="auto"/>
        <w:rPr>
          <w:sz w:val="20"/>
          <w:szCs w:val="20"/>
          <w:color w:val="auto"/>
        </w:rPr>
      </w:pPr>
      <w:r>
        <w:rPr>
          <w:rFonts w:ascii="Arial" w:cs="Arial" w:eastAsia="Arial" w:hAnsi="Arial"/>
          <w:sz w:val="15"/>
          <w:szCs w:val="15"/>
          <w:color w:val="auto"/>
        </w:rPr>
        <w:t>Altisource is an integrated service provider and marketplace for the real estate and mortgage industries. Combining operational excellence with a suite of innovative services and technologies, Altisource helps solve the demands of the ever-changing markets we serve. Traded on the Nasdaq Global Select Market under the symbol “ASPS,” Altisource is organized under the laws of the Grand Duchy of Luxembourg.</w:t>
      </w:r>
    </w:p>
    <w:p>
      <w:pPr>
        <w:spacing w:after="0" w:line="93" w:lineRule="exact"/>
        <w:rPr>
          <w:sz w:val="20"/>
          <w:szCs w:val="20"/>
          <w:color w:val="auto"/>
        </w:rPr>
      </w:pPr>
    </w:p>
    <w:p>
      <w:pPr>
        <w:ind w:left="1080" w:right="1159"/>
        <w:spacing w:after="0" w:line="270" w:lineRule="auto"/>
        <w:rPr>
          <w:sz w:val="20"/>
          <w:szCs w:val="20"/>
          <w:color w:val="auto"/>
        </w:rPr>
      </w:pPr>
      <w:r>
        <w:rPr>
          <w:rFonts w:ascii="Arial" w:cs="Arial" w:eastAsia="Arial" w:hAnsi="Arial"/>
          <w:sz w:val="15"/>
          <w:szCs w:val="15"/>
          <w:color w:val="auto"/>
        </w:rPr>
        <w:t>Please refer to our Annual Report on Form 10-K for the year ended December 31, 2024 (our “2024 Form 10-K”) for a more complete description of our 2024 performance.</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On February 19, 2025, the Company executed and closed an exchange transaction with</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100% of lenders under the Company’s senior secured term loans whereby the lenders</w:t>
      </w:r>
    </w:p>
    <w:p>
      <w:pPr>
        <w:ind w:left="1080"/>
        <w:spacing w:after="0" w:line="235" w:lineRule="auto"/>
        <w:rPr>
          <w:sz w:val="20"/>
          <w:szCs w:val="20"/>
          <w:color w:val="auto"/>
        </w:rPr>
      </w:pPr>
      <w:r>
        <w:rPr>
          <w:rFonts w:ascii="Arial" w:cs="Arial" w:eastAsia="Arial" w:hAnsi="Arial"/>
          <w:sz w:val="15"/>
          <w:szCs w:val="15"/>
          <w:color w:val="auto"/>
        </w:rPr>
        <w:t>exchanged the Company’s senior secured term loans with an outstanding balance of</w:t>
      </w:r>
    </w:p>
    <w:p>
      <w:pPr>
        <w:ind w:left="1080"/>
        <w:spacing w:after="0"/>
        <w:rPr>
          <w:sz w:val="20"/>
          <w:szCs w:val="20"/>
          <w:color w:val="auto"/>
        </w:rPr>
      </w:pPr>
      <w:r>
        <w:rPr>
          <w:rFonts w:ascii="Arial" w:cs="Arial" w:eastAsia="Arial" w:hAnsi="Arial"/>
          <w:sz w:val="15"/>
          <w:szCs w:val="15"/>
          <w:color w:val="auto"/>
        </w:rPr>
        <w:t>$232.8 million for a $160.0 million new first lien loan and the issuance of approximately</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58.2 million common shares of Altisource (the “Transaction”); the new first lien loan is</w:t>
      </w:r>
    </w:p>
    <w:p>
      <w:pPr>
        <w:ind w:left="1080"/>
        <w:spacing w:after="0" w:line="235" w:lineRule="auto"/>
        <w:rPr>
          <w:sz w:val="20"/>
          <w:szCs w:val="20"/>
          <w:color w:val="auto"/>
        </w:rPr>
      </w:pPr>
      <w:r>
        <w:rPr>
          <w:rFonts w:ascii="Arial" w:cs="Arial" w:eastAsia="Arial" w:hAnsi="Arial"/>
          <w:sz w:val="15"/>
          <w:szCs w:val="15"/>
          <w:color w:val="auto"/>
        </w:rPr>
        <w:t>comprised of a $110 million term loan and a $50 million non-interest bearing exit fee. All</w:t>
      </w:r>
    </w:p>
    <w:p>
      <w:pPr>
        <w:ind w:left="1080"/>
        <w:spacing w:after="0"/>
        <w:rPr>
          <w:sz w:val="20"/>
          <w:szCs w:val="20"/>
          <w:color w:val="auto"/>
        </w:rPr>
      </w:pPr>
      <w:r>
        <w:rPr>
          <w:rFonts w:ascii="Arial" w:cs="Arial" w:eastAsia="Arial" w:hAnsi="Arial"/>
          <w:sz w:val="15"/>
          <w:szCs w:val="15"/>
          <w:color w:val="auto"/>
        </w:rPr>
        <w:t>mandatory and voluntary prepayments under the new first lien loan are allocated between</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term loan and the exit fee on a pro rata basis.</w:t>
      </w:r>
    </w:p>
    <w:p>
      <w:pPr>
        <w:spacing w:after="0" w:line="10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connection with the Transaction, Altisource expects to issue transferable warrants to</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holders as of February 14, 2025 of the Company’s (i) common stock, (ii) restricted</w:t>
      </w:r>
    </w:p>
    <w:p>
      <w:pPr>
        <w:ind w:left="1080"/>
        <w:spacing w:after="0"/>
        <w:rPr>
          <w:sz w:val="20"/>
          <w:szCs w:val="20"/>
          <w:color w:val="auto"/>
        </w:rPr>
      </w:pPr>
      <w:r>
        <w:rPr>
          <w:rFonts w:ascii="Arial" w:cs="Arial" w:eastAsia="Arial" w:hAnsi="Arial"/>
          <w:sz w:val="15"/>
          <w:szCs w:val="15"/>
          <w:color w:val="auto"/>
        </w:rPr>
        <w:t>share units and (iii) outstanding penny warrants, to purchase approximately 114.5 million</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shares of Altisource common stock for $1.20 per share; once issued, these warrants will</w:t>
      </w:r>
    </w:p>
    <w:p>
      <w:pPr>
        <w:ind w:left="1080"/>
        <w:spacing w:after="0" w:line="235" w:lineRule="auto"/>
        <w:rPr>
          <w:sz w:val="20"/>
          <w:szCs w:val="20"/>
          <w:color w:val="auto"/>
        </w:rPr>
      </w:pPr>
      <w:r>
        <w:rPr>
          <w:rFonts w:ascii="Arial" w:cs="Arial" w:eastAsia="Arial" w:hAnsi="Arial"/>
          <w:sz w:val="15"/>
          <w:szCs w:val="15"/>
          <w:color w:val="auto"/>
        </w:rPr>
        <w:t>provide Stakeholders with the ability to purchase approximately 3.25 shares of Altisource</w:t>
      </w:r>
    </w:p>
    <w:p>
      <w:pPr>
        <w:ind w:left="1080"/>
        <w:spacing w:after="0"/>
        <w:rPr>
          <w:sz w:val="20"/>
          <w:szCs w:val="20"/>
          <w:color w:val="auto"/>
        </w:rPr>
      </w:pPr>
      <w:r>
        <w:rPr>
          <w:rFonts w:ascii="Arial" w:cs="Arial" w:eastAsia="Arial" w:hAnsi="Arial"/>
          <w:sz w:val="15"/>
          <w:szCs w:val="15"/>
          <w:color w:val="auto"/>
        </w:rPr>
        <w:t>common stock for each share of or right to common stock held.</w:t>
      </w:r>
    </w:p>
    <w:p>
      <w:pPr>
        <w:spacing w:after="0" w:line="106" w:lineRule="exact"/>
        <w:rPr>
          <w:sz w:val="20"/>
          <w:szCs w:val="20"/>
          <w:color w:val="auto"/>
        </w:rPr>
      </w:pPr>
    </w:p>
    <w:p>
      <w:pPr>
        <w:jc w:val="both"/>
        <w:ind w:left="1080" w:right="1239"/>
        <w:spacing w:after="0" w:line="267" w:lineRule="auto"/>
        <w:rPr>
          <w:sz w:val="20"/>
          <w:szCs w:val="20"/>
          <w:color w:val="auto"/>
        </w:rPr>
      </w:pPr>
      <w:r>
        <w:rPr>
          <w:rFonts w:ascii="Arial" w:cs="Arial" w:eastAsia="Arial" w:hAnsi="Arial"/>
          <w:sz w:val="15"/>
          <w:szCs w:val="15"/>
          <w:color w:val="auto"/>
        </w:rPr>
        <w:t>On February 19, 2025, Altisource also executed and closed on a $12.5 million super senior credit facility to fund transaction costs related to the Transaction and for general corporate purposes.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 w:name="page11"/>
    <w:bookmarkEnd w:id="10"/>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-181610</wp:posOffset>
            </wp:positionV>
            <wp:extent cx="908685" cy="121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8685" cy="121920"/>
                    </a:xfrm>
                    <a:prstGeom prst="rect">
                      <a:avLst/>
                    </a:prstGeom>
                    <a:noFill/>
                  </pic:spPr>
                </pic:pic>
              </a:graphicData>
            </a:graphic>
          </wp:anchor>
        </w:drawing>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Corporate Culture and Community</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vision, mission, and core values guide our conduct and that of our employees:</w:t>
      </w:r>
    </w:p>
    <w:p>
      <w:pPr>
        <w:spacing w:after="0" w:line="98" w:lineRule="exact"/>
        <w:rPr>
          <w:sz w:val="20"/>
          <w:szCs w:val="20"/>
          <w:color w:val="auto"/>
        </w:rPr>
      </w:pPr>
    </w:p>
    <w:p>
      <w:pPr>
        <w:ind w:left="1520" w:hanging="141"/>
        <w:spacing w:after="0"/>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Vision</w:t>
      </w:r>
      <w:r>
        <w:rPr>
          <w:rFonts w:ascii="Arial" w:cs="Arial" w:eastAsia="Arial" w:hAnsi="Arial"/>
          <w:sz w:val="15"/>
          <w:szCs w:val="15"/>
          <w:color w:val="auto"/>
        </w:rPr>
        <w:t>:  Drive innovation that powers the mortgage and real estate lifecycle.</w:t>
      </w:r>
    </w:p>
    <w:p>
      <w:pPr>
        <w:spacing w:after="0" w:line="97" w:lineRule="exact"/>
        <w:rPr>
          <w:rFonts w:ascii="Arial" w:cs="Arial" w:eastAsia="Arial" w:hAnsi="Arial"/>
          <w:sz w:val="15"/>
          <w:szCs w:val="15"/>
          <w:color w:val="auto"/>
        </w:rPr>
      </w:pPr>
    </w:p>
    <w:p>
      <w:pPr>
        <w:ind w:left="1520" w:right="1359" w:hanging="141"/>
        <w:spacing w:after="0" w:line="286" w:lineRule="auto"/>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Mission</w:t>
      </w:r>
      <w:r>
        <w:rPr>
          <w:rFonts w:ascii="Arial" w:cs="Arial" w:eastAsia="Arial" w:hAnsi="Arial"/>
          <w:sz w:val="15"/>
          <w:szCs w:val="15"/>
          <w:color w:val="auto"/>
        </w:rPr>
        <w:t>: To be the trusted provider of mortgage and real estate solutions that help our customers thrive.</w:t>
      </w:r>
    </w:p>
    <w:p>
      <w:pPr>
        <w:spacing w:after="0" w:line="39" w:lineRule="exact"/>
        <w:rPr>
          <w:rFonts w:ascii="Arial" w:cs="Arial" w:eastAsia="Arial" w:hAnsi="Arial"/>
          <w:sz w:val="15"/>
          <w:szCs w:val="15"/>
          <w:color w:val="auto"/>
        </w:rPr>
      </w:pPr>
    </w:p>
    <w:p>
      <w:pPr>
        <w:ind w:left="1520" w:right="1699" w:hanging="141"/>
        <w:spacing w:after="0" w:line="286" w:lineRule="auto"/>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Core Values</w:t>
      </w:r>
      <w:r>
        <w:rPr>
          <w:rFonts w:ascii="Arial" w:cs="Arial" w:eastAsia="Arial" w:hAnsi="Arial"/>
          <w:sz w:val="15"/>
          <w:szCs w:val="15"/>
          <w:color w:val="auto"/>
        </w:rPr>
        <w:t>: Act with integrity, energize people, empower innovation, exceed customer expectations, win as a team, and enrich communities.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Environment</w:t>
      </w:r>
    </w:p>
    <w:p>
      <w:pPr>
        <w:spacing w:after="0" w:line="132" w:lineRule="exact"/>
        <w:rPr>
          <w:sz w:val="20"/>
          <w:szCs w:val="20"/>
          <w:color w:val="auto"/>
        </w:rPr>
      </w:pPr>
    </w:p>
    <w:p>
      <w:pPr>
        <w:ind w:left="1080" w:right="1219"/>
        <w:spacing w:after="0" w:line="256" w:lineRule="auto"/>
        <w:rPr>
          <w:sz w:val="20"/>
          <w:szCs w:val="20"/>
          <w:color w:val="auto"/>
        </w:rPr>
      </w:pPr>
      <w:r>
        <w:rPr>
          <w:rFonts w:ascii="Arial" w:cs="Arial" w:eastAsia="Arial" w:hAnsi="Arial"/>
          <w:sz w:val="15"/>
          <w:szCs w:val="15"/>
          <w:color w:val="auto"/>
        </w:rPr>
        <w:t>We acknowledge climate change and our environmental impact through operations, travel, and IT disposal. Our Environmental Policy (</w:t>
      </w:r>
      <w:r>
        <w:rPr>
          <w:rFonts w:ascii="Arial" w:cs="Arial" w:eastAsia="Arial" w:hAnsi="Arial"/>
          <w:sz w:val="15"/>
          <w:szCs w:val="15"/>
          <w:u w:val="single" w:color="auto"/>
          <w:color w:val="auto"/>
        </w:rPr>
        <w:t>http://www.altisource.com/environmental-policy</w:t>
      </w:r>
      <w:r>
        <w:rPr>
          <w:rFonts w:ascii="Arial" w:cs="Arial" w:eastAsia="Arial" w:hAnsi="Arial"/>
          <w:sz w:val="15"/>
          <w:szCs w:val="15"/>
          <w:color w:val="auto"/>
        </w:rPr>
        <w:t>) and Vendor Code of Conduct drive efforts to reduce our environmental impact. In 2024, remote work cut commuting emissions, and we reduced office space, paper, energy, and water use, achieving a 5% greenhouse gas emissions reduction from 2023. Our 2025 goal, set by the Board of Directors (“Board”) upon the Corporate Responsibility Management Committee’s recommendation, is a further 5% reduction.</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Human Rights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We uphold human rights for employees and vendors per our Human Rights Statement</w:t>
      </w:r>
    </w:p>
    <w:p>
      <w:pPr>
        <w:spacing w:after="0" w:line="22" w:lineRule="exact"/>
        <w:rPr>
          <w:sz w:val="20"/>
          <w:szCs w:val="20"/>
          <w:color w:val="auto"/>
        </w:rPr>
      </w:pPr>
    </w:p>
    <w:p>
      <w:pPr>
        <w:ind w:left="1080" w:right="1139"/>
        <w:spacing w:after="0" w:line="25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http://www.altisource.com/humanrights</w:t>
      </w:r>
      <w:r>
        <w:rPr>
          <w:rFonts w:ascii="Arial" w:cs="Arial" w:eastAsia="Arial" w:hAnsi="Arial"/>
          <w:sz w:val="15"/>
          <w:szCs w:val="15"/>
          <w:color w:val="auto"/>
        </w:rPr>
        <w:t xml:space="preserve"> ), prohibiting forced and child labor, ensuring safe workplaces, and supporting freedom of association and collective bargaining where applicable. Our Vendor Code of Conduct (</w:t>
      </w:r>
      <w:r>
        <w:rPr>
          <w:rFonts w:ascii="Arial" w:cs="Arial" w:eastAsia="Arial" w:hAnsi="Arial"/>
          <w:sz w:val="15"/>
          <w:szCs w:val="15"/>
          <w:u w:val="single" w:color="auto"/>
          <w:color w:val="auto"/>
        </w:rPr>
        <w:t>http://www.altisource.com/vendorscodeofconduct</w:t>
      </w:r>
      <w:r>
        <w:rPr>
          <w:rFonts w:ascii="Arial" w:cs="Arial" w:eastAsia="Arial" w:hAnsi="Arial"/>
          <w:sz w:val="15"/>
          <w:szCs w:val="15"/>
          <w:color w:val="auto"/>
        </w:rPr>
        <w:t>) mandates vendors to respect human rights and bans involuntary labor, including slavery and human trafficking.</w:t>
      </w:r>
    </w:p>
    <w:p>
      <w:pPr>
        <w:spacing w:after="0" w:line="278"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Workforce</w:t>
      </w:r>
    </w:p>
    <w:p>
      <w:pPr>
        <w:spacing w:after="0" w:line="120" w:lineRule="exact"/>
        <w:rPr>
          <w:sz w:val="20"/>
          <w:szCs w:val="20"/>
          <w:color w:val="auto"/>
        </w:rPr>
      </w:pPr>
    </w:p>
    <w:p>
      <w:pPr>
        <w:ind w:left="1080" w:right="1119"/>
        <w:spacing w:after="0" w:line="261" w:lineRule="auto"/>
        <w:rPr>
          <w:sz w:val="20"/>
          <w:szCs w:val="20"/>
          <w:color w:val="auto"/>
        </w:rPr>
      </w:pPr>
      <w:r>
        <w:rPr>
          <w:rFonts w:ascii="Arial" w:cs="Arial" w:eastAsia="Arial" w:hAnsi="Arial"/>
          <w:sz w:val="15"/>
          <w:szCs w:val="15"/>
          <w:color w:val="auto"/>
        </w:rPr>
        <w:t>As of December 31, 2024, our global workforce of 1,160 employees supports our Servicer and Real Estate, Origination, technology operations and corporate functions, with executive management based mainly in Luxembourg. In 2024, we retained 91% of high performers and provided 38 hours of training per employee. Our policies foster equal opportunity and non-discrimination.</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Shareholder Engagement</w:t>
      </w:r>
    </w:p>
    <w:p>
      <w:pPr>
        <w:spacing w:after="0" w:line="132" w:lineRule="exact"/>
        <w:rPr>
          <w:sz w:val="20"/>
          <w:szCs w:val="20"/>
          <w:color w:val="auto"/>
        </w:rPr>
      </w:pPr>
    </w:p>
    <w:p>
      <w:pPr>
        <w:ind w:left="1080" w:right="1199"/>
        <w:spacing w:after="0" w:line="262" w:lineRule="auto"/>
        <w:rPr>
          <w:sz w:val="20"/>
          <w:szCs w:val="20"/>
          <w:color w:val="auto"/>
        </w:rPr>
      </w:pPr>
      <w:r>
        <w:rPr>
          <w:rFonts w:ascii="Arial" w:cs="Arial" w:eastAsia="Arial" w:hAnsi="Arial"/>
          <w:sz w:val="15"/>
          <w:szCs w:val="15"/>
          <w:color w:val="auto"/>
        </w:rPr>
        <w:t>In 2024, we engaged shareholders representing a majority of outstanding shares and analysts via quarterly earnings calls and meetings on strategy, performance, compensation, and capital structure. In late 2024 and early 2025, we secured voting support agreements from several shareholders for the Transaction.</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Board Composition and Experience</w:t>
      </w:r>
    </w:p>
    <w:p>
      <w:pPr>
        <w:spacing w:after="0" w:line="132" w:lineRule="exact"/>
        <w:rPr>
          <w:sz w:val="20"/>
          <w:szCs w:val="20"/>
          <w:color w:val="auto"/>
        </w:rPr>
      </w:pPr>
    </w:p>
    <w:p>
      <w:pPr>
        <w:ind w:left="1080" w:right="1119"/>
        <w:spacing w:after="0" w:line="256" w:lineRule="auto"/>
        <w:rPr>
          <w:sz w:val="20"/>
          <w:szCs w:val="20"/>
          <w:color w:val="auto"/>
        </w:rPr>
      </w:pPr>
      <w:r>
        <w:rPr>
          <w:rFonts w:ascii="Arial" w:cs="Arial" w:eastAsia="Arial" w:hAnsi="Arial"/>
          <w:sz w:val="15"/>
          <w:szCs w:val="15"/>
          <w:color w:val="auto"/>
        </w:rPr>
        <w:t>Our Board and Nomination/Governance Committee are committed to ensuring that our Board is comprised of Directors who collectively provide a significant breadth of experience, the ability to effectively chart the strategic course of the Company, represent the interests of shareholders, and reflect our corporate values of integrity and ethical conduct. During 2024, when discussing the future of our Board, our Nomination/Governance Committee continued to consider the potential benefits of onboarding candidates with relevant experience that reflect the diversity of the society where we operate.</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Board has nominated all our current Directors for reelection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 w:name="page12"/>
    <w:bookmarkEnd w:id="11"/>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-181610</wp:posOffset>
            </wp:positionV>
            <wp:extent cx="908685" cy="121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8685" cy="121920"/>
                    </a:xfrm>
                    <a:prstGeom prst="rect">
                      <a:avLst/>
                    </a:prstGeom>
                    <a:noFill/>
                  </pic:spPr>
                </pic:pic>
              </a:graphicData>
            </a:graphic>
          </wp:anchor>
        </w:drawing>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Skills and expertise of our 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107315</wp:posOffset>
            </wp:positionV>
            <wp:extent cx="3742055" cy="1373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42055" cy="137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80" w:right="1379"/>
        <w:spacing w:after="0" w:line="270" w:lineRule="auto"/>
        <w:rPr>
          <w:sz w:val="20"/>
          <w:szCs w:val="20"/>
          <w:color w:val="auto"/>
        </w:rPr>
      </w:pPr>
      <w:r>
        <w:rPr>
          <w:rFonts w:ascii="Arial" w:cs="Arial" w:eastAsia="Arial" w:hAnsi="Arial"/>
          <w:sz w:val="15"/>
          <w:szCs w:val="15"/>
          <w:color w:val="auto"/>
        </w:rPr>
        <w:t>Our Board believes that a mix of tenures among Directors helps to maintain and leverage institutional knowledge while providing diverse experiences and perspectives.</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Tenure of our 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107315</wp:posOffset>
            </wp:positionV>
            <wp:extent cx="3176905" cy="2310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76905" cy="231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Corporate Governance Practices</w:t>
      </w:r>
    </w:p>
    <w:p>
      <w:pPr>
        <w:spacing w:after="0" w:line="120" w:lineRule="exact"/>
        <w:rPr>
          <w:sz w:val="20"/>
          <w:szCs w:val="20"/>
          <w:color w:val="auto"/>
        </w:rPr>
      </w:pPr>
    </w:p>
    <w:p>
      <w:pPr>
        <w:ind w:left="1680" w:hanging="301"/>
        <w:spacing w:after="0"/>
        <w:tabs>
          <w:tab w:leader="none" w:pos="1680" w:val="left"/>
        </w:tabs>
        <w:numPr>
          <w:ilvl w:val="0"/>
          <w:numId w:val="13"/>
        </w:numPr>
        <w:rPr>
          <w:rFonts w:ascii="MS PGothic" w:cs="MS PGothic" w:eastAsia="MS PGothic" w:hAnsi="MS PGothic"/>
          <w:sz w:val="15"/>
          <w:szCs w:val="15"/>
          <w:color w:val="auto"/>
          <w:highlight w:val="black"/>
        </w:rPr>
      </w:pPr>
      <w:r>
        <w:rPr>
          <w:rFonts w:ascii="Arial" w:cs="Arial" w:eastAsia="Arial" w:hAnsi="Arial"/>
          <w:sz w:val="15"/>
          <w:szCs w:val="15"/>
          <w:color w:val="auto"/>
        </w:rPr>
        <w:t>Annual election of Directors</w:t>
      </w:r>
    </w:p>
    <w:p>
      <w:pPr>
        <w:spacing w:after="0" w:line="131"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3"/>
        </w:numPr>
        <w:rPr>
          <w:rFonts w:ascii="MS PGothic" w:cs="MS PGothic" w:eastAsia="MS PGothic" w:hAnsi="MS PGothic"/>
          <w:sz w:val="15"/>
          <w:szCs w:val="15"/>
          <w:color w:val="auto"/>
          <w:highlight w:val="black"/>
        </w:rPr>
      </w:pPr>
      <w:r>
        <w:rPr>
          <w:rFonts w:ascii="Arial" w:cs="Arial" w:eastAsia="Arial" w:hAnsi="Arial"/>
          <w:sz w:val="15"/>
          <w:szCs w:val="15"/>
          <w:color w:val="auto"/>
        </w:rPr>
        <w:t>Majority of independent Directors</w:t>
      </w:r>
    </w:p>
    <w:p>
      <w:pPr>
        <w:spacing w:after="0" w:line="120"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3"/>
        </w:numPr>
        <w:rPr>
          <w:rFonts w:ascii="MS PGothic" w:cs="MS PGothic" w:eastAsia="MS PGothic" w:hAnsi="MS PGothic"/>
          <w:sz w:val="15"/>
          <w:szCs w:val="15"/>
          <w:color w:val="auto"/>
          <w:highlight w:val="black"/>
        </w:rPr>
      </w:pPr>
      <w:r>
        <w:rPr>
          <w:rFonts w:ascii="Arial" w:cs="Arial" w:eastAsia="Arial" w:hAnsi="Arial"/>
          <w:sz w:val="15"/>
          <w:szCs w:val="15"/>
          <w:color w:val="auto"/>
        </w:rPr>
        <w:t>Active shareholder engagement</w:t>
      </w:r>
    </w:p>
    <w:p>
      <w:pPr>
        <w:spacing w:after="0" w:line="131" w:lineRule="exact"/>
        <w:rPr>
          <w:rFonts w:ascii="MS PGothic" w:cs="MS PGothic" w:eastAsia="MS PGothic" w:hAnsi="MS PGothic"/>
          <w:sz w:val="15"/>
          <w:szCs w:val="15"/>
          <w:color w:val="auto"/>
          <w:highlight w:val="black"/>
        </w:rPr>
      </w:pPr>
    </w:p>
    <w:p>
      <w:pPr>
        <w:ind w:left="1680" w:right="1459" w:hanging="301"/>
        <w:spacing w:after="0" w:line="286" w:lineRule="auto"/>
        <w:tabs>
          <w:tab w:leader="none" w:pos="1680" w:val="left"/>
        </w:tabs>
        <w:numPr>
          <w:ilvl w:val="0"/>
          <w:numId w:val="13"/>
        </w:numPr>
        <w:rPr>
          <w:rFonts w:ascii="MS PGothic" w:cs="MS PGothic" w:eastAsia="MS PGothic" w:hAnsi="MS PGothic"/>
          <w:sz w:val="15"/>
          <w:szCs w:val="15"/>
          <w:color w:val="auto"/>
          <w:highlight w:val="black"/>
        </w:rPr>
      </w:pPr>
      <w:r>
        <w:rPr>
          <w:rFonts w:ascii="Arial" w:cs="Arial" w:eastAsia="Arial" w:hAnsi="Arial"/>
          <w:sz w:val="15"/>
          <w:szCs w:val="15"/>
          <w:color w:val="auto"/>
        </w:rPr>
        <w:t>Shareholder meetings can be called by shareholders owning at least 10% of our share capital</w:t>
      </w:r>
    </w:p>
    <w:p>
      <w:pPr>
        <w:spacing w:after="0" w:line="73" w:lineRule="exact"/>
        <w:rPr>
          <w:rFonts w:ascii="MS PGothic" w:cs="MS PGothic" w:eastAsia="MS PGothic" w:hAnsi="MS PGothic"/>
          <w:sz w:val="15"/>
          <w:szCs w:val="15"/>
          <w:color w:val="auto"/>
          <w:highlight w:val="black"/>
        </w:rPr>
      </w:pPr>
    </w:p>
    <w:p>
      <w:pPr>
        <w:ind w:left="1680" w:right="1759" w:hanging="301"/>
        <w:spacing w:after="0" w:line="286" w:lineRule="auto"/>
        <w:tabs>
          <w:tab w:leader="none" w:pos="1680" w:val="left"/>
        </w:tabs>
        <w:numPr>
          <w:ilvl w:val="0"/>
          <w:numId w:val="13"/>
        </w:numPr>
        <w:rPr>
          <w:rFonts w:ascii="MS PGothic" w:cs="MS PGothic" w:eastAsia="MS PGothic" w:hAnsi="MS PGothic"/>
          <w:sz w:val="15"/>
          <w:szCs w:val="15"/>
          <w:color w:val="auto"/>
          <w:highlight w:val="black"/>
        </w:rPr>
      </w:pPr>
      <w:r>
        <w:rPr>
          <w:rFonts w:ascii="Arial" w:cs="Arial" w:eastAsia="Arial" w:hAnsi="Arial"/>
          <w:sz w:val="15"/>
          <w:szCs w:val="15"/>
          <w:color w:val="auto"/>
        </w:rPr>
        <w:t>Share ownership requirements for non-management Directors and the Chief Executive Officer</w:t>
      </w:r>
    </w:p>
    <w:p>
      <w:pPr>
        <w:spacing w:after="0" w:line="62"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3"/>
        </w:numPr>
        <w:rPr>
          <w:rFonts w:ascii="MS PGothic" w:cs="MS PGothic" w:eastAsia="MS PGothic" w:hAnsi="MS PGothic"/>
          <w:sz w:val="15"/>
          <w:szCs w:val="15"/>
          <w:color w:val="auto"/>
          <w:highlight w:val="black"/>
        </w:rPr>
      </w:pPr>
      <w:r>
        <w:rPr>
          <w:rFonts w:ascii="Arial" w:cs="Arial" w:eastAsia="Arial" w:hAnsi="Arial"/>
          <w:sz w:val="15"/>
          <w:szCs w:val="15"/>
          <w:color w:val="auto"/>
        </w:rPr>
        <w:t>Annual self-evaluations of our Board of Directors and Committee</w:t>
      </w:r>
    </w:p>
    <w:p>
      <w:pPr>
        <w:spacing w:after="0" w:line="131" w:lineRule="exact"/>
        <w:rPr>
          <w:rFonts w:ascii="MS PGothic" w:cs="MS PGothic" w:eastAsia="MS PGothic" w:hAnsi="MS PGothic"/>
          <w:sz w:val="15"/>
          <w:szCs w:val="15"/>
          <w:color w:val="auto"/>
          <w:highlight w:val="black"/>
        </w:rPr>
      </w:pPr>
    </w:p>
    <w:p>
      <w:pPr>
        <w:ind w:left="1680" w:right="1579" w:hanging="301"/>
        <w:spacing w:after="0" w:line="286" w:lineRule="auto"/>
        <w:tabs>
          <w:tab w:leader="none" w:pos="1680" w:val="left"/>
        </w:tabs>
        <w:numPr>
          <w:ilvl w:val="0"/>
          <w:numId w:val="13"/>
        </w:numPr>
        <w:rPr>
          <w:rFonts w:ascii="MS PGothic" w:cs="MS PGothic" w:eastAsia="MS PGothic" w:hAnsi="MS PGothic"/>
          <w:sz w:val="15"/>
          <w:szCs w:val="15"/>
          <w:color w:val="auto"/>
          <w:highlight w:val="black"/>
        </w:rPr>
      </w:pPr>
      <w:r>
        <w:rPr>
          <w:rFonts w:ascii="Arial" w:cs="Arial" w:eastAsia="Arial" w:hAnsi="Arial"/>
          <w:sz w:val="15"/>
          <w:szCs w:val="15"/>
          <w:color w:val="auto"/>
        </w:rPr>
        <w:t>Lead Independent Director role facilitates the oversight of management by our independent Directors</w:t>
      </w:r>
    </w:p>
    <w:p>
      <w:pPr>
        <w:spacing w:after="0" w:line="73"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3"/>
        </w:numPr>
        <w:rPr>
          <w:rFonts w:ascii="MS PGothic" w:cs="MS PGothic" w:eastAsia="MS PGothic" w:hAnsi="MS PGothic"/>
          <w:sz w:val="15"/>
          <w:szCs w:val="15"/>
          <w:color w:val="auto"/>
          <w:highlight w:val="black"/>
        </w:rPr>
      </w:pPr>
      <w:r>
        <w:rPr>
          <w:rFonts w:ascii="Arial" w:cs="Arial" w:eastAsia="Arial" w:hAnsi="Arial"/>
          <w:sz w:val="15"/>
          <w:szCs w:val="15"/>
          <w:color w:val="auto"/>
        </w:rPr>
        <w:t>Regular executive sessions of independent Directors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 w:name="page13"/>
    <w:bookmarkEnd w:id="12"/>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-181610</wp:posOffset>
            </wp:positionV>
            <wp:extent cx="908685" cy="121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08685" cy="121920"/>
                    </a:xfrm>
                    <a:prstGeom prst="rect">
                      <a:avLst/>
                    </a:prstGeom>
                    <a:noFill/>
                  </pic:spPr>
                </pic:pic>
              </a:graphicData>
            </a:graphic>
          </wp:anchor>
        </w:drawing>
      </w:r>
    </w:p>
    <w:p>
      <w:pPr>
        <w:spacing w:after="0" w:line="95" w:lineRule="exact"/>
        <w:rPr>
          <w:sz w:val="20"/>
          <w:szCs w:val="20"/>
          <w:color w:val="auto"/>
        </w:rPr>
      </w:pPr>
    </w:p>
    <w:p>
      <w:pPr>
        <w:ind w:left="1680" w:right="1479" w:hanging="301"/>
        <w:spacing w:after="0" w:line="263"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Regular executive sessions of the Audit Committee with the Company’s internal auditor</w:t>
      </w:r>
    </w:p>
    <w:p>
      <w:pPr>
        <w:spacing w:after="0" w:line="284" w:lineRule="exact"/>
        <w:rPr>
          <w:rFonts w:ascii="MS PGothic" w:cs="MS PGothic" w:eastAsia="MS PGothic" w:hAnsi="MS PGothic"/>
          <w:sz w:val="15"/>
          <w:szCs w:val="15"/>
          <w:color w:val="auto"/>
          <w:highlight w:val="black"/>
        </w:rPr>
      </w:pPr>
    </w:p>
    <w:p>
      <w:pPr>
        <w:ind w:left="1680" w:right="1439" w:hanging="301"/>
        <w:spacing w:after="0" w:line="263"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Regular executive sessions of the Audit Committee with the Company’s external auditor</w:t>
      </w:r>
    </w:p>
    <w:p>
      <w:pPr>
        <w:spacing w:after="0" w:line="295"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Board engagement in strategic objectives</w:t>
      </w:r>
    </w:p>
    <w:p>
      <w:pPr>
        <w:spacing w:after="0" w:line="131" w:lineRule="exact"/>
        <w:rPr>
          <w:rFonts w:ascii="MS PGothic" w:cs="MS PGothic" w:eastAsia="MS PGothic" w:hAnsi="MS PGothic"/>
          <w:sz w:val="15"/>
          <w:szCs w:val="15"/>
          <w:color w:val="auto"/>
          <w:highlight w:val="black"/>
        </w:rPr>
      </w:pPr>
    </w:p>
    <w:p>
      <w:pPr>
        <w:ind w:left="1680" w:right="1799" w:hanging="301"/>
        <w:spacing w:after="0" w:line="286"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Evaluation of the Chief Executive Officer’s performance by the independent Directors</w:t>
      </w:r>
    </w:p>
    <w:p>
      <w:pPr>
        <w:spacing w:after="0" w:line="62"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Board engagement in long-term succession planning for executives</w:t>
      </w:r>
    </w:p>
    <w:p>
      <w:pPr>
        <w:spacing w:after="0" w:line="131"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Board oversees strategy, financial performance, and risk management and controls</w:t>
      </w:r>
    </w:p>
    <w:p>
      <w:pPr>
        <w:spacing w:after="0" w:line="131"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No shareholder rights plan (“poison pill”)</w:t>
      </w:r>
    </w:p>
    <w:p>
      <w:pPr>
        <w:spacing w:after="0" w:line="120" w:lineRule="exact"/>
        <w:rPr>
          <w:rFonts w:ascii="MS PGothic" w:cs="MS PGothic" w:eastAsia="MS PGothic" w:hAnsi="MS PGothic"/>
          <w:sz w:val="15"/>
          <w:szCs w:val="15"/>
          <w:color w:val="auto"/>
          <w:highlight w:val="black"/>
        </w:rPr>
      </w:pPr>
    </w:p>
    <w:p>
      <w:pPr>
        <w:ind w:left="1080" w:right="1699" w:firstLine="299"/>
        <w:spacing w:after="0" w:line="400" w:lineRule="auto"/>
        <w:tabs>
          <w:tab w:leader="none" w:pos="1681"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 xml:space="preserve">Board involvement in corporate social responsibility and sustainability efforts </w:t>
      </w:r>
      <w:r>
        <w:rPr>
          <w:rFonts w:ascii="Arial" w:cs="Arial" w:eastAsia="Arial" w:hAnsi="Arial"/>
          <w:sz w:val="15"/>
          <w:szCs w:val="15"/>
          <w:u w:val="single" w:color="auto"/>
          <w:color w:val="auto"/>
        </w:rPr>
        <w:t>Executive Compensation Highlights</w:t>
      </w:r>
    </w:p>
    <w:p>
      <w:pPr>
        <w:spacing w:after="0" w:line="33"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Aligns executive compensation with the interests of our shareholders</w:t>
      </w:r>
    </w:p>
    <w:p>
      <w:pPr>
        <w:spacing w:after="0" w:line="120" w:lineRule="exact"/>
        <w:rPr>
          <w:rFonts w:ascii="MS PGothic" w:cs="MS PGothic" w:eastAsia="MS PGothic" w:hAnsi="MS PGothic"/>
          <w:sz w:val="15"/>
          <w:szCs w:val="15"/>
          <w:color w:val="auto"/>
          <w:highlight w:val="black"/>
        </w:rPr>
      </w:pPr>
    </w:p>
    <w:p>
      <w:pPr>
        <w:ind w:left="1680" w:right="1299" w:hanging="301"/>
        <w:spacing w:after="0" w:line="286"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Annual opportunity for shareholders to provide feedback through an advisory Say-on-Pay vote on executive compensation</w:t>
      </w:r>
    </w:p>
    <w:p>
      <w:pPr>
        <w:spacing w:after="0" w:line="73" w:lineRule="exact"/>
        <w:rPr>
          <w:rFonts w:ascii="MS PGothic" w:cs="MS PGothic" w:eastAsia="MS PGothic" w:hAnsi="MS PGothic"/>
          <w:sz w:val="15"/>
          <w:szCs w:val="15"/>
          <w:color w:val="auto"/>
          <w:highlight w:val="black"/>
        </w:rPr>
      </w:pPr>
    </w:p>
    <w:p>
      <w:pPr>
        <w:ind w:left="1680" w:hanging="301"/>
        <w:spacing w:after="0"/>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Based on a pay-for-performance philosophy</w:t>
      </w:r>
    </w:p>
    <w:p>
      <w:pPr>
        <w:spacing w:after="0" w:line="131" w:lineRule="exact"/>
        <w:rPr>
          <w:rFonts w:ascii="MS PGothic" w:cs="MS PGothic" w:eastAsia="MS PGothic" w:hAnsi="MS PGothic"/>
          <w:sz w:val="15"/>
          <w:szCs w:val="15"/>
          <w:color w:val="auto"/>
          <w:highlight w:val="black"/>
        </w:rPr>
      </w:pPr>
    </w:p>
    <w:p>
      <w:pPr>
        <w:ind w:left="1680" w:right="1219" w:hanging="301"/>
        <w:spacing w:after="0" w:line="286"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Maintains a clawback policy, updated in 2024 in accordance with the listing rules of the Nasdaq Stock Market LLC (“Nasdaq”)</w:t>
      </w:r>
    </w:p>
    <w:p>
      <w:pPr>
        <w:spacing w:after="0" w:line="62" w:lineRule="exact"/>
        <w:rPr>
          <w:rFonts w:ascii="MS PGothic" w:cs="MS PGothic" w:eastAsia="MS PGothic" w:hAnsi="MS PGothic"/>
          <w:sz w:val="15"/>
          <w:szCs w:val="15"/>
          <w:color w:val="auto"/>
          <w:highlight w:val="black"/>
        </w:rPr>
      </w:pPr>
    </w:p>
    <w:p>
      <w:pPr>
        <w:ind w:left="1680" w:right="1339" w:hanging="301"/>
        <w:spacing w:after="0" w:line="286"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More than 50% of our Named Executive Officers’ target compensation is linked to individual and Company performance metrics</w:t>
      </w:r>
    </w:p>
    <w:p>
      <w:pPr>
        <w:spacing w:after="0" w:line="73" w:lineRule="exact"/>
        <w:rPr>
          <w:rFonts w:ascii="MS PGothic" w:cs="MS PGothic" w:eastAsia="MS PGothic" w:hAnsi="MS PGothic"/>
          <w:sz w:val="15"/>
          <w:szCs w:val="15"/>
          <w:color w:val="auto"/>
          <w:highlight w:val="black"/>
        </w:rPr>
      </w:pPr>
    </w:p>
    <w:p>
      <w:pPr>
        <w:ind w:left="1680" w:right="1159" w:hanging="301"/>
        <w:spacing w:after="0" w:line="286"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A substantial portion of our Named Executive Officers’ target compensation is in the form of long-term equity awards</w:t>
      </w:r>
    </w:p>
    <w:p>
      <w:pPr>
        <w:spacing w:after="0" w:line="73" w:lineRule="exact"/>
        <w:rPr>
          <w:rFonts w:ascii="MS PGothic" w:cs="MS PGothic" w:eastAsia="MS PGothic" w:hAnsi="MS PGothic"/>
          <w:sz w:val="15"/>
          <w:szCs w:val="15"/>
          <w:color w:val="auto"/>
          <w:highlight w:val="black"/>
        </w:rPr>
      </w:pPr>
    </w:p>
    <w:p>
      <w:pPr>
        <w:ind w:left="1680" w:right="1159" w:hanging="301"/>
        <w:spacing w:after="0"/>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A portion of the Named Executive Officers’ long-term equity awards granted prior to 2024 will vest based on Company performance against designated financial metrics multiplied by the total shareholder return over a designated period, as benchmarked against the Russell 2000</w:t>
      </w:r>
      <w:r>
        <w:rPr>
          <w:rFonts w:ascii="Arial" w:cs="Arial" w:eastAsia="Arial" w:hAnsi="Arial"/>
          <w:sz w:val="22"/>
          <w:szCs w:val="22"/>
          <w:color w:val="auto"/>
          <w:vertAlign w:val="superscript"/>
        </w:rPr>
        <w:t>®</w:t>
      </w:r>
      <w:r>
        <w:rPr>
          <w:rFonts w:ascii="Arial" w:cs="Arial" w:eastAsia="Arial" w:hAnsi="Arial"/>
          <w:sz w:val="15"/>
          <w:szCs w:val="15"/>
          <w:color w:val="auto"/>
        </w:rPr>
        <w:t>, which multiplier may increase or decrease the value of such award</w:t>
      </w:r>
    </w:p>
    <w:p>
      <w:pPr>
        <w:spacing w:after="0" w:line="254" w:lineRule="exact"/>
        <w:rPr>
          <w:rFonts w:ascii="MS PGothic" w:cs="MS PGothic" w:eastAsia="MS PGothic" w:hAnsi="MS PGothic"/>
          <w:sz w:val="15"/>
          <w:szCs w:val="15"/>
          <w:color w:val="auto"/>
          <w:highlight w:val="black"/>
        </w:rPr>
      </w:pPr>
    </w:p>
    <w:p>
      <w:pPr>
        <w:ind w:left="1680" w:right="1219" w:hanging="301"/>
        <w:spacing w:after="0" w:line="255"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A management incentive plan was created in connection with the Transaction, granting the Named Executive Officers and certain senior management restricted share units. The restricted share units (“RSUs”) will vest in equal tranches on each of the first three anniversaries of the Transaction (subject to the conditions of the applicable RSU award agreements). This plan aims to foster executive retention, stability, and the execution of strategic plans, and to more fully align executive and shareholder interests. The Named Executive Officers and senior management participating in such management incentive plan will not be eligible to participate in the long-term incentive compensation plans commencing in 2025, 2026 and 2027</w:t>
      </w:r>
    </w:p>
    <w:p>
      <w:pPr>
        <w:spacing w:after="0" w:line="97" w:lineRule="exact"/>
        <w:rPr>
          <w:rFonts w:ascii="MS PGothic" w:cs="MS PGothic" w:eastAsia="MS PGothic" w:hAnsi="MS PGothic"/>
          <w:sz w:val="15"/>
          <w:szCs w:val="15"/>
          <w:color w:val="auto"/>
          <w:highlight w:val="black"/>
        </w:rPr>
      </w:pPr>
    </w:p>
    <w:p>
      <w:pPr>
        <w:ind w:left="1680" w:right="1099" w:hanging="301"/>
        <w:spacing w:after="0" w:line="286"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Determination of the annual incentive compensation pool is based on the Company’s performance against established financial objectives</w:t>
      </w:r>
    </w:p>
    <w:p>
      <w:pPr>
        <w:spacing w:after="0" w:line="73" w:lineRule="exact"/>
        <w:rPr>
          <w:rFonts w:ascii="MS PGothic" w:cs="MS PGothic" w:eastAsia="MS PGothic" w:hAnsi="MS PGothic"/>
          <w:sz w:val="15"/>
          <w:szCs w:val="15"/>
          <w:color w:val="auto"/>
          <w:highlight w:val="black"/>
        </w:rPr>
      </w:pPr>
    </w:p>
    <w:p>
      <w:pPr>
        <w:ind w:left="1680" w:right="1199" w:hanging="301"/>
        <w:spacing w:after="0" w:line="286"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Determination of annual incentive compensation is based on performance against a scorecard with defined goals</w:t>
      </w:r>
    </w:p>
    <w:p>
      <w:pPr>
        <w:spacing w:after="0" w:line="62" w:lineRule="exact"/>
        <w:rPr>
          <w:rFonts w:ascii="MS PGothic" w:cs="MS PGothic" w:eastAsia="MS PGothic" w:hAnsi="MS PGothic"/>
          <w:sz w:val="15"/>
          <w:szCs w:val="15"/>
          <w:color w:val="auto"/>
          <w:highlight w:val="black"/>
        </w:rPr>
      </w:pPr>
    </w:p>
    <w:p>
      <w:pPr>
        <w:ind w:left="1680" w:right="1879" w:hanging="301"/>
        <w:spacing w:after="0" w:line="286"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Eligibility for payment of annual incentive compensation is tied to financial effectiveness, compliance performance and leadership effectiveness</w:t>
      </w:r>
    </w:p>
    <w:p>
      <w:pPr>
        <w:spacing w:after="0" w:line="73" w:lineRule="exact"/>
        <w:rPr>
          <w:rFonts w:ascii="MS PGothic" w:cs="MS PGothic" w:eastAsia="MS PGothic" w:hAnsi="MS PGothic"/>
          <w:sz w:val="15"/>
          <w:szCs w:val="15"/>
          <w:color w:val="auto"/>
          <w:highlight w:val="black"/>
        </w:rPr>
      </w:pPr>
    </w:p>
    <w:p>
      <w:pPr>
        <w:ind w:left="1680" w:right="1279" w:hanging="301"/>
        <w:spacing w:after="0" w:line="263" w:lineRule="auto"/>
        <w:tabs>
          <w:tab w:leader="none" w:pos="168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Includes components based on Company and stock performance over a multi-year period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3" w:name="page14"/>
    <w:bookmarkEnd w:id="13"/>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Altisource Portfolio Solutions S.A.</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Joint Proxy Statement</w:t>
      </w:r>
    </w:p>
    <w:p>
      <w:pPr>
        <w:spacing w:after="0" w:line="7" w:lineRule="exact"/>
        <w:rPr>
          <w:sz w:val="20"/>
          <w:szCs w:val="20"/>
          <w:color w:val="auto"/>
        </w:rPr>
      </w:pPr>
    </w:p>
    <w:p>
      <w:pPr>
        <w:ind w:left="1080" w:right="1179"/>
        <w:spacing w:after="0" w:line="273" w:lineRule="auto"/>
        <w:rPr>
          <w:sz w:val="20"/>
          <w:szCs w:val="20"/>
          <w:color w:val="auto"/>
        </w:rPr>
      </w:pPr>
      <w:r>
        <w:rPr>
          <w:rFonts w:ascii="Arial" w:cs="Arial" w:eastAsia="Arial" w:hAnsi="Arial"/>
          <w:sz w:val="18"/>
          <w:szCs w:val="18"/>
          <w:b w:val="1"/>
          <w:bCs w:val="1"/>
          <w:color w:val="auto"/>
        </w:rPr>
        <w:t>Annual General Meeting of Shareholders and Extraordinary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-8890</wp:posOffset>
            </wp:positionV>
            <wp:extent cx="435038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General Information</w:t>
      </w:r>
    </w:p>
    <w:p>
      <w:pPr>
        <w:spacing w:after="0" w:line="102" w:lineRule="exact"/>
        <w:rPr>
          <w:sz w:val="20"/>
          <w:szCs w:val="20"/>
          <w:color w:val="auto"/>
        </w:rPr>
      </w:pPr>
    </w:p>
    <w:p>
      <w:pPr>
        <w:ind w:left="1080" w:right="1139"/>
        <w:spacing w:after="0" w:line="254" w:lineRule="auto"/>
        <w:rPr>
          <w:sz w:val="20"/>
          <w:szCs w:val="20"/>
          <w:color w:val="auto"/>
        </w:rPr>
      </w:pPr>
      <w:r>
        <w:rPr>
          <w:rFonts w:ascii="Arial" w:cs="Arial" w:eastAsia="Arial" w:hAnsi="Arial"/>
          <w:sz w:val="15"/>
          <w:szCs w:val="15"/>
          <w:color w:val="auto"/>
        </w:rPr>
        <w:t>We have made this proxy statement available to you on or about March 31, 2025 as a holder of common stock of Altisource Portfolio Solutions S.A. (“Altisource” or the “Company”) because our Board is soliciting your proxy to be used at our Annual Meeting and our Extraordinary Meeting, and any adjournment or postponement thereof. The Annual Meeting will be held on Tuesday, May 13, 2025, at 9:00 a.m. Central European Time for the purposes listed in the Notice of Annual General Meeting of Shareholders. The Extraordinary Meeting will be held on the same day at 9:30 a.m. Central European Time for the purposes listed in the Notice of Extraordinary General Meeting of Shareholders. Both meetings will be held at our registered office located at 33, Boulevard Prince Henri, L-1724 Luxembourg City, Grand Duchy of Luxembourg.</w:t>
      </w:r>
    </w:p>
    <w:p>
      <w:pPr>
        <w:spacing w:after="0" w:line="33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Internet Availability of Proxy Materials</w:t>
      </w:r>
    </w:p>
    <w:p>
      <w:pPr>
        <w:spacing w:after="0" w:line="91" w:lineRule="exact"/>
        <w:rPr>
          <w:sz w:val="20"/>
          <w:szCs w:val="20"/>
          <w:color w:val="auto"/>
        </w:rPr>
      </w:pPr>
    </w:p>
    <w:p>
      <w:pPr>
        <w:ind w:left="1080" w:right="1159"/>
        <w:spacing w:after="0" w:line="254" w:lineRule="auto"/>
        <w:rPr>
          <w:sz w:val="20"/>
          <w:szCs w:val="20"/>
          <w:color w:val="auto"/>
        </w:rPr>
      </w:pPr>
      <w:r>
        <w:rPr>
          <w:rFonts w:ascii="Arial" w:cs="Arial" w:eastAsia="Arial" w:hAnsi="Arial"/>
          <w:sz w:val="15"/>
          <w:szCs w:val="15"/>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 and save costs. On March 31, 2025, we expect to commence mailing a Notice of Internet Availability of Proxy Materials (the “Notice”) to shareholders of record at the close of business on March 17, 2025.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279" w:lineRule="exact"/>
        <w:rPr>
          <w:sz w:val="20"/>
          <w:szCs w:val="20"/>
          <w:color w:val="auto"/>
        </w:rPr>
      </w:pPr>
    </w:p>
    <w:p>
      <w:pPr>
        <w:ind w:left="1080" w:right="1199"/>
        <w:spacing w:after="0" w:line="261" w:lineRule="auto"/>
        <w:rPr>
          <w:sz w:val="20"/>
          <w:szCs w:val="20"/>
          <w:color w:val="auto"/>
        </w:rPr>
      </w:pPr>
      <w:r>
        <w:rPr>
          <w:rFonts w:ascii="Arial" w:cs="Arial" w:eastAsia="Arial" w:hAnsi="Arial"/>
          <w:sz w:val="15"/>
          <w:szCs w:val="15"/>
          <w:color w:val="auto"/>
        </w:rPr>
        <w:t>Shareholders of record will receive a paper copy of the proxy materials for the Annual Meeting and the Extraordinary Meeting by mail except to the extent they previously requested or authorized delivery of proxy materials electronically. The proxy card included with the proxy materials contains instructions on how to request electronic delivery of future proxy materials for the Annual Meeting.</w:t>
      </w:r>
    </w:p>
    <w:p>
      <w:pPr>
        <w:spacing w:after="0" w:line="327"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Who May Vote</w:t>
      </w:r>
    </w:p>
    <w:p>
      <w:pPr>
        <w:spacing w:after="0" w:line="91" w:lineRule="exact"/>
        <w:rPr>
          <w:sz w:val="20"/>
          <w:szCs w:val="20"/>
          <w:color w:val="auto"/>
        </w:rPr>
      </w:pPr>
    </w:p>
    <w:p>
      <w:pPr>
        <w:ind w:left="1080" w:right="1119"/>
        <w:spacing w:after="0" w:line="255" w:lineRule="auto"/>
        <w:rPr>
          <w:sz w:val="20"/>
          <w:szCs w:val="20"/>
          <w:color w:val="auto"/>
        </w:rPr>
      </w:pPr>
      <w:r>
        <w:rPr>
          <w:rFonts w:ascii="Arial" w:cs="Arial" w:eastAsia="Arial" w:hAnsi="Arial"/>
          <w:sz w:val="15"/>
          <w:szCs w:val="15"/>
          <w:color w:val="auto"/>
        </w:rPr>
        <w:t>You are entitled to vote at the Annual Meeting and the Extraordinary Meeting, and any adjournment or postponement thereof, if you were a holder of our common stock at the close of business on March 17, 2025, the record date for the Meetings. At the close of business on March 17, 2025, there were 88,129,766 shares of common stock issued, of which</w:t>
      </w:r>
    </w:p>
    <w:p>
      <w:pPr>
        <w:spacing w:after="0" w:line="2" w:lineRule="exact"/>
        <w:rPr>
          <w:sz w:val="20"/>
          <w:szCs w:val="20"/>
          <w:color w:val="auto"/>
        </w:rPr>
      </w:pPr>
    </w:p>
    <w:p>
      <w:pPr>
        <w:ind w:left="1080" w:right="1439"/>
        <w:spacing w:after="0" w:line="256" w:lineRule="auto"/>
        <w:rPr>
          <w:sz w:val="20"/>
          <w:szCs w:val="20"/>
          <w:color w:val="auto"/>
        </w:rPr>
      </w:pPr>
      <w:r>
        <w:rPr>
          <w:rFonts w:ascii="Arial" w:cs="Arial" w:eastAsia="Arial" w:hAnsi="Arial"/>
          <w:sz w:val="15"/>
          <w:szCs w:val="15"/>
          <w:color w:val="auto"/>
        </w:rPr>
        <w:t>87,511,479 are outstanding and able to be voted, and there was no other class of equity securities outstanding. Each share of our common stock is entitled to one (1) vote at the Annual Meeting and one (1) vote at the Extraordinary Meeting on all matters properly presented for a vote at such meetings.</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Voting Procedures</w:t>
      </w:r>
    </w:p>
    <w:p>
      <w:pPr>
        <w:spacing w:after="0" w:line="91" w:lineRule="exact"/>
        <w:rPr>
          <w:sz w:val="20"/>
          <w:szCs w:val="20"/>
          <w:color w:val="auto"/>
        </w:rPr>
      </w:pPr>
    </w:p>
    <w:p>
      <w:pPr>
        <w:jc w:val="both"/>
        <w:ind w:left="1080" w:right="1279"/>
        <w:spacing w:after="0" w:line="278" w:lineRule="auto"/>
        <w:rPr>
          <w:sz w:val="20"/>
          <w:szCs w:val="20"/>
          <w:color w:val="auto"/>
        </w:rPr>
      </w:pPr>
      <w:r>
        <w:rPr>
          <w:rFonts w:ascii="Arial" w:cs="Arial" w:eastAsia="Arial" w:hAnsi="Arial"/>
          <w:sz w:val="15"/>
          <w:szCs w:val="15"/>
          <w:color w:val="auto"/>
        </w:rPr>
        <w:t>If you are a shareholder of record, which means you hold your shares through an account with our transfer agent, Equiniti Trust Company, LLC, you may vote by one of the following options:</w:t>
      </w:r>
    </w:p>
    <w:p>
      <w:pPr>
        <w:spacing w:after="0" w:line="26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For the Annual Meeting</w:t>
      </w:r>
    </w:p>
    <w:p>
      <w:pPr>
        <w:spacing w:after="0" w:line="98" w:lineRule="exact"/>
        <w:rPr>
          <w:sz w:val="20"/>
          <w:szCs w:val="20"/>
          <w:color w:val="auto"/>
        </w:rPr>
      </w:pPr>
    </w:p>
    <w:p>
      <w:pPr>
        <w:ind w:left="1520" w:right="1279" w:hanging="141"/>
        <w:spacing w:after="0" w:line="286" w:lineRule="auto"/>
        <w:tabs>
          <w:tab w:leader="none" w:pos="1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Over the Internet,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by following the instructions on your proxy card or the instructions that you received by email; or</w:t>
      </w:r>
    </w:p>
    <w:p>
      <w:pPr>
        <w:spacing w:after="0" w:line="39" w:lineRule="exact"/>
        <w:rPr>
          <w:rFonts w:ascii="Arial" w:cs="Arial" w:eastAsia="Arial" w:hAnsi="Arial"/>
          <w:sz w:val="15"/>
          <w:szCs w:val="15"/>
          <w:color w:val="auto"/>
        </w:rPr>
      </w:pPr>
    </w:p>
    <w:p>
      <w:pPr>
        <w:ind w:left="1520" w:hanging="141"/>
        <w:spacing w:after="0"/>
        <w:tabs>
          <w:tab w:leader="none" w:pos="1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By completing, dating, signing and returning the proxy card by mail.</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For the Extraordinary Meeting</w:t>
      </w:r>
    </w:p>
    <w:p>
      <w:pPr>
        <w:spacing w:after="0" w:line="98" w:lineRule="exact"/>
        <w:rPr>
          <w:sz w:val="20"/>
          <w:szCs w:val="20"/>
          <w:color w:val="auto"/>
        </w:rPr>
      </w:pPr>
    </w:p>
    <w:p>
      <w:pPr>
        <w:ind w:left="4420" w:right="2519" w:hanging="3041"/>
        <w:spacing w:after="0" w:line="490" w:lineRule="auto"/>
        <w:tabs>
          <w:tab w:leader="none" w:pos="1529" w:val="left"/>
        </w:tabs>
        <w:numPr>
          <w:ilvl w:val="0"/>
          <w:numId w:val="16"/>
        </w:numPr>
        <w:rPr>
          <w:rFonts w:ascii="Arial" w:cs="Arial" w:eastAsia="Arial" w:hAnsi="Arial"/>
          <w:sz w:val="15"/>
          <w:szCs w:val="15"/>
          <w:color w:val="auto"/>
        </w:rPr>
      </w:pPr>
      <w:r>
        <w:rPr>
          <w:rFonts w:ascii="Arial" w:cs="Arial" w:eastAsia="Arial" w:hAnsi="Arial"/>
          <w:sz w:val="15"/>
          <w:szCs w:val="15"/>
          <w:color w:val="auto"/>
        </w:rPr>
        <w:t>By completing, dating, signing and returning the proxy card by mail.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424180</wp:posOffset>
            </wp:positionV>
            <wp:extent cx="570674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4" w:name="page15"/>
    <w:bookmarkEnd w:id="14"/>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596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JOINT PROXY STATEMENT</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-181610</wp:posOffset>
            </wp:positionV>
            <wp:extent cx="1259205" cy="121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59205" cy="121920"/>
                    </a:xfrm>
                    <a:prstGeom prst="rect">
                      <a:avLst/>
                    </a:prstGeom>
                    <a:noFill/>
                  </pic:spPr>
                </pic:pic>
              </a:graphicData>
            </a:graphic>
          </wp:anchor>
        </w:drawing>
      </w:r>
    </w:p>
    <w:p>
      <w:pPr>
        <w:spacing w:after="0" w:line="95" w:lineRule="exact"/>
        <w:rPr>
          <w:sz w:val="20"/>
          <w:szCs w:val="20"/>
          <w:color w:val="auto"/>
        </w:rPr>
      </w:pPr>
    </w:p>
    <w:p>
      <w:pPr>
        <w:ind w:left="1080" w:right="1339"/>
        <w:spacing w:after="0" w:line="252" w:lineRule="auto"/>
        <w:rPr>
          <w:sz w:val="20"/>
          <w:szCs w:val="20"/>
          <w:color w:val="auto"/>
        </w:rPr>
      </w:pPr>
      <w:r>
        <w:rPr>
          <w:rFonts w:ascii="Arial" w:cs="Arial" w:eastAsia="Arial" w:hAnsi="Arial"/>
          <w:sz w:val="15"/>
          <w:szCs w:val="15"/>
          <w:color w:val="auto"/>
        </w:rPr>
        <w:t>If you are a beneficial holder, meaning you hold your shares in “street name” through an account with a bank or broker, please follow the voting directions on the voting instruction form that your bank or broker provides to you.</w:t>
      </w:r>
    </w:p>
    <w:p>
      <w:pPr>
        <w:spacing w:after="0" w:line="88" w:lineRule="exact"/>
        <w:rPr>
          <w:sz w:val="20"/>
          <w:szCs w:val="20"/>
          <w:color w:val="auto"/>
        </w:rPr>
      </w:pPr>
    </w:p>
    <w:p>
      <w:pPr>
        <w:ind w:left="1080" w:right="1579"/>
        <w:spacing w:after="0" w:line="263" w:lineRule="auto"/>
        <w:rPr>
          <w:sz w:val="20"/>
          <w:szCs w:val="20"/>
          <w:color w:val="auto"/>
        </w:rPr>
      </w:pPr>
      <w:r>
        <w:rPr>
          <w:rFonts w:ascii="Arial" w:cs="Arial" w:eastAsia="Arial" w:hAnsi="Arial"/>
          <w:sz w:val="15"/>
          <w:szCs w:val="15"/>
          <w:color w:val="auto"/>
        </w:rPr>
        <w:t>Your ability to vote over the Internet depends on the voting procedures of your bank or broker.</w:t>
      </w:r>
    </w:p>
    <w:p>
      <w:pPr>
        <w:spacing w:after="0" w:line="295" w:lineRule="exact"/>
        <w:rPr>
          <w:sz w:val="20"/>
          <w:szCs w:val="20"/>
          <w:color w:val="auto"/>
        </w:rPr>
      </w:pPr>
    </w:p>
    <w:p>
      <w:pPr>
        <w:ind w:left="1080" w:right="1659"/>
        <w:spacing w:after="0" w:line="260" w:lineRule="auto"/>
        <w:rPr>
          <w:sz w:val="20"/>
          <w:szCs w:val="20"/>
          <w:color w:val="auto"/>
        </w:rPr>
      </w:pPr>
      <w:r>
        <w:rPr>
          <w:rFonts w:ascii="Arial" w:cs="Arial" w:eastAsia="Arial" w:hAnsi="Arial"/>
          <w:sz w:val="15"/>
          <w:szCs w:val="15"/>
          <w:color w:val="auto"/>
        </w:rPr>
        <w:t>If you vote over the Internet, your vote must be received by Altisource no later than 9:59 p.m. Central European Time (3:59 p.m. Eastern Time) on May 12, 2025, to allow sufficient time to tabulate the votes prior to the start of the meeting.</w:t>
      </w:r>
    </w:p>
    <w:p>
      <w:pPr>
        <w:spacing w:after="0" w:line="82" w:lineRule="exact"/>
        <w:rPr>
          <w:sz w:val="20"/>
          <w:szCs w:val="20"/>
          <w:color w:val="auto"/>
        </w:rPr>
      </w:pPr>
    </w:p>
    <w:p>
      <w:pPr>
        <w:ind w:left="1080" w:right="1119"/>
        <w:spacing w:after="0" w:line="247" w:lineRule="auto"/>
        <w:rPr>
          <w:sz w:val="20"/>
          <w:szCs w:val="20"/>
          <w:color w:val="auto"/>
        </w:rPr>
      </w:pPr>
      <w:r>
        <w:rPr>
          <w:rFonts w:ascii="Arial" w:cs="Arial" w:eastAsia="Arial" w:hAnsi="Arial"/>
          <w:sz w:val="15"/>
          <w:szCs w:val="15"/>
          <w:color w:val="auto"/>
        </w:rPr>
        <w:t>Shareholders may also vote in person at the meeting. All shareholders must present proof of share ownership as of the record date and valid government -issued photo identification to vote in person at the meeting. If a bank or broker holds your shares, you must also obtain and present a “legal proxy” from the holder of record to vote at the meeting. For specific instructions, please refer to the proxy card, Notice or email notification you receive.</w:t>
      </w:r>
    </w:p>
    <w:p>
      <w:pPr>
        <w:spacing w:after="0" w:line="145" w:lineRule="exact"/>
        <w:rPr>
          <w:sz w:val="20"/>
          <w:szCs w:val="20"/>
          <w:color w:val="auto"/>
        </w:rPr>
      </w:pPr>
    </w:p>
    <w:p>
      <w:pPr>
        <w:ind w:left="1080" w:right="1139"/>
        <w:spacing w:after="0" w:line="253" w:lineRule="auto"/>
        <w:rPr>
          <w:sz w:val="20"/>
          <w:szCs w:val="20"/>
          <w:color w:val="auto"/>
        </w:rPr>
      </w:pPr>
      <w:r>
        <w:rPr>
          <w:rFonts w:ascii="Arial" w:cs="Arial" w:eastAsia="Arial" w:hAnsi="Arial"/>
          <w:sz w:val="17"/>
          <w:szCs w:val="17"/>
          <w:b w:val="1"/>
          <w:bCs w:val="1"/>
          <w:color w:val="auto"/>
        </w:rPr>
        <w:t>Even if you plan to attend the meeting, we recommend that you vote your shares in advance of the meeting in one of the manners available to you so that your vote will be counted if later you are unable to attend in person.</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How a Proxy Works</w:t>
      </w:r>
    </w:p>
    <w:p>
      <w:pPr>
        <w:spacing w:after="0" w:line="102" w:lineRule="exact"/>
        <w:rPr>
          <w:sz w:val="20"/>
          <w:szCs w:val="20"/>
          <w:color w:val="auto"/>
        </w:rPr>
      </w:pPr>
    </w:p>
    <w:p>
      <w:pPr>
        <w:ind w:left="1080" w:right="1139"/>
        <w:spacing w:after="0" w:line="243" w:lineRule="auto"/>
        <w:rPr>
          <w:sz w:val="20"/>
          <w:szCs w:val="20"/>
          <w:color w:val="auto"/>
        </w:rPr>
      </w:pPr>
      <w:r>
        <w:rPr>
          <w:rFonts w:ascii="Arial" w:cs="Arial" w:eastAsia="Arial" w:hAnsi="Arial"/>
          <w:sz w:val="15"/>
          <w:szCs w:val="15"/>
          <w:color w:val="auto"/>
        </w:rPr>
        <w:t>If you properly submit your proxy as instructed, and do not revoke it prior to its use, it will be voted in accordance with your instructions. Other than as discussed below with respect to “broker non- votes,” if no contrary instructions are given, each proxy received for the Annual Meeting will be voted “FOR” each of the nominees for Director named in this proxy statement and “FOR” each of the other proposals identified in the agenda for the Annual Meeting; each proxy received for the Extraordinary Meeting will be voted “FOR” the proposals identified in the agenda for the Extraordinary Meeting; and, with regard to any other business that properly comes before either meeting, each proxy will be voted in accordance with the discretion of the persons appointed as proxies.</w:t>
      </w:r>
    </w:p>
    <w:p>
      <w:pPr>
        <w:spacing w:after="0" w:line="271" w:lineRule="exact"/>
        <w:rPr>
          <w:sz w:val="20"/>
          <w:szCs w:val="20"/>
          <w:color w:val="auto"/>
        </w:rPr>
      </w:pPr>
    </w:p>
    <w:p>
      <w:pPr>
        <w:ind w:left="1080" w:right="1099"/>
        <w:spacing w:after="0" w:line="244" w:lineRule="auto"/>
        <w:rPr>
          <w:sz w:val="20"/>
          <w:szCs w:val="20"/>
          <w:color w:val="auto"/>
        </w:rPr>
      </w:pPr>
      <w:r>
        <w:rPr>
          <w:rFonts w:ascii="Arial" w:cs="Arial" w:eastAsia="Arial" w:hAnsi="Arial"/>
          <w:sz w:val="15"/>
          <w:szCs w:val="15"/>
          <w:color w:val="auto"/>
        </w:rPr>
        <w:t>If the shares you own are held by a bank or broker and you do not provide specific voting instructions to your bank or broker on a “non-routine” item as defined by the New York Stock Exchange, the bank or broker will be prohibited from voting your shares for proposals on non-routine items. This is commonly referred to as a “broker non-vote.” All of our proposals other than the Approval of Appointment of Independent Registered Accounting Firm and Certified Auditor Proposal and the Share Consolidation Proposal are expected to be “non-routine” item proposals; therefore, if you do not instruct your bank or broker how to vote your shares with respect to these proposals, your shares will not be counted.</w:t>
      </w:r>
    </w:p>
    <w:p>
      <w:pPr>
        <w:spacing w:after="0" w:line="15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How to Revoke a Proxy or, if You Are a Beneficial Owner, Change Your Vote</w:t>
      </w:r>
    </w:p>
    <w:p>
      <w:pPr>
        <w:spacing w:after="0" w:line="91" w:lineRule="exact"/>
        <w:rPr>
          <w:sz w:val="20"/>
          <w:szCs w:val="20"/>
          <w:color w:val="auto"/>
        </w:rPr>
      </w:pPr>
    </w:p>
    <w:p>
      <w:pPr>
        <w:ind w:left="1080" w:right="1379"/>
        <w:spacing w:after="0" w:line="260" w:lineRule="auto"/>
        <w:rPr>
          <w:sz w:val="20"/>
          <w:szCs w:val="20"/>
          <w:color w:val="auto"/>
        </w:rPr>
      </w:pPr>
      <w:r>
        <w:rPr>
          <w:rFonts w:ascii="Arial" w:cs="Arial" w:eastAsia="Arial" w:hAnsi="Arial"/>
          <w:sz w:val="15"/>
          <w:szCs w:val="15"/>
          <w:color w:val="auto"/>
        </w:rPr>
        <w:t>Your proxy may be used only at the relevant meetings and any adjournment or postponement thereof and may not be used for any other meeting. You have the power to revoke your proxy at any time before it is exercised by</w:t>
      </w:r>
    </w:p>
    <w:p>
      <w:pPr>
        <w:spacing w:after="0" w:line="37"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 providing written notice, received by our Corporate Secretary at the following address:</w:t>
      </w:r>
    </w:p>
    <w:p>
      <w:pPr>
        <w:spacing w:after="0" w:line="132"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Gregory J. Ritts, Corporate Secretary</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Altisource Portfolio Solutions S.A.</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33, Boulevard Prince Henri</w:t>
      </w:r>
    </w:p>
    <w:p>
      <w:pPr>
        <w:ind w:left="1980"/>
        <w:spacing w:after="0" w:line="235" w:lineRule="auto"/>
        <w:rPr>
          <w:sz w:val="20"/>
          <w:szCs w:val="20"/>
          <w:color w:val="auto"/>
        </w:rPr>
      </w:pPr>
      <w:r>
        <w:rPr>
          <w:rFonts w:ascii="Arial" w:cs="Arial" w:eastAsia="Arial" w:hAnsi="Arial"/>
          <w:sz w:val="15"/>
          <w:szCs w:val="15"/>
          <w:color w:val="auto"/>
        </w:rPr>
        <w:t>L-1724 Luxembourg City</w:t>
      </w:r>
    </w:p>
    <w:p>
      <w:pPr>
        <w:ind w:left="1980"/>
        <w:spacing w:after="0"/>
        <w:rPr>
          <w:sz w:val="20"/>
          <w:szCs w:val="20"/>
          <w:color w:val="auto"/>
        </w:rPr>
      </w:pPr>
      <w:r>
        <w:rPr>
          <w:rFonts w:ascii="Arial" w:cs="Arial" w:eastAsia="Arial" w:hAnsi="Arial"/>
          <w:sz w:val="15"/>
          <w:szCs w:val="15"/>
          <w:color w:val="auto"/>
        </w:rPr>
        <w:t>Grand Duchy of Luxembourg;</w:t>
      </w:r>
    </w:p>
    <w:p>
      <w:pPr>
        <w:spacing w:after="0" w:line="73" w:lineRule="exact"/>
        <w:rPr>
          <w:sz w:val="20"/>
          <w:szCs w:val="20"/>
          <w:color w:val="auto"/>
        </w:rPr>
      </w:pPr>
    </w:p>
    <w:p>
      <w:pPr>
        <w:ind w:left="1520" w:hanging="141"/>
        <w:spacing w:after="0"/>
        <w:tabs>
          <w:tab w:leader="none" w:pos="15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submitting a properly executed proxy bearing a later date; or</w:t>
      </w:r>
    </w:p>
    <w:p>
      <w:pPr>
        <w:spacing w:after="0" w:line="86" w:lineRule="exact"/>
        <w:rPr>
          <w:rFonts w:ascii="Arial" w:cs="Arial" w:eastAsia="Arial" w:hAnsi="Arial"/>
          <w:sz w:val="15"/>
          <w:szCs w:val="15"/>
          <w:color w:val="auto"/>
        </w:rPr>
      </w:pPr>
    </w:p>
    <w:p>
      <w:pPr>
        <w:ind w:left="1520" w:right="1319" w:hanging="141"/>
        <w:spacing w:after="0" w:line="286" w:lineRule="auto"/>
        <w:tabs>
          <w:tab w:leader="none" w:pos="15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appearing at the relevant meeting and giving the Corporate Secretary notice of your intention to vote in person.</w:t>
      </w:r>
    </w:p>
    <w:p>
      <w:pPr>
        <w:spacing w:after="0" w:line="62" w:lineRule="exact"/>
        <w:rPr>
          <w:sz w:val="20"/>
          <w:szCs w:val="20"/>
          <w:color w:val="auto"/>
        </w:rPr>
      </w:pPr>
    </w:p>
    <w:p>
      <w:pPr>
        <w:ind w:left="1080" w:right="1179"/>
        <w:spacing w:after="0" w:line="267" w:lineRule="auto"/>
        <w:rPr>
          <w:sz w:val="20"/>
          <w:szCs w:val="20"/>
          <w:color w:val="auto"/>
        </w:rPr>
      </w:pPr>
      <w:r>
        <w:rPr>
          <w:rFonts w:ascii="Arial" w:cs="Arial" w:eastAsia="Arial" w:hAnsi="Arial"/>
          <w:sz w:val="15"/>
          <w:szCs w:val="15"/>
          <w:color w:val="auto"/>
        </w:rPr>
        <w:t>If you are a beneficial holder, meaning you hold your shares in “street name” through an account with a bank or broker, your bank or broker can provide you with instructions on how to change your vote.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5" w:name="page16"/>
    <w:bookmarkEnd w:id="15"/>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JOINT PROXY STATEMENT</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-181610</wp:posOffset>
            </wp:positionV>
            <wp:extent cx="1259205" cy="121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59205" cy="121920"/>
                    </a:xfrm>
                    <a:prstGeom prst="rect">
                      <a:avLst/>
                    </a:prstGeom>
                    <a:noFill/>
                  </pic:spPr>
                </pic:pic>
              </a:graphicData>
            </a:graphic>
          </wp:anchor>
        </w:drawing>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Quorum and Voting Information</w:t>
      </w:r>
    </w:p>
    <w:p>
      <w:pPr>
        <w:spacing w:after="0" w:line="91" w:lineRule="exact"/>
        <w:rPr>
          <w:sz w:val="20"/>
          <w:szCs w:val="20"/>
          <w:color w:val="auto"/>
        </w:rPr>
      </w:pPr>
    </w:p>
    <w:p>
      <w:pPr>
        <w:ind w:left="1080" w:right="1239"/>
        <w:spacing w:after="0" w:line="259" w:lineRule="auto"/>
        <w:rPr>
          <w:sz w:val="20"/>
          <w:szCs w:val="20"/>
          <w:color w:val="auto"/>
        </w:rPr>
      </w:pPr>
      <w:r>
        <w:rPr>
          <w:rFonts w:ascii="Arial" w:cs="Arial" w:eastAsia="Arial" w:hAnsi="Arial"/>
          <w:sz w:val="15"/>
          <w:szCs w:val="15"/>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our issued and outstanding shares of common stock able to be voted, represented in person or by proxy, will constitute a quorum for the transaction of business at the Annual Meeting. Abstentions and “broker non-votes” will be treated as present for purposes of a quorum.</w:t>
      </w:r>
    </w:p>
    <w:p>
      <w:pPr>
        <w:spacing w:after="0" w:line="94" w:lineRule="exact"/>
        <w:rPr>
          <w:sz w:val="20"/>
          <w:szCs w:val="20"/>
          <w:color w:val="auto"/>
        </w:rPr>
      </w:pPr>
    </w:p>
    <w:p>
      <w:pPr>
        <w:ind w:left="1080" w:right="1119"/>
        <w:spacing w:after="0" w:line="252" w:lineRule="auto"/>
        <w:rPr>
          <w:sz w:val="20"/>
          <w:szCs w:val="20"/>
          <w:color w:val="auto"/>
        </w:rPr>
      </w:pPr>
      <w:r>
        <w:rPr>
          <w:rFonts w:ascii="Arial" w:cs="Arial" w:eastAsia="Arial" w:hAnsi="Arial"/>
          <w:sz w:val="15"/>
          <w:szCs w:val="15"/>
          <w:color w:val="auto"/>
        </w:rPr>
        <w:t>For the transaction of business at the Extraordinary Meeting, the presence of holders of at least fifty percent (50%) of our issued and outstanding shares of common stock able to be voted will constitute a quorum in accordance with Luxembourg law. Under Luxembourg law, if a quorum is not reached at an extraordinary meeting for the purpose of resolving on the agenda thereof, the meeting may be adjourned or postponed to a later time, or a subsequent Extraordinary Meeting may be scheduled, at which no quorum will be required, provided that certain notice procedures are fulfilled. In accordance with the requirements of the Nasdaq listing standards, in the event of such adjournment or postponement or scheduling of the Extraordinary Meeting, the Company will require a quorum of thirty-three and one-</w:t>
      </w:r>
    </w:p>
    <w:p>
      <w:pPr>
        <w:spacing w:after="0" w:line="2" w:lineRule="exact"/>
        <w:rPr>
          <w:sz w:val="20"/>
          <w:szCs w:val="20"/>
          <w:color w:val="auto"/>
        </w:rPr>
      </w:pPr>
    </w:p>
    <w:p>
      <w:pPr>
        <w:ind w:left="1080" w:right="1239"/>
        <w:spacing w:after="0" w:line="229" w:lineRule="auto"/>
        <w:rPr>
          <w:sz w:val="20"/>
          <w:szCs w:val="20"/>
          <w:color w:val="auto"/>
        </w:rPr>
      </w:pPr>
      <w:r>
        <w:rPr>
          <w:rFonts w:ascii="Arial" w:cs="Arial" w:eastAsia="Arial" w:hAnsi="Arial"/>
          <w:sz w:val="15"/>
          <w:szCs w:val="15"/>
          <w:color w:val="auto"/>
        </w:rPr>
        <w:t>third percent (33</w:t>
      </w:r>
      <w:r>
        <w:rPr>
          <w:rFonts w:ascii="Arial" w:cs="Arial" w:eastAsia="Arial" w:hAnsi="Arial"/>
          <w:sz w:val="21"/>
          <w:szCs w:val="21"/>
          <w:color w:val="auto"/>
          <w:vertAlign w:val="superscript"/>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our issued and outstanding shares of common stock able to be voted for the transaction of business. Abstentions and “broker non-votes” will be treated as present for purposes of a quorum.</w:t>
      </w:r>
    </w:p>
    <w:p>
      <w:pPr>
        <w:spacing w:after="0" w:line="96" w:lineRule="exact"/>
        <w:rPr>
          <w:sz w:val="20"/>
          <w:szCs w:val="20"/>
          <w:color w:val="auto"/>
        </w:rPr>
      </w:pPr>
    </w:p>
    <w:p>
      <w:pPr>
        <w:ind w:left="1080" w:right="1299"/>
        <w:spacing w:after="0" w:line="262" w:lineRule="auto"/>
        <w:rPr>
          <w:sz w:val="20"/>
          <w:szCs w:val="20"/>
          <w:color w:val="auto"/>
        </w:rPr>
      </w:pPr>
      <w:r>
        <w:rPr>
          <w:rFonts w:ascii="Arial" w:cs="Arial" w:eastAsia="Arial" w:hAnsi="Arial"/>
          <w:sz w:val="15"/>
          <w:szCs w:val="15"/>
          <w:color w:val="auto"/>
        </w:rPr>
        <w:t>Assuming a quorum, each of the seven (7) nominees for Director will be elected at the Annual Meeting so long as the votes cast in favor of each nominee exceeds the votes cast against the nominee. You may vote for, against or abstain from voting for one (1) or more nominees for Director.</w:t>
      </w:r>
    </w:p>
    <w:p>
      <w:pPr>
        <w:spacing w:after="0" w:line="92" w:lineRule="exact"/>
        <w:rPr>
          <w:sz w:val="20"/>
          <w:szCs w:val="20"/>
          <w:color w:val="auto"/>
        </w:rPr>
      </w:pPr>
    </w:p>
    <w:p>
      <w:pPr>
        <w:ind w:left="1080" w:right="1459"/>
        <w:spacing w:after="0" w:line="286" w:lineRule="auto"/>
        <w:rPr>
          <w:sz w:val="20"/>
          <w:szCs w:val="20"/>
          <w:color w:val="auto"/>
        </w:rPr>
      </w:pPr>
      <w:r>
        <w:rPr>
          <w:rFonts w:ascii="Arial" w:cs="Arial" w:eastAsia="Arial" w:hAnsi="Arial"/>
          <w:sz w:val="15"/>
          <w:szCs w:val="15"/>
          <w:color w:val="auto"/>
        </w:rPr>
        <w:t>The following Annual Meeting proposals will be approved if the votes cast in favor of the action exceed the votes cast against the action:</w:t>
      </w:r>
    </w:p>
    <w:p>
      <w:pPr>
        <w:spacing w:after="0" w:line="40" w:lineRule="exact"/>
        <w:rPr>
          <w:sz w:val="20"/>
          <w:szCs w:val="20"/>
          <w:color w:val="auto"/>
        </w:rPr>
      </w:pPr>
    </w:p>
    <w:p>
      <w:pPr>
        <w:ind w:left="1520" w:right="1139" w:hanging="141"/>
        <w:spacing w:after="0" w:line="286" w:lineRule="auto"/>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Approval of Appointment of Independent Registered Accounting Firm and Certified Auditor Proposal;</w:t>
      </w:r>
    </w:p>
    <w:p>
      <w:pPr>
        <w:spacing w:after="0" w:line="39" w:lineRule="exact"/>
        <w:rPr>
          <w:rFonts w:ascii="Arial" w:cs="Arial" w:eastAsia="Arial" w:hAnsi="Arial"/>
          <w:sz w:val="15"/>
          <w:szCs w:val="15"/>
          <w:color w:val="auto"/>
        </w:rPr>
      </w:pPr>
    </w:p>
    <w:p>
      <w:pPr>
        <w:ind w:left="1520" w:hanging="141"/>
        <w:spacing w:after="0"/>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Luxembourg Statutory Accounts Proposal;</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Receipt of Directors’ Report Proposal;</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Luxembourg Annual Accounts Allocation Proposal;</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Discharge Proposal;</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Say-on-Pay Proposal; and</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any other matter properly submitted for your consideration at the Annual Meeting.</w:t>
      </w:r>
    </w:p>
    <w:p>
      <w:pPr>
        <w:spacing w:after="0" w:line="132" w:lineRule="exact"/>
        <w:rPr>
          <w:sz w:val="20"/>
          <w:szCs w:val="20"/>
          <w:color w:val="auto"/>
        </w:rPr>
      </w:pPr>
    </w:p>
    <w:p>
      <w:pPr>
        <w:ind w:left="1080" w:right="1199"/>
        <w:spacing w:after="0" w:line="262" w:lineRule="auto"/>
        <w:rPr>
          <w:sz w:val="20"/>
          <w:szCs w:val="20"/>
          <w:color w:val="auto"/>
        </w:rPr>
      </w:pPr>
      <w:r>
        <w:rPr>
          <w:rFonts w:ascii="Arial" w:cs="Arial" w:eastAsia="Arial" w:hAnsi="Arial"/>
          <w:sz w:val="15"/>
          <w:szCs w:val="15"/>
          <w:color w:val="auto"/>
        </w:rPr>
        <w:t>Because the advisory vote to approve the Say- on-Pay Proposal is non-binding and advisory in nature, there is no required number of votes that would constitute approval. While our Board intends to carefully consider the shareholder votes resulting from the Say-On-Pay Proposal, the final vote will not be binding on us and is advisory in nature.</w:t>
      </w:r>
    </w:p>
    <w:p>
      <w:pPr>
        <w:spacing w:after="0" w:line="81" w:lineRule="exact"/>
        <w:rPr>
          <w:sz w:val="20"/>
          <w:szCs w:val="20"/>
          <w:color w:val="auto"/>
        </w:rPr>
      </w:pPr>
    </w:p>
    <w:p>
      <w:pPr>
        <w:ind w:left="1080" w:right="1339"/>
        <w:spacing w:after="0" w:line="286" w:lineRule="auto"/>
        <w:rPr>
          <w:sz w:val="20"/>
          <w:szCs w:val="20"/>
          <w:color w:val="auto"/>
        </w:rPr>
      </w:pPr>
      <w:r>
        <w:rPr>
          <w:rFonts w:ascii="Arial" w:cs="Arial" w:eastAsia="Arial" w:hAnsi="Arial"/>
          <w:sz w:val="15"/>
          <w:szCs w:val="15"/>
          <w:color w:val="auto"/>
        </w:rPr>
        <w:t>Assuming a quorum, the following Extraordinary Meeting proposals will be approved if the votes cast in favor of the action meet or exceed two-thirds of the shares validly voted:</w:t>
      </w:r>
    </w:p>
    <w:p>
      <w:pPr>
        <w:spacing w:after="0" w:line="40" w:lineRule="exact"/>
        <w:rPr>
          <w:sz w:val="20"/>
          <w:szCs w:val="20"/>
          <w:color w:val="auto"/>
        </w:rPr>
      </w:pPr>
    </w:p>
    <w:p>
      <w:pPr>
        <w:ind w:left="1520" w:hanging="141"/>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Share Consolidation Proposal;</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Share Capital Decrease Proposal;</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Quorum Proposal; and</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Amendments to the Articles of Incorporation Proposal.</w:t>
      </w:r>
    </w:p>
    <w:p>
      <w:pPr>
        <w:spacing w:after="0" w:line="132" w:lineRule="exact"/>
        <w:rPr>
          <w:sz w:val="20"/>
          <w:szCs w:val="20"/>
          <w:color w:val="auto"/>
        </w:rPr>
      </w:pPr>
    </w:p>
    <w:p>
      <w:pPr>
        <w:ind w:left="1080" w:right="1279"/>
        <w:spacing w:after="0" w:line="262" w:lineRule="auto"/>
        <w:rPr>
          <w:sz w:val="20"/>
          <w:szCs w:val="20"/>
          <w:color w:val="auto"/>
        </w:rPr>
      </w:pPr>
      <w:r>
        <w:rPr>
          <w:rFonts w:ascii="Arial" w:cs="Arial" w:eastAsia="Arial" w:hAnsi="Arial"/>
          <w:sz w:val="15"/>
          <w:szCs w:val="15"/>
          <w:color w:val="auto"/>
        </w:rPr>
        <w:t>Any other matter properly submitted for your consideration will be approved with such vote as required by Luxembourg law. Abstentions and broker non -votes will not be counted in determining the number of votes cast in connection with the non-routine item proposals on the agendas of the Annual Meeting and Extraordinary Meeting.</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6" w:name="page17"/>
    <w:bookmarkEnd w:id="16"/>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662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ONE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-181610</wp:posOffset>
            </wp:positionV>
            <wp:extent cx="836930" cy="121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36930" cy="121920"/>
                    </a:xfrm>
                    <a:prstGeom prst="rect">
                      <a:avLst/>
                    </a:prstGeom>
                    <a:noFill/>
                  </pic:spPr>
                </pic:pic>
              </a:graphicData>
            </a:graphic>
          </wp:anchor>
        </w:drawing>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PROPOSALS TO BE CONSIDERED AT THE ANNUAL MEETING OF SHAREHOLDERS</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One: Director Election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40640</wp:posOffset>
            </wp:positionV>
            <wp:extent cx="435038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Articles of Incorporation provide that our Board shall consist of no less than three</w:t>
      </w:r>
    </w:p>
    <w:p>
      <w:pPr>
        <w:spacing w:after="0" w:line="11" w:lineRule="exact"/>
        <w:rPr>
          <w:sz w:val="20"/>
          <w:szCs w:val="20"/>
          <w:color w:val="auto"/>
        </w:rPr>
      </w:pPr>
    </w:p>
    <w:p>
      <w:pPr>
        <w:ind w:left="1080" w:right="1639" w:hanging="1"/>
        <w:spacing w:after="0" w:line="251" w:lineRule="auto"/>
        <w:tabs>
          <w:tab w:leader="none" w:pos="1335"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and no more than seven (7) members, with the exact number to be decided by our shareholders.</w:t>
      </w:r>
    </w:p>
    <w:p>
      <w:pPr>
        <w:spacing w:after="0" w:line="87" w:lineRule="exact"/>
        <w:rPr>
          <w:sz w:val="20"/>
          <w:szCs w:val="20"/>
          <w:color w:val="auto"/>
        </w:rPr>
      </w:pPr>
    </w:p>
    <w:p>
      <w:pPr>
        <w:ind w:left="1080" w:right="1119"/>
        <w:spacing w:after="0" w:line="254" w:lineRule="auto"/>
        <w:rPr>
          <w:sz w:val="20"/>
          <w:szCs w:val="20"/>
          <w:color w:val="auto"/>
        </w:rPr>
      </w:pPr>
      <w:r>
        <w:rPr>
          <w:rFonts w:ascii="Arial" w:cs="Arial" w:eastAsia="Arial" w:hAnsi="Arial"/>
          <w:sz w:val="15"/>
          <w:szCs w:val="15"/>
          <w:color w:val="auto"/>
        </w:rPr>
        <w:t>Five (5) of the nominees currently serve as our Directors. In connection with the Transaction, two lenders each received a separate one-time right to nominate one member for election to our Board (such nominees, collectively, the “Lender Nominees”) . UBS Asset Management (Americas) LLC, which beneficially owns 22.56% of our common stock, proposed Wesley G. Iseley as its Lender Nominee. The other lender, which beneficially owns 3.5% of our common stock, proposed Matthew Winkler as its Lender Nominee. Mr. Winkler’s nomination was made by this lender in its capacity as a stockholder and not by his employer, which is also a lender of ours. The Lender Nominees were vetted and approved by our Nomination/Governance Committee. There are no arrangements or understandings between any nominee and any other person for selection as a nominee.</w:t>
      </w:r>
    </w:p>
    <w:p>
      <w:pPr>
        <w:spacing w:after="0" w:line="284" w:lineRule="exact"/>
        <w:rPr>
          <w:sz w:val="20"/>
          <w:szCs w:val="20"/>
          <w:color w:val="auto"/>
        </w:rPr>
      </w:pPr>
    </w:p>
    <w:p>
      <w:pPr>
        <w:ind w:left="1080" w:right="1179"/>
        <w:spacing w:after="0" w:line="258" w:lineRule="auto"/>
        <w:rPr>
          <w:sz w:val="20"/>
          <w:szCs w:val="20"/>
          <w:color w:val="auto"/>
        </w:rPr>
      </w:pPr>
      <w:r>
        <w:rPr>
          <w:rFonts w:ascii="Arial" w:cs="Arial" w:eastAsia="Arial" w:hAnsi="Arial"/>
          <w:sz w:val="15"/>
          <w:szCs w:val="15"/>
          <w:color w:val="auto"/>
        </w:rPr>
        <w:t>If any nominee is unable or unwilling to stand for election at the time of the Annual Meeting, the shares represented by a validly executed proxy will be voted for the election of such other person as our Board may recommend in place of such nominee, unless our Board chooses to reduce the number of Directors serving on our Board. At this time, our Board knows of no reason any of the nominees would not be able or willing to serve as Director if elected.</w:t>
      </w:r>
    </w:p>
    <w:p>
      <w:pPr>
        <w:spacing w:after="0" w:line="279" w:lineRule="exact"/>
        <w:rPr>
          <w:sz w:val="20"/>
          <w:szCs w:val="20"/>
          <w:color w:val="auto"/>
        </w:rPr>
      </w:pPr>
    </w:p>
    <w:p>
      <w:pPr>
        <w:ind w:left="1080" w:right="1299"/>
        <w:spacing w:after="0" w:line="286" w:lineRule="auto"/>
        <w:rPr>
          <w:sz w:val="20"/>
          <w:szCs w:val="20"/>
          <w:color w:val="auto"/>
        </w:rPr>
      </w:pPr>
      <w:r>
        <w:rPr>
          <w:rFonts w:ascii="Arial" w:cs="Arial" w:eastAsia="Arial" w:hAnsi="Arial"/>
          <w:sz w:val="15"/>
          <w:szCs w:val="15"/>
          <w:color w:val="auto"/>
        </w:rPr>
        <w:t>The following table sets forth certain information concerning our current Directors, each of whom is nominated for election at the Annual Meeting, and the Lender Nominees:</w:t>
      </w:r>
    </w:p>
    <w:p>
      <w:pPr>
        <w:spacing w:after="0" w:line="7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Committee Memberships</w:t>
            </w:r>
            <w:r>
              <w:rPr>
                <w:rFonts w:ascii="Arial" w:cs="Arial" w:eastAsia="Arial" w:hAnsi="Arial"/>
                <w:sz w:val="16"/>
                <w:szCs w:val="16"/>
                <w:b w:val="1"/>
                <w:bCs w:val="1"/>
                <w:color w:val="auto"/>
                <w:vertAlign w:val="superscript"/>
              </w:rPr>
              <w:t>(1)</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6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360" w:type="dxa"/>
            <w:vAlign w:val="bottom"/>
            <w:vMerge w:val="restart"/>
          </w:tcPr>
          <w:p>
            <w:pPr>
              <w:spacing w:after="0" w:line="295" w:lineRule="exact"/>
              <w:rPr>
                <w:sz w:val="20"/>
                <w:szCs w:val="20"/>
                <w:color w:val="auto"/>
              </w:rPr>
            </w:pPr>
            <w:r>
              <w:rPr>
                <w:rFonts w:ascii="Arial" w:cs="Arial" w:eastAsia="Arial" w:hAnsi="Arial"/>
                <w:sz w:val="27"/>
                <w:szCs w:val="27"/>
                <w:b w:val="1"/>
                <w:bCs w:val="1"/>
                <w:color w:val="auto"/>
                <w:w w:val="77"/>
                <w:vertAlign w:val="subscript"/>
              </w:rPr>
              <w:t>Age</w:t>
            </w:r>
            <w:r>
              <w:rPr>
                <w:rFonts w:ascii="Arial" w:cs="Arial" w:eastAsia="Arial" w:hAnsi="Arial"/>
                <w:sz w:val="8"/>
                <w:szCs w:val="8"/>
                <w:b w:val="1"/>
                <w:bCs w:val="1"/>
                <w:color w:val="auto"/>
                <w:w w:val="77"/>
              </w:rPr>
              <w:t>(1)</w:t>
            </w:r>
          </w:p>
        </w:tc>
        <w:tc>
          <w:tcPr>
            <w:tcW w:w="700" w:type="dxa"/>
            <w:vAlign w:val="bottom"/>
            <w:gridSpan w:val="3"/>
          </w:tcPr>
          <w:p>
            <w:pPr>
              <w:jc w:val="center"/>
              <w:ind w:right="92"/>
              <w:spacing w:after="0" w:line="115" w:lineRule="exact"/>
              <w:rPr>
                <w:sz w:val="20"/>
                <w:szCs w:val="20"/>
                <w:color w:val="auto"/>
              </w:rPr>
            </w:pPr>
            <w:r>
              <w:rPr>
                <w:rFonts w:ascii="Arial" w:cs="Arial" w:eastAsia="Arial" w:hAnsi="Arial"/>
                <w:sz w:val="12"/>
                <w:szCs w:val="12"/>
                <w:b w:val="1"/>
                <w:bCs w:val="1"/>
                <w:color w:val="auto"/>
              </w:rPr>
              <w:t>Director</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b w:val="1"/>
                <w:bCs w:val="1"/>
                <w:color w:val="auto"/>
              </w:rPr>
              <w:t>Executive</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80"/>
              <w:spacing w:after="0" w:line="115" w:lineRule="exact"/>
              <w:rPr>
                <w:sz w:val="20"/>
                <w:szCs w:val="20"/>
                <w:color w:val="auto"/>
              </w:rPr>
            </w:pPr>
            <w:r>
              <w:rPr>
                <w:rFonts w:ascii="Arial" w:cs="Arial" w:eastAsia="Arial" w:hAnsi="Arial"/>
                <w:sz w:val="12"/>
                <w:szCs w:val="12"/>
                <w:b w:val="1"/>
                <w:bCs w:val="1"/>
                <w:color w:val="auto"/>
              </w:rPr>
              <w:t>Audit</w:t>
            </w:r>
          </w:p>
        </w:tc>
        <w:tc>
          <w:tcPr>
            <w:tcW w:w="2520" w:type="dxa"/>
            <w:vAlign w:val="bottom"/>
            <w:tcBorders>
              <w:top w:val="single" w:sz="8" w:color="auto"/>
            </w:tcBorders>
            <w:gridSpan w:val="6"/>
          </w:tcPr>
          <w:p>
            <w:pPr>
              <w:ind w:left="100"/>
              <w:spacing w:after="0" w:line="115" w:lineRule="exact"/>
              <w:rPr>
                <w:sz w:val="20"/>
                <w:szCs w:val="20"/>
                <w:color w:val="auto"/>
              </w:rPr>
            </w:pPr>
            <w:r>
              <w:rPr>
                <w:rFonts w:ascii="Arial" w:cs="Arial" w:eastAsia="Arial" w:hAnsi="Arial"/>
                <w:sz w:val="12"/>
                <w:szCs w:val="12"/>
                <w:b w:val="1"/>
                <w:bCs w:val="1"/>
                <w:color w:val="auto"/>
              </w:rPr>
              <w:t>CompensationCompliance Nom/Gov</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Since</w:t>
            </w:r>
          </w:p>
        </w:tc>
        <w:tc>
          <w:tcPr>
            <w:tcW w:w="2340" w:type="dxa"/>
            <w:vAlign w:val="bottom"/>
            <w:gridSpan w:val="9"/>
          </w:tcPr>
          <w:p>
            <w:pPr>
              <w:ind w:left="60"/>
              <w:spacing w:after="0"/>
              <w:rPr>
                <w:sz w:val="20"/>
                <w:szCs w:val="20"/>
                <w:color w:val="auto"/>
              </w:rPr>
            </w:pPr>
            <w:r>
              <w:rPr>
                <w:rFonts w:ascii="Arial" w:cs="Arial" w:eastAsia="Arial" w:hAnsi="Arial"/>
                <w:sz w:val="14"/>
                <w:szCs w:val="14"/>
                <w:b w:val="1"/>
                <w:bCs w:val="1"/>
                <w:color w:val="auto"/>
                <w:w w:val="99"/>
              </w:rPr>
              <w:t>IndependentCommitteeCommittee</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Committee</w:t>
            </w:r>
          </w:p>
        </w:tc>
        <w:tc>
          <w:tcPr>
            <w:tcW w:w="100" w:type="dxa"/>
            <w:vAlign w:val="bottom"/>
          </w:tcPr>
          <w:p>
            <w:pPr>
              <w:spacing w:after="0"/>
              <w:rPr>
                <w:sz w:val="15"/>
                <w:szCs w:val="15"/>
                <w:color w:val="auto"/>
              </w:rPr>
            </w:pPr>
          </w:p>
        </w:tc>
        <w:tc>
          <w:tcPr>
            <w:tcW w:w="1460" w:type="dxa"/>
            <w:vAlign w:val="bottom"/>
            <w:gridSpan w:val="4"/>
          </w:tcPr>
          <w:p>
            <w:pPr>
              <w:jc w:val="center"/>
              <w:ind w:right="14"/>
              <w:spacing w:after="0"/>
              <w:rPr>
                <w:sz w:val="20"/>
                <w:szCs w:val="20"/>
                <w:color w:val="auto"/>
              </w:rPr>
            </w:pPr>
            <w:r>
              <w:rPr>
                <w:rFonts w:ascii="Arial" w:cs="Arial" w:eastAsia="Arial" w:hAnsi="Arial"/>
                <w:sz w:val="14"/>
                <w:szCs w:val="14"/>
                <w:b w:val="1"/>
                <w:bCs w:val="1"/>
                <w:color w:val="auto"/>
                <w:w w:val="96"/>
              </w:rPr>
              <w:t>Committee Committee</w:t>
            </w:r>
          </w:p>
        </w:tc>
        <w:tc>
          <w:tcPr>
            <w:tcW w:w="0" w:type="dxa"/>
            <w:vAlign w:val="bottom"/>
          </w:tcPr>
          <w:p>
            <w:pPr>
              <w:spacing w:after="0"/>
              <w:rPr>
                <w:sz w:val="1"/>
                <w:szCs w:val="1"/>
                <w:color w:val="auto"/>
              </w:rPr>
            </w:pPr>
          </w:p>
        </w:tc>
      </w:tr>
      <w:tr>
        <w:trPr>
          <w:trHeight w:val="139"/>
        </w:trPr>
        <w:tc>
          <w:tcPr>
            <w:tcW w:w="164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b w:val="1"/>
                <w:bCs w:val="1"/>
                <w:i w:val="1"/>
                <w:iCs w:val="1"/>
                <w:color w:val="auto"/>
              </w:rPr>
              <w:t>Nominees Who Are</w:t>
            </w: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4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rPr>
              <w:t>Currently Directors</w:t>
            </w:r>
          </w:p>
        </w:tc>
        <w:tc>
          <w:tcPr>
            <w:tcW w:w="360" w:type="dxa"/>
            <w:vAlign w:val="bottom"/>
          </w:tcPr>
          <w:p>
            <w:pPr>
              <w:ind w:left="100"/>
              <w:spacing w:after="0" w:line="146" w:lineRule="exact"/>
              <w:rPr>
                <w:sz w:val="20"/>
                <w:szCs w:val="20"/>
                <w:color w:val="auto"/>
              </w:rPr>
            </w:pPr>
            <w:r>
              <w:rPr>
                <w:rFonts w:ascii="Arial" w:cs="Arial" w:eastAsia="Arial" w:hAnsi="Arial"/>
                <w:sz w:val="14"/>
                <w:szCs w:val="14"/>
                <w:b w:val="1"/>
                <w:bCs w:val="1"/>
                <w:i w:val="1"/>
                <w:iCs w:val="1"/>
                <w:color w:val="auto"/>
              </w:rPr>
              <w:t>​</w:t>
            </w:r>
          </w:p>
        </w:tc>
        <w:tc>
          <w:tcPr>
            <w:tcW w:w="6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rPr>
              <w:t>​</w:t>
            </w:r>
          </w:p>
        </w:tc>
        <w:tc>
          <w:tcPr>
            <w:tcW w:w="420" w:type="dxa"/>
            <w:vAlign w:val="bottom"/>
          </w:tcPr>
          <w:p>
            <w:pPr>
              <w:ind w:left="40"/>
              <w:spacing w:after="0" w:line="146" w:lineRule="exact"/>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ind w:left="40"/>
              <w:spacing w:after="0" w:line="146" w:lineRule="exact"/>
              <w:rPr>
                <w:sz w:val="20"/>
                <w:szCs w:val="20"/>
                <w:color w:val="auto"/>
              </w:rPr>
            </w:pPr>
            <w:r>
              <w:rPr>
                <w:rFonts w:ascii="Arial" w:cs="Arial" w:eastAsia="Arial" w:hAnsi="Arial"/>
                <w:sz w:val="14"/>
                <w:szCs w:val="14"/>
                <w:b w:val="1"/>
                <w:bCs w:val="1"/>
                <w:i w:val="1"/>
                <w:iCs w:val="1"/>
                <w:color w:val="auto"/>
              </w:rPr>
              <w:t>​</w:t>
            </w:r>
          </w:p>
        </w:tc>
        <w:tc>
          <w:tcPr>
            <w:tcW w:w="300" w:type="dxa"/>
            <w:vAlign w:val="bottom"/>
          </w:tcPr>
          <w:p>
            <w:pPr>
              <w:ind w:left="160"/>
              <w:spacing w:after="0" w:line="146" w:lineRule="exact"/>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spacing w:after="0"/>
              <w:rPr>
                <w:sz w:val="12"/>
                <w:szCs w:val="12"/>
                <w:color w:val="auto"/>
              </w:rPr>
            </w:pPr>
          </w:p>
        </w:tc>
        <w:tc>
          <w:tcPr>
            <w:tcW w:w="160" w:type="dxa"/>
            <w:vAlign w:val="bottom"/>
            <w:gridSpan w:val="2"/>
          </w:tcPr>
          <w:p>
            <w:pPr>
              <w:ind w:left="100"/>
              <w:spacing w:after="0" w:line="146" w:lineRule="exact"/>
              <w:rPr>
                <w:sz w:val="20"/>
                <w:szCs w:val="20"/>
                <w:color w:val="auto"/>
              </w:rPr>
            </w:pPr>
            <w:r>
              <w:rPr>
                <w:rFonts w:ascii="Arial" w:cs="Arial" w:eastAsia="Arial" w:hAnsi="Arial"/>
                <w:sz w:val="14"/>
                <w:szCs w:val="14"/>
                <w:b w:val="1"/>
                <w:bCs w:val="1"/>
                <w:i w:val="1"/>
                <w:iCs w:val="1"/>
                <w:color w:val="auto"/>
              </w:rPr>
              <w:t>​</w:t>
            </w:r>
          </w:p>
        </w:tc>
        <w:tc>
          <w:tcPr>
            <w:tcW w:w="640" w:type="dxa"/>
            <w:vAlign w:val="bottom"/>
          </w:tcPr>
          <w:p>
            <w:pPr>
              <w:ind w:left="240"/>
              <w:spacing w:after="0" w:line="146" w:lineRule="exact"/>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rPr>
              <w:t>​</w:t>
            </w:r>
          </w:p>
        </w:tc>
        <w:tc>
          <w:tcPr>
            <w:tcW w:w="500" w:type="dxa"/>
            <w:vAlign w:val="bottom"/>
          </w:tcPr>
          <w:p>
            <w:pPr>
              <w:ind w:left="180"/>
              <w:spacing w:after="0" w:line="146" w:lineRule="exact"/>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ind w:left="80"/>
              <w:spacing w:after="0" w:line="146" w:lineRule="exact"/>
              <w:rPr>
                <w:sz w:val="20"/>
                <w:szCs w:val="20"/>
                <w:color w:val="auto"/>
              </w:rPr>
            </w:pPr>
            <w:r>
              <w:rPr>
                <w:rFonts w:ascii="Arial" w:cs="Arial" w:eastAsia="Arial" w:hAnsi="Arial"/>
                <w:sz w:val="14"/>
                <w:szCs w:val="14"/>
                <w:b w:val="1"/>
                <w:bCs w:val="1"/>
                <w:i w:val="1"/>
                <w:iCs w:val="1"/>
                <w:color w:val="auto"/>
              </w:rPr>
              <w:t>​</w:t>
            </w:r>
          </w:p>
        </w:tc>
        <w:tc>
          <w:tcPr>
            <w:tcW w:w="800" w:type="dxa"/>
            <w:vAlign w:val="bottom"/>
          </w:tcPr>
          <w:p>
            <w:pPr>
              <w:ind w:left="300"/>
              <w:spacing w:after="0" w:line="146" w:lineRule="exact"/>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ind w:left="40"/>
              <w:spacing w:after="0" w:line="146" w:lineRule="exact"/>
              <w:rPr>
                <w:sz w:val="20"/>
                <w:szCs w:val="20"/>
                <w:color w:val="auto"/>
              </w:rPr>
            </w:pPr>
            <w:r>
              <w:rPr>
                <w:rFonts w:ascii="Arial" w:cs="Arial" w:eastAsia="Arial" w:hAnsi="Arial"/>
                <w:sz w:val="14"/>
                <w:szCs w:val="14"/>
                <w:b w:val="1"/>
                <w:bCs w:val="1"/>
                <w:i w:val="1"/>
                <w:iCs w:val="1"/>
                <w:color w:val="auto"/>
              </w:rPr>
              <w:t>​</w:t>
            </w:r>
          </w:p>
        </w:tc>
        <w:tc>
          <w:tcPr>
            <w:tcW w:w="620" w:type="dxa"/>
            <w:vAlign w:val="bottom"/>
          </w:tcPr>
          <w:p>
            <w:pPr>
              <w:ind w:left="260"/>
              <w:spacing w:after="0" w:line="146" w:lineRule="exact"/>
              <w:rPr>
                <w:sz w:val="20"/>
                <w:szCs w:val="20"/>
                <w:color w:val="auto"/>
              </w:rPr>
            </w:pPr>
            <w:r>
              <w:rPr>
                <w:rFonts w:ascii="Arial" w:cs="Arial" w:eastAsia="Arial" w:hAnsi="Arial"/>
                <w:sz w:val="14"/>
                <w:szCs w:val="14"/>
                <w:b w:val="1"/>
                <w:bCs w:val="1"/>
                <w:i w:val="1"/>
                <w:iCs w:val="1"/>
                <w:color w:val="auto"/>
              </w:rPr>
              <w:t>​</w:t>
            </w:r>
          </w:p>
        </w:tc>
        <w:tc>
          <w:tcPr>
            <w:tcW w:w="24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rPr>
              <w:t>​</w:t>
            </w:r>
          </w:p>
        </w:tc>
        <w:tc>
          <w:tcPr>
            <w:tcW w:w="580" w:type="dxa"/>
            <w:vAlign w:val="bottom"/>
          </w:tcPr>
          <w:p>
            <w:pPr>
              <w:ind w:left="160"/>
              <w:spacing w:after="0" w:line="146" w:lineRule="exact"/>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c>
          <w:tcPr>
            <w:tcW w:w="0" w:type="dxa"/>
            <w:vAlign w:val="bottom"/>
          </w:tcPr>
          <w:p>
            <w:pPr>
              <w:spacing w:after="0"/>
              <w:rPr>
                <w:sz w:val="1"/>
                <w:szCs w:val="1"/>
                <w:color w:val="auto"/>
              </w:rPr>
            </w:pPr>
          </w:p>
        </w:tc>
      </w:tr>
      <w:tr>
        <w:trPr>
          <w:trHeight w:val="158"/>
        </w:trPr>
        <w:tc>
          <w:tcPr>
            <w:tcW w:w="1640" w:type="dxa"/>
            <w:vAlign w:val="bottom"/>
          </w:tcPr>
          <w:p>
            <w:pPr>
              <w:spacing w:after="0" w:line="158" w:lineRule="exact"/>
              <w:rPr>
                <w:sz w:val="20"/>
                <w:szCs w:val="20"/>
                <w:color w:val="auto"/>
              </w:rPr>
            </w:pPr>
            <w:r>
              <w:rPr>
                <w:rFonts w:ascii="Arial" w:cs="Arial" w:eastAsia="Arial" w:hAnsi="Arial"/>
                <w:sz w:val="14"/>
                <w:szCs w:val="14"/>
                <w:color w:val="auto"/>
              </w:rPr>
              <w:t>John. G. Aldridge, Jr.</w:t>
            </w:r>
          </w:p>
        </w:tc>
        <w:tc>
          <w:tcPr>
            <w:tcW w:w="360" w:type="dxa"/>
            <w:vAlign w:val="bottom"/>
          </w:tcPr>
          <w:p>
            <w:pPr>
              <w:ind w:left="100"/>
              <w:spacing w:after="0" w:line="158" w:lineRule="exact"/>
              <w:rPr>
                <w:sz w:val="20"/>
                <w:szCs w:val="20"/>
                <w:color w:val="auto"/>
              </w:rPr>
            </w:pPr>
            <w:r>
              <w:rPr>
                <w:rFonts w:ascii="Arial" w:cs="Arial" w:eastAsia="Arial" w:hAnsi="Arial"/>
                <w:sz w:val="14"/>
                <w:szCs w:val="14"/>
                <w:color w:val="auto"/>
              </w:rPr>
              <w:t>​56</w:t>
            </w:r>
          </w:p>
        </w:tc>
        <w:tc>
          <w:tcPr>
            <w:tcW w:w="6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420" w:type="dxa"/>
            <w:vAlign w:val="bottom"/>
          </w:tcPr>
          <w:p>
            <w:pPr>
              <w:ind w:left="40"/>
              <w:spacing w:after="0" w:line="158" w:lineRule="exact"/>
              <w:rPr>
                <w:sz w:val="20"/>
                <w:szCs w:val="20"/>
                <w:color w:val="auto"/>
              </w:rPr>
            </w:pPr>
            <w:r>
              <w:rPr>
                <w:rFonts w:ascii="Arial" w:cs="Arial" w:eastAsia="Arial" w:hAnsi="Arial"/>
                <w:sz w:val="14"/>
                <w:szCs w:val="14"/>
                <w:color w:val="auto"/>
              </w:rPr>
              <w:t>​2022</w:t>
            </w:r>
          </w:p>
        </w:tc>
        <w:tc>
          <w:tcPr>
            <w:tcW w:w="2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58"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auto"/>
                <w:highlight w:val="black"/>
                <w:w w:val="85"/>
              </w:rPr>
              <w:t>✓</w:t>
            </w:r>
          </w:p>
        </w:tc>
        <w:tc>
          <w:tcPr>
            <w:tcW w:w="220" w:type="dxa"/>
            <w:vAlign w:val="bottom"/>
          </w:tcPr>
          <w:p>
            <w:pPr>
              <w:spacing w:after="0"/>
              <w:rPr>
                <w:sz w:val="13"/>
                <w:szCs w:val="13"/>
                <w:color w:val="auto"/>
              </w:rPr>
            </w:pPr>
          </w:p>
        </w:tc>
        <w:tc>
          <w:tcPr>
            <w:tcW w:w="160" w:type="dxa"/>
            <w:vAlign w:val="bottom"/>
            <w:gridSpan w:val="2"/>
          </w:tcPr>
          <w:p>
            <w:pPr>
              <w:ind w:left="10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ind w:left="18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58" w:lineRule="exact"/>
              <w:rPr>
                <w:sz w:val="20"/>
                <w:szCs w:val="20"/>
                <w:color w:val="auto"/>
              </w:rPr>
            </w:pPr>
            <w:r>
              <w:rPr>
                <w:rFonts w:ascii="Arial" w:cs="Arial" w:eastAsia="Arial" w:hAnsi="Arial"/>
                <w:sz w:val="14"/>
                <w:szCs w:val="14"/>
                <w:color w:val="auto"/>
              </w:rPr>
              <w:t>​</w:t>
            </w:r>
          </w:p>
        </w:tc>
        <w:tc>
          <w:tcPr>
            <w:tcW w:w="800" w:type="dxa"/>
            <w:vAlign w:val="bottom"/>
          </w:tcPr>
          <w:p>
            <w:pPr>
              <w:ind w:left="30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ind w:left="260"/>
              <w:spacing w:after="0" w:line="157" w:lineRule="exact"/>
              <w:rPr>
                <w:sz w:val="20"/>
                <w:szCs w:val="20"/>
                <w:color w:val="auto"/>
              </w:rPr>
            </w:pPr>
            <w:r>
              <w:rPr>
                <w:rFonts w:ascii="Arial" w:cs="Arial" w:eastAsia="Arial" w:hAnsi="Arial"/>
                <w:sz w:val="18"/>
                <w:szCs w:val="18"/>
                <w:color w:val="auto"/>
                <w:vertAlign w:val="subscript"/>
              </w:rPr>
              <w:t>​</w:t>
            </w:r>
            <w:r>
              <w:rPr>
                <w:rFonts w:ascii="MS PGothic" w:cs="MS PGothic" w:eastAsia="MS PGothic" w:hAnsi="MS PGothic"/>
                <w:sz w:val="18"/>
                <w:szCs w:val="18"/>
                <w:color w:val="auto"/>
                <w:highlight w:val="black"/>
                <w:vertAlign w:val="subscript"/>
              </w:rPr>
              <w:t>✓</w:t>
            </w:r>
            <w:r>
              <w:rPr>
                <w:rFonts w:ascii="Arial" w:cs="Arial" w:eastAsia="Arial" w:hAnsi="Arial"/>
                <w:sz w:val="7"/>
                <w:szCs w:val="7"/>
                <w:color w:val="auto"/>
              </w:rPr>
              <w:t>(2)</w:t>
            </w:r>
          </w:p>
        </w:tc>
        <w:tc>
          <w:tcPr>
            <w:tcW w:w="240" w:type="dxa"/>
            <w:vAlign w:val="bottom"/>
          </w:tcPr>
          <w:p>
            <w:pPr>
              <w:jc w:val="center"/>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ind w:left="160"/>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2"/>
        </w:trPr>
        <w:tc>
          <w:tcPr>
            <w:tcW w:w="1640" w:type="dxa"/>
            <w:vAlign w:val="bottom"/>
          </w:tcPr>
          <w:p>
            <w:pPr>
              <w:spacing w:after="0"/>
              <w:rPr>
                <w:sz w:val="20"/>
                <w:szCs w:val="20"/>
                <w:color w:val="auto"/>
              </w:rPr>
            </w:pPr>
            <w:r>
              <w:rPr>
                <w:rFonts w:ascii="Arial" w:cs="Arial" w:eastAsia="Arial" w:hAnsi="Arial"/>
                <w:sz w:val="14"/>
                <w:szCs w:val="14"/>
                <w:color w:val="auto"/>
              </w:rPr>
              <w:t>Mary C. Hickok</w:t>
            </w:r>
          </w:p>
        </w:tc>
        <w:tc>
          <w:tcPr>
            <w:tcW w:w="360" w:type="dxa"/>
            <w:vAlign w:val="bottom"/>
          </w:tcPr>
          <w:p>
            <w:pPr>
              <w:ind w:left="100"/>
              <w:spacing w:after="0"/>
              <w:rPr>
                <w:sz w:val="20"/>
                <w:szCs w:val="20"/>
                <w:color w:val="auto"/>
              </w:rPr>
            </w:pPr>
            <w:r>
              <w:rPr>
                <w:rFonts w:ascii="Arial" w:cs="Arial" w:eastAsia="Arial" w:hAnsi="Arial"/>
                <w:sz w:val="14"/>
                <w:szCs w:val="14"/>
                <w:color w:val="auto"/>
              </w:rPr>
              <w:t>​31</w:t>
            </w:r>
          </w:p>
        </w:tc>
        <w:tc>
          <w:tcPr>
            <w:tcW w:w="480" w:type="dxa"/>
            <w:vAlign w:val="bottom"/>
            <w:gridSpan w:val="2"/>
          </w:tcPr>
          <w:p>
            <w:pPr>
              <w:spacing w:after="0"/>
              <w:rPr>
                <w:sz w:val="20"/>
                <w:szCs w:val="20"/>
                <w:color w:val="auto"/>
              </w:rPr>
            </w:pPr>
            <w:r>
              <w:rPr>
                <w:rFonts w:ascii="Arial" w:cs="Arial" w:eastAsia="Arial" w:hAnsi="Arial"/>
                <w:sz w:val="14"/>
                <w:szCs w:val="14"/>
                <w:color w:val="auto"/>
              </w:rPr>
              <w:t>​ ​2022</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auto"/>
                <w:highlight w:val="black"/>
                <w:w w:val="85"/>
              </w:rPr>
              <w:t>✓</w:t>
            </w:r>
          </w:p>
        </w:tc>
        <w:tc>
          <w:tcPr>
            <w:tcW w:w="220" w:type="dxa"/>
            <w:vAlign w:val="bottom"/>
          </w:tcPr>
          <w:p>
            <w:pPr>
              <w:spacing w:after="0"/>
              <w:rPr>
                <w:sz w:val="16"/>
                <w:szCs w:val="16"/>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ind w:left="18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line="191" w:lineRule="exact"/>
              <w:rPr>
                <w:sz w:val="20"/>
                <w:szCs w:val="20"/>
                <w:color w:val="auto"/>
              </w:rPr>
            </w:pPr>
            <w:r>
              <w:rPr>
                <w:rFonts w:ascii="Arial" w:cs="Arial" w:eastAsia="Arial" w:hAnsi="Arial"/>
                <w:sz w:val="22"/>
                <w:szCs w:val="22"/>
                <w:color w:val="auto"/>
                <w:vertAlign w:val="subscript"/>
              </w:rPr>
              <w:t>​</w:t>
            </w:r>
            <w:r>
              <w:rPr>
                <w:rFonts w:ascii="MS PGothic" w:cs="MS PGothic" w:eastAsia="MS PGothic" w:hAnsi="MS PGothic"/>
                <w:sz w:val="22"/>
                <w:szCs w:val="22"/>
                <w:color w:val="auto"/>
                <w:highlight w:val="black"/>
                <w:vertAlign w:val="subscript"/>
              </w:rPr>
              <w:t>✓</w:t>
            </w:r>
            <w:r>
              <w:rPr>
                <w:rFonts w:ascii="Arial" w:cs="Arial" w:eastAsia="Arial" w:hAnsi="Arial"/>
                <w:sz w:val="8"/>
                <w:szCs w:val="8"/>
                <w:color w:val="auto"/>
              </w:rPr>
              <w:t>(2)</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rPr>
                <w:sz w:val="20"/>
                <w:szCs w:val="20"/>
                <w:color w:val="auto"/>
              </w:rPr>
            </w:pPr>
            <w:r>
              <w:rPr>
                <w:rFonts w:ascii="Arial" w:cs="Arial" w:eastAsia="Arial" w:hAnsi="Arial"/>
                <w:sz w:val="14"/>
                <w:szCs w:val="14"/>
                <w:color w:val="auto"/>
              </w:rPr>
              <w:t>​</w:t>
            </w:r>
          </w:p>
        </w:tc>
        <w:tc>
          <w:tcPr>
            <w:tcW w:w="24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9"/>
        </w:trPr>
        <w:tc>
          <w:tcPr>
            <w:tcW w:w="1640" w:type="dxa"/>
            <w:vAlign w:val="bottom"/>
          </w:tcPr>
          <w:p>
            <w:pPr>
              <w:spacing w:after="0"/>
              <w:rPr>
                <w:sz w:val="20"/>
                <w:szCs w:val="20"/>
                <w:color w:val="auto"/>
              </w:rPr>
            </w:pPr>
            <w:r>
              <w:rPr>
                <w:rFonts w:ascii="Arial" w:cs="Arial" w:eastAsia="Arial" w:hAnsi="Arial"/>
                <w:sz w:val="14"/>
                <w:szCs w:val="14"/>
                <w:color w:val="auto"/>
              </w:rPr>
              <w:t>Joseph L. Morettini</w:t>
            </w:r>
          </w:p>
        </w:tc>
        <w:tc>
          <w:tcPr>
            <w:tcW w:w="360" w:type="dxa"/>
            <w:vAlign w:val="bottom"/>
          </w:tcPr>
          <w:p>
            <w:pPr>
              <w:ind w:left="100"/>
              <w:spacing w:after="0"/>
              <w:rPr>
                <w:sz w:val="20"/>
                <w:szCs w:val="20"/>
                <w:color w:val="auto"/>
              </w:rPr>
            </w:pPr>
            <w:r>
              <w:rPr>
                <w:rFonts w:ascii="Arial" w:cs="Arial" w:eastAsia="Arial" w:hAnsi="Arial"/>
                <w:sz w:val="14"/>
                <w:szCs w:val="14"/>
                <w:color w:val="auto"/>
              </w:rPr>
              <w:t>​72</w:t>
            </w:r>
          </w:p>
        </w:tc>
        <w:tc>
          <w:tcPr>
            <w:tcW w:w="480" w:type="dxa"/>
            <w:vAlign w:val="bottom"/>
            <w:gridSpan w:val="2"/>
          </w:tcPr>
          <w:p>
            <w:pPr>
              <w:spacing w:after="0"/>
              <w:rPr>
                <w:sz w:val="20"/>
                <w:szCs w:val="20"/>
                <w:color w:val="auto"/>
              </w:rPr>
            </w:pPr>
            <w:r>
              <w:rPr>
                <w:rFonts w:ascii="Arial" w:cs="Arial" w:eastAsia="Arial" w:hAnsi="Arial"/>
                <w:sz w:val="14"/>
                <w:szCs w:val="14"/>
                <w:color w:val="auto"/>
              </w:rPr>
              <w:t>​ ​2017</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auto"/>
                <w:highlight w:val="black"/>
                <w:w w:val="85"/>
              </w:rPr>
              <w:t>✓</w:t>
            </w:r>
          </w:p>
        </w:tc>
        <w:tc>
          <w:tcPr>
            <w:tcW w:w="220" w:type="dxa"/>
            <w:vAlign w:val="bottom"/>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ind w:left="18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rPr>
                <w:sz w:val="20"/>
                <w:szCs w:val="20"/>
                <w:color w:val="auto"/>
              </w:rPr>
            </w:pPr>
            <w:r>
              <w:rPr>
                <w:rFonts w:ascii="Arial" w:cs="Arial" w:eastAsia="Arial" w:hAnsi="Arial"/>
                <w:sz w:val="14"/>
                <w:szCs w:val="14"/>
                <w:color w:val="auto"/>
              </w:rPr>
              <w:t>​</w:t>
            </w:r>
          </w:p>
        </w:tc>
        <w:tc>
          <w:tcPr>
            <w:tcW w:w="24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ind w:left="160"/>
              <w:spacing w:after="0" w:line="169" w:lineRule="exact"/>
              <w:rPr>
                <w:sz w:val="20"/>
                <w:szCs w:val="20"/>
                <w:color w:val="auto"/>
              </w:rPr>
            </w:pPr>
            <w:r>
              <w:rPr>
                <w:rFonts w:ascii="Arial" w:cs="Arial" w:eastAsia="Arial" w:hAnsi="Arial"/>
                <w:sz w:val="19"/>
                <w:szCs w:val="19"/>
                <w:color w:val="auto"/>
                <w:vertAlign w:val="subscript"/>
              </w:rPr>
              <w:t>​</w:t>
            </w:r>
            <w:r>
              <w:rPr>
                <w:rFonts w:ascii="MS PGothic" w:cs="MS PGothic" w:eastAsia="MS PGothic" w:hAnsi="MS PGothic"/>
                <w:sz w:val="19"/>
                <w:szCs w:val="19"/>
                <w:color w:val="auto"/>
                <w:highlight w:val="black"/>
                <w:vertAlign w:val="subscript"/>
              </w:rPr>
              <w:t>✓</w:t>
            </w:r>
            <w:r>
              <w:rPr>
                <w:rFonts w:ascii="Arial" w:cs="Arial" w:eastAsia="Arial" w:hAnsi="Arial"/>
                <w:sz w:val="7"/>
                <w:szCs w:val="7"/>
                <w:color w:val="auto"/>
              </w:rPr>
              <w:t>(2)</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0"/>
        </w:trPr>
        <w:tc>
          <w:tcPr>
            <w:tcW w:w="1640" w:type="dxa"/>
            <w:vAlign w:val="bottom"/>
          </w:tcPr>
          <w:p>
            <w:pPr>
              <w:spacing w:after="0" w:line="181" w:lineRule="exact"/>
              <w:rPr>
                <w:sz w:val="20"/>
                <w:szCs w:val="20"/>
                <w:color w:val="auto"/>
              </w:rPr>
            </w:pPr>
            <w:r>
              <w:rPr>
                <w:rFonts w:ascii="Arial" w:cs="Arial" w:eastAsia="Arial" w:hAnsi="Arial"/>
                <w:sz w:val="14"/>
                <w:szCs w:val="14"/>
                <w:color w:val="auto"/>
              </w:rPr>
              <w:t>Roland Müller-Ineichen</w:t>
            </w:r>
            <w:r>
              <w:rPr>
                <w:rFonts w:ascii="Arial" w:cs="Arial" w:eastAsia="Arial" w:hAnsi="Arial"/>
                <w:sz w:val="16"/>
                <w:szCs w:val="16"/>
                <w:color w:val="auto"/>
                <w:vertAlign w:val="superscript"/>
              </w:rPr>
              <w:t>(3)</w:t>
            </w:r>
          </w:p>
        </w:tc>
        <w:tc>
          <w:tcPr>
            <w:tcW w:w="360" w:type="dxa"/>
            <w:vAlign w:val="bottom"/>
          </w:tcPr>
          <w:p>
            <w:pPr>
              <w:ind w:left="100"/>
              <w:spacing w:after="0"/>
              <w:rPr>
                <w:sz w:val="20"/>
                <w:szCs w:val="20"/>
                <w:color w:val="auto"/>
              </w:rPr>
            </w:pPr>
            <w:r>
              <w:rPr>
                <w:rFonts w:ascii="Arial" w:cs="Arial" w:eastAsia="Arial" w:hAnsi="Arial"/>
                <w:sz w:val="14"/>
                <w:szCs w:val="14"/>
                <w:color w:val="auto"/>
              </w:rPr>
              <w:t>​64</w:t>
            </w:r>
          </w:p>
        </w:tc>
        <w:tc>
          <w:tcPr>
            <w:tcW w:w="480" w:type="dxa"/>
            <w:vAlign w:val="bottom"/>
            <w:gridSpan w:val="2"/>
          </w:tcPr>
          <w:p>
            <w:pPr>
              <w:spacing w:after="0"/>
              <w:rPr>
                <w:sz w:val="20"/>
                <w:szCs w:val="20"/>
                <w:color w:val="auto"/>
              </w:rPr>
            </w:pPr>
            <w:r>
              <w:rPr>
                <w:rFonts w:ascii="Arial" w:cs="Arial" w:eastAsia="Arial" w:hAnsi="Arial"/>
                <w:sz w:val="14"/>
                <w:szCs w:val="14"/>
                <w:color w:val="auto"/>
              </w:rPr>
              <w:t>​ ​2009</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auto"/>
                <w:highlight w:val="black"/>
                <w:w w:val="85"/>
              </w:rPr>
              <w:t>✓</w:t>
            </w:r>
          </w:p>
        </w:tc>
        <w:tc>
          <w:tcPr>
            <w:tcW w:w="220" w:type="dxa"/>
            <w:vAlign w:val="bottom"/>
          </w:tcPr>
          <w:p>
            <w:pPr>
              <w:spacing w:after="0"/>
              <w:rPr>
                <w:sz w:val="15"/>
                <w:szCs w:val="15"/>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line="181" w:lineRule="exact"/>
              <w:rPr>
                <w:sz w:val="20"/>
                <w:szCs w:val="20"/>
                <w:color w:val="auto"/>
              </w:rPr>
            </w:pPr>
            <w:r>
              <w:rPr>
                <w:rFonts w:ascii="Arial" w:cs="Arial" w:eastAsia="Arial" w:hAnsi="Arial"/>
                <w:sz w:val="20"/>
                <w:szCs w:val="20"/>
                <w:color w:val="auto"/>
                <w:vertAlign w:val="subscript"/>
              </w:rPr>
              <w:t>​</w:t>
            </w:r>
            <w:r>
              <w:rPr>
                <w:rFonts w:ascii="MS PGothic" w:cs="MS PGothic" w:eastAsia="MS PGothic" w:hAnsi="MS PGothic"/>
                <w:sz w:val="20"/>
                <w:szCs w:val="20"/>
                <w:color w:val="auto"/>
                <w:highlight w:val="black"/>
                <w:vertAlign w:val="subscript"/>
              </w:rPr>
              <w:t>✓</w:t>
            </w:r>
            <w:r>
              <w:rPr>
                <w:rFonts w:ascii="Arial" w:cs="Arial" w:eastAsia="Arial" w:hAnsi="Arial"/>
                <w:sz w:val="7"/>
                <w:szCs w:val="7"/>
                <w:color w:val="auto"/>
              </w:rPr>
              <w:t>(2)</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ind w:left="180"/>
              <w:spacing w:after="0" w:line="181" w:lineRule="exact"/>
              <w:rPr>
                <w:sz w:val="20"/>
                <w:szCs w:val="20"/>
                <w:color w:val="auto"/>
              </w:rPr>
            </w:pPr>
            <w:r>
              <w:rPr>
                <w:rFonts w:ascii="Arial" w:cs="Arial" w:eastAsia="Arial" w:hAnsi="Arial"/>
                <w:sz w:val="20"/>
                <w:szCs w:val="20"/>
                <w:color w:val="auto"/>
                <w:vertAlign w:val="subscript"/>
              </w:rPr>
              <w:t>​</w:t>
            </w:r>
            <w:r>
              <w:rPr>
                <w:rFonts w:ascii="MS PGothic" w:cs="MS PGothic" w:eastAsia="MS PGothic" w:hAnsi="MS PGothic"/>
                <w:sz w:val="20"/>
                <w:szCs w:val="20"/>
                <w:color w:val="auto"/>
                <w:highlight w:val="black"/>
                <w:vertAlign w:val="subscript"/>
              </w:rPr>
              <w:t>✓</w:t>
            </w:r>
            <w:r>
              <w:rPr>
                <w:rFonts w:ascii="Arial" w:cs="Arial" w:eastAsia="Arial" w:hAnsi="Arial"/>
                <w:sz w:val="7"/>
                <w:szCs w:val="7"/>
                <w:color w:val="auto"/>
              </w:rPr>
              <w:t>(2)</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rPr>
                <w:sz w:val="20"/>
                <w:szCs w:val="20"/>
                <w:color w:val="auto"/>
              </w:rPr>
            </w:pPr>
            <w:r>
              <w:rPr>
                <w:rFonts w:ascii="Arial" w:cs="Arial" w:eastAsia="Arial" w:hAnsi="Arial"/>
                <w:sz w:val="14"/>
                <w:szCs w:val="14"/>
                <w:color w:val="auto"/>
              </w:rPr>
              <w:t>​</w:t>
            </w:r>
          </w:p>
        </w:tc>
        <w:tc>
          <w:tcPr>
            <w:tcW w:w="24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ind w:left="16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9"/>
        </w:trPr>
        <w:tc>
          <w:tcPr>
            <w:tcW w:w="1640" w:type="dxa"/>
            <w:vAlign w:val="bottom"/>
          </w:tcPr>
          <w:p>
            <w:pPr>
              <w:spacing w:after="0"/>
              <w:rPr>
                <w:sz w:val="20"/>
                <w:szCs w:val="20"/>
                <w:color w:val="auto"/>
              </w:rPr>
            </w:pPr>
            <w:r>
              <w:rPr>
                <w:rFonts w:ascii="Arial" w:cs="Arial" w:eastAsia="Arial" w:hAnsi="Arial"/>
                <w:sz w:val="14"/>
                <w:szCs w:val="14"/>
                <w:color w:val="auto"/>
              </w:rPr>
              <w:t>William B. Shepro</w:t>
            </w:r>
          </w:p>
        </w:tc>
        <w:tc>
          <w:tcPr>
            <w:tcW w:w="360" w:type="dxa"/>
            <w:vAlign w:val="bottom"/>
          </w:tcPr>
          <w:p>
            <w:pPr>
              <w:ind w:left="100"/>
              <w:spacing w:after="0"/>
              <w:rPr>
                <w:sz w:val="20"/>
                <w:szCs w:val="20"/>
                <w:color w:val="auto"/>
              </w:rPr>
            </w:pPr>
            <w:r>
              <w:rPr>
                <w:rFonts w:ascii="Arial" w:cs="Arial" w:eastAsia="Arial" w:hAnsi="Arial"/>
                <w:sz w:val="14"/>
                <w:szCs w:val="14"/>
                <w:color w:val="auto"/>
              </w:rPr>
              <w:t>​56</w:t>
            </w:r>
          </w:p>
        </w:tc>
        <w:tc>
          <w:tcPr>
            <w:tcW w:w="480" w:type="dxa"/>
            <w:vAlign w:val="bottom"/>
            <w:gridSpan w:val="2"/>
          </w:tcPr>
          <w:p>
            <w:pPr>
              <w:spacing w:after="0"/>
              <w:rPr>
                <w:sz w:val="20"/>
                <w:szCs w:val="20"/>
                <w:color w:val="auto"/>
              </w:rPr>
            </w:pPr>
            <w:r>
              <w:rPr>
                <w:rFonts w:ascii="Arial" w:cs="Arial" w:eastAsia="Arial" w:hAnsi="Arial"/>
                <w:sz w:val="14"/>
                <w:szCs w:val="14"/>
                <w:color w:val="auto"/>
              </w:rPr>
              <w:t>​ ​2009</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ind w:left="180"/>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24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59"/>
        </w:trPr>
        <w:tc>
          <w:tcPr>
            <w:tcW w:w="1640" w:type="dxa"/>
            <w:vAlign w:val="bottom"/>
          </w:tcPr>
          <w:p>
            <w:pPr>
              <w:spacing w:after="0"/>
              <w:rPr>
                <w:sz w:val="20"/>
                <w:szCs w:val="20"/>
                <w:color w:val="auto"/>
              </w:rPr>
            </w:pPr>
            <w:r>
              <w:rPr>
                <w:rFonts w:ascii="Arial" w:cs="Arial" w:eastAsia="Arial" w:hAnsi="Arial"/>
                <w:sz w:val="14"/>
                <w:szCs w:val="14"/>
                <w:b w:val="1"/>
                <w:bCs w:val="1"/>
                <w:i w:val="1"/>
                <w:iCs w:val="1"/>
                <w:color w:val="auto"/>
              </w:rPr>
              <w:t>Lender Nominees</w:t>
            </w:r>
          </w:p>
        </w:tc>
        <w:tc>
          <w:tcPr>
            <w:tcW w:w="36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w:t>
            </w:r>
          </w:p>
        </w:tc>
        <w:tc>
          <w:tcPr>
            <w:tcW w:w="2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vMerge w:val="restart"/>
          </w:tcPr>
          <w:p>
            <w:pPr>
              <w:jc w:val="right"/>
              <w:ind w:right="79"/>
              <w:spacing w:after="0"/>
              <w:rPr>
                <w:sz w:val="20"/>
                <w:szCs w:val="20"/>
                <w:color w:val="auto"/>
              </w:rPr>
            </w:pPr>
            <w:r>
              <w:rPr>
                <w:rFonts w:ascii="Arial" w:cs="Arial" w:eastAsia="Arial" w:hAnsi="Arial"/>
                <w:sz w:val="8"/>
                <w:szCs w:val="8"/>
                <w:color w:val="auto"/>
                <w:w w:val="81"/>
              </w:rPr>
              <w:t>(4)</w:t>
            </w:r>
          </w:p>
        </w:tc>
        <w:tc>
          <w:tcPr>
            <w:tcW w:w="16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tcPr>
          <w:p>
            <w:pPr>
              <w:ind w:left="24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50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80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58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c>
          <w:tcPr>
            <w:tcW w:w="0" w:type="dxa"/>
            <w:vAlign w:val="bottom"/>
          </w:tcPr>
          <w:p>
            <w:pPr>
              <w:spacing w:after="0"/>
              <w:rPr>
                <w:sz w:val="1"/>
                <w:szCs w:val="1"/>
                <w:color w:val="auto"/>
              </w:rPr>
            </w:pPr>
          </w:p>
        </w:tc>
      </w:tr>
      <w:tr>
        <w:trPr>
          <w:trHeight w:val="169"/>
        </w:trPr>
        <w:tc>
          <w:tcPr>
            <w:tcW w:w="1640" w:type="dxa"/>
            <w:vAlign w:val="bottom"/>
          </w:tcPr>
          <w:p>
            <w:pPr>
              <w:spacing w:after="0"/>
              <w:rPr>
                <w:sz w:val="20"/>
                <w:szCs w:val="20"/>
                <w:color w:val="auto"/>
              </w:rPr>
            </w:pPr>
            <w:r>
              <w:rPr>
                <w:rFonts w:ascii="Arial" w:cs="Arial" w:eastAsia="Arial" w:hAnsi="Arial"/>
                <w:sz w:val="14"/>
                <w:szCs w:val="14"/>
                <w:color w:val="auto"/>
              </w:rPr>
              <w:t>Wesley G. Iseley</w:t>
            </w:r>
          </w:p>
        </w:tc>
        <w:tc>
          <w:tcPr>
            <w:tcW w:w="360" w:type="dxa"/>
            <w:vAlign w:val="bottom"/>
          </w:tcPr>
          <w:p>
            <w:pPr>
              <w:ind w:left="100"/>
              <w:spacing w:after="0"/>
              <w:rPr>
                <w:sz w:val="20"/>
                <w:szCs w:val="20"/>
                <w:color w:val="auto"/>
              </w:rPr>
            </w:pPr>
            <w:r>
              <w:rPr>
                <w:rFonts w:ascii="Arial" w:cs="Arial" w:eastAsia="Arial" w:hAnsi="Arial"/>
                <w:sz w:val="14"/>
                <w:szCs w:val="14"/>
                <w:color w:val="auto"/>
              </w:rPr>
              <w:t>​66</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center"/>
              <w:spacing w:after="0"/>
              <w:rPr>
                <w:sz w:val="20"/>
                <w:szCs w:val="20"/>
                <w:color w:val="auto"/>
              </w:rPr>
            </w:pPr>
            <w:r>
              <w:rPr>
                <w:rFonts w:ascii="Arial" w:cs="Arial" w:eastAsia="Arial" w:hAnsi="Arial"/>
                <w:sz w:val="14"/>
                <w:szCs w:val="14"/>
                <w:color w:val="auto"/>
                <w:w w:val="94"/>
              </w:rPr>
              <w:t>N/A</w:t>
            </w: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220" w:type="dxa"/>
            <w:vAlign w:val="bottom"/>
            <w:vMerge w:val="continue"/>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4"/>
                <w:szCs w:val="14"/>
                <w:color w:val="auto"/>
              </w:rPr>
            </w:pPr>
          </w:p>
        </w:tc>
        <w:tc>
          <w:tcPr>
            <w:tcW w:w="800" w:type="dxa"/>
            <w:vAlign w:val="bottom"/>
          </w:tcPr>
          <w:p>
            <w:pPr>
              <w:ind w:left="28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620" w:type="dxa"/>
            <w:vAlign w:val="bottom"/>
          </w:tcPr>
          <w:p>
            <w:pPr>
              <w:ind w:left="24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Matthew Winkler</w:t>
            </w:r>
          </w:p>
        </w:tc>
        <w:tc>
          <w:tcPr>
            <w:tcW w:w="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N/A</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w w:val="81"/>
              </w:rPr>
              <w:t>(4)</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-1122680</wp:posOffset>
            </wp:positionV>
            <wp:extent cx="455041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50410" cy="21463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-807720</wp:posOffset>
            </wp:positionV>
            <wp:extent cx="4550410" cy="100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50410" cy="10033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-600075</wp:posOffset>
            </wp:positionV>
            <wp:extent cx="4550410" cy="114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50410" cy="11430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-378460</wp:posOffset>
            </wp:positionV>
            <wp:extent cx="4550410" cy="164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50410" cy="164465"/>
                    </a:xfrm>
                    <a:prstGeom prst="rect">
                      <a:avLst/>
                    </a:prstGeom>
                    <a:noFill/>
                  </pic:spPr>
                </pic:pic>
              </a:graphicData>
            </a:graphic>
          </wp:anchor>
        </w:drawing>
      </w:r>
    </w:p>
    <w:p>
      <w:pPr>
        <w:ind w:left="1380" w:hanging="301"/>
        <w:spacing w:after="0" w:line="226" w:lineRule="auto"/>
        <w:tabs>
          <w:tab w:leader="none" w:pos="1380" w:val="left"/>
        </w:tabs>
        <w:numPr>
          <w:ilvl w:val="0"/>
          <w:numId w:val="21"/>
        </w:numPr>
        <w:rPr>
          <w:rFonts w:ascii="Arial" w:cs="Arial" w:eastAsia="Arial" w:hAnsi="Arial"/>
          <w:sz w:val="18"/>
          <w:szCs w:val="18"/>
          <w:color w:val="auto"/>
          <w:vertAlign w:val="superscript"/>
        </w:rPr>
      </w:pPr>
      <w:r>
        <w:rPr>
          <w:rFonts w:ascii="Arial" w:cs="Arial" w:eastAsia="Arial" w:hAnsi="Arial"/>
          <w:sz w:val="12"/>
          <w:szCs w:val="12"/>
          <w:color w:val="auto"/>
        </w:rPr>
        <w:t>As of March 17, 2025</w:t>
      </w:r>
    </w:p>
    <w:p>
      <w:pPr>
        <w:spacing w:after="0" w:line="56" w:lineRule="exact"/>
        <w:rPr>
          <w:rFonts w:ascii="Arial" w:cs="Arial" w:eastAsia="Arial" w:hAnsi="Arial"/>
          <w:sz w:val="18"/>
          <w:szCs w:val="18"/>
          <w:color w:val="auto"/>
          <w:vertAlign w:val="superscript"/>
        </w:rPr>
      </w:pPr>
    </w:p>
    <w:p>
      <w:pPr>
        <w:ind w:left="1380" w:hanging="301"/>
        <w:spacing w:after="0" w:line="180" w:lineRule="auto"/>
        <w:tabs>
          <w:tab w:leader="none" w:pos="1380" w:val="left"/>
        </w:tabs>
        <w:numPr>
          <w:ilvl w:val="0"/>
          <w:numId w:val="21"/>
        </w:numPr>
        <w:rPr>
          <w:rFonts w:ascii="Arial" w:cs="Arial" w:eastAsia="Arial" w:hAnsi="Arial"/>
          <w:sz w:val="17"/>
          <w:szCs w:val="17"/>
          <w:color w:val="auto"/>
          <w:vertAlign w:val="superscript"/>
        </w:rPr>
      </w:pPr>
      <w:r>
        <w:rPr>
          <w:rFonts w:ascii="Arial" w:cs="Arial" w:eastAsia="Arial" w:hAnsi="Arial"/>
          <w:sz w:val="11"/>
          <w:szCs w:val="11"/>
          <w:color w:val="auto"/>
        </w:rPr>
        <w:t>Committee Chair</w:t>
      </w:r>
    </w:p>
    <w:p>
      <w:pPr>
        <w:spacing w:after="0" w:line="67" w:lineRule="exact"/>
        <w:rPr>
          <w:rFonts w:ascii="Arial" w:cs="Arial" w:eastAsia="Arial" w:hAnsi="Arial"/>
          <w:sz w:val="17"/>
          <w:szCs w:val="17"/>
          <w:color w:val="auto"/>
          <w:vertAlign w:val="superscript"/>
        </w:rPr>
      </w:pPr>
    </w:p>
    <w:p>
      <w:pPr>
        <w:ind w:left="1380" w:hanging="301"/>
        <w:spacing w:after="0" w:line="180" w:lineRule="auto"/>
        <w:tabs>
          <w:tab w:leader="none" w:pos="1380" w:val="left"/>
        </w:tabs>
        <w:numPr>
          <w:ilvl w:val="0"/>
          <w:numId w:val="21"/>
        </w:numPr>
        <w:rPr>
          <w:rFonts w:ascii="Arial" w:cs="Arial" w:eastAsia="Arial" w:hAnsi="Arial"/>
          <w:sz w:val="17"/>
          <w:szCs w:val="17"/>
          <w:color w:val="auto"/>
          <w:vertAlign w:val="superscript"/>
        </w:rPr>
      </w:pPr>
      <w:r>
        <w:rPr>
          <w:rFonts w:ascii="Arial" w:cs="Arial" w:eastAsia="Arial" w:hAnsi="Arial"/>
          <w:sz w:val="11"/>
          <w:szCs w:val="11"/>
          <w:color w:val="auto"/>
        </w:rPr>
        <w:t>Lead Independent Director</w:t>
      </w:r>
    </w:p>
    <w:p>
      <w:pPr>
        <w:spacing w:after="0" w:line="56" w:lineRule="exact"/>
        <w:rPr>
          <w:rFonts w:ascii="Arial" w:cs="Arial" w:eastAsia="Arial" w:hAnsi="Arial"/>
          <w:sz w:val="17"/>
          <w:szCs w:val="17"/>
          <w:color w:val="auto"/>
          <w:vertAlign w:val="superscript"/>
        </w:rPr>
      </w:pPr>
    </w:p>
    <w:p>
      <w:pPr>
        <w:ind w:left="1380" w:right="1139" w:hanging="301"/>
        <w:spacing w:after="0" w:line="204" w:lineRule="auto"/>
        <w:tabs>
          <w:tab w:leader="none" w:pos="1380" w:val="left"/>
        </w:tabs>
        <w:numPr>
          <w:ilvl w:val="0"/>
          <w:numId w:val="21"/>
        </w:numPr>
        <w:rPr>
          <w:rFonts w:ascii="Arial" w:cs="Arial" w:eastAsia="Arial" w:hAnsi="Arial"/>
          <w:sz w:val="18"/>
          <w:szCs w:val="18"/>
          <w:color w:val="auto"/>
          <w:vertAlign w:val="superscript"/>
        </w:rPr>
      </w:pPr>
      <w:r>
        <w:rPr>
          <w:rFonts w:ascii="Arial" w:cs="Arial" w:eastAsia="Arial" w:hAnsi="Arial"/>
          <w:sz w:val="12"/>
          <w:szCs w:val="12"/>
          <w:color w:val="auto"/>
        </w:rPr>
        <w:t>It is expected that our Board will determine that each of these nominees qualifies as an “Independent Director” as such term is defined in Rule 5605(a) of the Nasdaq listing rules</w:t>
      </w:r>
    </w:p>
    <w:p>
      <w:pPr>
        <w:spacing w:after="0" w:line="105" w:lineRule="exact"/>
        <w:rPr>
          <w:sz w:val="20"/>
          <w:szCs w:val="20"/>
          <w:color w:val="auto"/>
        </w:rPr>
      </w:pPr>
    </w:p>
    <w:p>
      <w:pPr>
        <w:ind w:left="1080" w:right="1139"/>
        <w:spacing w:after="0" w:line="286" w:lineRule="auto"/>
        <w:rPr>
          <w:sz w:val="20"/>
          <w:szCs w:val="20"/>
          <w:color w:val="auto"/>
        </w:rPr>
      </w:pPr>
      <w:r>
        <w:rPr>
          <w:rFonts w:ascii="Arial" w:cs="Arial" w:eastAsia="Arial" w:hAnsi="Arial"/>
          <w:sz w:val="15"/>
          <w:szCs w:val="15"/>
          <w:color w:val="auto"/>
        </w:rPr>
        <w:t>We believe that the proposed composition of our Board of Directors will be well-balanced in terms of tenure between more experienced Directors and more recently appointed Directors.</w:t>
      </w:r>
    </w:p>
    <w:p>
      <w:pPr>
        <w:spacing w:after="0" w:line="73" w:lineRule="exact"/>
        <w:rPr>
          <w:sz w:val="20"/>
          <w:szCs w:val="20"/>
          <w:color w:val="auto"/>
        </w:rPr>
      </w:pPr>
    </w:p>
    <w:p>
      <w:pPr>
        <w:ind w:left="1080" w:right="1219"/>
        <w:spacing w:after="0" w:line="261" w:lineRule="auto"/>
        <w:rPr>
          <w:sz w:val="20"/>
          <w:szCs w:val="20"/>
          <w:color w:val="auto"/>
        </w:rPr>
      </w:pPr>
      <w:r>
        <w:rPr>
          <w:rFonts w:ascii="Arial" w:cs="Arial" w:eastAsia="Arial" w:hAnsi="Arial"/>
          <w:sz w:val="15"/>
          <w:szCs w:val="15"/>
          <w:color w:val="auto"/>
        </w:rPr>
        <w:t>The principal occupation for the last five (5) years, as well as additional biographical information for each nominee for Director are set forth below. The nominees for Director collectively bring a wealth of leadership experience and insight derived from relevant industry experience, education and training, service in executive and managerial roles, and board experience.</w:t>
      </w:r>
    </w:p>
    <w:p>
      <w:pPr>
        <w:spacing w:after="0" w:line="264"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b w:val="1"/>
          <w:bCs w:val="1"/>
          <w:i w:val="1"/>
          <w:iCs w:val="1"/>
          <w:color w:val="auto"/>
        </w:rPr>
        <w:t xml:space="preserve">John. G. Aldridge, Jr. </w:t>
      </w:r>
      <w:r>
        <w:rPr>
          <w:rFonts w:ascii="Arial" w:cs="Arial" w:eastAsia="Arial" w:hAnsi="Arial"/>
          <w:sz w:val="15"/>
          <w:szCs w:val="15"/>
          <w:color w:val="auto"/>
        </w:rPr>
        <w:t>Mr. Aldridge was appointed to our Board in May 2022. Mr. Aldridge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founder and managing partner of Aldridge|Pite, LLP (“Aldridge Pite”), a multi-state law firm focusing on the representation of banks, financial institutions, mortgage servicing entities and institutional investors with respect to all facets of the commercial and residential real estate life cycle. Aldridge Pite counts among its client base the 30 largest servicing and financial institutions in the country as well as all governmental enterprises engaged in the mortgage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7" w:name="page18"/>
    <w:bookmarkEnd w:id="17"/>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ind w:left="662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ONE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-181610</wp:posOffset>
            </wp:positionV>
            <wp:extent cx="836930" cy="121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36930" cy="121920"/>
                    </a:xfrm>
                    <a:prstGeom prst="rect">
                      <a:avLst/>
                    </a:prstGeom>
                    <a:noFill/>
                  </pic:spPr>
                </pic:pic>
              </a:graphicData>
            </a:graphic>
          </wp:anchor>
        </w:drawing>
      </w:r>
    </w:p>
    <w:p>
      <w:pPr>
        <w:spacing w:after="0" w:line="95" w:lineRule="exact"/>
        <w:rPr>
          <w:sz w:val="20"/>
          <w:szCs w:val="20"/>
          <w:color w:val="auto"/>
        </w:rPr>
      </w:pPr>
    </w:p>
    <w:p>
      <w:pPr>
        <w:ind w:left="1080" w:right="1099"/>
        <w:spacing w:after="0" w:line="254" w:lineRule="auto"/>
        <w:rPr>
          <w:sz w:val="20"/>
          <w:szCs w:val="20"/>
          <w:color w:val="auto"/>
        </w:rPr>
      </w:pPr>
      <w:r>
        <w:rPr>
          <w:rFonts w:ascii="Arial" w:cs="Arial" w:eastAsia="Arial" w:hAnsi="Arial"/>
          <w:sz w:val="15"/>
          <w:szCs w:val="15"/>
          <w:color w:val="auto"/>
        </w:rPr>
        <w:t>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Boards of Directors of Coastal States Bank and Atlantic Closing &amp; Escrow, and the advisory boards of The Birdsey Group and Wrightwell. Mr. Aldridge has served on industry Boards of Directors as well, including the United States Foreclosure Network, and is a frequent speaker at mortgage banking and real estate conferences across the country. Mr. Aldridge holds a Bachelor of Science in Political Science from the University of North Carolina at Chapel Hill and a Juris Doctor from Emory University School of Law.</w:t>
      </w:r>
    </w:p>
    <w:p>
      <w:pPr>
        <w:spacing w:after="0" w:line="268" w:lineRule="exact"/>
        <w:rPr>
          <w:sz w:val="20"/>
          <w:szCs w:val="20"/>
          <w:color w:val="auto"/>
        </w:rPr>
      </w:pPr>
    </w:p>
    <w:p>
      <w:pPr>
        <w:ind w:left="1080" w:right="1279"/>
        <w:spacing w:after="0" w:line="259" w:lineRule="auto"/>
        <w:rPr>
          <w:sz w:val="20"/>
          <w:szCs w:val="20"/>
          <w:color w:val="auto"/>
        </w:rPr>
      </w:pPr>
      <w:r>
        <w:rPr>
          <w:rFonts w:ascii="Arial" w:cs="Arial" w:eastAsia="Arial" w:hAnsi="Arial"/>
          <w:sz w:val="15"/>
          <w:szCs w:val="15"/>
          <w:color w:val="auto"/>
        </w:rPr>
        <w:t>Mr. Aldridge’s mortgage industry knowledge and extensive relationships with senior management of mortgage origination and servicing companies, developed through professional engagements, strengthens Altisource’s client relationships, leading to new business opportunities. Mr. Aldridge’s expertise in the industry helps Altisource stay ahead of market trends and adapt its services to better serve its clients.</w:t>
      </w:r>
    </w:p>
    <w:p>
      <w:pPr>
        <w:spacing w:after="0" w:line="95" w:lineRule="exact"/>
        <w:rPr>
          <w:sz w:val="20"/>
          <w:szCs w:val="20"/>
          <w:color w:val="auto"/>
        </w:rPr>
      </w:pPr>
    </w:p>
    <w:p>
      <w:pPr>
        <w:ind w:left="1080" w:right="1119"/>
        <w:spacing w:after="0" w:line="256" w:lineRule="auto"/>
        <w:rPr>
          <w:sz w:val="20"/>
          <w:szCs w:val="20"/>
          <w:color w:val="auto"/>
        </w:rPr>
      </w:pPr>
      <w:r>
        <w:rPr>
          <w:rFonts w:ascii="Arial" w:cs="Arial" w:eastAsia="Arial" w:hAnsi="Arial"/>
          <w:sz w:val="15"/>
          <w:szCs w:val="15"/>
          <w:b w:val="1"/>
          <w:bCs w:val="1"/>
          <w:i w:val="1"/>
          <w:iCs w:val="1"/>
          <w:color w:val="auto"/>
        </w:rPr>
        <w:t xml:space="preserve">Mary C. Hickok. </w:t>
      </w:r>
      <w:r>
        <w:rPr>
          <w:rFonts w:ascii="Arial" w:cs="Arial" w:eastAsia="Arial" w:hAnsi="Arial"/>
          <w:sz w:val="15"/>
          <w:szCs w:val="15"/>
          <w:color w:val="auto"/>
        </w:rPr>
        <w:t>Ms. Hickok was appointed to our Board in March 2022. Ms. Hickok serves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Managing Director at Deer Park Road Management Company, LP (“Deer Park”), an alternative investment management firm, where she is responsible for leading the Flywheel SFR Fund, a single-family rental strategy. Prior to joining Deer Park in July 2020, Ms. Hickok served as Associate, Fixed Income Sales and Trading at Morgan Stanley from July 2017 to July 2020. Ms. Hickok holds a Bachelor of Arts in Economics and Foreign Affairs from the University of Virginia, as well as the Chartered Financial Analyst designation.</w:t>
      </w:r>
    </w:p>
    <w:p>
      <w:pPr>
        <w:spacing w:after="0" w:line="98" w:lineRule="exact"/>
        <w:rPr>
          <w:sz w:val="20"/>
          <w:szCs w:val="20"/>
          <w:color w:val="auto"/>
        </w:rPr>
      </w:pPr>
    </w:p>
    <w:p>
      <w:pPr>
        <w:ind w:left="1080" w:right="1179"/>
        <w:spacing w:after="0" w:line="254" w:lineRule="auto"/>
        <w:rPr>
          <w:sz w:val="20"/>
          <w:szCs w:val="20"/>
          <w:color w:val="auto"/>
        </w:rPr>
      </w:pPr>
      <w:r>
        <w:rPr>
          <w:rFonts w:ascii="Arial" w:cs="Arial" w:eastAsia="Arial" w:hAnsi="Arial"/>
          <w:sz w:val="15"/>
          <w:szCs w:val="15"/>
          <w:color w:val="auto"/>
        </w:rPr>
        <w:t>Ms. Hickok’s expertise and experience in business advisory services and asset management, including real estate and mortgage-related investments, provide our Board with a valuable perspective on strategic decision-making and risk management. Deer Park’s position as a Company investor has provided Ms. Hickok with a thorough understanding of our business as well as unique insight into the interests of our long-term investors.</w:t>
      </w:r>
    </w:p>
    <w:p>
      <w:pPr>
        <w:spacing w:after="0" w:line="3" w:lineRule="exact"/>
        <w:rPr>
          <w:sz w:val="20"/>
          <w:szCs w:val="20"/>
          <w:color w:val="auto"/>
        </w:rPr>
      </w:pPr>
    </w:p>
    <w:p>
      <w:pPr>
        <w:ind w:left="1080" w:right="1179"/>
        <w:spacing w:after="0" w:line="266" w:lineRule="auto"/>
        <w:rPr>
          <w:sz w:val="20"/>
          <w:szCs w:val="20"/>
          <w:color w:val="auto"/>
        </w:rPr>
      </w:pPr>
      <w:r>
        <w:rPr>
          <w:rFonts w:ascii="Arial" w:cs="Arial" w:eastAsia="Arial" w:hAnsi="Arial"/>
          <w:sz w:val="15"/>
          <w:szCs w:val="15"/>
          <w:color w:val="auto"/>
        </w:rPr>
        <w:t>Ms. Hickok is financially literate and qualifies as an “audit committee financial expert” within the meaning of SEC regulations.</w:t>
      </w:r>
    </w:p>
    <w:p>
      <w:pPr>
        <w:spacing w:after="0" w:line="77" w:lineRule="exact"/>
        <w:rPr>
          <w:sz w:val="20"/>
          <w:szCs w:val="20"/>
          <w:color w:val="auto"/>
        </w:rPr>
      </w:pPr>
    </w:p>
    <w:p>
      <w:pPr>
        <w:ind w:left="1080" w:right="1159"/>
        <w:spacing w:after="0" w:line="254" w:lineRule="auto"/>
        <w:rPr>
          <w:sz w:val="20"/>
          <w:szCs w:val="20"/>
          <w:color w:val="auto"/>
        </w:rPr>
      </w:pPr>
      <w:r>
        <w:rPr>
          <w:rFonts w:ascii="Arial" w:cs="Arial" w:eastAsia="Arial" w:hAnsi="Arial"/>
          <w:sz w:val="15"/>
          <w:szCs w:val="15"/>
          <w:b w:val="1"/>
          <w:bCs w:val="1"/>
          <w:i w:val="1"/>
          <w:iCs w:val="1"/>
          <w:color w:val="auto"/>
        </w:rPr>
        <w:t xml:space="preserve">Joseph L. Morettini. </w:t>
      </w:r>
      <w:r>
        <w:rPr>
          <w:rFonts w:ascii="Arial" w:cs="Arial" w:eastAsia="Arial" w:hAnsi="Arial"/>
          <w:sz w:val="15"/>
          <w:szCs w:val="15"/>
          <w:color w:val="auto"/>
        </w:rPr>
        <w:t>Mr. Morettini was appointed to our Board in May 2017. Mr. Morettini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a Partner at Deloitte &amp; Touche LLP (“Deloitte”) from 1989 until his retirement in 2015, and in various positions at Deloitte from 1984 to 1989. During his tenure at Deloitte, his client responsibilities included companies in the financial services and mortgage servicing industries, in addition to various public companies from small market capitalization to large market capitalization. From August 2009 to February 2014, he served as the external audit partner assigned to Altisource.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282" w:lineRule="exact"/>
        <w:rPr>
          <w:sz w:val="20"/>
          <w:szCs w:val="20"/>
          <w:color w:val="auto"/>
        </w:rPr>
      </w:pPr>
    </w:p>
    <w:p>
      <w:pPr>
        <w:ind w:left="1080" w:right="1139"/>
        <w:spacing w:after="0" w:line="259" w:lineRule="auto"/>
        <w:rPr>
          <w:sz w:val="20"/>
          <w:szCs w:val="20"/>
          <w:color w:val="auto"/>
        </w:rPr>
      </w:pPr>
      <w:r>
        <w:rPr>
          <w:rFonts w:ascii="Arial" w:cs="Arial" w:eastAsia="Arial" w:hAnsi="Arial"/>
          <w:sz w:val="15"/>
          <w:szCs w:val="15"/>
          <w:color w:val="auto"/>
        </w:rPr>
        <w:t>Mr. Morettini’s extensive experience with large financial institutions and public corporations in the financial services and mortgage servicing industries, as well as his thirty-plus years of experience with Deloitte, provide our Board with valuable insight from an accounting and auditing perspective. Mr. Morettini is financially literate and qualifies as an “audit committee financial expert” within the meaning of SEC regulations.</w:t>
      </w:r>
    </w:p>
    <w:p>
      <w:pPr>
        <w:spacing w:after="0" w:line="95" w:lineRule="exact"/>
        <w:rPr>
          <w:sz w:val="20"/>
          <w:szCs w:val="20"/>
          <w:color w:val="auto"/>
        </w:rPr>
      </w:pPr>
    </w:p>
    <w:p>
      <w:pPr>
        <w:ind w:left="1080" w:right="1139"/>
        <w:spacing w:after="0" w:line="253" w:lineRule="auto"/>
        <w:rPr>
          <w:sz w:val="20"/>
          <w:szCs w:val="20"/>
          <w:color w:val="auto"/>
        </w:rPr>
      </w:pPr>
      <w:r>
        <w:rPr>
          <w:rFonts w:ascii="Arial" w:cs="Arial" w:eastAsia="Arial" w:hAnsi="Arial"/>
          <w:sz w:val="15"/>
          <w:szCs w:val="15"/>
          <w:b w:val="1"/>
          <w:bCs w:val="1"/>
          <w:i w:val="1"/>
          <w:iCs w:val="1"/>
          <w:color w:val="auto"/>
        </w:rPr>
        <w:t xml:space="preserve">Roland Müller-Ineichen. </w:t>
      </w:r>
      <w:r>
        <w:rPr>
          <w:rFonts w:ascii="Arial" w:cs="Arial" w:eastAsia="Arial" w:hAnsi="Arial"/>
          <w:sz w:val="15"/>
          <w:szCs w:val="15"/>
          <w:color w:val="auto"/>
        </w:rPr>
        <w:t>Mr. Müller-Ineichen was appointed to our Board in July 2009 and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Lead Independent Director in September 2020. He also serves on the Board of Directors of ONE Swiss Bank SA, with offices in Geneva, Zurich and Lugano, Switzerland, which offers advisory, asset management and wealth management services; of SWA Swiss Auditors AG, a private company based in Freienbach, Switzerland that provides auditing and consulting services for financial institutions in Switzerland; and of Habib Bank Zurich AG, a provider of corporate, personal, private, and correspondent banking products based in Zurich.</w:t>
      </w:r>
    </w:p>
    <w:p>
      <w:pPr>
        <w:spacing w:after="0" w:line="3" w:lineRule="exact"/>
        <w:rPr>
          <w:sz w:val="20"/>
          <w:szCs w:val="20"/>
          <w:color w:val="auto"/>
        </w:rPr>
      </w:pPr>
    </w:p>
    <w:p>
      <w:pPr>
        <w:ind w:left="1080" w:right="1119"/>
        <w:spacing w:after="0" w:line="253" w:lineRule="auto"/>
        <w:rPr>
          <w:sz w:val="20"/>
          <w:szCs w:val="20"/>
          <w:color w:val="auto"/>
        </w:rPr>
      </w:pPr>
      <w:r>
        <w:rPr>
          <w:rFonts w:ascii="Arial" w:cs="Arial" w:eastAsia="Arial" w:hAnsi="Arial"/>
          <w:sz w:val="15"/>
          <w:szCs w:val="15"/>
          <w:color w:val="auto"/>
        </w:rPr>
        <w:t>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8" w:name="page19"/>
    <w:bookmarkEnd w:id="18"/>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ind w:left="662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ONE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-181610</wp:posOffset>
            </wp:positionV>
            <wp:extent cx="836930" cy="121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36930" cy="121920"/>
                    </a:xfrm>
                    <a:prstGeom prst="rect">
                      <a:avLst/>
                    </a:prstGeom>
                    <a:noFill/>
                  </pic:spPr>
                </pic:pic>
              </a:graphicData>
            </a:graphic>
          </wp:anchor>
        </w:drawing>
      </w:r>
    </w:p>
    <w:p>
      <w:pPr>
        <w:spacing w:after="0" w:line="95" w:lineRule="exact"/>
        <w:rPr>
          <w:sz w:val="20"/>
          <w:szCs w:val="20"/>
          <w:color w:val="auto"/>
        </w:rPr>
      </w:pPr>
    </w:p>
    <w:p>
      <w:pPr>
        <w:ind w:left="1080" w:right="1159"/>
        <w:spacing w:after="0" w:line="286" w:lineRule="auto"/>
        <w:rPr>
          <w:sz w:val="20"/>
          <w:szCs w:val="20"/>
          <w:color w:val="auto"/>
        </w:rPr>
      </w:pPr>
      <w:r>
        <w:rPr>
          <w:rFonts w:ascii="Arial" w:cs="Arial" w:eastAsia="Arial" w:hAnsi="Arial"/>
          <w:sz w:val="15"/>
          <w:szCs w:val="15"/>
          <w:color w:val="auto"/>
        </w:rPr>
        <w:t>completed a commercial and banking business apprenticeship with UBS in 1980. Mr. Müller-Ineichen holds a Business Commerce degree.</w:t>
      </w:r>
    </w:p>
    <w:p>
      <w:pPr>
        <w:spacing w:after="0" w:line="62" w:lineRule="exact"/>
        <w:rPr>
          <w:sz w:val="20"/>
          <w:szCs w:val="20"/>
          <w:color w:val="auto"/>
        </w:rPr>
      </w:pPr>
    </w:p>
    <w:p>
      <w:pPr>
        <w:ind w:left="1080" w:right="1359"/>
        <w:spacing w:after="0" w:line="257" w:lineRule="auto"/>
        <w:rPr>
          <w:sz w:val="20"/>
          <w:szCs w:val="20"/>
          <w:color w:val="auto"/>
        </w:rPr>
      </w:pPr>
      <w:r>
        <w:rPr>
          <w:rFonts w:ascii="Arial" w:cs="Arial" w:eastAsia="Arial" w:hAnsi="Arial"/>
          <w:sz w:val="15"/>
          <w:szCs w:val="15"/>
          <w:color w:val="auto"/>
        </w:rPr>
        <w:t>Mr. Müller -Ineichen’s past employment experience provides our Board with accounting expertise, and his experience in the financial services industry provides our Board with valuable audit and accounting as well as strategic and financial insights. Furthermore, Mr. Müller-Ineichen is financially literate and qualifies as an “audit committee financial expert” within the meaning of SEC regulations. With over fourteen years of service on our Board, Mr. Müller-Ineichen has a thorough understanding of our business and industry.</w:t>
      </w:r>
    </w:p>
    <w:p>
      <w:pPr>
        <w:spacing w:after="0" w:line="97" w:lineRule="exact"/>
        <w:rPr>
          <w:sz w:val="20"/>
          <w:szCs w:val="20"/>
          <w:color w:val="auto"/>
        </w:rPr>
      </w:pPr>
    </w:p>
    <w:p>
      <w:pPr>
        <w:ind w:left="1080" w:right="1179"/>
        <w:spacing w:after="0" w:line="254" w:lineRule="auto"/>
        <w:rPr>
          <w:sz w:val="20"/>
          <w:szCs w:val="20"/>
          <w:color w:val="auto"/>
        </w:rPr>
      </w:pPr>
      <w:r>
        <w:rPr>
          <w:rFonts w:ascii="Arial" w:cs="Arial" w:eastAsia="Arial" w:hAnsi="Arial"/>
          <w:sz w:val="15"/>
          <w:szCs w:val="15"/>
          <w:b w:val="1"/>
          <w:bCs w:val="1"/>
          <w:i w:val="1"/>
          <w:iCs w:val="1"/>
          <w:color w:val="auto"/>
        </w:rPr>
        <w:t>William B. Shepro</w:t>
      </w:r>
      <w:r>
        <w:rPr>
          <w:rFonts w:ascii="Arial" w:cs="Arial" w:eastAsia="Arial" w:hAnsi="Arial"/>
          <w:sz w:val="15"/>
          <w:szCs w:val="15"/>
          <w:color w:val="auto"/>
        </w:rPr>
        <w:t>. Mr. Shepro was appointed Chief Executive Officer and to our Board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July 2009. Mr. Shepro has served as Chairman of our Board since May 2019. Mr. Shepro previously served as the President and Chief Operating Officer of Ocwen Solutions, a business unit of Ocwen Financial Corporation (now Onity Group Inc.)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Lenders One and Bungalow Living, Inc., and on the Board of Managers of Vested Communities Operating LLC. Mr. Shepro holds a Bachelor of Science in Business from Skidmore College and a Juris Doctor from the Florida State University College of Law.</w:t>
      </w:r>
    </w:p>
    <w:p>
      <w:pPr>
        <w:spacing w:after="0" w:line="282" w:lineRule="exact"/>
        <w:rPr>
          <w:sz w:val="20"/>
          <w:szCs w:val="20"/>
          <w:color w:val="auto"/>
        </w:rPr>
      </w:pPr>
    </w:p>
    <w:p>
      <w:pPr>
        <w:ind w:left="1080" w:right="1339"/>
        <w:spacing w:after="0" w:line="258" w:lineRule="auto"/>
        <w:rPr>
          <w:sz w:val="20"/>
          <w:szCs w:val="20"/>
          <w:color w:val="auto"/>
        </w:rPr>
      </w:pPr>
      <w:r>
        <w:rPr>
          <w:rFonts w:ascii="Arial" w:cs="Arial" w:eastAsia="Arial" w:hAnsi="Arial"/>
          <w:sz w:val="15"/>
          <w:szCs w:val="15"/>
          <w:color w:val="auto"/>
        </w:rPr>
        <w:t>Mr. Shepro’s day-to-day leadership and intimate knowledge of our industry, business, customers and operations provide our Board with Company -specific experience and expertise. Furthermore, Mr. Shepro’s legal background and operational experience in the financial technology and residential and commercial mortgage servicing and real estate industries provide our Board with valuable strategic, industry and operational insights and expertise.</w:t>
      </w:r>
    </w:p>
    <w:p>
      <w:pPr>
        <w:spacing w:after="0" w:line="267" w:lineRule="exact"/>
        <w:rPr>
          <w:sz w:val="20"/>
          <w:szCs w:val="20"/>
          <w:color w:val="auto"/>
        </w:rPr>
      </w:pPr>
    </w:p>
    <w:p>
      <w:pPr>
        <w:ind w:left="1080" w:right="1099"/>
        <w:spacing w:after="0" w:line="254" w:lineRule="auto"/>
        <w:rPr>
          <w:sz w:val="20"/>
          <w:szCs w:val="20"/>
          <w:color w:val="auto"/>
        </w:rPr>
      </w:pPr>
      <w:r>
        <w:rPr>
          <w:rFonts w:ascii="Arial" w:cs="Arial" w:eastAsia="Arial" w:hAnsi="Arial"/>
          <w:sz w:val="15"/>
          <w:szCs w:val="15"/>
          <w:b w:val="1"/>
          <w:bCs w:val="1"/>
          <w:color w:val="auto"/>
        </w:rPr>
        <w:t xml:space="preserve">Wesley G. Iseley. </w:t>
      </w:r>
      <w:r>
        <w:rPr>
          <w:rFonts w:ascii="Arial" w:cs="Arial" w:eastAsia="Arial" w:hAnsi="Arial"/>
          <w:sz w:val="15"/>
          <w:szCs w:val="15"/>
          <w:color w:val="auto"/>
        </w:rPr>
        <w:t>Mr. Iseley currently serves as Senior Managing Director at Carrington</w:t>
      </w:r>
      <w:r>
        <w:rPr>
          <w:rFonts w:ascii="Arial" w:cs="Arial" w:eastAsia="Arial" w:hAnsi="Arial"/>
          <w:sz w:val="15"/>
          <w:szCs w:val="15"/>
          <w:b w:val="1"/>
          <w:bCs w:val="1"/>
          <w:color w:val="auto"/>
        </w:rPr>
        <w:t xml:space="preserve"> </w:t>
      </w:r>
      <w:r>
        <w:rPr>
          <w:rFonts w:ascii="Arial" w:cs="Arial" w:eastAsia="Arial" w:hAnsi="Arial"/>
          <w:sz w:val="15"/>
          <w:szCs w:val="15"/>
          <w:color w:val="auto"/>
        </w:rPr>
        <w:t>Holding Company, a diversified real estate services firm specializing in single-family residential real estate transactions. He has served in this role since November 2018, overseeing the Vylla Companies and leading business development across all Carrington businesses. Prior to this role, he was Executive Vice President at Carrington Investment Services, where he managed investor relations and led business development for mortgage servicing rights (MSRs) and real estate investment vehicles. From 2008 to 2016, Mr. Iseley served as President of Carrington Mortgage Services, where he played a pivotal role in transforming the company into a leading mortgage servicing provider, expanding into both retail and wholesale lending channels. Earlier in his career, Mr. Iseley held senior leadership positions at Morgan Stanley, with a focus on mortgage servicing, third -party originations, and risk management. Mr. Iseley holds a Bachelor of Arts in Finance from the University of Kentucky.</w:t>
      </w:r>
    </w:p>
    <w:p>
      <w:pPr>
        <w:spacing w:after="0" w:line="200" w:lineRule="exact"/>
        <w:rPr>
          <w:sz w:val="20"/>
          <w:szCs w:val="20"/>
          <w:color w:val="auto"/>
        </w:rPr>
      </w:pPr>
    </w:p>
    <w:p>
      <w:pPr>
        <w:spacing w:after="0" w:line="26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With extensive experience in financial services, asset management, and real estate,</w:t>
      </w:r>
    </w:p>
    <w:p>
      <w:pPr>
        <w:spacing w:after="0" w:line="22" w:lineRule="exact"/>
        <w:rPr>
          <w:sz w:val="20"/>
          <w:szCs w:val="20"/>
          <w:color w:val="auto"/>
        </w:rPr>
      </w:pPr>
    </w:p>
    <w:p>
      <w:pPr>
        <w:ind w:left="1080" w:right="1279"/>
        <w:spacing w:after="0" w:line="266" w:lineRule="auto"/>
        <w:rPr>
          <w:sz w:val="20"/>
          <w:szCs w:val="20"/>
          <w:color w:val="auto"/>
        </w:rPr>
      </w:pPr>
      <w:r>
        <w:rPr>
          <w:rFonts w:ascii="Arial" w:cs="Arial" w:eastAsia="Arial" w:hAnsi="Arial"/>
          <w:sz w:val="15"/>
          <w:szCs w:val="15"/>
          <w:color w:val="auto"/>
        </w:rPr>
        <w:t>Mr. Iseley’s expertise in business development, acquisitions, and strategic growth will be a valuable asset to our Board.</w:t>
      </w:r>
    </w:p>
    <w:p>
      <w:pPr>
        <w:spacing w:after="0" w:line="88" w:lineRule="exact"/>
        <w:rPr>
          <w:sz w:val="20"/>
          <w:szCs w:val="20"/>
          <w:color w:val="auto"/>
        </w:rPr>
      </w:pPr>
    </w:p>
    <w:p>
      <w:pPr>
        <w:ind w:left="1080" w:right="1099"/>
        <w:spacing w:after="0" w:line="254" w:lineRule="auto"/>
        <w:rPr>
          <w:sz w:val="20"/>
          <w:szCs w:val="20"/>
          <w:color w:val="auto"/>
        </w:rPr>
      </w:pPr>
      <w:r>
        <w:rPr>
          <w:rFonts w:ascii="Arial" w:cs="Arial" w:eastAsia="Arial" w:hAnsi="Arial"/>
          <w:sz w:val="15"/>
          <w:szCs w:val="15"/>
          <w:b w:val="1"/>
          <w:bCs w:val="1"/>
          <w:color w:val="auto"/>
        </w:rPr>
        <w:t xml:space="preserve">Matthew Winkler. </w:t>
      </w:r>
      <w:r>
        <w:rPr>
          <w:rFonts w:ascii="Arial" w:cs="Arial" w:eastAsia="Arial" w:hAnsi="Arial"/>
          <w:sz w:val="15"/>
          <w:szCs w:val="15"/>
          <w:color w:val="auto"/>
        </w:rPr>
        <w:t>Mr. Winkler is a Managing Director at Benefit Street Partners, LLC</w:t>
      </w:r>
      <w:r>
        <w:rPr>
          <w:rFonts w:ascii="Arial" w:cs="Arial" w:eastAsia="Arial" w:hAnsi="Arial"/>
          <w:sz w:val="15"/>
          <w:szCs w:val="15"/>
          <w:b w:val="1"/>
          <w:bCs w:val="1"/>
          <w:color w:val="auto"/>
        </w:rPr>
        <w:t xml:space="preserve"> </w:t>
      </w:r>
      <w:r>
        <w:rPr>
          <w:rFonts w:ascii="Arial" w:cs="Arial" w:eastAsia="Arial" w:hAnsi="Arial"/>
          <w:sz w:val="15"/>
          <w:szCs w:val="15"/>
          <w:color w:val="auto"/>
        </w:rPr>
        <w:t>(“BSP”), a leading credit-focused alternative asset management firm. He has been based in the New York office since joining the firm in July 2014. Prior to BSP, Mr. Winkler served as a Vice President at Goldman Sachs in the Special Assets Group. He has also held various analyst positions at Fridson Investment Advisors and Turnberry Capital Management, where he focused on special situations, distressed debt, and mergers and acquisitions. Mr. Winkler began his career in technology investment banking at SG Cowen. Mr. Winkler has served on the Board of Directors of Jakks Pacific since 2019, where he is the Chair of the Nominating and Governance Committee and a member of both the Audit and Compensation Committees. Additionally, he serves as a board observer for Tradesmen International. He holds a Bachelor of Arts in Public and Private Sector Organization from Brown University.</w:t>
      </w:r>
    </w:p>
    <w:p>
      <w:pPr>
        <w:spacing w:after="0" w:line="270" w:lineRule="exact"/>
        <w:rPr>
          <w:sz w:val="20"/>
          <w:szCs w:val="20"/>
          <w:color w:val="auto"/>
        </w:rPr>
      </w:pPr>
    </w:p>
    <w:p>
      <w:pPr>
        <w:jc w:val="both"/>
        <w:ind w:left="1080" w:right="1619"/>
        <w:spacing w:after="0" w:line="268" w:lineRule="auto"/>
        <w:rPr>
          <w:sz w:val="20"/>
          <w:szCs w:val="20"/>
          <w:color w:val="auto"/>
        </w:rPr>
      </w:pPr>
      <w:r>
        <w:rPr>
          <w:rFonts w:ascii="Arial" w:cs="Arial" w:eastAsia="Arial" w:hAnsi="Arial"/>
          <w:sz w:val="15"/>
          <w:szCs w:val="15"/>
          <w:color w:val="auto"/>
        </w:rPr>
        <w:t>His extensive experience in investment analysis, financial transactions, and corporate governance, along with his leadership in guiding strategic investments across various industries, will provide valuable insight to our Board.</w:t>
      </w:r>
    </w:p>
    <w:p>
      <w:pPr>
        <w:spacing w:after="0" w:line="87" w:lineRule="exact"/>
        <w:rPr>
          <w:sz w:val="20"/>
          <w:szCs w:val="20"/>
          <w:color w:val="auto"/>
        </w:rPr>
      </w:pPr>
    </w:p>
    <w:p>
      <w:pPr>
        <w:jc w:val="center"/>
        <w:ind w:left="2500" w:right="40"/>
        <w:spacing w:after="0" w:line="266" w:lineRule="auto"/>
        <w:rPr>
          <w:sz w:val="20"/>
          <w:szCs w:val="20"/>
          <w:color w:val="auto"/>
        </w:rPr>
      </w:pPr>
      <w:r>
        <w:rPr>
          <w:rFonts w:ascii="Arial" w:cs="Arial" w:eastAsia="Arial" w:hAnsi="Arial"/>
          <w:sz w:val="15"/>
          <w:szCs w:val="15"/>
          <w:b w:val="1"/>
          <w:bCs w:val="1"/>
          <w:color w:val="auto"/>
        </w:rPr>
        <w:t>OUR BOARD OF DIRECTORS UNANIMOUSLY RECOMMENDS THAT YOU VOTE “FOR” EACH OF THE NOMINEES FOR DIRECTOR TO SERVE UNTIL THE NEXT ANNUAL GENERAL MEETING OF SHAREHOLDERS OR UNTIL THEIR RESPECTIVE SUCCESSORS HAVE BEEN ELECTED AND QUALIFIED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9" w:name="page20"/>
    <w:bookmarkEnd w:id="19"/>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40640</wp:posOffset>
            </wp:positionV>
            <wp:extent cx="435038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Meetings of our Board of Directors</w:t>
      </w:r>
    </w:p>
    <w:p>
      <w:pPr>
        <w:spacing w:after="0" w:line="91" w:lineRule="exact"/>
        <w:rPr>
          <w:sz w:val="20"/>
          <w:szCs w:val="20"/>
          <w:color w:val="auto"/>
        </w:rPr>
      </w:pPr>
    </w:p>
    <w:p>
      <w:pPr>
        <w:ind w:left="1080" w:right="1119"/>
        <w:spacing w:after="0" w:line="273" w:lineRule="auto"/>
        <w:rPr>
          <w:sz w:val="20"/>
          <w:szCs w:val="20"/>
          <w:color w:val="auto"/>
        </w:rPr>
      </w:pPr>
      <w:r>
        <w:rPr>
          <w:rFonts w:ascii="Arial" w:cs="Arial" w:eastAsia="Arial" w:hAnsi="Arial"/>
          <w:sz w:val="15"/>
          <w:szCs w:val="15"/>
          <w:color w:val="auto"/>
        </w:rPr>
        <w:t>Our Board plays an active role in overseeing the Company’s business and representing the interests of the Company and its shareholders. Directors generally attend all meetings of our Board and Committees on which they serve. Directors are also consulted for advice and counsel between formal meetings.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Board met fourteen (14) times in 2024 and took no action pursuant to written consent.</w:t>
      </w:r>
    </w:p>
    <w:p>
      <w:pPr>
        <w:spacing w:after="0" w:line="120" w:lineRule="exact"/>
        <w:rPr>
          <w:sz w:val="20"/>
          <w:szCs w:val="20"/>
          <w:color w:val="auto"/>
        </w:rPr>
      </w:pPr>
    </w:p>
    <w:p>
      <w:pPr>
        <w:ind w:left="1080" w:right="1199"/>
        <w:spacing w:after="0" w:line="273" w:lineRule="auto"/>
        <w:rPr>
          <w:sz w:val="20"/>
          <w:szCs w:val="20"/>
          <w:color w:val="auto"/>
        </w:rPr>
      </w:pPr>
      <w:r>
        <w:rPr>
          <w:rFonts w:ascii="Arial" w:cs="Arial" w:eastAsia="Arial" w:hAnsi="Arial"/>
          <w:sz w:val="15"/>
          <w:szCs w:val="15"/>
          <w:color w:val="auto"/>
        </w:rPr>
        <w:t xml:space="preserve">In accordance with Luxembourg law and the Company’s Articles of Incorporation, our Board has appointed the Company’s Chief Executive Officer to serve as Managing Executive Officer </w:t>
      </w:r>
      <w:r>
        <w:rPr>
          <w:rFonts w:ascii="Arial" w:cs="Arial" w:eastAsia="Arial" w:hAnsi="Arial"/>
          <w:sz w:val="15"/>
          <w:szCs w:val="15"/>
          <w:i w:val="1"/>
          <w:iCs w:val="1"/>
          <w:color w:val="auto"/>
        </w:rPr>
        <w:t>(directeur général)</w:t>
      </w:r>
      <w:r>
        <w:rPr>
          <w:rFonts w:ascii="Arial" w:cs="Arial" w:eastAsia="Arial" w:hAnsi="Arial"/>
          <w:sz w:val="15"/>
          <w:szCs w:val="15"/>
          <w:color w:val="auto"/>
        </w:rPr>
        <w:t xml:space="preserve"> of the Company to conduct the daily management of the Company. The Managing Executive Officer took no action pursuant to written consent in 2024.</w:t>
      </w:r>
    </w:p>
    <w:p>
      <w:pPr>
        <w:spacing w:after="0" w:line="94" w:lineRule="exact"/>
        <w:rPr>
          <w:sz w:val="20"/>
          <w:szCs w:val="20"/>
          <w:color w:val="auto"/>
        </w:rPr>
      </w:pPr>
    </w:p>
    <w:p>
      <w:pPr>
        <w:ind w:left="1080" w:right="1479"/>
        <w:spacing w:after="0" w:line="288" w:lineRule="auto"/>
        <w:rPr>
          <w:sz w:val="20"/>
          <w:szCs w:val="20"/>
          <w:color w:val="auto"/>
        </w:rPr>
      </w:pPr>
      <w:r>
        <w:rPr>
          <w:rFonts w:ascii="Arial" w:cs="Arial" w:eastAsia="Arial" w:hAnsi="Arial"/>
          <w:sz w:val="15"/>
          <w:szCs w:val="15"/>
          <w:color w:val="auto"/>
        </w:rPr>
        <w:t>During 2024, each of our Directors attended at least seventy-five percent (75%) of the meetings of our Board and Committees on which they served, in each case, during their period of service.</w:t>
      </w:r>
    </w:p>
    <w:p>
      <w:pPr>
        <w:spacing w:after="0" w:line="262" w:lineRule="exact"/>
        <w:rPr>
          <w:sz w:val="20"/>
          <w:szCs w:val="20"/>
          <w:color w:val="auto"/>
        </w:rPr>
      </w:pPr>
    </w:p>
    <w:p>
      <w:pPr>
        <w:ind w:left="1080" w:right="1239"/>
        <w:spacing w:after="0" w:line="264" w:lineRule="auto"/>
        <w:rPr>
          <w:sz w:val="20"/>
          <w:szCs w:val="20"/>
          <w:color w:val="auto"/>
        </w:rPr>
      </w:pPr>
      <w:r>
        <w:rPr>
          <w:rFonts w:ascii="Arial" w:cs="Arial" w:eastAsia="Arial" w:hAnsi="Arial"/>
          <w:sz w:val="15"/>
          <w:szCs w:val="15"/>
          <w:color w:val="auto"/>
        </w:rPr>
        <w:t>During 2024, our Chairman and Chief Executive Officer declared a conflict of interest and abstained from voting during our Board’s approvals of the following transactions: (i) the ratification of the Compensation Committee’s approvals as they related to his 2023 Service Year Recommended Incentive Award, and his 2024 Annual Incentive Plan and Scorecard;</w:t>
      </w:r>
    </w:p>
    <w:p>
      <w:pPr>
        <w:spacing w:after="0" w:line="2" w:lineRule="exact"/>
        <w:rPr>
          <w:sz w:val="20"/>
          <w:szCs w:val="20"/>
          <w:color w:val="auto"/>
        </w:rPr>
      </w:pPr>
    </w:p>
    <w:p>
      <w:pPr>
        <w:ind w:left="1080" w:right="1259" w:hanging="1"/>
        <w:spacing w:after="0" w:line="266" w:lineRule="auto"/>
        <w:tabs>
          <w:tab w:leader="none" w:pos="1326"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amendment and approval of Proposal Eight in our 2024 Proxy Statement which proposed to seek approval from shareholders to increase the number of shares of common stock reserved for issuance under the Company’s 2009 Equity Incentive Plan (as Chief Executive Officer of the Company, he may have been perceived to have had a conflict of interest, and therefore, abstained from the vote); and (iii) our Board’s approval of the grant of RSUs to the Named Executive Officers pursuant to the terms of the Transaction (as previously disclosed).</w:t>
      </w:r>
    </w:p>
    <w:p>
      <w:pPr>
        <w:spacing w:after="0" w:line="278" w:lineRule="exact"/>
        <w:rPr>
          <w:sz w:val="20"/>
          <w:szCs w:val="20"/>
          <w:color w:val="auto"/>
        </w:rPr>
      </w:pPr>
    </w:p>
    <w:p>
      <w:pPr>
        <w:ind w:left="1080" w:right="1099"/>
        <w:spacing w:after="0" w:line="276" w:lineRule="auto"/>
        <w:rPr>
          <w:sz w:val="20"/>
          <w:szCs w:val="20"/>
          <w:color w:val="auto"/>
        </w:rPr>
      </w:pPr>
      <w:r>
        <w:rPr>
          <w:rFonts w:ascii="Arial" w:cs="Arial" w:eastAsia="Arial" w:hAnsi="Arial"/>
          <w:sz w:val="15"/>
          <w:szCs w:val="15"/>
          <w:color w:val="auto"/>
        </w:rPr>
        <w:t>During 2024, Ms. Hickok was excused from and did not attend any Board meetings related to the Transaction due to her affiliation with Deer Park Road Management Co., L.P., a party to the Transaction.</w:t>
      </w:r>
    </w:p>
    <w:p>
      <w:pPr>
        <w:spacing w:after="0" w:line="92" w:lineRule="exact"/>
        <w:rPr>
          <w:sz w:val="20"/>
          <w:szCs w:val="20"/>
          <w:color w:val="auto"/>
        </w:rPr>
      </w:pPr>
    </w:p>
    <w:p>
      <w:pPr>
        <w:jc w:val="both"/>
        <w:ind w:left="1080" w:right="1479"/>
        <w:spacing w:after="0" w:line="288" w:lineRule="auto"/>
        <w:rPr>
          <w:sz w:val="20"/>
          <w:szCs w:val="20"/>
          <w:color w:val="auto"/>
        </w:rPr>
      </w:pPr>
      <w:r>
        <w:rPr>
          <w:rFonts w:ascii="Arial" w:cs="Arial" w:eastAsia="Arial" w:hAnsi="Arial"/>
          <w:sz w:val="15"/>
          <w:szCs w:val="15"/>
          <w:color w:val="auto"/>
        </w:rPr>
        <w:t>Generally, Directors attend the annual general meeting of shareholders, but we have no formal policy requiring such attendance. All Directors attended our 2024 annual general meeting.</w:t>
      </w:r>
    </w:p>
    <w:p>
      <w:pPr>
        <w:spacing w:after="0" w:line="32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Independence of Directors</w:t>
      </w:r>
    </w:p>
    <w:p>
      <w:pPr>
        <w:spacing w:after="0" w:line="91" w:lineRule="exact"/>
        <w:rPr>
          <w:sz w:val="20"/>
          <w:szCs w:val="20"/>
          <w:color w:val="auto"/>
        </w:rPr>
      </w:pPr>
    </w:p>
    <w:p>
      <w:pPr>
        <w:ind w:left="1080" w:right="1279"/>
        <w:spacing w:after="0" w:line="301" w:lineRule="auto"/>
        <w:rPr>
          <w:sz w:val="20"/>
          <w:szCs w:val="20"/>
          <w:color w:val="auto"/>
        </w:rPr>
      </w:pPr>
      <w:r>
        <w:rPr>
          <w:rFonts w:ascii="Arial" w:cs="Arial" w:eastAsia="Arial" w:hAnsi="Arial"/>
          <w:sz w:val="15"/>
          <w:szCs w:val="15"/>
          <w:color w:val="auto"/>
        </w:rPr>
        <w:t>Our Corporate Governance Guidelines provide that a majority of our Directors must qualify as independent Directors under the Nasdaq listing standards and applicable law.</w:t>
      </w:r>
    </w:p>
    <w:p>
      <w:pPr>
        <w:spacing w:after="0" w:line="63" w:lineRule="exact"/>
        <w:rPr>
          <w:sz w:val="20"/>
          <w:szCs w:val="20"/>
          <w:color w:val="auto"/>
        </w:rPr>
      </w:pPr>
    </w:p>
    <w:p>
      <w:pPr>
        <w:ind w:left="1080" w:right="1239"/>
        <w:spacing w:after="0" w:line="264" w:lineRule="auto"/>
        <w:rPr>
          <w:sz w:val="20"/>
          <w:szCs w:val="20"/>
          <w:color w:val="auto"/>
        </w:rPr>
      </w:pPr>
      <w:r>
        <w:rPr>
          <w:rFonts w:ascii="Arial" w:cs="Arial" w:eastAsia="Arial" w:hAnsi="Arial"/>
          <w:sz w:val="15"/>
          <w:szCs w:val="15"/>
          <w:color w:val="auto"/>
        </w:rPr>
        <w:t>Our Board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to have no material relationship with Altisource are considered independent. This determination is based in part on the analysis of questionnaire responses that follow the independence standards and qualifications established by the Nasdaq and applicable law. Our Board also considers each Director’s beneficial ownership of our common stock in its independence analysis, as set forth under “Security Ownership of Certain Beneficial Owners and Management.” Our Board believes that stock ownership by Directors is positive in that it tends to further align a Director’s interests with those of our other shareholders. Please see “Minimum Stock Ownership Requirements” under the Board of Directors’ Compensation section for additional information.</w:t>
      </w:r>
    </w:p>
    <w:p>
      <w:pPr>
        <w:spacing w:after="0" w:line="281" w:lineRule="exact"/>
        <w:rPr>
          <w:sz w:val="20"/>
          <w:szCs w:val="20"/>
          <w:color w:val="auto"/>
        </w:rPr>
      </w:pPr>
    </w:p>
    <w:p>
      <w:pPr>
        <w:ind w:left="1080" w:right="1319"/>
        <w:spacing w:after="0" w:line="276" w:lineRule="auto"/>
        <w:rPr>
          <w:sz w:val="20"/>
          <w:szCs w:val="20"/>
          <w:color w:val="auto"/>
        </w:rPr>
      </w:pPr>
      <w:r>
        <w:rPr>
          <w:rFonts w:ascii="Arial" w:cs="Arial" w:eastAsia="Arial" w:hAnsi="Arial"/>
          <w:sz w:val="15"/>
          <w:szCs w:val="15"/>
          <w:color w:val="auto"/>
        </w:rPr>
        <w:t>Our Board has determined that all of our current Directors, other than Mr. Shepro, are independent under the Nasdaq listing standards. Our Board determined that Mr. Shepro is not independent because he also serves as Chief Executive Officer.</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Executive Sessions of Independent Directors</w:t>
      </w:r>
    </w:p>
    <w:p>
      <w:pPr>
        <w:spacing w:after="0" w:line="91" w:lineRule="exact"/>
        <w:rPr>
          <w:sz w:val="20"/>
          <w:szCs w:val="20"/>
          <w:color w:val="auto"/>
        </w:rPr>
      </w:pPr>
    </w:p>
    <w:p>
      <w:pPr>
        <w:ind w:left="1080" w:right="1259"/>
        <w:spacing w:after="0" w:line="286" w:lineRule="auto"/>
        <w:rPr>
          <w:sz w:val="20"/>
          <w:szCs w:val="20"/>
          <w:color w:val="auto"/>
        </w:rPr>
      </w:pPr>
      <w:r>
        <w:rPr>
          <w:rFonts w:ascii="Arial" w:cs="Arial" w:eastAsia="Arial" w:hAnsi="Arial"/>
          <w:sz w:val="15"/>
          <w:szCs w:val="15"/>
          <w:color w:val="auto"/>
        </w:rPr>
        <w:t>Our independent Directors met in executive session of our Board without management four (4) times in 2024.</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0" w:name="page21"/>
    <w:bookmarkEnd w:id="20"/>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-181610</wp:posOffset>
            </wp:positionV>
            <wp:extent cx="2533015" cy="121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33015" cy="121920"/>
                    </a:xfrm>
                    <a:prstGeom prst="rect">
                      <a:avLst/>
                    </a:prstGeom>
                    <a:noFill/>
                  </pic:spPr>
                </pic:pic>
              </a:graphicData>
            </a:graphic>
          </wp:anchor>
        </w:drawing>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Board Leadership Structure</w:t>
      </w:r>
    </w:p>
    <w:p>
      <w:pPr>
        <w:spacing w:after="0" w:line="91" w:lineRule="exact"/>
        <w:rPr>
          <w:sz w:val="20"/>
          <w:szCs w:val="20"/>
          <w:color w:val="auto"/>
        </w:rPr>
      </w:pPr>
    </w:p>
    <w:p>
      <w:pPr>
        <w:ind w:left="1080" w:right="1819"/>
        <w:spacing w:after="0" w:line="260" w:lineRule="auto"/>
        <w:rPr>
          <w:sz w:val="20"/>
          <w:szCs w:val="20"/>
          <w:color w:val="auto"/>
        </w:rPr>
      </w:pPr>
      <w:r>
        <w:rPr>
          <w:rFonts w:ascii="Arial" w:cs="Arial" w:eastAsia="Arial" w:hAnsi="Arial"/>
          <w:sz w:val="15"/>
          <w:szCs w:val="15"/>
          <w:color w:val="auto"/>
        </w:rPr>
        <w:t>Our Corporate Governance Guidelines provide that our Board may appoint a Lead Independent Director unless the Chairman of our Board is an independent Director.</w:t>
      </w:r>
    </w:p>
    <w:p>
      <w:pPr>
        <w:spacing w:after="0" w:line="1" w:lineRule="exact"/>
        <w:rPr>
          <w:sz w:val="20"/>
          <w:szCs w:val="20"/>
          <w:color w:val="auto"/>
        </w:rPr>
      </w:pPr>
    </w:p>
    <w:p>
      <w:pPr>
        <w:ind w:left="1080" w:right="1119"/>
        <w:spacing w:after="0" w:line="253" w:lineRule="auto"/>
        <w:rPr>
          <w:sz w:val="20"/>
          <w:szCs w:val="20"/>
          <w:color w:val="auto"/>
        </w:rPr>
      </w:pPr>
      <w:r>
        <w:rPr>
          <w:rFonts w:ascii="Arial" w:cs="Arial" w:eastAsia="Arial" w:hAnsi="Arial"/>
          <w:sz w:val="15"/>
          <w:szCs w:val="15"/>
          <w:color w:val="auto"/>
        </w:rPr>
        <w:t>Mr. Shepro, our Chairman of our Board, is also our Chief Executive Officer, and, as a result, our Board believes that it is in the best interests of the Company and our shareholders to appoint a Lead Independent Director. Mr. Müller-Ineichen currently serves as Lead Independent Director.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w:t>
      </w:r>
    </w:p>
    <w:p>
      <w:pPr>
        <w:spacing w:after="0" w:line="99" w:lineRule="exact"/>
        <w:rPr>
          <w:sz w:val="20"/>
          <w:szCs w:val="20"/>
          <w:color w:val="auto"/>
        </w:rPr>
      </w:pPr>
    </w:p>
    <w:p>
      <w:pPr>
        <w:ind w:left="1080" w:right="1139"/>
        <w:spacing w:after="0" w:line="257" w:lineRule="auto"/>
        <w:rPr>
          <w:sz w:val="20"/>
          <w:szCs w:val="20"/>
          <w:color w:val="auto"/>
        </w:rPr>
      </w:pPr>
      <w:r>
        <w:rPr>
          <w:rFonts w:ascii="Arial" w:cs="Arial" w:eastAsia="Arial" w:hAnsi="Arial"/>
          <w:sz w:val="15"/>
          <w:szCs w:val="15"/>
          <w:color w:val="auto"/>
        </w:rPr>
        <w:t>Our Board appointed Mr. Shepro as Chairman of our Board in May 2019. Our Board believes that combining the positions of Chairman and Chief Executive Officer is appropriate due to Mr. Shepro’s critical role in our strategy, his experience with the Company and its customers across business cycles, and his longevity with the Company. Mr. Shepro is responsible for the design, in consultation with our Board, and execution of the Company’s strategic plan. Our Board believes that he is the appropriate person to serve as Chairman.</w:t>
      </w:r>
    </w:p>
    <w:p>
      <w:pPr>
        <w:spacing w:after="0" w:line="14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Committees of our Board of Directors</w:t>
      </w:r>
    </w:p>
    <w:p>
      <w:pPr>
        <w:spacing w:after="0" w:line="91" w:lineRule="exact"/>
        <w:rPr>
          <w:sz w:val="20"/>
          <w:szCs w:val="20"/>
          <w:color w:val="auto"/>
        </w:rPr>
      </w:pPr>
    </w:p>
    <w:p>
      <w:pPr>
        <w:ind w:left="1080" w:right="1119"/>
        <w:spacing w:after="0" w:line="258" w:lineRule="auto"/>
        <w:rPr>
          <w:sz w:val="20"/>
          <w:szCs w:val="20"/>
          <w:color w:val="auto"/>
        </w:rPr>
      </w:pPr>
      <w:r>
        <w:rPr>
          <w:rFonts w:ascii="Arial" w:cs="Arial" w:eastAsia="Arial" w:hAnsi="Arial"/>
          <w:sz w:val="15"/>
          <w:szCs w:val="15"/>
          <w:color w:val="auto"/>
        </w:rPr>
        <w:t>Our Board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279" w:lineRule="exact"/>
        <w:rPr>
          <w:sz w:val="20"/>
          <w:szCs w:val="20"/>
          <w:color w:val="auto"/>
        </w:rPr>
      </w:pPr>
    </w:p>
    <w:p>
      <w:pPr>
        <w:ind w:left="1080" w:right="1459"/>
        <w:spacing w:after="0" w:line="260" w:lineRule="auto"/>
        <w:rPr>
          <w:sz w:val="20"/>
          <w:szCs w:val="20"/>
          <w:color w:val="auto"/>
        </w:rPr>
      </w:pPr>
      <w:r>
        <w:rPr>
          <w:rFonts w:ascii="Arial" w:cs="Arial" w:eastAsia="Arial" w:hAnsi="Arial"/>
          <w:sz w:val="15"/>
          <w:szCs w:val="15"/>
          <w:b w:val="1"/>
          <w:bCs w:val="1"/>
          <w:i w:val="1"/>
          <w:iCs w:val="1"/>
          <w:color w:val="auto"/>
        </w:rPr>
        <w:t xml:space="preserve">Audit Committee. </w:t>
      </w:r>
      <w:r>
        <w:rPr>
          <w:rFonts w:ascii="Arial" w:cs="Arial" w:eastAsia="Arial" w:hAnsi="Arial"/>
          <w:sz w:val="15"/>
          <w:szCs w:val="15"/>
          <w:color w:val="auto"/>
        </w:rPr>
        <w:t>The Audit Committee of our Board: (i) oversees the Company’s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relationship with our independent registered public accounting firm and certified auditor;</w:t>
      </w:r>
    </w:p>
    <w:p>
      <w:pPr>
        <w:spacing w:after="0" w:line="1" w:lineRule="exact"/>
        <w:rPr>
          <w:sz w:val="20"/>
          <w:szCs w:val="20"/>
          <w:color w:val="auto"/>
        </w:rPr>
      </w:pPr>
    </w:p>
    <w:p>
      <w:pPr>
        <w:ind w:left="1080" w:right="1199" w:hanging="1"/>
        <w:spacing w:after="0" w:line="252" w:lineRule="auto"/>
        <w:tabs>
          <w:tab w:leader="none" w:pos="1326"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provides assistance to our Board with respect to matters involving accounting, auditing, financial reporting and internal control functions; (iii) establishes procedures for the receipt, retention and treatment of concerns, complaints and allegations received by the Company relating to the financial reporting process and our system of accounting, internal accounting controls, auditing and federal securities law matters; (iv) reviews and approves transactions in which a “Related Person” (as defined by SEC Regulation S-K and in accordance with the Company’s Related Person Transactions Policy) has a material interest; (v) reviews the scope and results of the annual audit conducted by our independent registered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269" w:lineRule="exact"/>
        <w:rPr>
          <w:sz w:val="20"/>
          <w:szCs w:val="20"/>
          <w:color w:val="auto"/>
        </w:rPr>
      </w:pPr>
    </w:p>
    <w:p>
      <w:pPr>
        <w:ind w:left="1080" w:right="1099"/>
        <w:spacing w:after="0" w:line="254" w:lineRule="auto"/>
        <w:rPr>
          <w:sz w:val="20"/>
          <w:szCs w:val="20"/>
          <w:color w:val="auto"/>
        </w:rPr>
      </w:pPr>
      <w:r>
        <w:rPr>
          <w:rFonts w:ascii="Arial" w:cs="Arial" w:eastAsia="Arial" w:hAnsi="Arial"/>
          <w:sz w:val="15"/>
          <w:szCs w:val="15"/>
          <w:color w:val="auto"/>
        </w:rPr>
        <w:t>The members of our Audit Committee during 2024 were Messrs. Müller-Ineichen and Morettini and Ms. Hickok, with Mr. Müller-Ineichen serving as the Committee Chair. Each member of our Audit Committee is independent as defined in regulations adopted by the SEC and the Nasdaq listing standards. Our Board has determined that all members of our Audit Committee are financially literate, possess accounting or related financial management experience that results in the individual’s financial sophistication within the meaning of the Nasdaq listing standards, and qualify as “audit committee financial experts” as that term is defined in SEC rules. Pursuant to the Company’s Corporate Governance Guidelines, no Director may serve as a member of the Audit Committee if he or she serves on the audit committees of more than two other public companies, unless our Board determines that such simultaneous service would not impair the Director’s ability to serve effectively on the Audit Committee.</w:t>
      </w:r>
    </w:p>
    <w:p>
      <w:pPr>
        <w:spacing w:after="0" w:line="279" w:lineRule="exact"/>
        <w:rPr>
          <w:sz w:val="20"/>
          <w:szCs w:val="20"/>
          <w:color w:val="auto"/>
        </w:rPr>
      </w:pPr>
    </w:p>
    <w:p>
      <w:pPr>
        <w:ind w:left="1080" w:right="1219"/>
        <w:spacing w:after="0" w:line="253" w:lineRule="auto"/>
        <w:rPr>
          <w:sz w:val="20"/>
          <w:szCs w:val="20"/>
          <w:color w:val="auto"/>
        </w:rPr>
      </w:pPr>
      <w:r>
        <w:rPr>
          <w:rFonts w:ascii="Arial" w:cs="Arial" w:eastAsia="Arial" w:hAnsi="Arial"/>
          <w:sz w:val="15"/>
          <w:szCs w:val="15"/>
          <w:color w:val="auto"/>
        </w:rPr>
        <w:t xml:space="preserve">Our Audit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Audit Committee reviews its charter annually and presents any recommendations for amendments to our Board. The Audit Committee also evaluates its performance under its charter and reports to our Board on the results of its evaluation, including an assessment of the charter’s adequacy. The Audit Committee last reviewed its Charter in December 2024. The Audit Committee met ten</w:t>
      </w:r>
    </w:p>
    <w:p>
      <w:pPr>
        <w:spacing w:after="0" w:line="3" w:lineRule="exact"/>
        <w:rPr>
          <w:sz w:val="20"/>
          <w:szCs w:val="20"/>
          <w:color w:val="auto"/>
        </w:rPr>
      </w:pPr>
    </w:p>
    <w:p>
      <w:pPr>
        <w:ind w:left="1080" w:right="1479" w:hanging="1"/>
        <w:spacing w:after="0" w:line="258" w:lineRule="auto"/>
        <w:tabs>
          <w:tab w:leader="none" w:pos="1426" w:val="left"/>
        </w:tabs>
        <w:numPr>
          <w:ilvl w:val="0"/>
          <w:numId w:val="24"/>
        </w:numPr>
        <w:rPr>
          <w:rFonts w:ascii="Arial" w:cs="Arial" w:eastAsia="Arial" w:hAnsi="Arial"/>
          <w:sz w:val="15"/>
          <w:szCs w:val="15"/>
          <w:color w:val="auto"/>
        </w:rPr>
      </w:pPr>
      <w:r>
        <w:rPr>
          <w:rFonts w:ascii="Arial" w:cs="Arial" w:eastAsia="Arial" w:hAnsi="Arial"/>
          <w:sz w:val="15"/>
          <w:szCs w:val="15"/>
          <w:color w:val="auto"/>
        </w:rPr>
        <w:t>times in 2024. The Audit Committee met in executive session with the Company’s internal auditors four (4) times, with the Company’s external auditors four (4) times, and simultaneously with the internal and external auditors three (3) times.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1" w:name="page22"/>
    <w:bookmarkEnd w:id="21"/>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ind w:left="396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-181610</wp:posOffset>
            </wp:positionV>
            <wp:extent cx="2533015" cy="121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3015" cy="121920"/>
                    </a:xfrm>
                    <a:prstGeom prst="rect">
                      <a:avLst/>
                    </a:prstGeom>
                    <a:noFill/>
                  </pic:spPr>
                </pic:pic>
              </a:graphicData>
            </a:graphic>
          </wp:anchor>
        </w:drawing>
      </w:r>
    </w:p>
    <w:p>
      <w:pPr>
        <w:spacing w:after="0" w:line="95" w:lineRule="exact"/>
        <w:rPr>
          <w:sz w:val="20"/>
          <w:szCs w:val="20"/>
          <w:color w:val="auto"/>
        </w:rPr>
      </w:pPr>
    </w:p>
    <w:p>
      <w:pPr>
        <w:ind w:left="1080" w:right="1119"/>
        <w:spacing w:after="0" w:line="243" w:lineRule="auto"/>
        <w:rPr>
          <w:sz w:val="20"/>
          <w:szCs w:val="20"/>
          <w:color w:val="auto"/>
        </w:rPr>
      </w:pPr>
      <w:r>
        <w:rPr>
          <w:rFonts w:ascii="Arial" w:cs="Arial" w:eastAsia="Arial" w:hAnsi="Arial"/>
          <w:sz w:val="15"/>
          <w:szCs w:val="15"/>
          <w:b w:val="1"/>
          <w:bCs w:val="1"/>
          <w:i w:val="1"/>
          <w:iCs w:val="1"/>
          <w:color w:val="auto"/>
        </w:rPr>
        <w:t xml:space="preserve">Compensation Committee. </w:t>
      </w:r>
      <w:r>
        <w:rPr>
          <w:rFonts w:ascii="Arial" w:cs="Arial" w:eastAsia="Arial" w:hAnsi="Arial"/>
          <w:sz w:val="15"/>
          <w:szCs w:val="15"/>
          <w:color w:val="auto"/>
        </w:rPr>
        <w:t>The Compensation Committee of our Board oversees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and employee benefit plans and practices. Our Compensation Committee also evaluates and makes recommendations to our Board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Our Compensation Committee also has the power to review our other compensation plans, including the goals and objectives thereof. The Compensation Committee is responsible for reviewing Director compensation and recommending changes, subject to the approval of our shareholders. Our Compensation Committee has the authority to administer awards under our 2009 Equity Incentive Plan.</w:t>
      </w:r>
    </w:p>
    <w:p>
      <w:pPr>
        <w:spacing w:after="0" w:line="271" w:lineRule="exact"/>
        <w:rPr>
          <w:sz w:val="20"/>
          <w:szCs w:val="20"/>
          <w:color w:val="auto"/>
        </w:rPr>
      </w:pPr>
    </w:p>
    <w:p>
      <w:pPr>
        <w:ind w:left="1080" w:right="1139"/>
        <w:spacing w:after="0" w:line="242" w:lineRule="auto"/>
        <w:rPr>
          <w:sz w:val="20"/>
          <w:szCs w:val="20"/>
          <w:color w:val="auto"/>
        </w:rPr>
      </w:pPr>
      <w:r>
        <w:rPr>
          <w:rFonts w:ascii="Arial" w:cs="Arial" w:eastAsia="Arial" w:hAnsi="Arial"/>
          <w:sz w:val="15"/>
          <w:szCs w:val="15"/>
          <w:color w:val="auto"/>
        </w:rPr>
        <w:t>The Compensation Committee may request that any of our Directors, executive officers, employees or others attend its meetings to provide advice, counsel or pertinent information as the Committee requests. Certain executives are involved in the design and implementation of our executive compensation program. Our Chief Executive Officer generally attends Compensation Committee meetings, except that he is not present during any voting or deliberations related to his own compensation. Our Chief Executive Officer actively participated in performance determinations and compensation discussions for other executive officers, including making recommendations to the Compensation Committee as to the amount and form of compensation.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w:t>
      </w:r>
    </w:p>
    <w:p>
      <w:pPr>
        <w:spacing w:after="0" w:line="200" w:lineRule="exact"/>
        <w:rPr>
          <w:sz w:val="20"/>
          <w:szCs w:val="20"/>
          <w:color w:val="auto"/>
        </w:rPr>
      </w:pPr>
    </w:p>
    <w:p>
      <w:pPr>
        <w:spacing w:after="0" w:line="248" w:lineRule="exact"/>
        <w:rPr>
          <w:sz w:val="20"/>
          <w:szCs w:val="20"/>
          <w:color w:val="auto"/>
        </w:rPr>
      </w:pPr>
    </w:p>
    <w:p>
      <w:pPr>
        <w:ind w:left="1080" w:right="1319"/>
        <w:spacing w:after="0" w:line="246" w:lineRule="auto"/>
        <w:rPr>
          <w:sz w:val="20"/>
          <w:szCs w:val="20"/>
          <w:color w:val="auto"/>
        </w:rPr>
      </w:pPr>
      <w:r>
        <w:rPr>
          <w:rFonts w:ascii="Arial" w:cs="Arial" w:eastAsia="Arial" w:hAnsi="Arial"/>
          <w:sz w:val="15"/>
          <w:szCs w:val="15"/>
          <w:color w:val="auto"/>
        </w:rPr>
        <w:t>In addition, the Compensation Committee has delegated authority to the Chief Executive Officer to approve equity awards of up to 5,000 stock options per employee and/or up to 5,000 restricted shares (or similar equity instrument) per new hire and existing employees (other than Named Executive Officers), for an aggregate amount of up to 75,000 stock options and/or restricted shares (or similar equity instrument) per calendar year. Awards approved by the Chief Executive Officer pursuant to this delegation are reported to the Compensation Committee on a regular basis.</w:t>
      </w:r>
    </w:p>
    <w:p>
      <w:pPr>
        <w:spacing w:after="0" w:line="269" w:lineRule="exact"/>
        <w:rPr>
          <w:sz w:val="20"/>
          <w:szCs w:val="20"/>
          <w:color w:val="auto"/>
        </w:rPr>
      </w:pPr>
    </w:p>
    <w:p>
      <w:pPr>
        <w:ind w:left="1080" w:right="1139"/>
        <w:spacing w:after="0" w:line="248" w:lineRule="auto"/>
        <w:rPr>
          <w:sz w:val="20"/>
          <w:szCs w:val="20"/>
          <w:color w:val="auto"/>
        </w:rPr>
      </w:pPr>
      <w:r>
        <w:rPr>
          <w:rFonts w:ascii="Arial" w:cs="Arial" w:eastAsia="Arial" w:hAnsi="Arial"/>
          <w:sz w:val="15"/>
          <w:szCs w:val="15"/>
          <w:color w:val="auto"/>
        </w:rPr>
        <w:t>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91" w:lineRule="exact"/>
        <w:rPr>
          <w:sz w:val="20"/>
          <w:szCs w:val="20"/>
          <w:color w:val="auto"/>
        </w:rPr>
      </w:pPr>
    </w:p>
    <w:p>
      <w:pPr>
        <w:ind w:left="1080" w:right="1159"/>
        <w:spacing w:after="0" w:line="270" w:lineRule="auto"/>
        <w:rPr>
          <w:sz w:val="20"/>
          <w:szCs w:val="20"/>
          <w:color w:val="auto"/>
        </w:rPr>
      </w:pPr>
      <w:r>
        <w:rPr>
          <w:rFonts w:ascii="Arial" w:cs="Arial" w:eastAsia="Arial" w:hAnsi="Arial"/>
          <w:sz w:val="15"/>
          <w:szCs w:val="15"/>
          <w:color w:val="auto"/>
        </w:rPr>
        <w:t>The members of the Compensation Committee during 2024 were Ms. Hickok and Mr. Müller-Ineichen, with Ms. Hickok serving as the Committee Chair.</w:t>
      </w:r>
    </w:p>
    <w:p>
      <w:pPr>
        <w:spacing w:after="0" w:line="74" w:lineRule="exact"/>
        <w:rPr>
          <w:sz w:val="20"/>
          <w:szCs w:val="20"/>
          <w:color w:val="auto"/>
        </w:rPr>
      </w:pPr>
    </w:p>
    <w:p>
      <w:pPr>
        <w:ind w:left="1080" w:right="1439"/>
        <w:spacing w:after="0" w:line="260" w:lineRule="auto"/>
        <w:rPr>
          <w:sz w:val="20"/>
          <w:szCs w:val="20"/>
          <w:color w:val="auto"/>
        </w:rPr>
      </w:pPr>
      <w:r>
        <w:rPr>
          <w:rFonts w:ascii="Arial" w:cs="Arial" w:eastAsia="Arial" w:hAnsi="Arial"/>
          <w:sz w:val="15"/>
          <w:szCs w:val="15"/>
          <w:color w:val="auto"/>
        </w:rPr>
        <w:t>Each member of the Compensation Committee is independent as defined by the Nasdaq listing standards, as revised in 2013. We believe that their collective achievements and knowledge provide us with extensive diversity in experience, culture and viewpoints.</w:t>
      </w:r>
    </w:p>
    <w:p>
      <w:pPr>
        <w:spacing w:after="0" w:line="82" w:lineRule="exact"/>
        <w:rPr>
          <w:sz w:val="20"/>
          <w:szCs w:val="20"/>
          <w:color w:val="auto"/>
        </w:rPr>
      </w:pPr>
    </w:p>
    <w:p>
      <w:pPr>
        <w:ind w:left="1080" w:right="1099"/>
        <w:spacing w:after="0" w:line="244" w:lineRule="auto"/>
        <w:rPr>
          <w:sz w:val="20"/>
          <w:szCs w:val="20"/>
          <w:color w:val="auto"/>
        </w:rPr>
      </w:pPr>
      <w:r>
        <w:rPr>
          <w:rFonts w:ascii="Arial" w:cs="Arial" w:eastAsia="Arial" w:hAnsi="Arial"/>
          <w:sz w:val="15"/>
          <w:szCs w:val="15"/>
          <w:color w:val="auto"/>
        </w:rPr>
        <w:t xml:space="preserve">Our Compensation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Compensation Committee reviews its charter annually and presents any recommendations for amendments to our Board. The Compensation Committee also evaluates its performance under its charter and reports to our Board on the results of its evaluation, including an assessment of the charter’s adequacy. The Compensation Committee last reviewed its charter in December 2024. The Compensation Committee met eight (8) times in 2024.</w:t>
      </w:r>
    </w:p>
    <w:p>
      <w:pPr>
        <w:spacing w:after="0" w:line="271" w:lineRule="exact"/>
        <w:rPr>
          <w:sz w:val="20"/>
          <w:szCs w:val="20"/>
          <w:color w:val="auto"/>
        </w:rPr>
      </w:pPr>
    </w:p>
    <w:p>
      <w:pPr>
        <w:ind w:left="1080" w:right="1159"/>
        <w:spacing w:after="0" w:line="247" w:lineRule="auto"/>
        <w:rPr>
          <w:sz w:val="20"/>
          <w:szCs w:val="20"/>
          <w:color w:val="auto"/>
        </w:rPr>
      </w:pPr>
      <w:r>
        <w:rPr>
          <w:rFonts w:ascii="Arial" w:cs="Arial" w:eastAsia="Arial" w:hAnsi="Arial"/>
          <w:sz w:val="15"/>
          <w:szCs w:val="15"/>
          <w:b w:val="1"/>
          <w:bCs w:val="1"/>
          <w:i w:val="1"/>
          <w:iCs w:val="1"/>
          <w:color w:val="auto"/>
        </w:rPr>
        <w:t xml:space="preserve">Compliance Committee. </w:t>
      </w:r>
      <w:r>
        <w:rPr>
          <w:rFonts w:ascii="Arial" w:cs="Arial" w:eastAsia="Arial" w:hAnsi="Arial"/>
          <w:sz w:val="15"/>
          <w:szCs w:val="15"/>
          <w:color w:val="auto"/>
        </w:rPr>
        <w:t>The Compliance Committee of our Board assists our Board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developing, monitoring and evaluating the Company’s compliance function, including its compliance management system, and the Company’s compliance with applicable laws, rules and regulations governing its businesses. The Compliance Committee performs such other duties as may be prescribed pursuant to its charter.</w:t>
      </w:r>
    </w:p>
    <w:p>
      <w:pPr>
        <w:spacing w:after="0" w:line="93" w:lineRule="exact"/>
        <w:rPr>
          <w:sz w:val="20"/>
          <w:szCs w:val="20"/>
          <w:color w:val="auto"/>
        </w:rPr>
      </w:pPr>
    </w:p>
    <w:p>
      <w:pPr>
        <w:ind w:left="1080" w:right="1139"/>
        <w:spacing w:after="0" w:line="286" w:lineRule="auto"/>
        <w:rPr>
          <w:sz w:val="20"/>
          <w:szCs w:val="20"/>
          <w:color w:val="auto"/>
        </w:rPr>
      </w:pPr>
      <w:r>
        <w:rPr>
          <w:rFonts w:ascii="Arial" w:cs="Arial" w:eastAsia="Arial" w:hAnsi="Arial"/>
          <w:sz w:val="15"/>
          <w:szCs w:val="15"/>
          <w:color w:val="auto"/>
        </w:rPr>
        <w:t>The members of the Compliance Committee during 2024 were Messrs. Aldridge and Shepro, with Mr. Aldridge serving as Chair.</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2" w:name="page23"/>
    <w:bookmarkEnd w:id="22"/>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ind w:left="396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-181610</wp:posOffset>
            </wp:positionV>
            <wp:extent cx="2533015" cy="121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33015" cy="121920"/>
                    </a:xfrm>
                    <a:prstGeom prst="rect">
                      <a:avLst/>
                    </a:prstGeom>
                    <a:noFill/>
                  </pic:spPr>
                </pic:pic>
              </a:graphicData>
            </a:graphic>
          </wp:anchor>
        </w:drawing>
      </w:r>
    </w:p>
    <w:p>
      <w:pPr>
        <w:spacing w:after="0" w:line="95" w:lineRule="exact"/>
        <w:rPr>
          <w:sz w:val="20"/>
          <w:szCs w:val="20"/>
          <w:color w:val="auto"/>
        </w:rPr>
      </w:pPr>
    </w:p>
    <w:p>
      <w:pPr>
        <w:ind w:left="1080" w:right="1159"/>
        <w:spacing w:after="0" w:line="244" w:lineRule="auto"/>
        <w:rPr>
          <w:sz w:val="20"/>
          <w:szCs w:val="20"/>
          <w:color w:val="auto"/>
        </w:rPr>
      </w:pPr>
      <w:r>
        <w:rPr>
          <w:rFonts w:ascii="Arial" w:cs="Arial" w:eastAsia="Arial" w:hAnsi="Arial"/>
          <w:sz w:val="15"/>
          <w:szCs w:val="15"/>
          <w:color w:val="auto"/>
        </w:rPr>
        <w:t xml:space="preserve">Our Compliance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Compliance Committee reviews its charter annually and presents any recommendations for amendments to our Board. The Compliance Committee also evaluates its performance under its charter and reports to our Board on the results of its evaluation, including an assessment of the charter’s adequacy. The Compliance Committee most recently reviewed its charter in December 2024. The Compliance Committee met four (4) times in 2024.</w:t>
      </w:r>
    </w:p>
    <w:p>
      <w:pPr>
        <w:spacing w:after="0" w:line="271" w:lineRule="exact"/>
        <w:rPr>
          <w:sz w:val="20"/>
          <w:szCs w:val="20"/>
          <w:color w:val="auto"/>
        </w:rPr>
      </w:pPr>
    </w:p>
    <w:p>
      <w:pPr>
        <w:ind w:left="1080" w:right="1139"/>
        <w:spacing w:after="0" w:line="248" w:lineRule="auto"/>
        <w:rPr>
          <w:sz w:val="20"/>
          <w:szCs w:val="20"/>
          <w:color w:val="auto"/>
        </w:rPr>
      </w:pPr>
      <w:r>
        <w:rPr>
          <w:rFonts w:ascii="Arial" w:cs="Arial" w:eastAsia="Arial" w:hAnsi="Arial"/>
          <w:sz w:val="15"/>
          <w:szCs w:val="15"/>
          <w:b w:val="1"/>
          <w:bCs w:val="1"/>
          <w:i w:val="1"/>
          <w:iCs w:val="1"/>
          <w:color w:val="auto"/>
        </w:rPr>
        <w:t xml:space="preserve">Nomination/Governance Committee. </w:t>
      </w:r>
      <w:r>
        <w:rPr>
          <w:rFonts w:ascii="Arial" w:cs="Arial" w:eastAsia="Arial" w:hAnsi="Arial"/>
          <w:sz w:val="15"/>
          <w:szCs w:val="15"/>
          <w:color w:val="auto"/>
        </w:rPr>
        <w:t>The Nomination/Governance Committee of our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provided our Board with a set of corporate governance guidelines, oversees the evaluation of our Board and recommends to our Board individuals qualified to serve as Directors and committee members. It also advises our Board with respect to its composition, procedures and committees. The Nomination/Governance Committee may retain, at the Company’s expense, such independent counsel or other advisors as it deems necessary.</w:t>
      </w:r>
    </w:p>
    <w:p>
      <w:pPr>
        <w:spacing w:after="0" w:line="91" w:lineRule="exact"/>
        <w:rPr>
          <w:sz w:val="20"/>
          <w:szCs w:val="20"/>
          <w:color w:val="auto"/>
        </w:rPr>
      </w:pPr>
    </w:p>
    <w:p>
      <w:pPr>
        <w:ind w:left="1080" w:right="1159"/>
        <w:spacing w:after="0" w:line="253" w:lineRule="auto"/>
        <w:rPr>
          <w:sz w:val="20"/>
          <w:szCs w:val="20"/>
          <w:color w:val="auto"/>
        </w:rPr>
      </w:pPr>
      <w:r>
        <w:rPr>
          <w:rFonts w:ascii="Arial" w:cs="Arial" w:eastAsia="Arial" w:hAnsi="Arial"/>
          <w:sz w:val="15"/>
          <w:szCs w:val="15"/>
          <w:color w:val="auto"/>
        </w:rPr>
        <w:t>The members of the Nomination/Governance Committee during 2024 were Messrs. Morettini and Müller-Ineichen, with Mr. Morettini serving as the Committee Chair. Each member of the Nomination/Governance Committee is independent as defined by the Nasdaq listing standards.</w:t>
      </w:r>
    </w:p>
    <w:p>
      <w:pPr>
        <w:spacing w:after="0" w:line="266" w:lineRule="exact"/>
        <w:rPr>
          <w:sz w:val="20"/>
          <w:szCs w:val="20"/>
          <w:color w:val="auto"/>
        </w:rPr>
      </w:pPr>
    </w:p>
    <w:p>
      <w:pPr>
        <w:ind w:left="1080" w:right="1099"/>
        <w:spacing w:after="0" w:line="243" w:lineRule="auto"/>
        <w:rPr>
          <w:sz w:val="20"/>
          <w:szCs w:val="20"/>
          <w:color w:val="auto"/>
        </w:rPr>
      </w:pPr>
      <w:r>
        <w:rPr>
          <w:rFonts w:ascii="Arial" w:cs="Arial" w:eastAsia="Arial" w:hAnsi="Arial"/>
          <w:sz w:val="15"/>
          <w:szCs w:val="15"/>
          <w:color w:val="auto"/>
        </w:rPr>
        <w:t xml:space="preserve">Our Nomination/Governance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Nomination/Governance Committee reviews its charter annually and presents any recommendations for amendments to our Board. The Nomination/Governance Committee also evaluates its performance under its charter and reports to our Board on the results of its evaluation, including an assessment of the charter’s adequacy. The Nomination/Governance Committee last reviewed its charter in December 2024. The Nomination/Governance Committee met four (4) times in 2024.</w:t>
      </w:r>
    </w:p>
    <w:p>
      <w:pPr>
        <w:spacing w:after="0" w:line="271" w:lineRule="exact"/>
        <w:rPr>
          <w:sz w:val="20"/>
          <w:szCs w:val="20"/>
          <w:color w:val="auto"/>
        </w:rPr>
      </w:pPr>
    </w:p>
    <w:p>
      <w:pPr>
        <w:ind w:left="1080" w:right="1299"/>
        <w:spacing w:after="0" w:line="252" w:lineRule="auto"/>
        <w:rPr>
          <w:sz w:val="20"/>
          <w:szCs w:val="20"/>
          <w:color w:val="auto"/>
        </w:rPr>
      </w:pPr>
      <w:r>
        <w:rPr>
          <w:rFonts w:ascii="Arial" w:cs="Arial" w:eastAsia="Arial" w:hAnsi="Arial"/>
          <w:sz w:val="15"/>
          <w:szCs w:val="15"/>
          <w:color w:val="auto"/>
        </w:rPr>
        <w:t>The Nomination/Governance Committee regularly evaluates the appropriate size of our Board. When a vacancy is anticipated, the Nomination/Governance Committee selects several candidates for Director. Candidates may be recommended to the Nomination/Governance Committee by current members of our Board, professional search firms, shareholders or industry sources.</w:t>
      </w:r>
    </w:p>
    <w:p>
      <w:pPr>
        <w:spacing w:after="0" w:line="256" w:lineRule="exact"/>
        <w:rPr>
          <w:sz w:val="20"/>
          <w:szCs w:val="20"/>
          <w:color w:val="auto"/>
        </w:rPr>
      </w:pPr>
    </w:p>
    <w:p>
      <w:pPr>
        <w:ind w:left="1080" w:right="1099"/>
        <w:spacing w:after="0" w:line="244" w:lineRule="auto"/>
        <w:rPr>
          <w:sz w:val="20"/>
          <w:szCs w:val="20"/>
          <w:color w:val="auto"/>
        </w:rPr>
      </w:pPr>
      <w:r>
        <w:rPr>
          <w:rFonts w:ascii="Arial" w:cs="Arial" w:eastAsia="Arial" w:hAnsi="Arial"/>
          <w:sz w:val="15"/>
          <w:szCs w:val="15"/>
          <w:color w:val="auto"/>
        </w:rPr>
        <w:t xml:space="preserve">When recommending nominees to our Board, the Nomination/Governance Committee considers candidates based on merit, against objective criteria relating to the candidate’s knowledge, experience, skills and expertise, with due regard for the benefits of diversity on our Board. In considering diversity, the Nomination/​Governance Committee considers differences that relate to gender, age, ethnicity, race, national origin, cultural background, disability, religion and other relevant personal distinctions. The Nomination/ Governance Committee assesses the effectiveness of the Company’s Board Diversity Policy as part of its annual review of the composition of our Board and considers the results of this assessment when evaluating Director nominees. Our Board Diversity Policy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270" w:lineRule="exact"/>
        <w:rPr>
          <w:sz w:val="20"/>
          <w:szCs w:val="20"/>
          <w:color w:val="auto"/>
        </w:rPr>
      </w:pPr>
    </w:p>
    <w:p>
      <w:pPr>
        <w:ind w:left="1080" w:right="1219"/>
        <w:spacing w:after="0" w:line="246" w:lineRule="auto"/>
        <w:rPr>
          <w:sz w:val="20"/>
          <w:szCs w:val="20"/>
          <w:color w:val="auto"/>
        </w:rPr>
      </w:pPr>
      <w:r>
        <w:rPr>
          <w:rFonts w:ascii="Arial" w:cs="Arial" w:eastAsia="Arial" w:hAnsi="Arial"/>
          <w:sz w:val="15"/>
          <w:szCs w:val="15"/>
          <w:color w:val="auto"/>
        </w:rPr>
        <w:t>In evaluating a particular candidate, the Nomination/Governance Committee will also consider factors other than the candidate’s qualifications and background, including: (i) the current composition of our Board and the interplay between the candidate’s experience and the backgrounds of the current members of our Board; (ii) whether the candidate meets the independence standards set forth under applicable laws, regulations and Nasdaq listing standards; (iii) the balance of management and independent Directors; (iv) the need for Audit Committee expertise; and (v) the evaluation of other prospective nominees.</w:t>
      </w:r>
    </w:p>
    <w:p>
      <w:pPr>
        <w:spacing w:after="0" w:line="92" w:lineRule="exact"/>
        <w:rPr>
          <w:sz w:val="20"/>
          <w:szCs w:val="20"/>
          <w:color w:val="auto"/>
        </w:rPr>
      </w:pPr>
    </w:p>
    <w:p>
      <w:pPr>
        <w:ind w:left="1080" w:right="1219"/>
        <w:spacing w:after="0" w:line="248" w:lineRule="auto"/>
        <w:rPr>
          <w:sz w:val="20"/>
          <w:szCs w:val="20"/>
          <w:color w:val="auto"/>
        </w:rPr>
      </w:pPr>
      <w:r>
        <w:rPr>
          <w:rFonts w:ascii="Arial" w:cs="Arial" w:eastAsia="Arial" w:hAnsi="Arial"/>
          <w:sz w:val="15"/>
          <w:szCs w:val="15"/>
          <w:color w:val="auto"/>
        </w:rPr>
        <w:t>As part of this evaluation, prospective nominees will be interviewed by one or more members of the Nomination/ Governance Committee, and others as appropriate. After completing the evaluation and interviews, the Nomination/Governance Committee recommends individuals for nomination to our full Board of Directors. After considering the Nomination/Governance Committee’s recommendation and report, our Board decides which candidates will be nominated and presented to the shareholders for election.</w:t>
      </w:r>
    </w:p>
    <w:p>
      <w:pPr>
        <w:spacing w:after="0" w:line="91" w:lineRule="exact"/>
        <w:rPr>
          <w:sz w:val="20"/>
          <w:szCs w:val="20"/>
          <w:color w:val="auto"/>
        </w:rPr>
      </w:pPr>
    </w:p>
    <w:p>
      <w:pPr>
        <w:ind w:left="1080" w:right="1159"/>
        <w:spacing w:after="0" w:line="246" w:lineRule="auto"/>
        <w:rPr>
          <w:sz w:val="20"/>
          <w:szCs w:val="20"/>
          <w:color w:val="auto"/>
        </w:rPr>
      </w:pPr>
      <w:r>
        <w:rPr>
          <w:rFonts w:ascii="Arial" w:cs="Arial" w:eastAsia="Arial" w:hAnsi="Arial"/>
          <w:sz w:val="15"/>
          <w:szCs w:val="15"/>
          <w:color w:val="auto"/>
        </w:rPr>
        <w:t>The Nomination/Governance Committee considers Director candidates recommended by shareholders. If you would like to recommend persons for consideration by our Nomination/Governance Committee as nominees for election to our Board, you can do so by writing to our Corporate Secretary at Altisource Portfolio Solutions S.A., 33, Boulevard Prince Henri, L-1724 Luxembourg City, Grand Duchy of Luxembourg. If you recommend a qualified candidate for Director, our Nomination/Governance Committee will evaluate that candidate in the same way that</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3" w:name="page24"/>
    <w:bookmarkEnd w:id="23"/>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396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-181610</wp:posOffset>
            </wp:positionV>
            <wp:extent cx="2533015" cy="121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33015" cy="121920"/>
                    </a:xfrm>
                    <a:prstGeom prst="rect">
                      <a:avLst/>
                    </a:prstGeom>
                    <a:noFill/>
                  </pic:spPr>
                </pic:pic>
              </a:graphicData>
            </a:graphic>
          </wp:anchor>
        </w:drawing>
      </w:r>
    </w:p>
    <w:p>
      <w:pPr>
        <w:spacing w:after="0" w:line="95" w:lineRule="exact"/>
        <w:rPr>
          <w:sz w:val="20"/>
          <w:szCs w:val="20"/>
          <w:color w:val="auto"/>
        </w:rPr>
      </w:pPr>
    </w:p>
    <w:p>
      <w:pPr>
        <w:ind w:left="1080" w:right="1159"/>
        <w:spacing w:after="0" w:line="244" w:lineRule="auto"/>
        <w:rPr>
          <w:sz w:val="20"/>
          <w:szCs w:val="20"/>
          <w:color w:val="auto"/>
        </w:rPr>
      </w:pPr>
      <w:r>
        <w:rPr>
          <w:rFonts w:ascii="Arial" w:cs="Arial" w:eastAsia="Arial" w:hAnsi="Arial"/>
          <w:sz w:val="15"/>
          <w:szCs w:val="15"/>
          <w:color w:val="auto"/>
        </w:rPr>
        <w:t>it would evaluate any other candidate. You should provide each proposed nominee’s name, biographical information, qualifications and expertise. Your recommendation should also include a written statement from the proposed nominee consenting to be named as a nominee and, if nominated and elected, to serve as a Director. Any recommendation that a shareholder wishes to have included in our proxy materials for our 2026 annual general meeting of shareholders must be received at our registered office no later than December 1, 2025. Please see the “Shareholder Rights” and “Shareholder Proposals” sections for additional information regarding shareholder proposals.</w:t>
      </w:r>
    </w:p>
    <w:p>
      <w:pPr>
        <w:spacing w:after="0" w:line="271" w:lineRule="exact"/>
        <w:rPr>
          <w:sz w:val="20"/>
          <w:szCs w:val="20"/>
          <w:color w:val="auto"/>
        </w:rPr>
      </w:pPr>
    </w:p>
    <w:p>
      <w:pPr>
        <w:ind w:left="1080" w:right="1159"/>
        <w:spacing w:after="0" w:line="247"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acts on behalf of our Board between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meetings and otherwise assists our Board in handling matters that, in the opinion of the Chairman of our Board, should not be postponed until the next scheduled meeting of our Board. The members of our Executive Committee during 2024 were Messrs. Müller-Ineichen and Shepro, with Mr. Müller-Ineichen serving as the Committee Chair.</w:t>
      </w:r>
    </w:p>
    <w:p>
      <w:pPr>
        <w:spacing w:after="0" w:line="93" w:lineRule="exact"/>
        <w:rPr>
          <w:sz w:val="20"/>
          <w:szCs w:val="20"/>
          <w:color w:val="auto"/>
        </w:rPr>
      </w:pPr>
    </w:p>
    <w:p>
      <w:pPr>
        <w:ind w:left="1080" w:right="1099"/>
        <w:spacing w:after="0" w:line="245" w:lineRule="auto"/>
        <w:rPr>
          <w:sz w:val="20"/>
          <w:szCs w:val="20"/>
          <w:color w:val="auto"/>
        </w:rPr>
      </w:pPr>
      <w:r>
        <w:rPr>
          <w:rFonts w:ascii="Arial" w:cs="Arial" w:eastAsia="Arial" w:hAnsi="Arial"/>
          <w:sz w:val="15"/>
          <w:szCs w:val="15"/>
          <w:color w:val="auto"/>
        </w:rPr>
        <w:t xml:space="preserve">Our Executive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Executive Committee reviews its charter annually and presents any recommendations for amendments to our Board. The Executive Committee also evaluates its performance under its charter and reports to our Board on the results of its evaluation, provided that such performance evaluation shall not be necessary where minimal action was taken during the year. The Executive Committee last reviewed its charter in December 2024. The Executive Committee took one action by written consent in 2024.</w:t>
      </w:r>
    </w:p>
    <w:p>
      <w:pPr>
        <w:spacing w:after="0" w:line="32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Corporate Governance Guidelines</w:t>
      </w:r>
    </w:p>
    <w:p>
      <w:pPr>
        <w:spacing w:after="0" w:line="102" w:lineRule="exact"/>
        <w:rPr>
          <w:sz w:val="20"/>
          <w:szCs w:val="20"/>
          <w:color w:val="auto"/>
        </w:rPr>
      </w:pPr>
    </w:p>
    <w:p>
      <w:pPr>
        <w:ind w:left="1080" w:right="1139"/>
        <w:spacing w:after="0" w:line="244" w:lineRule="auto"/>
        <w:rPr>
          <w:sz w:val="20"/>
          <w:szCs w:val="20"/>
          <w:color w:val="auto"/>
        </w:rPr>
      </w:pPr>
      <w:r>
        <w:rPr>
          <w:rFonts w:ascii="Arial" w:cs="Arial" w:eastAsia="Arial" w:hAnsi="Arial"/>
          <w:sz w:val="15"/>
          <w:szCs w:val="15"/>
          <w:color w:val="auto"/>
        </w:rPr>
        <w:t>The Corporate Governance Guidelines adopted by our Board provide guidelines for effective corporate governance and to promote the effective functioning of our Board and its Committees. The Corporate Governance Guidelines cover topics such as Director qualification standards, Board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our Board.</w:t>
      </w:r>
    </w:p>
    <w:p>
      <w:pPr>
        <w:spacing w:after="0" w:line="96" w:lineRule="exact"/>
        <w:rPr>
          <w:sz w:val="20"/>
          <w:szCs w:val="20"/>
          <w:color w:val="auto"/>
        </w:rPr>
      </w:pPr>
    </w:p>
    <w:p>
      <w:pPr>
        <w:ind w:left="1080" w:right="1259"/>
        <w:spacing w:after="0" w:line="247"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presents any recommendations for amendments to our Board. The Nomination/ Governance Committee last reviewed our Corporate Governance Guidelines in December 2024. Our Corporate Governance Guidelines are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Shareholder Rights</w:t>
      </w:r>
    </w:p>
    <w:p>
      <w:pPr>
        <w:spacing w:after="0" w:line="102" w:lineRule="exact"/>
        <w:rPr>
          <w:sz w:val="20"/>
          <w:szCs w:val="20"/>
          <w:color w:val="auto"/>
        </w:rPr>
      </w:pPr>
    </w:p>
    <w:p>
      <w:pPr>
        <w:jc w:val="both"/>
        <w:ind w:left="1080" w:right="1639"/>
        <w:spacing w:after="0" w:line="252" w:lineRule="auto"/>
        <w:rPr>
          <w:sz w:val="20"/>
          <w:szCs w:val="20"/>
          <w:color w:val="auto"/>
        </w:rPr>
      </w:pPr>
      <w:r>
        <w:rPr>
          <w:rFonts w:ascii="Arial" w:cs="Arial" w:eastAsia="Arial" w:hAnsi="Arial"/>
          <w:sz w:val="15"/>
          <w:szCs w:val="15"/>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88" w:lineRule="exact"/>
        <w:rPr>
          <w:sz w:val="20"/>
          <w:szCs w:val="20"/>
          <w:color w:val="auto"/>
        </w:rPr>
      </w:pPr>
    </w:p>
    <w:p>
      <w:pPr>
        <w:ind w:left="1680" w:hanging="301"/>
        <w:spacing w:after="0"/>
        <w:tabs>
          <w:tab w:leader="none" w:pos="1680" w:val="left"/>
        </w:tabs>
        <w:numPr>
          <w:ilvl w:val="0"/>
          <w:numId w:val="25"/>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Majority Voting:  </w:t>
      </w:r>
      <w:r>
        <w:rPr>
          <w:rFonts w:ascii="Arial" w:cs="Arial" w:eastAsia="Arial" w:hAnsi="Arial"/>
          <w:sz w:val="15"/>
          <w:szCs w:val="15"/>
          <w:color w:val="auto"/>
        </w:rPr>
        <w:t>Directors are elected by the majority of votes cast</w:t>
      </w:r>
    </w:p>
    <w:p>
      <w:pPr>
        <w:spacing w:after="0" w:line="131" w:lineRule="exact"/>
        <w:rPr>
          <w:rFonts w:ascii="Arial" w:cs="Arial" w:eastAsia="Arial" w:hAnsi="Arial"/>
          <w:sz w:val="15"/>
          <w:szCs w:val="15"/>
          <w:b w:val="1"/>
          <w:bCs w:val="1"/>
          <w:color w:val="auto"/>
        </w:rPr>
      </w:pPr>
    </w:p>
    <w:p>
      <w:pPr>
        <w:ind w:left="1680" w:right="1439" w:hanging="301"/>
        <w:spacing w:after="0" w:line="263" w:lineRule="auto"/>
        <w:tabs>
          <w:tab w:leader="none" w:pos="1680" w:val="left"/>
        </w:tabs>
        <w:numPr>
          <w:ilvl w:val="0"/>
          <w:numId w:val="25"/>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Annual Elections: </w:t>
      </w:r>
      <w:r>
        <w:rPr>
          <w:rFonts w:ascii="Arial" w:cs="Arial" w:eastAsia="Arial" w:hAnsi="Arial"/>
          <w:sz w:val="15"/>
          <w:szCs w:val="15"/>
          <w:color w:val="auto"/>
        </w:rPr>
        <w:t>All Directors are elected annually. We do not have a staggered</w:t>
      </w:r>
      <w:r>
        <w:rPr>
          <w:rFonts w:ascii="Arial" w:cs="Arial" w:eastAsia="Arial" w:hAnsi="Arial"/>
          <w:sz w:val="15"/>
          <w:szCs w:val="15"/>
          <w:i w:val="1"/>
          <w:iCs w:val="1"/>
          <w:color w:val="auto"/>
        </w:rPr>
        <w:t xml:space="preserve"> </w:t>
      </w:r>
      <w:r>
        <w:rPr>
          <w:rFonts w:ascii="Arial" w:cs="Arial" w:eastAsia="Arial" w:hAnsi="Arial"/>
          <w:sz w:val="15"/>
          <w:szCs w:val="15"/>
          <w:color w:val="auto"/>
        </w:rPr>
        <w:t>Board</w:t>
      </w:r>
    </w:p>
    <w:p>
      <w:pPr>
        <w:spacing w:after="0" w:line="284" w:lineRule="exact"/>
        <w:rPr>
          <w:rFonts w:ascii="Arial" w:cs="Arial" w:eastAsia="Arial" w:hAnsi="Arial"/>
          <w:sz w:val="15"/>
          <w:szCs w:val="15"/>
          <w:b w:val="1"/>
          <w:bCs w:val="1"/>
          <w:color w:val="auto"/>
        </w:rPr>
      </w:pPr>
    </w:p>
    <w:p>
      <w:pPr>
        <w:ind w:left="1680" w:right="1139" w:hanging="301"/>
        <w:spacing w:after="0" w:line="261" w:lineRule="auto"/>
        <w:tabs>
          <w:tab w:leader="none" w:pos="1680" w:val="left"/>
        </w:tabs>
        <w:numPr>
          <w:ilvl w:val="0"/>
          <w:numId w:val="25"/>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Shareholder Proposals: </w:t>
      </w:r>
      <w:r>
        <w:rPr>
          <w:rFonts w:ascii="Arial" w:cs="Arial" w:eastAsia="Arial" w:hAnsi="Arial"/>
          <w:sz w:val="15"/>
          <w:szCs w:val="15"/>
          <w:color w:val="auto"/>
        </w:rPr>
        <w:t>Shareholders representing individually or jointly at least</w:t>
      </w:r>
      <w:r>
        <w:rPr>
          <w:rFonts w:ascii="Arial" w:cs="Arial" w:eastAsia="Arial" w:hAnsi="Arial"/>
          <w:sz w:val="15"/>
          <w:szCs w:val="15"/>
          <w:i w:val="1"/>
          <w:iCs w:val="1"/>
          <w:color w:val="auto"/>
        </w:rPr>
        <w:t xml:space="preserve"> </w:t>
      </w:r>
      <w:r>
        <w:rPr>
          <w:rFonts w:ascii="Arial" w:cs="Arial" w:eastAsia="Arial" w:hAnsi="Arial"/>
          <w:sz w:val="15"/>
          <w:szCs w:val="15"/>
          <w:color w:val="auto"/>
        </w:rPr>
        <w:t>ten percent (10%) of the Company’s share capital may nominate candidates for election to our Board and make other proposals for inclusion in the proxy statement, subject to completing certain formalities. Please see the “Shareholder Proposals” section for additional information</w:t>
      </w:r>
    </w:p>
    <w:p>
      <w:pPr>
        <w:spacing w:after="0" w:line="275" w:lineRule="exact"/>
        <w:rPr>
          <w:rFonts w:ascii="Arial" w:cs="Arial" w:eastAsia="Arial" w:hAnsi="Arial"/>
          <w:sz w:val="15"/>
          <w:szCs w:val="15"/>
          <w:b w:val="1"/>
          <w:bCs w:val="1"/>
          <w:color w:val="auto"/>
        </w:rPr>
      </w:pPr>
    </w:p>
    <w:p>
      <w:pPr>
        <w:ind w:left="1680" w:right="1219" w:hanging="301"/>
        <w:spacing w:after="0" w:line="286" w:lineRule="auto"/>
        <w:tabs>
          <w:tab w:leader="none" w:pos="1680" w:val="left"/>
        </w:tabs>
        <w:numPr>
          <w:ilvl w:val="0"/>
          <w:numId w:val="25"/>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Shareholder Meetings: </w:t>
      </w:r>
      <w:r>
        <w:rPr>
          <w:rFonts w:ascii="Arial" w:cs="Arial" w:eastAsia="Arial" w:hAnsi="Arial"/>
          <w:sz w:val="15"/>
          <w:szCs w:val="15"/>
          <w:color w:val="auto"/>
        </w:rPr>
        <w:t>A general meeting of shareholders may be called at any time</w:t>
      </w:r>
      <w:r>
        <w:rPr>
          <w:rFonts w:ascii="Arial" w:cs="Arial" w:eastAsia="Arial" w:hAnsi="Arial"/>
          <w:sz w:val="15"/>
          <w:szCs w:val="15"/>
          <w:i w:val="1"/>
          <w:iCs w:val="1"/>
          <w:color w:val="auto"/>
        </w:rPr>
        <w:t xml:space="preserve"> </w:t>
      </w:r>
      <w:r>
        <w:rPr>
          <w:rFonts w:ascii="Arial" w:cs="Arial" w:eastAsia="Arial" w:hAnsi="Arial"/>
          <w:sz w:val="15"/>
          <w:szCs w:val="15"/>
          <w:color w:val="auto"/>
        </w:rPr>
        <w:t>by the holders of at least ten percent (10%) of our subscribed share capital</w:t>
      </w:r>
    </w:p>
    <w:p>
      <w:pPr>
        <w:spacing w:after="0" w:line="62" w:lineRule="exact"/>
        <w:rPr>
          <w:rFonts w:ascii="Arial" w:cs="Arial" w:eastAsia="Arial" w:hAnsi="Arial"/>
          <w:sz w:val="15"/>
          <w:szCs w:val="15"/>
          <w:b w:val="1"/>
          <w:bCs w:val="1"/>
          <w:color w:val="auto"/>
        </w:rPr>
      </w:pPr>
    </w:p>
    <w:p>
      <w:pPr>
        <w:ind w:left="1680" w:right="1979" w:hanging="301"/>
        <w:spacing w:after="0" w:line="286" w:lineRule="auto"/>
        <w:tabs>
          <w:tab w:leader="none" w:pos="1680" w:val="left"/>
        </w:tabs>
        <w:numPr>
          <w:ilvl w:val="0"/>
          <w:numId w:val="25"/>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No Shareholder Rights Plan: </w:t>
      </w:r>
      <w:r>
        <w:rPr>
          <w:rFonts w:ascii="Arial" w:cs="Arial" w:eastAsia="Arial" w:hAnsi="Arial"/>
          <w:sz w:val="15"/>
          <w:szCs w:val="15"/>
          <w:color w:val="auto"/>
        </w:rPr>
        <w:t>We do not maintain a shareholder rights plan</w:t>
      </w:r>
      <w:r>
        <w:rPr>
          <w:rFonts w:ascii="Arial" w:cs="Arial" w:eastAsia="Arial" w:hAnsi="Arial"/>
          <w:sz w:val="15"/>
          <w:szCs w:val="15"/>
          <w:i w:val="1"/>
          <w:iCs w:val="1"/>
          <w:color w:val="auto"/>
        </w:rPr>
        <w:t xml:space="preserve"> </w:t>
      </w:r>
      <w:r>
        <w:rPr>
          <w:rFonts w:ascii="Arial" w:cs="Arial" w:eastAsia="Arial" w:hAnsi="Arial"/>
          <w:sz w:val="15"/>
          <w:szCs w:val="15"/>
          <w:color w:val="auto"/>
        </w:rPr>
        <w:t>(sometimes called a “poison pill”)</w:t>
      </w:r>
    </w:p>
    <w:p>
      <w:pPr>
        <w:spacing w:after="0" w:line="73" w:lineRule="exact"/>
        <w:rPr>
          <w:sz w:val="20"/>
          <w:szCs w:val="20"/>
          <w:color w:val="auto"/>
        </w:rPr>
      </w:pPr>
    </w:p>
    <w:p>
      <w:pPr>
        <w:ind w:left="1080" w:right="1139"/>
        <w:spacing w:after="0" w:line="270" w:lineRule="auto"/>
        <w:rPr>
          <w:sz w:val="20"/>
          <w:szCs w:val="20"/>
          <w:color w:val="auto"/>
        </w:rPr>
      </w:pPr>
      <w:r>
        <w:rPr>
          <w:rFonts w:ascii="Arial" w:cs="Arial" w:eastAsia="Arial" w:hAnsi="Arial"/>
          <w:sz w:val="15"/>
          <w:szCs w:val="15"/>
          <w:color w:val="auto"/>
        </w:rPr>
        <w:t>Our Board and its Committees monitor developments in governance best practices to assure that our Board continues to meet its commitment to represent shareholder interests.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4" w:name="page25"/>
    <w:bookmarkEnd w:id="24"/>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-181610</wp:posOffset>
            </wp:positionV>
            <wp:extent cx="2533015" cy="121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3015" cy="121920"/>
                    </a:xfrm>
                    <a:prstGeom prst="rect">
                      <a:avLst/>
                    </a:prstGeom>
                    <a:noFill/>
                  </pic:spPr>
                </pic:pic>
              </a:graphicData>
            </a:graphic>
          </wp:anchor>
        </w:drawing>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Shareholder Engagement</w:t>
      </w:r>
    </w:p>
    <w:p>
      <w:pPr>
        <w:spacing w:after="0" w:line="91" w:lineRule="exact"/>
        <w:rPr>
          <w:sz w:val="20"/>
          <w:szCs w:val="20"/>
          <w:color w:val="auto"/>
        </w:rPr>
      </w:pPr>
    </w:p>
    <w:p>
      <w:pPr>
        <w:ind w:left="1080" w:right="1239"/>
        <w:spacing w:after="0" w:line="256" w:lineRule="auto"/>
        <w:rPr>
          <w:sz w:val="20"/>
          <w:szCs w:val="20"/>
          <w:color w:val="auto"/>
        </w:rPr>
      </w:pPr>
      <w:r>
        <w:rPr>
          <w:rFonts w:ascii="Arial" w:cs="Arial" w:eastAsia="Arial" w:hAnsi="Arial"/>
          <w:sz w:val="15"/>
          <w:szCs w:val="15"/>
          <w:color w:val="auto"/>
        </w:rPr>
        <w:t>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our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278" w:lineRule="exact"/>
        <w:rPr>
          <w:sz w:val="20"/>
          <w:szCs w:val="20"/>
          <w:color w:val="auto"/>
        </w:rPr>
      </w:pPr>
    </w:p>
    <w:p>
      <w:pPr>
        <w:ind w:left="1080" w:right="1139"/>
        <w:spacing w:after="0" w:line="257" w:lineRule="auto"/>
        <w:rPr>
          <w:sz w:val="20"/>
          <w:szCs w:val="20"/>
          <w:color w:val="auto"/>
        </w:rPr>
      </w:pPr>
      <w:r>
        <w:rPr>
          <w:rFonts w:ascii="Arial" w:cs="Arial" w:eastAsia="Arial" w:hAnsi="Arial"/>
          <w:sz w:val="15"/>
          <w:szCs w:val="15"/>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our Board is designed to promote effective engagement with shareholders and clearly outline the parameters for such engagement.</w:t>
      </w:r>
    </w:p>
    <w:p>
      <w:pPr>
        <w:spacing w:after="0" w:line="266" w:lineRule="exact"/>
        <w:rPr>
          <w:sz w:val="20"/>
          <w:szCs w:val="20"/>
          <w:color w:val="auto"/>
        </w:rPr>
      </w:pPr>
    </w:p>
    <w:p>
      <w:pPr>
        <w:ind w:left="1080" w:right="1239"/>
        <w:spacing w:after="0" w:line="257" w:lineRule="auto"/>
        <w:rPr>
          <w:sz w:val="20"/>
          <w:szCs w:val="20"/>
          <w:color w:val="auto"/>
        </w:rPr>
      </w:pPr>
      <w:r>
        <w:rPr>
          <w:rFonts w:ascii="Arial" w:cs="Arial" w:eastAsia="Arial" w:hAnsi="Arial"/>
          <w:sz w:val="15"/>
          <w:szCs w:val="15"/>
          <w:color w:val="auto"/>
        </w:rPr>
        <w:t xml:space="preserve">Shareholders who wish to contact our Board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 Relevant communications received in writing are distributed to our Board or to individual Directors, as appropriate, depending on the facts and circumstances outlined in the communication received.</w:t>
      </w:r>
    </w:p>
    <w:p>
      <w:pPr>
        <w:spacing w:after="0" w:line="330"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Code of Ethics</w:t>
      </w:r>
    </w:p>
    <w:p>
      <w:pPr>
        <w:spacing w:after="0" w:line="102" w:lineRule="exact"/>
        <w:rPr>
          <w:sz w:val="20"/>
          <w:szCs w:val="20"/>
          <w:color w:val="auto"/>
        </w:rPr>
      </w:pPr>
    </w:p>
    <w:p>
      <w:pPr>
        <w:ind w:left="1080" w:right="1099"/>
        <w:spacing w:after="0" w:line="253" w:lineRule="auto"/>
        <w:rPr>
          <w:sz w:val="20"/>
          <w:szCs w:val="20"/>
          <w:color w:val="auto"/>
        </w:rPr>
      </w:pPr>
      <w:r>
        <w:rPr>
          <w:rFonts w:ascii="Arial" w:cs="Arial" w:eastAsia="Arial" w:hAnsi="Arial"/>
          <w:sz w:val="15"/>
          <w:szCs w:val="15"/>
          <w:color w:val="auto"/>
        </w:rPr>
        <w:t xml:space="preserve">We have a Code of Business Conduct and Ethics that applies to our Directors, officers and other employees as required by the Nasdaq listing standards. We also have a Code of Ethics for Senior Financial Officers that applies to our Chief Executive Officer, Chief Financial Officer and the members of the Chief Financial Officer’s financial leadership team. The Code of Business Conduct and Ethics and the Code of Ethics for Senior Financial Officers are available on our website at </w:t>
      </w:r>
      <w:r>
        <w:rPr>
          <w:rFonts w:ascii="Arial" w:cs="Arial" w:eastAsia="Arial" w:hAnsi="Arial"/>
          <w:sz w:val="15"/>
          <w:szCs w:val="15"/>
          <w:u w:val="single" w:color="auto"/>
          <w:color w:val="auto"/>
        </w:rPr>
        <w:t>https://ir.altisource.com/corporate -governance</w:t>
      </w:r>
      <w:r>
        <w:rPr>
          <w:rFonts w:ascii="Arial" w:cs="Arial" w:eastAsia="Arial" w:hAnsi="Arial"/>
          <w:sz w:val="15"/>
          <w:szCs w:val="15"/>
          <w:color w:val="auto"/>
        </w:rPr>
        <w:t xml:space="preserve">. On an annual basis, our Board reviews and approves the Code of Business Conduct and Ethics and the Code of Ethics for Senior Financial Officers. Our Board last reviewed the Code of Business Conduct and Ethics and the Code of Ethics for Senior Financial Officers in December 2024. Any amendments to the Code of Business Conduct and Ethics or the Code of Ethics for Senior Financial Officers, as well as any waivers that are required to be disclosed under SEC rules or the Nasdaq listing standards, must be approved by our Board or the Audit Committee and will be posted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or otherwise disclosed in accordance with such rules.</w:t>
      </w:r>
    </w:p>
    <w:p>
      <w:pPr>
        <w:spacing w:after="0" w:line="33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Risk Management and Oversight Process</w:t>
      </w:r>
    </w:p>
    <w:p>
      <w:pPr>
        <w:spacing w:after="0" w:line="91" w:lineRule="exact"/>
        <w:rPr>
          <w:sz w:val="20"/>
          <w:szCs w:val="20"/>
          <w:color w:val="auto"/>
        </w:rPr>
      </w:pPr>
    </w:p>
    <w:p>
      <w:pPr>
        <w:ind w:left="1080" w:right="1759"/>
        <w:spacing w:after="0" w:line="286" w:lineRule="auto"/>
        <w:rPr>
          <w:sz w:val="20"/>
          <w:szCs w:val="20"/>
          <w:color w:val="auto"/>
        </w:rPr>
      </w:pPr>
      <w:r>
        <w:rPr>
          <w:rFonts w:ascii="Arial" w:cs="Arial" w:eastAsia="Arial" w:hAnsi="Arial"/>
          <w:sz w:val="15"/>
          <w:szCs w:val="15"/>
          <w:color w:val="auto"/>
        </w:rPr>
        <w:t>Our Board and its Committees play a key role in the oversight of the Company’s risk management.</w:t>
      </w:r>
    </w:p>
    <w:p>
      <w:pPr>
        <w:spacing w:after="0" w:line="73" w:lineRule="exact"/>
        <w:rPr>
          <w:sz w:val="20"/>
          <w:szCs w:val="20"/>
          <w:color w:val="auto"/>
        </w:rPr>
      </w:pPr>
    </w:p>
    <w:p>
      <w:pPr>
        <w:ind w:left="1080" w:right="1119"/>
        <w:spacing w:after="0" w:line="254" w:lineRule="auto"/>
        <w:rPr>
          <w:sz w:val="20"/>
          <w:szCs w:val="20"/>
          <w:color w:val="auto"/>
        </w:rPr>
      </w:pPr>
      <w:r>
        <w:rPr>
          <w:rFonts w:ascii="Arial" w:cs="Arial" w:eastAsia="Arial" w:hAnsi="Arial"/>
          <w:sz w:val="15"/>
          <w:szCs w:val="15"/>
          <w:color w:val="auto"/>
        </w:rPr>
        <w:t>Through regular reviews with management and internal and external auditors, our Board and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273" w:lineRule="exact"/>
        <w:rPr>
          <w:sz w:val="20"/>
          <w:szCs w:val="20"/>
          <w:color w:val="auto"/>
        </w:rPr>
      </w:pPr>
    </w:p>
    <w:p>
      <w:pPr>
        <w:ind w:left="1080" w:right="1279"/>
        <w:spacing w:after="0" w:line="254" w:lineRule="auto"/>
        <w:rPr>
          <w:sz w:val="20"/>
          <w:szCs w:val="20"/>
          <w:color w:val="auto"/>
        </w:rPr>
      </w:pPr>
      <w:r>
        <w:rPr>
          <w:rFonts w:ascii="Arial" w:cs="Arial" w:eastAsia="Arial" w:hAnsi="Arial"/>
          <w:sz w:val="15"/>
          <w:szCs w:val="15"/>
          <w:color w:val="auto"/>
        </w:rPr>
        <w:t>Our Audit Committee periodically performs, and reports to our Board on, an enterprise risk assessment with management to review the principal risks that could adversely affect our business, and to monitor the steps management is taking to map and mitigate these risks. This enterprise risk assessment generally reviews: (i) strategic risks; (ii) financial risks; (iii) sales and marketing risks; (iv) operational risks; (v) legal and compliance risks;</w:t>
      </w:r>
    </w:p>
    <w:p>
      <w:pPr>
        <w:spacing w:after="0" w:line="3" w:lineRule="exact"/>
        <w:rPr>
          <w:sz w:val="20"/>
          <w:szCs w:val="20"/>
          <w:color w:val="auto"/>
        </w:rPr>
      </w:pPr>
    </w:p>
    <w:p>
      <w:pPr>
        <w:ind w:left="1080" w:right="1139" w:hanging="1"/>
        <w:spacing w:after="0" w:line="266" w:lineRule="auto"/>
        <w:tabs>
          <w:tab w:leader="none" w:pos="1368" w:val="left"/>
        </w:tabs>
        <w:numPr>
          <w:ilvl w:val="0"/>
          <w:numId w:val="26"/>
        </w:numPr>
        <w:rPr>
          <w:rFonts w:ascii="Arial" w:cs="Arial" w:eastAsia="Arial" w:hAnsi="Arial"/>
          <w:sz w:val="15"/>
          <w:szCs w:val="15"/>
          <w:color w:val="auto"/>
        </w:rPr>
      </w:pPr>
      <w:r>
        <w:rPr>
          <w:rFonts w:ascii="Arial" w:cs="Arial" w:eastAsia="Arial" w:hAnsi="Arial"/>
          <w:sz w:val="15"/>
          <w:szCs w:val="15"/>
          <w:color w:val="auto"/>
        </w:rPr>
        <w:t>technology risks including data privacy risks and cybersecurity risks; and (vii) other risks that could adversely affect our business.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5" w:name="page26"/>
    <w:bookmarkEnd w:id="25"/>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396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-181610</wp:posOffset>
            </wp:positionV>
            <wp:extent cx="2533015" cy="121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33015" cy="121920"/>
                    </a:xfrm>
                    <a:prstGeom prst="rect">
                      <a:avLst/>
                    </a:prstGeom>
                    <a:noFill/>
                  </pic:spPr>
                </pic:pic>
              </a:graphicData>
            </a:graphic>
          </wp:anchor>
        </w:drawing>
      </w:r>
    </w:p>
    <w:p>
      <w:pPr>
        <w:spacing w:after="0" w:line="95" w:lineRule="exact"/>
        <w:rPr>
          <w:sz w:val="20"/>
          <w:szCs w:val="20"/>
          <w:color w:val="auto"/>
        </w:rPr>
      </w:pPr>
    </w:p>
    <w:p>
      <w:pPr>
        <w:ind w:left="1080" w:right="1119"/>
        <w:spacing w:after="0" w:line="259" w:lineRule="auto"/>
        <w:rPr>
          <w:sz w:val="20"/>
          <w:szCs w:val="20"/>
          <w:color w:val="auto"/>
        </w:rPr>
      </w:pPr>
      <w:r>
        <w:rPr>
          <w:rFonts w:ascii="Arial" w:cs="Arial" w:eastAsia="Arial" w:hAnsi="Arial"/>
          <w:sz w:val="15"/>
          <w:szCs w:val="15"/>
          <w:color w:val="auto"/>
        </w:rPr>
        <w:t>Our Board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w:t>
      </w:r>
    </w:p>
    <w:p>
      <w:pPr>
        <w:spacing w:after="0" w:line="83" w:lineRule="exact"/>
        <w:rPr>
          <w:sz w:val="20"/>
          <w:szCs w:val="20"/>
          <w:color w:val="auto"/>
        </w:rPr>
      </w:pPr>
    </w:p>
    <w:p>
      <w:pPr>
        <w:ind w:left="1080" w:right="1359"/>
        <w:spacing w:after="0" w:line="265" w:lineRule="auto"/>
        <w:rPr>
          <w:sz w:val="20"/>
          <w:szCs w:val="20"/>
          <w:color w:val="auto"/>
        </w:rPr>
      </w:pPr>
      <w:r>
        <w:rPr>
          <w:rFonts w:ascii="Arial" w:cs="Arial" w:eastAsia="Arial" w:hAnsi="Arial"/>
          <w:sz w:val="15"/>
          <w:szCs w:val="15"/>
          <w:color w:val="auto"/>
        </w:rPr>
        <w:t>In addition, working closely with management, our Nomination/Governance Committee assists our Board in monitoring the Company’s governance and succession risks, and our Compensation Committee assists our Board in monitoring the Company’s compensation policies and related risks.</w:t>
      </w:r>
    </w:p>
    <w:p>
      <w:pPr>
        <w:spacing w:after="0" w:line="274" w:lineRule="exact"/>
        <w:rPr>
          <w:sz w:val="20"/>
          <w:szCs w:val="20"/>
          <w:color w:val="auto"/>
        </w:rPr>
      </w:pPr>
    </w:p>
    <w:p>
      <w:pPr>
        <w:ind w:left="1080" w:right="1119"/>
        <w:spacing w:after="0" w:line="262" w:lineRule="auto"/>
        <w:rPr>
          <w:sz w:val="20"/>
          <w:szCs w:val="20"/>
          <w:color w:val="auto"/>
        </w:rPr>
      </w:pPr>
      <w:r>
        <w:rPr>
          <w:rFonts w:ascii="Arial" w:cs="Arial" w:eastAsia="Arial" w:hAnsi="Arial"/>
          <w:sz w:val="15"/>
          <w:szCs w:val="15"/>
          <w:color w:val="auto"/>
        </w:rPr>
        <w:t>The role of our Board in risk oversight is consistent with the Company’s leadership structure, with the Chief Executive Officer and other members of management having responsibility for assessing and managing the Company’s risk exposure, and our Board and its Committees providing oversight of the management of these risks.</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Share Hedging, Margin Lending, Share Pledging</w:t>
      </w:r>
    </w:p>
    <w:p>
      <w:pPr>
        <w:spacing w:after="0" w:line="91" w:lineRule="exact"/>
        <w:rPr>
          <w:sz w:val="20"/>
          <w:szCs w:val="20"/>
          <w:color w:val="auto"/>
        </w:rPr>
      </w:pPr>
    </w:p>
    <w:p>
      <w:pPr>
        <w:ind w:left="1080" w:right="1219"/>
        <w:spacing w:after="0" w:line="257" w:lineRule="auto"/>
        <w:rPr>
          <w:sz w:val="20"/>
          <w:szCs w:val="20"/>
          <w:color w:val="auto"/>
        </w:rPr>
      </w:pPr>
      <w:r>
        <w:rPr>
          <w:rFonts w:ascii="Arial" w:cs="Arial" w:eastAsia="Arial" w:hAnsi="Arial"/>
          <w:sz w:val="15"/>
          <w:szCs w:val="15"/>
          <w:color w:val="auto"/>
        </w:rPr>
        <w:t>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p>
      <w:pPr>
        <w:spacing w:after="0" w:line="330"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Corporate Responsibility, Sustainability and Human Rights</w:t>
      </w:r>
    </w:p>
    <w:p>
      <w:pPr>
        <w:spacing w:after="0" w:line="102" w:lineRule="exact"/>
        <w:rPr>
          <w:sz w:val="20"/>
          <w:szCs w:val="20"/>
          <w:color w:val="auto"/>
        </w:rPr>
      </w:pPr>
    </w:p>
    <w:p>
      <w:pPr>
        <w:ind w:left="1080" w:right="1119"/>
        <w:spacing w:after="0" w:line="258" w:lineRule="auto"/>
        <w:rPr>
          <w:sz w:val="20"/>
          <w:szCs w:val="20"/>
          <w:color w:val="auto"/>
        </w:rPr>
      </w:pPr>
      <w:r>
        <w:rPr>
          <w:rFonts w:ascii="Arial" w:cs="Arial" w:eastAsia="Arial" w:hAnsi="Arial"/>
          <w:sz w:val="15"/>
          <w:szCs w:val="15"/>
          <w:color w:val="auto"/>
        </w:rPr>
        <w:t>Altisource’s Corporate Responsibility Management Committee oversees the policies, procedures and strategies regarding corporate responsibility, sustainability and environment. The Committee typically meets quarterly and includes our Chief Legal and Compliance Officer, Chief Financial Officer and other key operational executives. Our Board oversees the Corporate Responsibility Management Committee and receives regular updates on the effectiveness of our corporate responsibility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6" w:name="page27"/>
    <w:bookmarkEnd w:id="26"/>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26670</wp:posOffset>
            </wp:positionV>
            <wp:extent cx="435038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4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Compensation Arrangements for Non-Management Directors</w:t>
      </w:r>
    </w:p>
    <w:p>
      <w:pPr>
        <w:spacing w:after="0" w:line="102" w:lineRule="exact"/>
        <w:rPr>
          <w:sz w:val="20"/>
          <w:szCs w:val="20"/>
          <w:color w:val="auto"/>
        </w:rPr>
      </w:pPr>
    </w:p>
    <w:p>
      <w:pPr>
        <w:ind w:left="1080" w:right="1159"/>
        <w:spacing w:after="0" w:line="248" w:lineRule="auto"/>
        <w:rPr>
          <w:sz w:val="20"/>
          <w:szCs w:val="20"/>
          <w:color w:val="auto"/>
        </w:rPr>
      </w:pPr>
      <w:r>
        <w:rPr>
          <w:rFonts w:ascii="Arial" w:cs="Arial" w:eastAsia="Arial" w:hAnsi="Arial"/>
          <w:sz w:val="15"/>
          <w:szCs w:val="15"/>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our Board and its committees and to align their interests with our shareholders.</w:t>
      </w:r>
    </w:p>
    <w:p>
      <w:pPr>
        <w:spacing w:after="0" w:line="267" w:lineRule="exact"/>
        <w:rPr>
          <w:sz w:val="20"/>
          <w:szCs w:val="20"/>
          <w:color w:val="auto"/>
        </w:rPr>
      </w:pPr>
    </w:p>
    <w:p>
      <w:pPr>
        <w:ind w:left="1080" w:right="1119"/>
        <w:spacing w:after="0" w:line="244" w:lineRule="auto"/>
        <w:rPr>
          <w:sz w:val="20"/>
          <w:szCs w:val="20"/>
          <w:color w:val="auto"/>
        </w:rPr>
      </w:pPr>
      <w:r>
        <w:rPr>
          <w:rFonts w:ascii="Arial" w:cs="Arial" w:eastAsia="Arial" w:hAnsi="Arial"/>
          <w:sz w:val="15"/>
          <w:szCs w:val="15"/>
          <w:color w:val="auto"/>
        </w:rPr>
        <w:t>In line with our philosophy that the interests of our Directors should align with the interests of our shareholders, and to encourage active membership, each non-management Director will receive an RSU award (each, a “Director RSU Award” and collectively, the “Director RSU Awards”) which will vest at the end of the applicable service year if the Director attends at least 75% of all meetings of our Board and Committees on which that Director serves. We determine the number of RSUs to be granted by dividing the award value by the average of the high and low prices of our common stock as reported on the Nasdaq Global Select Market on the first day of the service year.</w:t>
      </w:r>
    </w:p>
    <w:p>
      <w:pPr>
        <w:spacing w:after="0" w:line="271" w:lineRule="exact"/>
        <w:rPr>
          <w:sz w:val="20"/>
          <w:szCs w:val="20"/>
          <w:color w:val="auto"/>
        </w:rPr>
      </w:pPr>
    </w:p>
    <w:p>
      <w:pPr>
        <w:ind w:left="1080" w:right="1179"/>
        <w:spacing w:after="0" w:line="248" w:lineRule="auto"/>
        <w:rPr>
          <w:sz w:val="20"/>
          <w:szCs w:val="20"/>
          <w:color w:val="auto"/>
        </w:rPr>
      </w:pPr>
      <w:r>
        <w:rPr>
          <w:rFonts w:ascii="Arial" w:cs="Arial" w:eastAsia="Arial" w:hAnsi="Arial"/>
          <w:sz w:val="15"/>
          <w:szCs w:val="15"/>
          <w:color w:val="auto"/>
        </w:rPr>
        <w:t>For the 2023 to 2024 service year, each non- management Director who attended at least seventy-five percent (75%) of all meetings of our Board and Committees on which they served received 28,037 shares of common stock, calculated by dividing an award value of $120,000 by the average of the high and low prices of the common stock as reported on the Nasdaq Global Select Market on May 17, 2023 (the first day of the 2023 to 2024 service year).</w:t>
      </w:r>
    </w:p>
    <w:p>
      <w:pPr>
        <w:spacing w:after="0" w:line="269" w:lineRule="exact"/>
        <w:rPr>
          <w:sz w:val="20"/>
          <w:szCs w:val="20"/>
          <w:color w:val="auto"/>
        </w:rPr>
      </w:pPr>
    </w:p>
    <w:p>
      <w:pPr>
        <w:ind w:left="1080" w:right="1159"/>
        <w:spacing w:after="0" w:line="246" w:lineRule="auto"/>
        <w:rPr>
          <w:sz w:val="20"/>
          <w:szCs w:val="20"/>
          <w:color w:val="auto"/>
        </w:rPr>
      </w:pPr>
      <w:r>
        <w:rPr>
          <w:rFonts w:ascii="Arial" w:cs="Arial" w:eastAsia="Arial" w:hAnsi="Arial"/>
          <w:sz w:val="15"/>
          <w:szCs w:val="15"/>
          <w:color w:val="auto"/>
        </w:rPr>
        <w:t>For the 2024 to 2025 service year, each non-management Director who, as of the end of the service year, has attended at least seventy -five percent (75%) of all meetings of our Board and Committees on which they served, will be entitled to receive 65,574 shares of common stock (as a result of the Director RSU Award vesting) as of the end of the service year, calculated by dividing an award value of $120,000 by the average of the high and low prices of the common stock as reported on the Nasdaq Global Select Market on May 31, 2024 (the first day of the 2024 to 2025 service year), which was $1.83.</w:t>
      </w:r>
    </w:p>
    <w:p>
      <w:pPr>
        <w:spacing w:after="0" w:line="92" w:lineRule="exact"/>
        <w:rPr>
          <w:sz w:val="20"/>
          <w:szCs w:val="20"/>
          <w:color w:val="auto"/>
        </w:rPr>
      </w:pPr>
    </w:p>
    <w:p>
      <w:pPr>
        <w:ind w:left="1080" w:right="1299"/>
        <w:spacing w:after="0" w:line="246" w:lineRule="auto"/>
        <w:rPr>
          <w:sz w:val="20"/>
          <w:szCs w:val="20"/>
          <w:color w:val="auto"/>
        </w:rPr>
      </w:pPr>
      <w:r>
        <w:rPr>
          <w:rFonts w:ascii="Arial" w:cs="Arial" w:eastAsia="Arial" w:hAnsi="Arial"/>
          <w:sz w:val="15"/>
          <w:szCs w:val="15"/>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2" w:lineRule="exact"/>
        <w:rPr>
          <w:sz w:val="20"/>
          <w:szCs w:val="20"/>
          <w:color w:val="auto"/>
        </w:rPr>
      </w:pPr>
    </w:p>
    <w:p>
      <w:pPr>
        <w:ind w:left="1080" w:right="1139" w:hanging="1"/>
        <w:spacing w:after="0" w:line="254" w:lineRule="auto"/>
        <w:tabs>
          <w:tab w:leader="none" w:pos="13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equal installments, with the initial portion vesting on the date of the annual general meeting following the award and vesting continuing on the dates of the next three (3) annual general meetings.</w:t>
      </w:r>
    </w:p>
    <w:p>
      <w:pPr>
        <w:spacing w:after="0" w:line="263" w:lineRule="exact"/>
        <w:rPr>
          <w:sz w:val="20"/>
          <w:szCs w:val="20"/>
          <w:color w:val="auto"/>
        </w:rPr>
      </w:pPr>
    </w:p>
    <w:p>
      <w:pPr>
        <w:ind w:left="1080" w:right="1119"/>
        <w:spacing w:after="0" w:line="252" w:lineRule="auto"/>
        <w:rPr>
          <w:sz w:val="20"/>
          <w:szCs w:val="20"/>
          <w:color w:val="auto"/>
        </w:rPr>
      </w:pPr>
      <w:r>
        <w:rPr>
          <w:rFonts w:ascii="Arial" w:cs="Arial" w:eastAsia="Arial" w:hAnsi="Arial"/>
          <w:sz w:val="15"/>
          <w:szCs w:val="15"/>
          <w:color w:val="auto"/>
        </w:rPr>
        <w:t>As approved by our shareholders at our 2016 Annual General Meeting of shareholders, each non-management member of our Board also receives the following annual cash compensation, in quarterly installments:</w:t>
      </w:r>
    </w:p>
    <w:p>
      <w:pPr>
        <w:spacing w:after="0" w:line="54" w:lineRule="exact"/>
        <w:rPr>
          <w:sz w:val="20"/>
          <w:szCs w:val="20"/>
          <w:color w:val="auto"/>
        </w:rPr>
      </w:pPr>
    </w:p>
    <w:p>
      <w:pPr>
        <w:ind w:left="1520" w:hanging="141"/>
        <w:spacing w:after="0"/>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86" w:lineRule="exact"/>
        <w:rPr>
          <w:rFonts w:ascii="Arial" w:cs="Arial" w:eastAsia="Arial" w:hAnsi="Arial"/>
          <w:sz w:val="15"/>
          <w:szCs w:val="15"/>
          <w:color w:val="auto"/>
        </w:rPr>
      </w:pPr>
    </w:p>
    <w:p>
      <w:pPr>
        <w:ind w:left="1520" w:right="1899" w:hanging="141"/>
        <w:spacing w:after="0" w:line="261" w:lineRule="auto"/>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 additional $100,000 to the Chairman of our Board, if not a member of the Company’s management</w:t>
      </w:r>
      <w:r>
        <w:rPr>
          <w:rFonts w:ascii="Arial" w:cs="Arial" w:eastAsia="Arial" w:hAnsi="Arial"/>
          <w:sz w:val="22"/>
          <w:szCs w:val="22"/>
          <w:color w:val="auto"/>
          <w:vertAlign w:val="superscript"/>
        </w:rPr>
        <w:t>(1)</w:t>
      </w:r>
      <w:r>
        <w:rPr>
          <w:rFonts w:ascii="Arial" w:cs="Arial" w:eastAsia="Arial" w:hAnsi="Arial"/>
          <w:sz w:val="15"/>
          <w:szCs w:val="15"/>
          <w:color w:val="auto"/>
        </w:rPr>
        <w:t>;</w:t>
      </w:r>
    </w:p>
    <w:p>
      <w:pPr>
        <w:ind w:left="1520" w:hanging="141"/>
        <w:spacing w:after="0"/>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 additional $25,000 to the Audit Committee Chair;</w:t>
      </w:r>
    </w:p>
    <w:p>
      <w:pPr>
        <w:spacing w:after="0" w:line="85" w:lineRule="exact"/>
        <w:rPr>
          <w:rFonts w:ascii="Arial" w:cs="Arial" w:eastAsia="Arial" w:hAnsi="Arial"/>
          <w:sz w:val="15"/>
          <w:szCs w:val="15"/>
          <w:color w:val="auto"/>
        </w:rPr>
      </w:pPr>
    </w:p>
    <w:p>
      <w:pPr>
        <w:ind w:left="1520" w:hanging="141"/>
        <w:spacing w:after="0"/>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 additional $17,500 to the Compliance Committee Chair;</w:t>
      </w:r>
    </w:p>
    <w:p>
      <w:pPr>
        <w:spacing w:after="0" w:line="86" w:lineRule="exact"/>
        <w:rPr>
          <w:rFonts w:ascii="Arial" w:cs="Arial" w:eastAsia="Arial" w:hAnsi="Arial"/>
          <w:sz w:val="15"/>
          <w:szCs w:val="15"/>
          <w:color w:val="auto"/>
        </w:rPr>
      </w:pPr>
    </w:p>
    <w:p>
      <w:pPr>
        <w:ind w:left="1520" w:hanging="141"/>
        <w:spacing w:after="0"/>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 additional $15,000 to the Compensation Committee Chair;</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 additional $12,500 to the Nomination/Governance Committee Chair;</w:t>
      </w:r>
    </w:p>
    <w:p>
      <w:pPr>
        <w:spacing w:after="0" w:line="86" w:lineRule="exact"/>
        <w:rPr>
          <w:rFonts w:ascii="Arial" w:cs="Arial" w:eastAsia="Arial" w:hAnsi="Arial"/>
          <w:sz w:val="15"/>
          <w:szCs w:val="15"/>
          <w:color w:val="auto"/>
        </w:rPr>
      </w:pPr>
    </w:p>
    <w:p>
      <w:pPr>
        <w:ind w:left="1520" w:right="1919" w:hanging="141"/>
        <w:spacing w:after="0" w:line="286" w:lineRule="auto"/>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 additional $10,000 to all Audit Committee members (other than the Audit Committee Chair);</w:t>
      </w:r>
    </w:p>
    <w:p>
      <w:pPr>
        <w:spacing w:after="0" w:line="28" w:lineRule="exact"/>
        <w:rPr>
          <w:rFonts w:ascii="Arial" w:cs="Arial" w:eastAsia="Arial" w:hAnsi="Arial"/>
          <w:sz w:val="15"/>
          <w:szCs w:val="15"/>
          <w:color w:val="auto"/>
        </w:rPr>
      </w:pPr>
    </w:p>
    <w:p>
      <w:pPr>
        <w:ind w:left="1520" w:right="1499" w:hanging="141"/>
        <w:spacing w:after="0" w:line="261" w:lineRule="auto"/>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 additional $10,000 to all Compliance Committee members (other than the Compliance Committee Chair), if not a member of the Company’s management</w:t>
      </w:r>
      <w:r>
        <w:rPr>
          <w:rFonts w:ascii="Arial" w:cs="Arial" w:eastAsia="Arial" w:hAnsi="Arial"/>
          <w:sz w:val="22"/>
          <w:szCs w:val="22"/>
          <w:color w:val="auto"/>
          <w:vertAlign w:val="superscript"/>
        </w:rPr>
        <w:t>(1)</w:t>
      </w:r>
      <w:r>
        <w:rPr>
          <w:rFonts w:ascii="Arial" w:cs="Arial" w:eastAsia="Arial" w:hAnsi="Arial"/>
          <w:sz w:val="15"/>
          <w:szCs w:val="15"/>
          <w:color w:val="auto"/>
        </w:rPr>
        <w:t>;</w:t>
      </w:r>
    </w:p>
    <w:p>
      <w:pPr>
        <w:ind w:left="1520" w:right="1759" w:hanging="141"/>
        <w:spacing w:after="0" w:line="285" w:lineRule="auto"/>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 additional $7,500 to all Compensation Committee members (other than the Compensation Committee Chair); and</w:t>
      </w:r>
    </w:p>
    <w:p>
      <w:pPr>
        <w:spacing w:after="0" w:line="28" w:lineRule="exact"/>
        <w:rPr>
          <w:rFonts w:ascii="Arial" w:cs="Arial" w:eastAsia="Arial" w:hAnsi="Arial"/>
          <w:sz w:val="15"/>
          <w:szCs w:val="15"/>
          <w:color w:val="auto"/>
        </w:rPr>
      </w:pPr>
    </w:p>
    <w:p>
      <w:pPr>
        <w:ind w:left="1520" w:right="1319" w:hanging="141"/>
        <w:spacing w:after="0" w:line="286" w:lineRule="auto"/>
        <w:tabs>
          <w:tab w:leader="none" w:pos="15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 additional $5,000 to all Nomination/Governance Committee members (other than the Nomination/ Governance Committee Chair).</w:t>
      </w:r>
    </w:p>
    <w:p>
      <w:pPr>
        <w:spacing w:after="0" w:line="167" w:lineRule="exact"/>
        <w:rPr>
          <w:rFonts w:ascii="Arial" w:cs="Arial" w:eastAsia="Arial" w:hAnsi="Arial"/>
          <w:sz w:val="15"/>
          <w:szCs w:val="15"/>
          <w:color w:val="auto"/>
        </w:rPr>
      </w:pPr>
    </w:p>
    <w:p>
      <w:pPr>
        <w:ind w:left="1380" w:right="1119" w:hanging="301"/>
        <w:spacing w:after="0" w:line="199" w:lineRule="auto"/>
        <w:tabs>
          <w:tab w:leader="none" w:pos="1380" w:val="left"/>
        </w:tabs>
        <w:numPr>
          <w:ilvl w:val="0"/>
          <w:numId w:val="28"/>
        </w:numPr>
        <w:rPr>
          <w:rFonts w:ascii="Arial" w:cs="Arial" w:eastAsia="Arial" w:hAnsi="Arial"/>
          <w:sz w:val="21"/>
          <w:szCs w:val="21"/>
          <w:color w:val="auto"/>
          <w:vertAlign w:val="superscript"/>
        </w:rPr>
      </w:pPr>
      <w:r>
        <w:rPr>
          <w:rFonts w:ascii="Arial" w:cs="Arial" w:eastAsia="Arial" w:hAnsi="Arial"/>
          <w:sz w:val="14"/>
          <w:szCs w:val="14"/>
          <w:color w:val="auto"/>
        </w:rPr>
        <w:t>As a management Director, our current Chairman of our Board does not receive an annual retainer or any other additional compensation for his service on our Board or any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-283210</wp:posOffset>
            </wp:positionV>
            <wp:extent cx="103060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30605" cy="6985"/>
                    </a:xfrm>
                    <a:prstGeom prst="rect">
                      <a:avLst/>
                    </a:prstGeom>
                    <a:noFill/>
                  </pic:spPr>
                </pic:pic>
              </a:graphicData>
            </a:graphic>
          </wp:anchor>
        </w:drawing>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7" w:name="page28"/>
    <w:bookmarkEnd w:id="27"/>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500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-181610</wp:posOffset>
            </wp:positionV>
            <wp:extent cx="1867535" cy="121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67535" cy="121920"/>
                    </a:xfrm>
                    <a:prstGeom prst="rect">
                      <a:avLst/>
                    </a:prstGeom>
                    <a:noFill/>
                  </pic:spPr>
                </pic:pic>
              </a:graphicData>
            </a:graphic>
          </wp:anchor>
        </w:drawing>
      </w:r>
    </w:p>
    <w:p>
      <w:pPr>
        <w:spacing w:after="0" w:line="95" w:lineRule="exact"/>
        <w:rPr>
          <w:sz w:val="20"/>
          <w:szCs w:val="20"/>
          <w:color w:val="auto"/>
        </w:rPr>
      </w:pPr>
    </w:p>
    <w:p>
      <w:pPr>
        <w:ind w:left="1080" w:right="1099"/>
        <w:spacing w:after="0" w:line="252" w:lineRule="auto"/>
        <w:rPr>
          <w:sz w:val="20"/>
          <w:szCs w:val="20"/>
          <w:color w:val="auto"/>
        </w:rPr>
      </w:pPr>
      <w:r>
        <w:rPr>
          <w:rFonts w:ascii="Arial" w:cs="Arial" w:eastAsia="Arial" w:hAnsi="Arial"/>
          <w:sz w:val="15"/>
          <w:szCs w:val="15"/>
          <w:color w:val="auto"/>
        </w:rPr>
        <w:t>The Company also pays or reimburses Directors for reasonable travel, lodging, food, and other expenses incurred while attending Board, Committee or shareholder meetings, or other corporate functions.</w:t>
      </w:r>
    </w:p>
    <w:p>
      <w:pPr>
        <w:spacing w:after="0" w:line="88" w:lineRule="exact"/>
        <w:rPr>
          <w:sz w:val="20"/>
          <w:szCs w:val="20"/>
          <w:color w:val="auto"/>
        </w:rPr>
      </w:pPr>
    </w:p>
    <w:p>
      <w:pPr>
        <w:ind w:left="1080" w:right="1239"/>
        <w:spacing w:after="0" w:line="252" w:lineRule="auto"/>
        <w:rPr>
          <w:sz w:val="20"/>
          <w:szCs w:val="20"/>
          <w:color w:val="auto"/>
        </w:rPr>
      </w:pPr>
      <w:r>
        <w:rPr>
          <w:rFonts w:ascii="Arial" w:cs="Arial" w:eastAsia="Arial" w:hAnsi="Arial"/>
          <w:sz w:val="15"/>
          <w:szCs w:val="15"/>
          <w:color w:val="auto"/>
        </w:rPr>
        <w:t>Certain Directors are required to file Luxembourg tax returns in connection with their compensation as Altisource Directors. To comply with this requirement, as approved by our shareholders at the 2018 Annual General Meeting, the Company covers the cost of tax preparation services for any Luxembourg tax returns that non-resident Directors must file due to their membership on our Board.</w:t>
      </w:r>
    </w:p>
    <w:p>
      <w:pPr>
        <w:spacing w:after="0" w:line="31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Non-Management Director Compensation for 2024</w:t>
      </w:r>
    </w:p>
    <w:p>
      <w:pPr>
        <w:spacing w:after="0" w:line="91" w:lineRule="exact"/>
        <w:rPr>
          <w:sz w:val="20"/>
          <w:szCs w:val="20"/>
          <w:color w:val="auto"/>
        </w:rPr>
      </w:pPr>
    </w:p>
    <w:p>
      <w:pPr>
        <w:ind w:left="1080" w:right="1159"/>
        <w:spacing w:after="0" w:line="248" w:lineRule="auto"/>
        <w:rPr>
          <w:sz w:val="20"/>
          <w:szCs w:val="20"/>
          <w:color w:val="auto"/>
        </w:rPr>
      </w:pPr>
      <w:r>
        <w:rPr>
          <w:rFonts w:ascii="Arial" w:cs="Arial" w:eastAsia="Arial" w:hAnsi="Arial"/>
          <w:sz w:val="15"/>
          <w:szCs w:val="15"/>
          <w:color w:val="auto"/>
        </w:rPr>
        <w:t>The following table summarizes: (i) cash compensation earned in 2024 by each non-management member of our Board who served as a Director during 2024; (ii) stock awards made to our non-management Directors in 2024 for their service in the 2023 to 2024 service year; and (iii) any other compensation received from the Company in 2024. Mr. Shepro, as a member of the Company’s management, does not receive an annual retainer or any other additional compensation for his service on our Board.</w:t>
      </w:r>
    </w:p>
    <w:p>
      <w:pPr>
        <w:spacing w:after="0" w:line="56" w:lineRule="exact"/>
        <w:rPr>
          <w:sz w:val="20"/>
          <w:szCs w:val="20"/>
          <w:color w:val="auto"/>
        </w:rPr>
      </w:pPr>
    </w:p>
    <w:tbl>
      <w:tblPr>
        <w:tblLayout w:type="fixed"/>
        <w:tblInd w:w="1080" w:type="dxa"/>
        <w:tblCellMar>
          <w:top w:w="0" w:type="dxa"/>
          <w:left w:w="0" w:type="dxa"/>
          <w:bottom w:w="0" w:type="dxa"/>
          <w:right w:w="0" w:type="dxa"/>
        </w:tblCellMar>
      </w:tblPr>
      <w:tr>
        <w:trPr>
          <w:trHeight w:val="218"/>
        </w:trPr>
        <w:tc>
          <w:tcPr>
            <w:tcW w:w="2720" w:type="dxa"/>
            <w:vAlign w:val="bottom"/>
            <w:vMerge w:val="restart"/>
          </w:tcPr>
          <w:p>
            <w:pPr>
              <w:ind w:left="1160"/>
              <w:spacing w:after="0"/>
              <w:rPr>
                <w:sz w:val="20"/>
                <w:szCs w:val="20"/>
                <w:color w:val="auto"/>
              </w:rPr>
            </w:pPr>
            <w:r>
              <w:rPr>
                <w:rFonts w:ascii="Arial" w:cs="Arial" w:eastAsia="Arial" w:hAnsi="Arial"/>
                <w:sz w:val="15"/>
                <w:szCs w:val="15"/>
                <w:b w:val="1"/>
                <w:bCs w:val="1"/>
                <w:color w:val="auto"/>
              </w:rPr>
              <w:t>Name</w:t>
            </w:r>
          </w:p>
        </w:tc>
        <w:tc>
          <w:tcPr>
            <w:tcW w:w="120" w:type="dxa"/>
            <w:vAlign w:val="bottom"/>
            <w:vMerge w:val="restart"/>
          </w:tcPr>
          <w:p>
            <w:pPr>
              <w:spacing w:after="0"/>
              <w:rPr>
                <w:sz w:val="18"/>
                <w:szCs w:val="18"/>
                <w:color w:val="auto"/>
              </w:rPr>
            </w:pPr>
          </w:p>
        </w:tc>
        <w:tc>
          <w:tcPr>
            <w:tcW w:w="1100" w:type="dxa"/>
            <w:vAlign w:val="bottom"/>
          </w:tcPr>
          <w:p>
            <w:pPr>
              <w:jc w:val="center"/>
              <w:ind w:left="25"/>
              <w:spacing w:after="0"/>
              <w:rPr>
                <w:sz w:val="20"/>
                <w:szCs w:val="20"/>
                <w:color w:val="auto"/>
              </w:rPr>
            </w:pPr>
            <w:r>
              <w:rPr>
                <w:rFonts w:ascii="Arial" w:cs="Arial" w:eastAsia="Arial" w:hAnsi="Arial"/>
                <w:sz w:val="15"/>
                <w:szCs w:val="15"/>
                <w:b w:val="1"/>
                <w:bCs w:val="1"/>
                <w:color w:val="auto"/>
                <w:w w:val="98"/>
              </w:rPr>
              <w:t>Fees Earned</w:t>
            </w:r>
          </w:p>
        </w:tc>
        <w:tc>
          <w:tcPr>
            <w:tcW w:w="120" w:type="dxa"/>
            <w:vAlign w:val="bottom"/>
          </w:tcPr>
          <w:p>
            <w:pPr>
              <w:spacing w:after="0"/>
              <w:rPr>
                <w:sz w:val="20"/>
                <w:szCs w:val="20"/>
                <w:color w:val="auto"/>
              </w:rPr>
            </w:pPr>
            <w:r>
              <w:rPr>
                <w:rFonts w:ascii="Arial" w:cs="Arial" w:eastAsia="Arial" w:hAnsi="Arial"/>
                <w:sz w:val="10"/>
                <w:szCs w:val="10"/>
                <w:b w:val="1"/>
                <w:bCs w:val="1"/>
                <w:color w:val="auto"/>
                <w:w w:val="81"/>
              </w:rPr>
              <w:t>(1)</w:t>
            </w:r>
          </w:p>
        </w:tc>
        <w:tc>
          <w:tcPr>
            <w:tcW w:w="14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 xml:space="preserve">Stock </w:t>
            </w:r>
            <w:r>
              <w:rPr>
                <w:rFonts w:ascii="Arial" w:cs="Arial" w:eastAsia="Arial" w:hAnsi="Arial"/>
                <w:sz w:val="19"/>
                <w:szCs w:val="19"/>
                <w:b w:val="1"/>
                <w:bCs w:val="1"/>
                <w:color w:val="auto"/>
                <w:vertAlign w:val="subscript"/>
              </w:rPr>
              <w:t>(2)</w:t>
            </w:r>
          </w:p>
        </w:tc>
        <w:tc>
          <w:tcPr>
            <w:tcW w:w="920" w:type="dxa"/>
            <w:vAlign w:val="bottom"/>
          </w:tcPr>
          <w:p>
            <w:pPr>
              <w:ind w:left="180"/>
              <w:spacing w:after="0"/>
              <w:rPr>
                <w:sz w:val="20"/>
                <w:szCs w:val="20"/>
                <w:color w:val="auto"/>
              </w:rPr>
            </w:pPr>
            <w:r>
              <w:rPr>
                <w:rFonts w:ascii="Arial" w:cs="Arial" w:eastAsia="Arial" w:hAnsi="Arial"/>
                <w:sz w:val="15"/>
                <w:szCs w:val="15"/>
                <w:b w:val="1"/>
                <w:bCs w:val="1"/>
                <w:color w:val="auto"/>
              </w:rPr>
              <w:t>All 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1"/>
        </w:trPr>
        <w:tc>
          <w:tcPr>
            <w:tcW w:w="27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b w:val="1"/>
                <w:bCs w:val="1"/>
                <w:color w:val="auto"/>
                <w:w w:val="97"/>
              </w:rPr>
              <w:t>or Paid in Cash</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Awards</w:t>
            </w:r>
          </w:p>
        </w:tc>
        <w:tc>
          <w:tcPr>
            <w:tcW w:w="140" w:type="dxa"/>
            <w:vAlign w:val="bottom"/>
          </w:tcPr>
          <w:p>
            <w:pPr>
              <w:spacing w:after="0"/>
              <w:rPr>
                <w:sz w:val="15"/>
                <w:szCs w:val="15"/>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9"/>
              </w:rPr>
              <w:t>Compensation</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John G. Aldridge, Jr.</w:t>
            </w:r>
            <w:r>
              <w:rPr>
                <w:rFonts w:ascii="Arial" w:cs="Arial" w:eastAsia="Arial" w:hAnsi="Arial"/>
                <w:sz w:val="19"/>
                <w:szCs w:val="19"/>
                <w:color w:val="auto"/>
                <w:vertAlign w:val="superscript"/>
              </w:rPr>
              <w:t>(3)</w:t>
            </w:r>
          </w:p>
        </w:tc>
        <w:tc>
          <w:tcPr>
            <w:tcW w:w="120" w:type="dxa"/>
            <w:vAlign w:val="bottom"/>
            <w:vMerge w:val="continue"/>
            <w:shd w:val="clear" w:color="auto" w:fill="CCEEFF"/>
          </w:tcPr>
          <w:p>
            <w:pPr>
              <w:spacing w:after="0"/>
              <w:rPr>
                <w:sz w:val="15"/>
                <w:szCs w:val="15"/>
                <w:color w:val="auto"/>
              </w:rPr>
            </w:pPr>
          </w:p>
        </w:tc>
        <w:tc>
          <w:tcPr>
            <w:tcW w:w="1100" w:type="dxa"/>
            <w:vAlign w:val="bottom"/>
            <w:shd w:val="clear" w:color="auto" w:fill="CCEEFF"/>
          </w:tcPr>
          <w:p>
            <w:pPr>
              <w:jc w:val="center"/>
              <w:ind w:left="45"/>
              <w:spacing w:after="0"/>
              <w:rPr>
                <w:sz w:val="20"/>
                <w:szCs w:val="20"/>
                <w:color w:val="auto"/>
              </w:rPr>
            </w:pPr>
            <w:r>
              <w:rPr>
                <w:rFonts w:ascii="Arial" w:cs="Arial" w:eastAsia="Arial" w:hAnsi="Arial"/>
                <w:sz w:val="15"/>
                <w:szCs w:val="15"/>
                <w:color w:val="auto"/>
              </w:rPr>
              <w:t>​$ 71,500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$48,395</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85"/>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2"/>
              </w:rPr>
              <w:t>​$ 119,895​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40" w:type="dxa"/>
            <w:vAlign w:val="bottom"/>
            <w:gridSpan w:val="2"/>
          </w:tcPr>
          <w:p>
            <w:pPr>
              <w:spacing w:after="0" w:line="192" w:lineRule="exact"/>
              <w:rPr>
                <w:sz w:val="20"/>
                <w:szCs w:val="20"/>
                <w:color w:val="auto"/>
              </w:rPr>
            </w:pPr>
            <w:r>
              <w:rPr>
                <w:rFonts w:ascii="Arial" w:cs="Arial" w:eastAsia="Arial" w:hAnsi="Arial"/>
                <w:sz w:val="15"/>
                <w:szCs w:val="15"/>
                <w:color w:val="auto"/>
              </w:rPr>
              <w:t>Mary C. Hickok</w:t>
            </w:r>
            <w:r>
              <w:rPr>
                <w:rFonts w:ascii="Arial" w:cs="Arial" w:eastAsia="Arial" w:hAnsi="Arial"/>
                <w:sz w:val="19"/>
                <w:szCs w:val="19"/>
                <w:color w:val="auto"/>
                <w:vertAlign w:val="superscript"/>
              </w:rPr>
              <w:t>(4)</w:t>
            </w:r>
          </w:p>
        </w:tc>
        <w:tc>
          <w:tcPr>
            <w:tcW w:w="1100" w:type="dxa"/>
            <w:vAlign w:val="bottom"/>
          </w:tcPr>
          <w:p>
            <w:pPr>
              <w:jc w:val="center"/>
              <w:ind w:left="45"/>
              <w:spacing w:after="0"/>
              <w:rPr>
                <w:sz w:val="20"/>
                <w:szCs w:val="20"/>
                <w:color w:val="auto"/>
              </w:rPr>
            </w:pPr>
            <w:r>
              <w:rPr>
                <w:rFonts w:ascii="Arial" w:cs="Arial" w:eastAsia="Arial" w:hAnsi="Arial"/>
                <w:sz w:val="15"/>
                <w:szCs w:val="15"/>
                <w:color w:val="auto"/>
              </w:rPr>
              <w:t>​$ 79,000</w:t>
            </w:r>
          </w:p>
        </w:tc>
        <w:tc>
          <w:tcPr>
            <w:tcW w:w="2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$48,395</w:t>
            </w:r>
          </w:p>
        </w:tc>
        <w:tc>
          <w:tcPr>
            <w:tcW w:w="140" w:type="dxa"/>
            <w:vAlign w:val="bottom"/>
          </w:tcPr>
          <w:p>
            <w:pPr>
              <w:spacing w:after="0"/>
              <w:rPr>
                <w:sz w:val="16"/>
                <w:szCs w:val="16"/>
                <w:color w:val="auto"/>
              </w:rPr>
            </w:pPr>
          </w:p>
        </w:tc>
        <w:tc>
          <w:tcPr>
            <w:tcW w:w="920" w:type="dxa"/>
            <w:vAlign w:val="bottom"/>
          </w:tcPr>
          <w:p>
            <w:pPr>
              <w:jc w:val="center"/>
              <w:ind w:left="85"/>
              <w:spacing w:after="0"/>
              <w:rPr>
                <w:sz w:val="20"/>
                <w:szCs w:val="20"/>
                <w:color w:val="auto"/>
              </w:rPr>
            </w:pPr>
            <w:r>
              <w:rPr>
                <w:rFonts w:ascii="Arial" w:cs="Arial" w:eastAsia="Arial" w:hAnsi="Arial"/>
                <w:sz w:val="15"/>
                <w:szCs w:val="15"/>
                <w:color w:val="auto"/>
              </w:rPr>
              <w:t>—</w:t>
            </w:r>
          </w:p>
        </w:tc>
        <w:tc>
          <w:tcPr>
            <w:tcW w:w="2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20"/>
              <w:spacing w:after="0"/>
              <w:rPr>
                <w:sz w:val="20"/>
                <w:szCs w:val="20"/>
                <w:color w:val="auto"/>
              </w:rPr>
            </w:pPr>
            <w:r>
              <w:rPr>
                <w:rFonts w:ascii="Arial" w:cs="Arial" w:eastAsia="Arial" w:hAnsi="Arial"/>
                <w:sz w:val="15"/>
                <w:szCs w:val="15"/>
                <w:color w:val="auto"/>
              </w:rPr>
              <w:t>​$127,395​</w:t>
            </w:r>
          </w:p>
        </w:tc>
        <w:tc>
          <w:tcPr>
            <w:tcW w:w="0" w:type="dxa"/>
            <w:vAlign w:val="bottom"/>
          </w:tcPr>
          <w:p>
            <w:pPr>
              <w:spacing w:after="0"/>
              <w:rPr>
                <w:sz w:val="1"/>
                <w:szCs w:val="1"/>
                <w:color w:val="auto"/>
              </w:rPr>
            </w:pPr>
          </w:p>
        </w:tc>
      </w:tr>
      <w:tr>
        <w:trPr>
          <w:trHeight w:val="169"/>
        </w:trPr>
        <w:tc>
          <w:tcPr>
            <w:tcW w:w="28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Joseph L. Morettini</w:t>
            </w:r>
          </w:p>
        </w:tc>
        <w:tc>
          <w:tcPr>
            <w:tcW w:w="1100" w:type="dxa"/>
            <w:vAlign w:val="bottom"/>
            <w:shd w:val="clear" w:color="auto" w:fill="CCEEFF"/>
          </w:tcPr>
          <w:p>
            <w:pPr>
              <w:jc w:val="center"/>
              <w:ind w:left="45"/>
              <w:spacing w:after="0" w:line="169" w:lineRule="exact"/>
              <w:rPr>
                <w:sz w:val="20"/>
                <w:szCs w:val="20"/>
                <w:color w:val="auto"/>
              </w:rPr>
            </w:pPr>
            <w:r>
              <w:rPr>
                <w:rFonts w:ascii="Arial" w:cs="Arial" w:eastAsia="Arial" w:hAnsi="Arial"/>
                <w:sz w:val="15"/>
                <w:szCs w:val="15"/>
                <w:color w:val="auto"/>
              </w:rPr>
              <w:t>​$ 76,500</w:t>
            </w:r>
          </w:p>
        </w:tc>
        <w:tc>
          <w:tcPr>
            <w:tcW w:w="26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$48,180</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85"/>
              <w:spacing w:after="0" w:line="169"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w w:val="99"/>
              </w:rPr>
              <w:t>​$124,680​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840" w:type="dxa"/>
            <w:vAlign w:val="bottom"/>
            <w:gridSpan w:val="2"/>
          </w:tcPr>
          <w:p>
            <w:pPr>
              <w:spacing w:after="0"/>
              <w:rPr>
                <w:sz w:val="20"/>
                <w:szCs w:val="20"/>
                <w:color w:val="auto"/>
              </w:rPr>
            </w:pPr>
            <w:r>
              <w:rPr>
                <w:rFonts w:ascii="Arial" w:cs="Arial" w:eastAsia="Arial" w:hAnsi="Arial"/>
                <w:sz w:val="15"/>
                <w:szCs w:val="15"/>
                <w:color w:val="auto"/>
              </w:rPr>
              <w:t>Roland Müller-Ineichen</w:t>
            </w:r>
            <w:r>
              <w:rPr>
                <w:rFonts w:ascii="Arial" w:cs="Arial" w:eastAsia="Arial" w:hAnsi="Arial"/>
                <w:sz w:val="19"/>
                <w:szCs w:val="19"/>
                <w:color w:val="auto"/>
                <w:vertAlign w:val="superscript"/>
              </w:rPr>
              <w:t>(5)</w:t>
            </w:r>
          </w:p>
        </w:tc>
        <w:tc>
          <w:tcPr>
            <w:tcW w:w="1100" w:type="dxa"/>
            <w:vAlign w:val="bottom"/>
          </w:tcPr>
          <w:p>
            <w:pPr>
              <w:jc w:val="center"/>
              <w:ind w:left="45"/>
              <w:spacing w:after="0"/>
              <w:rPr>
                <w:sz w:val="20"/>
                <w:szCs w:val="20"/>
                <w:color w:val="auto"/>
              </w:rPr>
            </w:pPr>
            <w:r>
              <w:rPr>
                <w:rFonts w:ascii="Arial" w:cs="Arial" w:eastAsia="Arial" w:hAnsi="Arial"/>
                <w:sz w:val="15"/>
                <w:szCs w:val="15"/>
                <w:color w:val="auto"/>
              </w:rPr>
              <w:t>​$ 91,500</w:t>
            </w:r>
          </w:p>
        </w:tc>
        <w:tc>
          <w:tcPr>
            <w:tcW w:w="2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$48,180</w:t>
            </w:r>
          </w:p>
        </w:tc>
        <w:tc>
          <w:tcPr>
            <w:tcW w:w="140" w:type="dxa"/>
            <w:vAlign w:val="bottom"/>
          </w:tcPr>
          <w:p>
            <w:pPr>
              <w:spacing w:after="0"/>
              <w:rPr>
                <w:sz w:val="22"/>
                <w:szCs w:val="22"/>
                <w:color w:val="auto"/>
              </w:rPr>
            </w:pPr>
          </w:p>
        </w:tc>
        <w:tc>
          <w:tcPr>
            <w:tcW w:w="920" w:type="dxa"/>
            <w:vAlign w:val="bottom"/>
          </w:tcPr>
          <w:p>
            <w:pPr>
              <w:jc w:val="center"/>
              <w:ind w:left="85"/>
              <w:spacing w:after="0"/>
              <w:rPr>
                <w:sz w:val="20"/>
                <w:szCs w:val="20"/>
                <w:color w:val="auto"/>
              </w:rPr>
            </w:pPr>
            <w:r>
              <w:rPr>
                <w:rFonts w:ascii="Arial" w:cs="Arial" w:eastAsia="Arial" w:hAnsi="Arial"/>
                <w:sz w:val="15"/>
                <w:szCs w:val="15"/>
                <w:color w:val="auto"/>
              </w:rPr>
              <w:t>—</w:t>
            </w:r>
          </w:p>
        </w:tc>
        <w:tc>
          <w:tcPr>
            <w:tcW w:w="2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20"/>
              <w:spacing w:after="0"/>
              <w:rPr>
                <w:sz w:val="20"/>
                <w:szCs w:val="20"/>
                <w:color w:val="auto"/>
              </w:rPr>
            </w:pPr>
            <w:r>
              <w:rPr>
                <w:rFonts w:ascii="Arial" w:cs="Arial" w:eastAsia="Arial" w:hAnsi="Arial"/>
                <w:sz w:val="15"/>
                <w:szCs w:val="15"/>
                <w:color w:val="auto"/>
              </w:rPr>
              <w:t>​$139,680​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4526915</wp:posOffset>
            </wp:positionH>
            <wp:positionV relativeFrom="paragraph">
              <wp:posOffset>-521335</wp:posOffset>
            </wp:positionV>
            <wp:extent cx="857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-521335</wp:posOffset>
            </wp:positionV>
            <wp:extent cx="857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-521335</wp:posOffset>
            </wp:positionV>
            <wp:extent cx="857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-521335</wp:posOffset>
            </wp:positionV>
            <wp:extent cx="857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64770</wp:posOffset>
            </wp:positionV>
            <wp:extent cx="103060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30605" cy="6985"/>
                    </a:xfrm>
                    <a:prstGeom prst="rect">
                      <a:avLst/>
                    </a:prstGeom>
                    <a:noFill/>
                  </pic:spPr>
                </pic:pic>
              </a:graphicData>
            </a:graphic>
          </wp:anchor>
        </w:drawing>
      </w:r>
    </w:p>
    <w:p>
      <w:pPr>
        <w:spacing w:after="0" w:line="180" w:lineRule="exact"/>
        <w:rPr>
          <w:sz w:val="20"/>
          <w:szCs w:val="20"/>
          <w:color w:val="auto"/>
        </w:rPr>
      </w:pPr>
    </w:p>
    <w:p>
      <w:pPr>
        <w:ind w:left="1380" w:right="1099" w:hanging="301"/>
        <w:spacing w:after="0" w:line="230" w:lineRule="auto"/>
        <w:tabs>
          <w:tab w:leader="none" w:pos="138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Cash compensation for our non-management Directors is established on a “service year” basis running from one annual general meeting of shareholders to the next annual general meeting of shareholders and is paid in equal installments at the end of each quarter during which the non-management Director served as a member of our Board. Director compensation may be prorated for a Director serving less than a full one</w:t>
      </w:r>
    </w:p>
    <w:p>
      <w:pPr>
        <w:ind w:left="1380" w:right="1179"/>
        <w:spacing w:after="0" w:line="252" w:lineRule="auto"/>
        <w:rPr>
          <w:rFonts w:ascii="Arial" w:cs="Arial" w:eastAsia="Arial" w:hAnsi="Arial"/>
          <w:sz w:val="23"/>
          <w:szCs w:val="23"/>
          <w:color w:val="auto"/>
          <w:vertAlign w:val="superscript"/>
        </w:rPr>
      </w:pPr>
      <w:r>
        <w:rPr>
          <w:rFonts w:ascii="Arial" w:cs="Arial" w:eastAsia="Arial" w:hAnsi="Arial"/>
          <w:sz w:val="15"/>
          <w:szCs w:val="15"/>
          <w:color w:val="auto"/>
        </w:rPr>
        <w:t>(1) year term, as in the case of a Director joining our Board after an annual general meeting of shareholders but during the service year. This table shows the amounts earned for service in 2024, including amounts earned for service in the fourth quarter of 2024 and paid in the first quarter of 2025.</w:t>
      </w:r>
    </w:p>
    <w:p>
      <w:pPr>
        <w:spacing w:after="0" w:line="27" w:lineRule="exact"/>
        <w:rPr>
          <w:rFonts w:ascii="Arial" w:cs="Arial" w:eastAsia="Arial" w:hAnsi="Arial"/>
          <w:sz w:val="23"/>
          <w:szCs w:val="23"/>
          <w:color w:val="auto"/>
          <w:vertAlign w:val="superscript"/>
        </w:rPr>
      </w:pPr>
    </w:p>
    <w:p>
      <w:pPr>
        <w:ind w:left="1380" w:right="1159" w:hanging="301"/>
        <w:spacing w:after="0" w:line="236" w:lineRule="auto"/>
        <w:tabs>
          <w:tab w:leader="none" w:pos="138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Non-management Directors who attended at least seventy-five percent (75%) of all meetings of our Board and Committees on which they served for the 2023 to 2024 service year were entitled to receive an award of Altisource common stock at the end of the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2024.</w:t>
      </w:r>
    </w:p>
    <w:p>
      <w:pPr>
        <w:spacing w:after="0" w:line="29" w:lineRule="exact"/>
        <w:rPr>
          <w:rFonts w:ascii="Arial" w:cs="Arial" w:eastAsia="Arial" w:hAnsi="Arial"/>
          <w:sz w:val="23"/>
          <w:szCs w:val="23"/>
          <w:color w:val="auto"/>
          <w:vertAlign w:val="superscript"/>
        </w:rPr>
      </w:pPr>
    </w:p>
    <w:p>
      <w:pPr>
        <w:ind w:left="1380" w:right="1179" w:hanging="301"/>
        <w:spacing w:after="0" w:line="234" w:lineRule="auto"/>
        <w:tabs>
          <w:tab w:leader="none" w:pos="138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On the date of his initial election to our Board, Mr. Aldridge received a one-time grant of 500 shares of common stock. This award was scheduled to vest in four (4) equal installments beginning on the date of the 2023 annual general meeting of shareholders and the final installment vesting on the date of the 2026 annual general meeting of shareholders, subject to Mr. Aldridge’s continued service on our Board. As of December 31, 2024, Mr. Aldridge held 250 unvested shares.</w:t>
      </w:r>
    </w:p>
    <w:p>
      <w:pPr>
        <w:spacing w:after="0" w:line="16" w:lineRule="exact"/>
        <w:rPr>
          <w:rFonts w:ascii="Arial" w:cs="Arial" w:eastAsia="Arial" w:hAnsi="Arial"/>
          <w:sz w:val="23"/>
          <w:szCs w:val="23"/>
          <w:color w:val="auto"/>
          <w:vertAlign w:val="superscript"/>
        </w:rPr>
      </w:pPr>
    </w:p>
    <w:p>
      <w:pPr>
        <w:ind w:left="1380" w:right="1139" w:hanging="301"/>
        <w:spacing w:after="0" w:line="239" w:lineRule="auto"/>
        <w:tabs>
          <w:tab w:leader="none" w:pos="138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On the date of her initial election to our Board, Ms. Hickok received a one-time grant of 500 shares of common stock. This award was scheduled to vest in four (4) equal installments beginning on the date of the 2022 annual general meeting of shareholders and the final installment vesting on the date of the 2025 annual general meeting of shareholders, subject to Ms. Hickok’s continued service on our Board. All cash compensation related to Ms. Hickok’s service as a Director is paid to STS Master Fund, Ltd. Shares granted to Ms. Hickok for her service as a Director are transferred to the account of DPR CC LLC, a C-Corp wholly owned by Deer Park/STS Master Fund Ltd. As of December 31, 2024, DPR CC LLC held 125 unvested shares granted to Ms. Hickok.</w:t>
      </w:r>
    </w:p>
    <w:p>
      <w:pPr>
        <w:spacing w:after="0" w:line="30" w:lineRule="exact"/>
        <w:rPr>
          <w:rFonts w:ascii="Arial" w:cs="Arial" w:eastAsia="Arial" w:hAnsi="Arial"/>
          <w:sz w:val="23"/>
          <w:szCs w:val="23"/>
          <w:color w:val="auto"/>
          <w:vertAlign w:val="superscript"/>
        </w:rPr>
      </w:pPr>
    </w:p>
    <w:p>
      <w:pPr>
        <w:ind w:left="1380" w:right="1099" w:hanging="301"/>
        <w:spacing w:after="0" w:line="236" w:lineRule="auto"/>
        <w:tabs>
          <w:tab w:leader="none" w:pos="138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Mr. Müller-Ineichen’s cash compensation was paid in euros using the following exchange rates that were in effect on the 15th day of the last month of the quarter for which the payment was made: for the first quarter 2024, an exchange rate of 0.9185 euros to the U.S. dollar; for the second quarter 2024, an exchange rate of 0.9339 euros to the U.S. dollar; for the third quarter 2024, an exchange rate of 0.9027 euros to the U.S. dollar and for the fourth quarter 2024, an exchange rate of 0.9521euros to the U.S. dollar. The cash amounts reported herein are the U.S. dollar amounts prior to conversion to euros.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570674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8" w:name="page29"/>
    <w:bookmarkEnd w:id="28"/>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-181610</wp:posOffset>
            </wp:positionV>
            <wp:extent cx="1867535" cy="121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67535" cy="121920"/>
                    </a:xfrm>
                    <a:prstGeom prst="rect">
                      <a:avLst/>
                    </a:prstGeom>
                    <a:noFill/>
                  </pic:spPr>
                </pic:pic>
              </a:graphicData>
            </a:graphic>
          </wp:anchor>
        </w:drawing>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Minimum Stock Ownership Requirements</w:t>
      </w:r>
    </w:p>
    <w:p>
      <w:pPr>
        <w:spacing w:after="0" w:line="91" w:lineRule="exact"/>
        <w:rPr>
          <w:sz w:val="20"/>
          <w:szCs w:val="20"/>
          <w:color w:val="auto"/>
        </w:rPr>
      </w:pPr>
    </w:p>
    <w:p>
      <w:pPr>
        <w:ind w:left="1080" w:right="1139"/>
        <w:spacing w:after="0" w:line="253" w:lineRule="auto"/>
        <w:rPr>
          <w:sz w:val="20"/>
          <w:szCs w:val="20"/>
          <w:color w:val="auto"/>
        </w:rPr>
      </w:pPr>
      <w:r>
        <w:rPr>
          <w:rFonts w:ascii="Arial" w:cs="Arial" w:eastAsia="Arial" w:hAnsi="Arial"/>
          <w:sz w:val="15"/>
          <w:szCs w:val="15"/>
          <w:color w:val="auto"/>
        </w:rPr>
        <w:t>To further align our non-management Directors’ interests with those of our shareholders, our Board has adopted minimum stock ownership requirements for non -management Directors. Pursuant to these ownership requirements, each non-management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w:t>
      </w:r>
    </w:p>
    <w:p>
      <w:pPr>
        <w:spacing w:after="0" w:line="3" w:lineRule="exact"/>
        <w:rPr>
          <w:sz w:val="20"/>
          <w:szCs w:val="20"/>
          <w:color w:val="auto"/>
        </w:rPr>
      </w:pPr>
    </w:p>
    <w:p>
      <w:pPr>
        <w:ind w:left="1080" w:right="1159"/>
        <w:spacing w:after="0" w:line="252" w:lineRule="auto"/>
        <w:rPr>
          <w:sz w:val="20"/>
          <w:szCs w:val="20"/>
          <w:color w:val="auto"/>
        </w:rPr>
      </w:pPr>
      <w:r>
        <w:rPr>
          <w:rFonts w:ascii="Arial" w:cs="Arial" w:eastAsia="Arial" w:hAnsi="Arial"/>
          <w:sz w:val="15"/>
          <w:szCs w:val="15"/>
          <w:color w:val="auto"/>
        </w:rPr>
        <w:t xml:space="preserve">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currently meets the minimum stock ownership requirements. The minimum stock ownership requirements for our non-management Directors and our Chief Executive Officer are set forth in our Corporate Governance Guidelines, which are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283" w:lineRule="exact"/>
        <w:rPr>
          <w:sz w:val="20"/>
          <w:szCs w:val="20"/>
          <w:color w:val="auto"/>
        </w:rPr>
      </w:pPr>
    </w:p>
    <w:p>
      <w:pPr>
        <w:ind w:left="1080" w:right="1179"/>
        <w:spacing w:after="0" w:line="257" w:lineRule="auto"/>
        <w:rPr>
          <w:sz w:val="20"/>
          <w:szCs w:val="20"/>
          <w:color w:val="auto"/>
        </w:rPr>
      </w:pPr>
      <w:r>
        <w:rPr>
          <w:rFonts w:ascii="Arial" w:cs="Arial" w:eastAsia="Arial" w:hAnsi="Arial"/>
          <w:sz w:val="15"/>
          <w:szCs w:val="15"/>
          <w:color w:val="auto"/>
        </w:rPr>
        <w:t>The following table sets forth certain information with respect to each person who served as one of our executive officers in 2024 but did not serve on our Board. Our Board determines our executive officers on an annual basis and our executive officers generally serve at the discretion of our Board. None of our Directors or executive officers is related to any other Director or executive officer of Altisource by blood, marriage or adoption. The below Named Executive Officers, together with William B. Shepro, are referred to in this document as our “Named Executive Officers.”</w:t>
      </w:r>
    </w:p>
    <w:p>
      <w:pPr>
        <w:spacing w:after="0" w:line="151" w:lineRule="exact"/>
        <w:rPr>
          <w:sz w:val="20"/>
          <w:szCs w:val="20"/>
          <w:color w:val="auto"/>
        </w:rPr>
      </w:pPr>
    </w:p>
    <w:tbl>
      <w:tblPr>
        <w:tblLayout w:type="fixed"/>
        <w:tblInd w:w="1080" w:type="dxa"/>
        <w:tblCellMar>
          <w:top w:w="0" w:type="dxa"/>
          <w:left w:w="0" w:type="dxa"/>
          <w:bottom w:w="0" w:type="dxa"/>
          <w:right w:w="0" w:type="dxa"/>
        </w:tblCellMar>
      </w:tblPr>
      <w:tr>
        <w:trPr>
          <w:trHeight w:val="310"/>
        </w:trPr>
        <w:tc>
          <w:tcPr>
            <w:tcW w:w="3060" w:type="dxa"/>
            <w:vAlign w:val="bottom"/>
          </w:tcPr>
          <w:p>
            <w:pPr>
              <w:ind w:left="134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24"/>
                <w:szCs w:val="2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27"/>
                <w:szCs w:val="27"/>
                <w:b w:val="1"/>
                <w:bCs w:val="1"/>
                <w:color w:val="auto"/>
                <w:w w:val="82"/>
                <w:vertAlign w:val="subscript"/>
              </w:rPr>
              <w:t>Age</w:t>
            </w:r>
            <w:r>
              <w:rPr>
                <w:rFonts w:ascii="Arial" w:cs="Arial" w:eastAsia="Arial" w:hAnsi="Arial"/>
                <w:sz w:val="8"/>
                <w:szCs w:val="8"/>
                <w:b w:val="1"/>
                <w:bCs w:val="1"/>
                <w:color w:val="auto"/>
                <w:w w:val="82"/>
              </w:rPr>
              <w:t>(1)</w:t>
            </w:r>
          </w:p>
        </w:tc>
        <w:tc>
          <w:tcPr>
            <w:tcW w:w="30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50"/>
        </w:trPr>
        <w:tc>
          <w:tcPr>
            <w:tcW w:w="306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color w:val="auto"/>
              </w:rPr>
              <w:t>Michelle D. Esterman</w:t>
            </w:r>
          </w:p>
        </w:tc>
        <w:tc>
          <w:tcPr>
            <w:tcW w:w="180" w:type="dxa"/>
            <w:vAlign w:val="bottom"/>
          </w:tcPr>
          <w:p>
            <w:pPr>
              <w:spacing w:after="0"/>
              <w:rPr>
                <w:sz w:val="13"/>
                <w:szCs w:val="13"/>
                <w:color w:val="auto"/>
              </w:rPr>
            </w:pPr>
          </w:p>
        </w:tc>
        <w:tc>
          <w:tcPr>
            <w:tcW w:w="36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3"/>
                <w:szCs w:val="13"/>
                <w:color w:val="auto"/>
              </w:rPr>
            </w:pPr>
          </w:p>
        </w:tc>
        <w:tc>
          <w:tcPr>
            <w:tcW w:w="306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color w:val="auto"/>
              </w:rPr>
              <w:t>Chief Financial Officer</w:t>
            </w:r>
          </w:p>
        </w:tc>
      </w:tr>
      <w:tr>
        <w:trPr>
          <w:trHeight w:val="176"/>
        </w:trPr>
        <w:tc>
          <w:tcPr>
            <w:tcW w:w="3240" w:type="dxa"/>
            <w:vAlign w:val="bottom"/>
            <w:gridSpan w:val="2"/>
          </w:tcPr>
          <w:p>
            <w:pPr>
              <w:spacing w:after="0"/>
              <w:rPr>
                <w:sz w:val="20"/>
                <w:szCs w:val="20"/>
                <w:color w:val="auto"/>
              </w:rPr>
            </w:pPr>
            <w:r>
              <w:rPr>
                <w:rFonts w:ascii="Arial" w:cs="Arial" w:eastAsia="Arial" w:hAnsi="Arial"/>
                <w:sz w:val="14"/>
                <w:szCs w:val="14"/>
                <w:color w:val="auto"/>
              </w:rPr>
              <w:t>Gregory J. Ritts</w:t>
            </w:r>
          </w:p>
        </w:tc>
        <w:tc>
          <w:tcPr>
            <w:tcW w:w="360" w:type="dxa"/>
            <w:vAlign w:val="bottom"/>
          </w:tcPr>
          <w:p>
            <w:pPr>
              <w:jc w:val="center"/>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Chief Legal and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109220</wp:posOffset>
            </wp:positionV>
            <wp:extent cx="103060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30605" cy="6985"/>
                    </a:xfrm>
                    <a:prstGeom prst="rect">
                      <a:avLst/>
                    </a:prstGeom>
                    <a:noFill/>
                  </pic:spPr>
                </pic:pic>
              </a:graphicData>
            </a:graphic>
          </wp:anchor>
        </w:drawing>
      </w:r>
    </w:p>
    <w:p>
      <w:pPr>
        <w:spacing w:after="0" w:line="183" w:lineRule="exact"/>
        <w:rPr>
          <w:sz w:val="20"/>
          <w:szCs w:val="20"/>
          <w:color w:val="auto"/>
        </w:rPr>
      </w:pPr>
    </w:p>
    <w:p>
      <w:pPr>
        <w:ind w:left="1380" w:hanging="301"/>
        <w:spacing w:after="0"/>
        <w:tabs>
          <w:tab w:leader="none" w:pos="138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As of March 17, 2025</w:t>
      </w:r>
    </w:p>
    <w:p>
      <w:pPr>
        <w:spacing w:after="0" w:line="106" w:lineRule="exact"/>
        <w:rPr>
          <w:sz w:val="20"/>
          <w:szCs w:val="20"/>
          <w:color w:val="auto"/>
        </w:rPr>
      </w:pPr>
    </w:p>
    <w:p>
      <w:pPr>
        <w:ind w:left="1080" w:right="1099"/>
        <w:spacing w:after="0" w:line="286" w:lineRule="auto"/>
        <w:rPr>
          <w:sz w:val="20"/>
          <w:szCs w:val="20"/>
          <w:color w:val="auto"/>
        </w:rPr>
      </w:pPr>
      <w:r>
        <w:rPr>
          <w:rFonts w:ascii="Arial" w:cs="Arial" w:eastAsia="Arial" w:hAnsi="Arial"/>
          <w:sz w:val="15"/>
          <w:szCs w:val="15"/>
          <w:color w:val="auto"/>
        </w:rPr>
        <w:t>The principal occupation for the last five (5) years, as well as certain other biographical information, for each of our current executive officers who is not a Director is set forth below.</w:t>
      </w:r>
    </w:p>
    <w:p>
      <w:pPr>
        <w:spacing w:after="0" w:line="73" w:lineRule="exact"/>
        <w:rPr>
          <w:sz w:val="20"/>
          <w:szCs w:val="20"/>
          <w:color w:val="auto"/>
        </w:rPr>
      </w:pPr>
    </w:p>
    <w:p>
      <w:pPr>
        <w:ind w:left="1080" w:right="1099"/>
        <w:spacing w:after="0" w:line="254" w:lineRule="auto"/>
        <w:rPr>
          <w:sz w:val="20"/>
          <w:szCs w:val="20"/>
          <w:color w:val="auto"/>
        </w:rPr>
      </w:pPr>
      <w:r>
        <w:rPr>
          <w:rFonts w:ascii="Arial" w:cs="Arial" w:eastAsia="Arial" w:hAnsi="Arial"/>
          <w:sz w:val="15"/>
          <w:szCs w:val="15"/>
          <w:b w:val="1"/>
          <w:bCs w:val="1"/>
          <w:i w:val="1"/>
          <w:iCs w:val="1"/>
          <w:color w:val="auto"/>
        </w:rPr>
        <w:t>Michelle D. Esterman</w:t>
      </w:r>
      <w:r>
        <w:rPr>
          <w:rFonts w:ascii="Arial" w:cs="Arial" w:eastAsia="Arial" w:hAnsi="Arial"/>
          <w:sz w:val="15"/>
          <w:szCs w:val="15"/>
          <w:color w:val="auto"/>
        </w:rPr>
        <w:t>. Ms. Esterman has served as Chief Financial Officer of Altisource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since 2003, including a two -year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284" w:lineRule="exact"/>
        <w:rPr>
          <w:sz w:val="20"/>
          <w:szCs w:val="20"/>
          <w:color w:val="auto"/>
        </w:rPr>
      </w:pPr>
    </w:p>
    <w:p>
      <w:pPr>
        <w:ind w:left="1080" w:right="1119"/>
        <w:spacing w:after="0" w:line="255" w:lineRule="auto"/>
        <w:rPr>
          <w:sz w:val="20"/>
          <w:szCs w:val="20"/>
          <w:color w:val="auto"/>
        </w:rPr>
      </w:pPr>
      <w:r>
        <w:rPr>
          <w:rFonts w:ascii="Arial" w:cs="Arial" w:eastAsia="Arial" w:hAnsi="Arial"/>
          <w:sz w:val="15"/>
          <w:szCs w:val="15"/>
          <w:b w:val="1"/>
          <w:bCs w:val="1"/>
          <w:i w:val="1"/>
          <w:iCs w:val="1"/>
          <w:color w:val="auto"/>
        </w:rPr>
        <w:t>Gregory J. Ritts</w:t>
      </w:r>
      <w:r>
        <w:rPr>
          <w:rFonts w:ascii="Arial" w:cs="Arial" w:eastAsia="Arial" w:hAnsi="Arial"/>
          <w:sz w:val="15"/>
          <w:szCs w:val="15"/>
          <w:color w:val="auto"/>
        </w:rPr>
        <w:t>. Mr. Ritts has served as Chief Legal and Compliance Officer of Altisource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9" w:name="page30"/>
    <w:bookmarkEnd w:id="29"/>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-181610</wp:posOffset>
            </wp:positionV>
            <wp:extent cx="1867535" cy="121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67535" cy="121920"/>
                    </a:xfrm>
                    <a:prstGeom prst="rect">
                      <a:avLst/>
                    </a:prstGeom>
                    <a:noFill/>
                  </pic:spPr>
                </pic:pic>
              </a:graphicData>
            </a:graphic>
          </wp:anchor>
        </w:drawing>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Beneficial Ownership of Common Stock</w:t>
      </w:r>
    </w:p>
    <w:p>
      <w:pPr>
        <w:spacing w:after="0" w:line="91" w:lineRule="exact"/>
        <w:rPr>
          <w:sz w:val="20"/>
          <w:szCs w:val="20"/>
          <w:color w:val="auto"/>
        </w:rPr>
      </w:pPr>
    </w:p>
    <w:p>
      <w:pPr>
        <w:ind w:left="1080" w:right="1319"/>
        <w:spacing w:after="0" w:line="286" w:lineRule="auto"/>
        <w:rPr>
          <w:sz w:val="20"/>
          <w:szCs w:val="20"/>
          <w:color w:val="auto"/>
        </w:rPr>
      </w:pPr>
      <w:r>
        <w:rPr>
          <w:rFonts w:ascii="Arial" w:cs="Arial" w:eastAsia="Arial" w:hAnsi="Arial"/>
          <w:sz w:val="15"/>
          <w:szCs w:val="15"/>
          <w:color w:val="auto"/>
        </w:rPr>
        <w:t>The following table sets forth certain information regarding the beneficial ownership of our common stock by:</w:t>
      </w:r>
    </w:p>
    <w:p>
      <w:pPr>
        <w:spacing w:after="0" w:line="73" w:lineRule="exact"/>
        <w:rPr>
          <w:sz w:val="20"/>
          <w:szCs w:val="20"/>
          <w:color w:val="auto"/>
        </w:rPr>
      </w:pPr>
    </w:p>
    <w:p>
      <w:pPr>
        <w:ind w:left="1680" w:right="1199" w:hanging="301"/>
        <w:spacing w:after="0" w:line="286" w:lineRule="auto"/>
        <w:tabs>
          <w:tab w:leader="none" w:pos="16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all persons known by Altisource to beneficially own five percent (5%) or more of the outstanding common stock;</w:t>
      </w:r>
    </w:p>
    <w:p>
      <w:pPr>
        <w:spacing w:after="0" w:line="62" w:lineRule="exact"/>
        <w:rPr>
          <w:rFonts w:ascii="Arial" w:cs="Arial" w:eastAsia="Arial" w:hAnsi="Arial"/>
          <w:sz w:val="15"/>
          <w:szCs w:val="15"/>
          <w:color w:val="auto"/>
        </w:rPr>
      </w:pPr>
    </w:p>
    <w:p>
      <w:pPr>
        <w:ind w:left="1680" w:hanging="301"/>
        <w:spacing w:after="0"/>
        <w:tabs>
          <w:tab w:leader="none" w:pos="16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each Director and Named Executive Officer of Altisource; and</w:t>
      </w:r>
    </w:p>
    <w:p>
      <w:pPr>
        <w:spacing w:after="0" w:line="131" w:lineRule="exact"/>
        <w:rPr>
          <w:rFonts w:ascii="Arial" w:cs="Arial" w:eastAsia="Arial" w:hAnsi="Arial"/>
          <w:sz w:val="15"/>
          <w:szCs w:val="15"/>
          <w:color w:val="auto"/>
        </w:rPr>
      </w:pPr>
    </w:p>
    <w:p>
      <w:pPr>
        <w:ind w:left="1680" w:hanging="301"/>
        <w:spacing w:after="0"/>
        <w:tabs>
          <w:tab w:leader="none" w:pos="16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all Directors and current executive officers of Altisource as a group.</w:t>
      </w:r>
    </w:p>
    <w:p>
      <w:pPr>
        <w:spacing w:after="0" w:line="132" w:lineRule="exact"/>
        <w:rPr>
          <w:sz w:val="20"/>
          <w:szCs w:val="20"/>
          <w:color w:val="auto"/>
        </w:rPr>
      </w:pPr>
    </w:p>
    <w:p>
      <w:pPr>
        <w:ind w:left="1080" w:right="1319"/>
        <w:spacing w:after="0" w:line="255" w:lineRule="auto"/>
        <w:rPr>
          <w:sz w:val="20"/>
          <w:szCs w:val="20"/>
          <w:color w:val="auto"/>
        </w:rPr>
      </w:pPr>
      <w:r>
        <w:rPr>
          <w:rFonts w:ascii="Arial" w:cs="Arial" w:eastAsia="Arial" w:hAnsi="Arial"/>
          <w:sz w:val="15"/>
          <w:szCs w:val="15"/>
          <w:color w:val="auto"/>
        </w:rPr>
        <w:t>The table is based upon information provided by Directors, executive officers, principal shareholders, filings under the Securities Exchange Act of 1934, as amended (the “Exchange Act”), and information in the Company’s possession as of the closing of the Transaction on February 19, 2025, as more fully described in the Company’s Form 8-K report dated February 19, 2025 (filed on February 25, 2025) or provided by the administrative agent of the Company’s senior secured term loans. Ownership percentages are based on an aggregate of 87,511,479 shares of common stock outstanding as of the record date, March 17, 2025, unless otherwise indicated in the footnotes below.</w:t>
      </w:r>
    </w:p>
    <w:p>
      <w:pPr>
        <w:spacing w:after="0" w:line="89" w:lineRule="exact"/>
        <w:rPr>
          <w:sz w:val="20"/>
          <w:szCs w:val="20"/>
          <w:color w:val="auto"/>
        </w:rPr>
      </w:pPr>
    </w:p>
    <w:p>
      <w:pPr>
        <w:ind w:left="1080" w:right="1339"/>
        <w:spacing w:after="0" w:line="268" w:lineRule="auto"/>
        <w:rPr>
          <w:sz w:val="20"/>
          <w:szCs w:val="20"/>
          <w:color w:val="auto"/>
        </w:rPr>
      </w:pPr>
      <w:r>
        <w:rPr>
          <w:rFonts w:ascii="Arial" w:cs="Arial" w:eastAsia="Arial" w:hAnsi="Arial"/>
          <w:sz w:val="15"/>
          <w:szCs w:val="15"/>
          <w:color w:val="auto"/>
        </w:rPr>
        <w:t>Unless otherwise noted, the address for contacting our Directors and Named Executive Officers listed below is: Altisource Portfolio Solutions S.A., 33, Boulevard Prince Henri, L-1724 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0" w:name="page31"/>
    <w:bookmarkEnd w:id="30"/>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-181610</wp:posOffset>
            </wp:positionV>
            <wp:extent cx="1867535" cy="121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67535" cy="12192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p>
      <w:pPr>
        <w:spacing w:after="0" w:line="80" w:lineRule="exact"/>
        <w:rPr>
          <w:sz w:val="20"/>
          <w:szCs w:val="20"/>
          <w:color w:val="auto"/>
        </w:rPr>
      </w:pPr>
    </w:p>
    <w:p>
      <w:pPr>
        <w:jc w:val="right"/>
        <w:ind w:right="60"/>
        <w:spacing w:after="0"/>
        <w:rPr>
          <w:sz w:val="20"/>
          <w:szCs w:val="20"/>
          <w:color w:val="auto"/>
        </w:rPr>
      </w:pPr>
      <w:r>
        <w:rPr>
          <w:rFonts w:ascii="Arial" w:cs="Arial" w:eastAsia="Arial" w:hAnsi="Arial"/>
          <w:sz w:val="15"/>
          <w:szCs w:val="15"/>
          <w:b w:val="1"/>
          <w:bCs w:val="1"/>
          <w:color w:val="auto"/>
        </w:rPr>
        <w:t>Shares Beneficially Owned</w:t>
      </w:r>
      <w:r>
        <w:rPr>
          <w:rFonts w:ascii="Arial" w:cs="Arial" w:eastAsia="Arial" w:hAnsi="Arial"/>
          <w:sz w:val="19"/>
          <w:szCs w:val="19"/>
          <w:b w:val="1"/>
          <w:bCs w:val="1"/>
          <w:color w:val="auto"/>
          <w:vertAlign w:val="superscript"/>
        </w:rPr>
        <w:t>(1)</w:t>
      </w:r>
    </w:p>
    <w:p>
      <w:pPr>
        <w:ind w:left="1080"/>
        <w:spacing w:after="0"/>
        <w:rPr>
          <w:sz w:val="20"/>
          <w:szCs w:val="20"/>
          <w:color w:val="auto"/>
        </w:rPr>
      </w:pPr>
      <w:r>
        <w:rPr>
          <w:rFonts w:ascii="Arial" w:cs="Arial" w:eastAsia="Arial" w:hAnsi="Arial"/>
          <w:sz w:val="15"/>
          <w:szCs w:val="15"/>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-1270</wp:posOffset>
            </wp:positionV>
            <wp:extent cx="435038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50385" cy="128905"/>
                    </a:xfrm>
                    <a:prstGeom prst="rect">
                      <a:avLst/>
                    </a:prstGeom>
                    <a:noFill/>
                  </pic:spPr>
                </pic:pic>
              </a:graphicData>
            </a:graphic>
          </wp:anchor>
        </w:drawing>
      </w:r>
    </w:p>
    <w:p>
      <w:pPr>
        <w:ind w:left="1080"/>
        <w:spacing w:after="0" w:line="210" w:lineRule="auto"/>
        <w:rPr>
          <w:sz w:val="20"/>
          <w:szCs w:val="20"/>
          <w:color w:val="auto"/>
        </w:rPr>
      </w:pPr>
      <w:r>
        <w:rPr>
          <w:rFonts w:ascii="Arial" w:cs="Arial" w:eastAsia="Arial" w:hAnsi="Arial"/>
          <w:sz w:val="15"/>
          <w:szCs w:val="15"/>
          <w:color w:val="auto"/>
        </w:rPr>
        <w:t>UBS Asset Management (Americas) LLC</w:t>
      </w:r>
      <w:r>
        <w:rPr>
          <w:rFonts w:ascii="Arial" w:cs="Arial" w:eastAsia="Arial" w:hAnsi="Arial"/>
          <w:sz w:val="19"/>
          <w:szCs w:val="19"/>
          <w:color w:val="auto"/>
          <w:vertAlign w:val="superscript"/>
        </w:rPr>
        <w:t>(2)</w:t>
      </w:r>
    </w:p>
    <w:p>
      <w:pPr>
        <w:ind w:left="1080"/>
        <w:spacing w:after="0" w:line="210" w:lineRule="auto"/>
        <w:rPr>
          <w:sz w:val="20"/>
          <w:szCs w:val="20"/>
          <w:color w:val="auto"/>
        </w:rPr>
      </w:pPr>
      <w:r>
        <w:rPr>
          <w:rFonts w:ascii="Arial" w:cs="Arial" w:eastAsia="Arial" w:hAnsi="Arial"/>
          <w:sz w:val="15"/>
          <w:szCs w:val="15"/>
          <w:color w:val="auto"/>
        </w:rPr>
        <w:t>Deer Park Road Management Company, LP</w:t>
      </w:r>
      <w:r>
        <w:rPr>
          <w:rFonts w:ascii="Arial" w:cs="Arial" w:eastAsia="Arial" w:hAnsi="Arial"/>
          <w:sz w:val="19"/>
          <w:szCs w:val="19"/>
          <w:color w:val="auto"/>
          <w:vertAlign w:val="superscript"/>
        </w:rPr>
        <w:t>(3)</w:t>
      </w:r>
    </w:p>
    <w:p>
      <w:pPr>
        <w:ind w:left="1080"/>
        <w:spacing w:after="0" w:line="211" w:lineRule="auto"/>
        <w:rPr>
          <w:sz w:val="20"/>
          <w:szCs w:val="20"/>
          <w:color w:val="auto"/>
        </w:rPr>
      </w:pPr>
      <w:r>
        <w:rPr>
          <w:rFonts w:ascii="Arial" w:cs="Arial" w:eastAsia="Arial" w:hAnsi="Arial"/>
          <w:sz w:val="15"/>
          <w:szCs w:val="15"/>
          <w:color w:val="auto"/>
        </w:rPr>
        <w:t>Benefit Street Partners, LLC</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-114935</wp:posOffset>
            </wp:positionV>
            <wp:extent cx="4350385" cy="121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50385" cy="121920"/>
                    </a:xfrm>
                    <a:prstGeom prst="rect">
                      <a:avLst/>
                    </a:prstGeom>
                    <a:noFill/>
                  </pic:spPr>
                </pic:pic>
              </a:graphicData>
            </a:graphic>
          </wp:anchor>
        </w:drawing>
      </w:r>
    </w:p>
    <w:p>
      <w:pPr>
        <w:ind w:left="1080"/>
        <w:spacing w:after="0" w:line="210" w:lineRule="auto"/>
        <w:rPr>
          <w:sz w:val="20"/>
          <w:szCs w:val="20"/>
          <w:color w:val="auto"/>
        </w:rPr>
      </w:pPr>
      <w:r>
        <w:rPr>
          <w:rFonts w:ascii="Arial" w:cs="Arial" w:eastAsia="Arial" w:hAnsi="Arial"/>
          <w:sz w:val="15"/>
          <w:szCs w:val="15"/>
          <w:color w:val="auto"/>
        </w:rPr>
        <w:t>William C. Erbey</w:t>
      </w:r>
      <w:r>
        <w:rPr>
          <w:rFonts w:ascii="Arial" w:cs="Arial" w:eastAsia="Arial" w:hAnsi="Arial"/>
          <w:sz w:val="19"/>
          <w:szCs w:val="19"/>
          <w:color w:val="auto"/>
          <w:vertAlign w:val="superscript"/>
        </w:rPr>
        <w:t>(5)</w:t>
      </w:r>
    </w:p>
    <w:p>
      <w:pPr>
        <w:ind w:left="1080"/>
        <w:spacing w:after="0" w:line="211" w:lineRule="auto"/>
        <w:rPr>
          <w:sz w:val="20"/>
          <w:szCs w:val="20"/>
          <w:color w:val="auto"/>
        </w:rPr>
      </w:pPr>
      <w:r>
        <w:rPr>
          <w:rFonts w:ascii="Arial" w:cs="Arial" w:eastAsia="Arial" w:hAnsi="Arial"/>
          <w:sz w:val="15"/>
          <w:szCs w:val="15"/>
          <w:color w:val="auto"/>
        </w:rPr>
        <w:t>Concise Capital Management, LP</w:t>
      </w:r>
      <w:r>
        <w:rPr>
          <w:rFonts w:ascii="Arial" w:cs="Arial" w:eastAsia="Arial" w:hAnsi="Arial"/>
          <w:sz w:val="19"/>
          <w:szCs w:val="19"/>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-114935</wp:posOffset>
            </wp:positionV>
            <wp:extent cx="4350385" cy="121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50385" cy="12192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5"/>
          <w:szCs w:val="15"/>
          <w:color w:val="auto"/>
        </w:rPr>
        <w:t>PhenixFIN Corporation</w:t>
      </w:r>
      <w:r>
        <w:rPr>
          <w:rFonts w:ascii="Arial" w:cs="Arial" w:eastAsia="Arial" w:hAnsi="Arial"/>
          <w:sz w:val="19"/>
          <w:szCs w:val="1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-10795</wp:posOffset>
            </wp:positionV>
            <wp:extent cx="4350385" cy="164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50385" cy="164465"/>
                    </a:xfrm>
                    <a:prstGeom prst="rect">
                      <a:avLst/>
                    </a:prstGeom>
                    <a:noFill/>
                  </pic:spPr>
                </pic:pic>
              </a:graphicData>
            </a:graphic>
          </wp:anchor>
        </w:drawing>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Directors and Named Executive Officers:</w:t>
      </w:r>
    </w:p>
    <w:p>
      <w:pPr>
        <w:ind w:left="1080"/>
        <w:spacing w:after="0" w:line="210" w:lineRule="auto"/>
        <w:rPr>
          <w:sz w:val="20"/>
          <w:szCs w:val="20"/>
          <w:color w:val="auto"/>
        </w:rPr>
      </w:pPr>
      <w:r>
        <w:rPr>
          <w:rFonts w:ascii="Arial" w:cs="Arial" w:eastAsia="Arial" w:hAnsi="Arial"/>
          <w:sz w:val="15"/>
          <w:szCs w:val="15"/>
          <w:color w:val="auto"/>
        </w:rPr>
        <w:t>William B. Shepro</w:t>
      </w:r>
      <w:r>
        <w:rPr>
          <w:rFonts w:ascii="Arial" w:cs="Arial" w:eastAsia="Arial" w:hAnsi="Arial"/>
          <w:sz w:val="19"/>
          <w:szCs w:val="19"/>
          <w:color w:val="auto"/>
          <w:vertAlign w:val="superscript"/>
        </w:rPr>
        <w:t>(8)</w:t>
      </w:r>
    </w:p>
    <w:p>
      <w:pPr>
        <w:ind w:left="1080"/>
        <w:spacing w:after="0" w:line="210" w:lineRule="auto"/>
        <w:rPr>
          <w:sz w:val="20"/>
          <w:szCs w:val="20"/>
          <w:color w:val="auto"/>
        </w:rPr>
      </w:pPr>
      <w:r>
        <w:rPr>
          <w:rFonts w:ascii="Arial" w:cs="Arial" w:eastAsia="Arial" w:hAnsi="Arial"/>
          <w:sz w:val="15"/>
          <w:szCs w:val="15"/>
          <w:color w:val="auto"/>
        </w:rPr>
        <w:t>Michelle D. Esterman</w:t>
      </w:r>
      <w:r>
        <w:rPr>
          <w:rFonts w:ascii="Arial" w:cs="Arial" w:eastAsia="Arial" w:hAnsi="Arial"/>
          <w:sz w:val="19"/>
          <w:szCs w:val="1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-114300</wp:posOffset>
            </wp:positionV>
            <wp:extent cx="4350385" cy="121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50385" cy="121920"/>
                    </a:xfrm>
                    <a:prstGeom prst="rect">
                      <a:avLst/>
                    </a:prstGeom>
                    <a:noFill/>
                  </pic:spPr>
                </pic:pic>
              </a:graphicData>
            </a:graphic>
          </wp:anchor>
        </w:drawing>
      </w:r>
    </w:p>
    <w:p>
      <w:pPr>
        <w:ind w:left="1080"/>
        <w:spacing w:after="0" w:line="233" w:lineRule="auto"/>
        <w:rPr>
          <w:sz w:val="20"/>
          <w:szCs w:val="20"/>
          <w:color w:val="auto"/>
        </w:rPr>
      </w:pPr>
      <w:r>
        <w:rPr>
          <w:rFonts w:ascii="Arial" w:cs="Arial" w:eastAsia="Arial" w:hAnsi="Arial"/>
          <w:sz w:val="15"/>
          <w:szCs w:val="15"/>
          <w:color w:val="auto"/>
        </w:rPr>
        <w:t>Gregory J. Ritts</w:t>
      </w:r>
      <w:r>
        <w:rPr>
          <w:rFonts w:ascii="Arial" w:cs="Arial" w:eastAsia="Arial" w:hAnsi="Arial"/>
          <w:sz w:val="19"/>
          <w:szCs w:val="19"/>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-5715</wp:posOffset>
            </wp:positionV>
            <wp:extent cx="4350385" cy="1073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50385" cy="107315"/>
                    </a:xfrm>
                    <a:prstGeom prst="rect">
                      <a:avLst/>
                    </a:prstGeom>
                    <a:noFill/>
                  </pic:spPr>
                </pic:pic>
              </a:graphicData>
            </a:graphic>
          </wp:anchor>
        </w:drawing>
      </w:r>
    </w:p>
    <w:p>
      <w:pPr>
        <w:ind w:left="1080"/>
        <w:spacing w:after="0" w:line="235" w:lineRule="auto"/>
        <w:rPr>
          <w:sz w:val="20"/>
          <w:szCs w:val="20"/>
          <w:color w:val="auto"/>
        </w:rPr>
      </w:pPr>
      <w:r>
        <w:rPr>
          <w:rFonts w:ascii="Arial" w:cs="Arial" w:eastAsia="Arial" w:hAnsi="Arial"/>
          <w:sz w:val="15"/>
          <w:szCs w:val="15"/>
          <w:color w:val="auto"/>
        </w:rPr>
        <w:t>Roland Müller-Ineichen</w:t>
      </w:r>
    </w:p>
    <w:p>
      <w:pPr>
        <w:ind w:left="1080"/>
        <w:spacing w:after="0" w:line="207" w:lineRule="auto"/>
        <w:rPr>
          <w:sz w:val="20"/>
          <w:szCs w:val="20"/>
          <w:color w:val="auto"/>
        </w:rPr>
      </w:pPr>
      <w:r>
        <w:rPr>
          <w:rFonts w:ascii="Arial" w:cs="Arial" w:eastAsia="Arial" w:hAnsi="Arial"/>
          <w:sz w:val="15"/>
          <w:szCs w:val="15"/>
          <w:color w:val="auto"/>
        </w:rPr>
        <w:t>Joseph L. Morettini</w:t>
      </w:r>
    </w:p>
    <w:p>
      <w:pPr>
        <w:ind w:left="1080"/>
        <w:spacing w:after="0" w:line="211" w:lineRule="auto"/>
        <w:rPr>
          <w:sz w:val="20"/>
          <w:szCs w:val="20"/>
          <w:color w:val="auto"/>
        </w:rPr>
      </w:pPr>
      <w:r>
        <w:rPr>
          <w:rFonts w:ascii="Arial" w:cs="Arial" w:eastAsia="Arial" w:hAnsi="Arial"/>
          <w:sz w:val="15"/>
          <w:szCs w:val="15"/>
          <w:color w:val="auto"/>
        </w:rPr>
        <w:t>John G. Aldridge, Jr.</w:t>
      </w:r>
      <w:r>
        <w:rPr>
          <w:rFonts w:ascii="Arial" w:cs="Arial" w:eastAsia="Arial" w:hAnsi="Arial"/>
          <w:sz w:val="19"/>
          <w:szCs w:val="19"/>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-114935</wp:posOffset>
            </wp:positionV>
            <wp:extent cx="4350385" cy="121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50385" cy="121920"/>
                    </a:xfrm>
                    <a:prstGeom prst="rect">
                      <a:avLst/>
                    </a:prstGeom>
                    <a:noFill/>
                  </pic:spPr>
                </pic:pic>
              </a:graphicData>
            </a:graphic>
          </wp:anchor>
        </w:drawing>
      </w:r>
    </w:p>
    <w:p>
      <w:pPr>
        <w:ind w:left="1080"/>
        <w:spacing w:after="0" w:line="232" w:lineRule="auto"/>
        <w:rPr>
          <w:sz w:val="20"/>
          <w:szCs w:val="20"/>
          <w:color w:val="auto"/>
        </w:rPr>
      </w:pPr>
      <w:r>
        <w:rPr>
          <w:rFonts w:ascii="Arial" w:cs="Arial" w:eastAsia="Arial" w:hAnsi="Arial"/>
          <w:sz w:val="15"/>
          <w:szCs w:val="15"/>
          <w:color w:val="auto"/>
        </w:rPr>
        <w:t>Mary C. Hickok</w:t>
      </w:r>
      <w:r>
        <w:rPr>
          <w:rFonts w:ascii="Arial" w:cs="Arial" w:eastAsia="Arial" w:hAnsi="Arial"/>
          <w:sz w:val="19"/>
          <w:szCs w:val="1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-5715</wp:posOffset>
            </wp:positionV>
            <wp:extent cx="4350385" cy="1073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50385" cy="10731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5"/>
          <w:szCs w:val="15"/>
          <w:b w:val="1"/>
          <w:bCs w:val="1"/>
          <w:color w:val="auto"/>
        </w:rPr>
        <w:t>All Directors and Executive Officers as a Group (7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113030</wp:posOffset>
            </wp:positionV>
            <wp:extent cx="103060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306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8"/>
              </w:rPr>
              <w:t>Amount</w:t>
            </w:r>
          </w:p>
        </w:tc>
        <w:tc>
          <w:tcPr>
            <w:tcW w:w="18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8"/>
              </w:rPr>
              <w:t>Percent</w:t>
            </w:r>
          </w:p>
        </w:tc>
      </w:tr>
      <w:tr>
        <w:trPr>
          <w:trHeight w:val="20"/>
        </w:trPr>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center"/>
              <w:spacing w:after="0"/>
              <w:rPr>
                <w:sz w:val="20"/>
                <w:szCs w:val="20"/>
                <w:color w:val="auto"/>
              </w:rPr>
            </w:pPr>
            <w:r>
              <w:rPr>
                <w:rFonts w:ascii="Arial" w:cs="Arial" w:eastAsia="Arial" w:hAnsi="Arial"/>
                <w:sz w:val="15"/>
                <w:szCs w:val="15"/>
                <w:color w:val="auto"/>
              </w:rPr>
              <w:t>​19,739,088</w:t>
            </w:r>
          </w:p>
        </w:tc>
        <w:tc>
          <w:tcPr>
            <w:tcW w:w="1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​22.56</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2"/>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​11,818,638</w:t>
            </w:r>
          </w:p>
        </w:tc>
        <w:tc>
          <w:tcPr>
            <w:tcW w:w="540" w:type="dxa"/>
            <w:vAlign w:val="bottom"/>
          </w:tcPr>
          <w:p>
            <w:pPr>
              <w:jc w:val="center"/>
              <w:spacing w:after="0"/>
              <w:rPr>
                <w:sz w:val="20"/>
                <w:szCs w:val="20"/>
                <w:color w:val="auto"/>
              </w:rPr>
            </w:pPr>
            <w:r>
              <w:rPr>
                <w:rFonts w:ascii="Arial" w:cs="Arial" w:eastAsia="Arial" w:hAnsi="Arial"/>
                <w:sz w:val="15"/>
                <w:szCs w:val="15"/>
                <w:color w:val="auto"/>
              </w:rPr>
              <w:t>​13.51</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2"/>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 8,675,184</w:t>
            </w:r>
          </w:p>
        </w:tc>
        <w:tc>
          <w:tcPr>
            <w:tcW w:w="540" w:type="dxa"/>
            <w:vAlign w:val="bottom"/>
          </w:tcPr>
          <w:p>
            <w:pPr>
              <w:jc w:val="center"/>
              <w:spacing w:after="0"/>
              <w:rPr>
                <w:sz w:val="20"/>
                <w:szCs w:val="20"/>
                <w:color w:val="auto"/>
              </w:rPr>
            </w:pPr>
            <w:r>
              <w:rPr>
                <w:rFonts w:ascii="Arial" w:cs="Arial" w:eastAsia="Arial" w:hAnsi="Arial"/>
                <w:sz w:val="15"/>
                <w:szCs w:val="15"/>
                <w:color w:val="auto"/>
              </w:rPr>
              <w:t>​ 9.91</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2"/>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 6,000,709</w:t>
            </w:r>
          </w:p>
        </w:tc>
        <w:tc>
          <w:tcPr>
            <w:tcW w:w="540" w:type="dxa"/>
            <w:vAlign w:val="bottom"/>
          </w:tcPr>
          <w:p>
            <w:pPr>
              <w:jc w:val="center"/>
              <w:spacing w:after="0"/>
              <w:rPr>
                <w:sz w:val="20"/>
                <w:szCs w:val="20"/>
                <w:color w:val="auto"/>
              </w:rPr>
            </w:pPr>
            <w:r>
              <w:rPr>
                <w:rFonts w:ascii="Arial" w:cs="Arial" w:eastAsia="Arial" w:hAnsi="Arial"/>
                <w:sz w:val="15"/>
                <w:szCs w:val="15"/>
                <w:color w:val="auto"/>
              </w:rPr>
              <w:t>​ 6.86</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2"/>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 5,158,667</w:t>
            </w:r>
          </w:p>
        </w:tc>
        <w:tc>
          <w:tcPr>
            <w:tcW w:w="540" w:type="dxa"/>
            <w:vAlign w:val="bottom"/>
          </w:tcPr>
          <w:p>
            <w:pPr>
              <w:jc w:val="center"/>
              <w:spacing w:after="0"/>
              <w:rPr>
                <w:sz w:val="20"/>
                <w:szCs w:val="20"/>
                <w:color w:val="auto"/>
              </w:rPr>
            </w:pPr>
            <w:r>
              <w:rPr>
                <w:rFonts w:ascii="Arial" w:cs="Arial" w:eastAsia="Arial" w:hAnsi="Arial"/>
                <w:sz w:val="15"/>
                <w:szCs w:val="15"/>
                <w:color w:val="auto"/>
              </w:rPr>
              <w:t>​ 5.89</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8"/>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 4,377,440</w:t>
            </w:r>
          </w:p>
        </w:tc>
        <w:tc>
          <w:tcPr>
            <w:tcW w:w="540" w:type="dxa"/>
            <w:vAlign w:val="bottom"/>
          </w:tcPr>
          <w:p>
            <w:pPr>
              <w:jc w:val="center"/>
              <w:spacing w:after="0"/>
              <w:rPr>
                <w:sz w:val="20"/>
                <w:szCs w:val="20"/>
                <w:color w:val="auto"/>
              </w:rPr>
            </w:pPr>
            <w:r>
              <w:rPr>
                <w:rFonts w:ascii="Arial" w:cs="Arial" w:eastAsia="Arial" w:hAnsi="Arial"/>
                <w:sz w:val="15"/>
                <w:szCs w:val="15"/>
                <w:color w:val="auto"/>
              </w:rPr>
              <w:t>​ 5.00</w:t>
            </w:r>
          </w:p>
        </w:tc>
        <w:tc>
          <w:tcPr>
            <w:tcW w:w="40" w:type="dxa"/>
            <w:vAlign w:val="bottom"/>
          </w:tcPr>
          <w:p>
            <w:pPr>
              <w:spacing w:after="0"/>
              <w:rPr>
                <w:sz w:val="20"/>
                <w:szCs w:val="20"/>
                <w:color w:val="auto"/>
              </w:rPr>
            </w:pPr>
            <w:r>
              <w:rPr>
                <w:rFonts w:ascii="Arial" w:cs="Arial" w:eastAsia="Arial" w:hAnsi="Arial"/>
                <w:sz w:val="15"/>
                <w:szCs w:val="15"/>
                <w:color w:val="auto"/>
              </w:rPr>
              <w:t>​</w:t>
            </w:r>
          </w:p>
        </w:tc>
      </w:tr>
    </w:tbl>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6"/>
                <w:szCs w:val="16"/>
                <w:color w:val="auto"/>
              </w:rPr>
            </w:pPr>
          </w:p>
        </w:tc>
        <w:tc>
          <w:tcPr>
            <w:tcW w:w="32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Arial" w:cs="Arial" w:eastAsia="Arial" w:hAnsi="Arial"/>
                <w:sz w:val="15"/>
                <w:szCs w:val="15"/>
                <w:b w:val="1"/>
                <w:bCs w:val="1"/>
                <w:color w:val="auto"/>
              </w:rPr>
              <w:t>​</w:t>
            </w:r>
          </w:p>
        </w:tc>
      </w:tr>
      <w:tr>
        <w:trPr>
          <w:trHeight w:val="192"/>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60"/>
              <w:spacing w:after="0"/>
              <w:rPr>
                <w:sz w:val="20"/>
                <w:szCs w:val="20"/>
                <w:color w:val="auto"/>
              </w:rPr>
            </w:pPr>
            <w:r>
              <w:rPr>
                <w:rFonts w:ascii="Arial" w:cs="Arial" w:eastAsia="Arial" w:hAnsi="Arial"/>
                <w:sz w:val="15"/>
                <w:szCs w:val="15"/>
                <w:color w:val="auto"/>
              </w:rPr>
              <w:t>​ 1,301,658</w:t>
            </w:r>
          </w:p>
        </w:tc>
        <w:tc>
          <w:tcPr>
            <w:tcW w:w="560" w:type="dxa"/>
            <w:vAlign w:val="bottom"/>
            <w:gridSpan w:val="2"/>
          </w:tcPr>
          <w:p>
            <w:pPr>
              <w:ind w:left="140"/>
              <w:spacing w:after="0"/>
              <w:rPr>
                <w:sz w:val="20"/>
                <w:szCs w:val="20"/>
                <w:color w:val="auto"/>
              </w:rPr>
            </w:pPr>
            <w:r>
              <w:rPr>
                <w:rFonts w:ascii="Arial" w:cs="Arial" w:eastAsia="Arial" w:hAnsi="Arial"/>
                <w:sz w:val="15"/>
                <w:szCs w:val="15"/>
                <w:color w:val="auto"/>
              </w:rPr>
              <w:t>​ 1.49</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192"/>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304,943</w:t>
            </w:r>
          </w:p>
        </w:tc>
        <w:tc>
          <w:tcPr>
            <w:tcW w:w="320" w:type="dxa"/>
            <w:vAlign w:val="bottom"/>
          </w:tcPr>
          <w:p>
            <w:pPr>
              <w:ind w:left="14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169"/>
        </w:trPr>
        <w:tc>
          <w:tcPr>
            <w:tcW w:w="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80" w:type="dxa"/>
            <w:vAlign w:val="bottom"/>
          </w:tcPr>
          <w:p>
            <w:pPr>
              <w:ind w:left="60"/>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line="169" w:lineRule="exact"/>
              <w:rPr>
                <w:sz w:val="20"/>
                <w:szCs w:val="20"/>
                <w:color w:val="auto"/>
              </w:rPr>
            </w:pPr>
            <w:r>
              <w:rPr>
                <w:rFonts w:ascii="Arial" w:cs="Arial" w:eastAsia="Arial" w:hAnsi="Arial"/>
                <w:sz w:val="15"/>
                <w:szCs w:val="15"/>
                <w:color w:val="auto"/>
              </w:rPr>
              <w:t>126,600</w:t>
            </w:r>
          </w:p>
        </w:tc>
        <w:tc>
          <w:tcPr>
            <w:tcW w:w="320" w:type="dxa"/>
            <w:vAlign w:val="bottom"/>
          </w:tcPr>
          <w:p>
            <w:pPr>
              <w:ind w:left="14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ind w:left="40"/>
              <w:spacing w:after="0" w:line="169" w:lineRule="exact"/>
              <w:rPr>
                <w:sz w:val="20"/>
                <w:szCs w:val="20"/>
                <w:color w:val="auto"/>
              </w:rPr>
            </w:pPr>
            <w:r>
              <w:rPr>
                <w:rFonts w:ascii="Arial" w:cs="Arial" w:eastAsia="Arial" w:hAnsi="Arial"/>
                <w:sz w:val="15"/>
                <w:szCs w:val="15"/>
                <w:color w:val="auto"/>
              </w:rPr>
              <w:t>​</w:t>
            </w:r>
          </w:p>
        </w:tc>
      </w:tr>
      <w:tr>
        <w:trPr>
          <w:trHeight w:val="169"/>
        </w:trPr>
        <w:tc>
          <w:tcPr>
            <w:tcW w:w="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80" w:type="dxa"/>
            <w:vAlign w:val="bottom"/>
          </w:tcPr>
          <w:p>
            <w:pPr>
              <w:ind w:left="60"/>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line="169" w:lineRule="exact"/>
              <w:rPr>
                <w:sz w:val="20"/>
                <w:szCs w:val="20"/>
                <w:color w:val="auto"/>
              </w:rPr>
            </w:pPr>
            <w:r>
              <w:rPr>
                <w:rFonts w:ascii="Arial" w:cs="Arial" w:eastAsia="Arial" w:hAnsi="Arial"/>
                <w:sz w:val="15"/>
                <w:szCs w:val="15"/>
                <w:color w:val="auto"/>
              </w:rPr>
              <w:t>109,331</w:t>
            </w:r>
          </w:p>
        </w:tc>
        <w:tc>
          <w:tcPr>
            <w:tcW w:w="320" w:type="dxa"/>
            <w:vAlign w:val="bottom"/>
          </w:tcPr>
          <w:p>
            <w:pPr>
              <w:ind w:left="14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ind w:left="40"/>
              <w:spacing w:after="0" w:line="169" w:lineRule="exact"/>
              <w:rPr>
                <w:sz w:val="20"/>
                <w:szCs w:val="20"/>
                <w:color w:val="auto"/>
              </w:rPr>
            </w:pPr>
            <w:r>
              <w:rPr>
                <w:rFonts w:ascii="Arial" w:cs="Arial" w:eastAsia="Arial" w:hAnsi="Arial"/>
                <w:sz w:val="15"/>
                <w:szCs w:val="15"/>
                <w:color w:val="auto"/>
              </w:rPr>
              <w:t>​</w:t>
            </w:r>
          </w:p>
        </w:tc>
      </w:tr>
      <w:tr>
        <w:trPr>
          <w:trHeight w:val="192"/>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86,098</w:t>
            </w:r>
          </w:p>
        </w:tc>
        <w:tc>
          <w:tcPr>
            <w:tcW w:w="320" w:type="dxa"/>
            <w:vAlign w:val="bottom"/>
          </w:tcPr>
          <w:p>
            <w:pPr>
              <w:ind w:left="14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192"/>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88,517</w:t>
            </w:r>
          </w:p>
        </w:tc>
        <w:tc>
          <w:tcPr>
            <w:tcW w:w="320" w:type="dxa"/>
            <w:vAlign w:val="bottom"/>
          </w:tcPr>
          <w:p>
            <w:pPr>
              <w:ind w:left="14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169"/>
        </w:trPr>
        <w:tc>
          <w:tcPr>
            <w:tcW w:w="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80" w:type="dxa"/>
            <w:vAlign w:val="bottom"/>
          </w:tcPr>
          <w:p>
            <w:pPr>
              <w:ind w:left="60"/>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line="169" w:lineRule="exact"/>
              <w:rPr>
                <w:sz w:val="20"/>
                <w:szCs w:val="20"/>
                <w:color w:val="auto"/>
              </w:rPr>
            </w:pPr>
            <w:r>
              <w:rPr>
                <w:rFonts w:ascii="Arial" w:cs="Arial" w:eastAsia="Arial" w:hAnsi="Arial"/>
                <w:sz w:val="15"/>
                <w:szCs w:val="15"/>
                <w:color w:val="auto"/>
              </w:rPr>
              <w:t>0</w:t>
            </w:r>
          </w:p>
        </w:tc>
        <w:tc>
          <w:tcPr>
            <w:tcW w:w="320" w:type="dxa"/>
            <w:vAlign w:val="bottom"/>
          </w:tcPr>
          <w:p>
            <w:pPr>
              <w:ind w:left="14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ind w:left="40"/>
              <w:spacing w:after="0" w:line="169" w:lineRule="exact"/>
              <w:rPr>
                <w:sz w:val="20"/>
                <w:szCs w:val="20"/>
                <w:color w:val="auto"/>
              </w:rPr>
            </w:pPr>
            <w:r>
              <w:rPr>
                <w:rFonts w:ascii="Arial" w:cs="Arial" w:eastAsia="Arial" w:hAnsi="Arial"/>
                <w:sz w:val="15"/>
                <w:szCs w:val="15"/>
                <w:color w:val="auto"/>
              </w:rPr>
              <w:t>​</w:t>
            </w:r>
          </w:p>
        </w:tc>
      </w:tr>
      <w:tr>
        <w:trPr>
          <w:trHeight w:val="206"/>
        </w:trPr>
        <w:tc>
          <w:tcPr>
            <w:tcW w:w="80" w:type="dxa"/>
            <w:vAlign w:val="bottom"/>
          </w:tcPr>
          <w:p>
            <w:pPr>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ind w:left="60"/>
              <w:spacing w:after="0"/>
              <w:rPr>
                <w:sz w:val="20"/>
                <w:szCs w:val="20"/>
                <w:color w:val="auto"/>
              </w:rPr>
            </w:pPr>
            <w:r>
              <w:rPr>
                <w:rFonts w:ascii="Arial" w:cs="Arial" w:eastAsia="Arial" w:hAnsi="Arial"/>
                <w:sz w:val="15"/>
                <w:szCs w:val="15"/>
                <w:b w:val="1"/>
                <w:bCs w:val="1"/>
                <w:color w:val="auto"/>
              </w:rPr>
              <w:t>​ 2,017,147</w:t>
            </w:r>
          </w:p>
        </w:tc>
        <w:tc>
          <w:tcPr>
            <w:tcW w:w="560" w:type="dxa"/>
            <w:vAlign w:val="bottom"/>
            <w:gridSpan w:val="2"/>
          </w:tcPr>
          <w:p>
            <w:pPr>
              <w:ind w:left="140"/>
              <w:spacing w:after="0"/>
              <w:rPr>
                <w:sz w:val="20"/>
                <w:szCs w:val="20"/>
                <w:color w:val="auto"/>
              </w:rPr>
            </w:pPr>
            <w:r>
              <w:rPr>
                <w:rFonts w:ascii="Arial" w:cs="Arial" w:eastAsia="Arial" w:hAnsi="Arial"/>
                <w:sz w:val="15"/>
                <w:szCs w:val="15"/>
                <w:b w:val="1"/>
                <w:bCs w:val="1"/>
                <w:color w:val="auto"/>
              </w:rPr>
              <w:t>​ 2.30</w:t>
            </w:r>
          </w:p>
        </w:tc>
        <w:tc>
          <w:tcPr>
            <w:tcW w:w="80" w:type="dxa"/>
            <w:vAlign w:val="bottom"/>
          </w:tcPr>
          <w:p>
            <w:pPr>
              <w:ind w:left="40"/>
              <w:spacing w:after="0"/>
              <w:rPr>
                <w:sz w:val="20"/>
                <w:szCs w:val="20"/>
                <w:color w:val="auto"/>
              </w:rPr>
            </w:pPr>
            <w:r>
              <w:rPr>
                <w:rFonts w:ascii="Arial" w:cs="Arial" w:eastAsia="Arial" w:hAnsi="Arial"/>
                <w:sz w:val="15"/>
                <w:szCs w:val="15"/>
                <w:b w:val="1"/>
                <w:bCs w:val="1"/>
                <w:color w:val="auto"/>
              </w:rPr>
              <w:t>​</w:t>
            </w:r>
          </w:p>
        </w:tc>
      </w:tr>
    </w:tbl>
    <w:p>
      <w:pPr>
        <w:spacing w:after="0" w:line="200" w:lineRule="exact"/>
        <w:rPr>
          <w:sz w:val="20"/>
          <w:szCs w:val="20"/>
          <w:color w:val="auto"/>
        </w:rPr>
      </w:pPr>
    </w:p>
    <w:p>
      <w:pPr>
        <w:sectPr>
          <w:pgSz w:w="11900" w:h="16838" w:orient="portrait"/>
          <w:cols w:equalWidth="0" w:num="2">
            <w:col w:w="5580" w:space="720"/>
            <w:col w:w="2719"/>
          </w:cols>
          <w:pgMar w:left="1440" w:top="102" w:right="1440" w:bottom="1440" w:gutter="0" w:footer="0" w:header="0"/>
          <w:type w:val="continuous"/>
        </w:sectPr>
      </w:pPr>
    </w:p>
    <w:p>
      <w:pPr>
        <w:spacing w:after="0" w:line="56" w:lineRule="exact"/>
        <w:rPr>
          <w:sz w:val="20"/>
          <w:szCs w:val="20"/>
          <w:color w:val="auto"/>
        </w:rPr>
      </w:pPr>
    </w:p>
    <w:p>
      <w:pPr>
        <w:ind w:left="1380" w:hanging="301"/>
        <w:spacing w:after="0"/>
        <w:tabs>
          <w:tab w:leader="none" w:pos="13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Less than one percent (1%)</w:t>
      </w:r>
    </w:p>
    <w:p>
      <w:pPr>
        <w:spacing w:after="0" w:line="53" w:lineRule="exact"/>
        <w:rPr>
          <w:sz w:val="20"/>
          <w:szCs w:val="20"/>
          <w:color w:val="auto"/>
        </w:rPr>
      </w:pPr>
    </w:p>
    <w:p>
      <w:pPr>
        <w:ind w:left="1380" w:right="1119" w:hanging="301"/>
        <w:spacing w:after="0" w:line="241" w:lineRule="auto"/>
        <w:tabs>
          <w:tab w:leader="none" w:pos="13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For purposes of this table, an individual is considered the beneficial owner of shares of common stock if he or she directly or indirectly has, or shares, voting or investment power, as defined in the rules promulgated under the Exchange Act, or has the right to acquire beneficial ownership within 60 days of March 17, 2025, the record date. Therefore, the table includes RSUs that vest within 60 days of the record date, as well as options to purchase shares of our common stock that are currently exercisable or will become exercisable within 60 days of the record date, even if the share exercise price exceeds the share value of the options. The table does not include restricted shares that do not vest within 60 days of the record date, under which the holder has no voting rights until vested. Unless otherwise indicated, an individual has sole voting and investment power with respect to the indicated shares. In accordance with Company policy, no shares have been pledged as security for indebtedness by our Named Executive Officers or Directors.</w:t>
      </w:r>
    </w:p>
    <w:p>
      <w:pPr>
        <w:spacing w:after="0" w:line="200" w:lineRule="exact"/>
        <w:rPr>
          <w:rFonts w:ascii="Arial" w:cs="Arial" w:eastAsia="Arial" w:hAnsi="Arial"/>
          <w:sz w:val="23"/>
          <w:szCs w:val="23"/>
          <w:color w:val="auto"/>
          <w:vertAlign w:val="superscript"/>
        </w:rPr>
      </w:pPr>
    </w:p>
    <w:p>
      <w:pPr>
        <w:spacing w:after="0" w:line="202" w:lineRule="exact"/>
        <w:rPr>
          <w:rFonts w:ascii="Arial" w:cs="Arial" w:eastAsia="Arial" w:hAnsi="Arial"/>
          <w:sz w:val="23"/>
          <w:szCs w:val="23"/>
          <w:color w:val="auto"/>
          <w:vertAlign w:val="superscript"/>
        </w:rPr>
      </w:pPr>
    </w:p>
    <w:p>
      <w:pPr>
        <w:ind w:left="1380" w:right="1139" w:hanging="301"/>
        <w:spacing w:after="0"/>
        <w:tabs>
          <w:tab w:leader="none" w:pos="13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Based upon information contained in a Schedule 13D filed with the SEC on February 26, 2025.</w:t>
      </w:r>
    </w:p>
    <w:p>
      <w:pPr>
        <w:spacing w:after="0" w:line="141" w:lineRule="exact"/>
        <w:rPr>
          <w:rFonts w:ascii="Arial" w:cs="Arial" w:eastAsia="Arial" w:hAnsi="Arial"/>
          <w:sz w:val="23"/>
          <w:szCs w:val="23"/>
          <w:color w:val="auto"/>
          <w:vertAlign w:val="superscript"/>
        </w:rPr>
      </w:pPr>
    </w:p>
    <w:p>
      <w:pPr>
        <w:ind w:left="1380" w:right="1139" w:hanging="301"/>
        <w:spacing w:after="0" w:line="242" w:lineRule="auto"/>
        <w:tabs>
          <w:tab w:leader="none" w:pos="13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13D filed with the SEC on March 5, 2025, by Deer Park Road Management Company, LP, with shared voting power with Deer Park Road Corp., Deer Park Road Management GP, LLC, AgateCreek LLC, Michael Craig-Scheckman and Scott Edward Burg (collectively, the “Reporting Managers”). The Reporting Managers’ holdings consist of 15,092,491 shares and 125 restricted shares granted to Mary Hickok (which are scheduled to vest within 60 days of March 17, 2025) for her service on our Board, adjusted to account for a transfer of shares on March 17, 2025, as reported by the Company's transfer agent. Shares granted to Ms. Hickok for her service on our Board are transferred to the account of DPR CC LLC, a C-Corp wholly owned by Deer Park/STS Master Fund, Ltd., over which the Deer Park Reporting Managers share voting and dispositive power. Deer Park serves as investment adviser to STS Master Fund, Ltd., an exempt company organized under the laws of the Cayman Islands. The business address of the Deer Park Reporting Managers is 1195 Bangtail Way, Steamboat Springs, Colorado 80487.</w:t>
      </w:r>
    </w:p>
    <w:p>
      <w:pPr>
        <w:spacing w:after="0" w:line="215" w:lineRule="exact"/>
        <w:rPr>
          <w:rFonts w:ascii="Arial" w:cs="Arial" w:eastAsia="Arial" w:hAnsi="Arial"/>
          <w:sz w:val="23"/>
          <w:szCs w:val="23"/>
          <w:color w:val="auto"/>
          <w:vertAlign w:val="superscript"/>
        </w:rPr>
      </w:pPr>
    </w:p>
    <w:p>
      <w:pPr>
        <w:ind w:left="1380" w:right="1239" w:hanging="301"/>
        <w:spacing w:after="0" w:line="207" w:lineRule="auto"/>
        <w:tabs>
          <w:tab w:leader="none" w:pos="13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Based on information in the Company’s possession as of the closing of the Transaction on February 19, 2025 and information provided by the Company’s transfer agent.</w:t>
      </w:r>
    </w:p>
    <w:p>
      <w:pPr>
        <w:spacing w:after="0" w:line="28" w:lineRule="exact"/>
        <w:rPr>
          <w:rFonts w:ascii="Arial" w:cs="Arial" w:eastAsia="Arial" w:hAnsi="Arial"/>
          <w:sz w:val="23"/>
          <w:szCs w:val="23"/>
          <w:color w:val="auto"/>
          <w:vertAlign w:val="superscript"/>
        </w:rPr>
      </w:pPr>
    </w:p>
    <w:p>
      <w:pPr>
        <w:ind w:left="1380" w:right="1519" w:hanging="301"/>
        <w:spacing w:after="0" w:line="205" w:lineRule="auto"/>
        <w:tabs>
          <w:tab w:leader="none" w:pos="13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13D/A filed with the SEC on May 21, 2021, Mr. Erbey’s holdings consist of (i) 548,220 shares of common stock held by</w:t>
      </w:r>
    </w:p>
    <w:p>
      <w:pPr>
        <w:spacing w:after="0" w:line="1" w:lineRule="exact"/>
        <w:rPr>
          <w:rFonts w:ascii="Arial" w:cs="Arial" w:eastAsia="Arial" w:hAnsi="Arial"/>
          <w:sz w:val="23"/>
          <w:szCs w:val="23"/>
          <w:color w:val="auto"/>
          <w:vertAlign w:val="superscript"/>
        </w:rPr>
      </w:pPr>
    </w:p>
    <w:p>
      <w:pPr>
        <w:ind w:left="1380" w:right="1099"/>
        <w:spacing w:after="0" w:line="252" w:lineRule="auto"/>
        <w:rPr>
          <w:rFonts w:ascii="Arial" w:cs="Arial" w:eastAsia="Arial" w:hAnsi="Arial"/>
          <w:sz w:val="23"/>
          <w:szCs w:val="23"/>
          <w:color w:val="auto"/>
          <w:vertAlign w:val="superscript"/>
        </w:rPr>
      </w:pPr>
      <w:r>
        <w:rPr>
          <w:rFonts w:ascii="Arial" w:cs="Arial" w:eastAsia="Arial" w:hAnsi="Arial"/>
          <w:sz w:val="15"/>
          <w:szCs w:val="15"/>
          <w:color w:val="auto"/>
        </w:rPr>
        <w:t>Mr. Erbey and (ii) 5,452,489 shares of common stock held by Salt Pond Holdings, LLC, a United States Virgin Islands limited liability company (“Salt Pond”), of which the Christiansted Trust, a United States Virgin Islands trust (the “C-Trust”) and Erbey Holding Corporation, Inc., a Delaware corporation (“Erbey Holding”) are members. Erbey Holding is wholly owned by the Carisma Trust, a Nevada trust, the trustee of which is Venia, LLC, a Nevada limited liability company (“Venia”). The members of Venia are John Erbey (Mr. Erbey’s brother) and Andrew Burnett, although Mr. Erbey is given sole investment and voting control over any securities owned by Venia or the Carisma Trust. Mr. Erbey, John Erbey and Salt Pond are co-trustees of the C-Trust. Mr. Erbey, Erbey Holding,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31" w:name="page32"/>
    <w:bookmarkEnd w:id="31"/>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500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-181610</wp:posOffset>
            </wp:positionV>
            <wp:extent cx="1867535" cy="121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67535" cy="121920"/>
                    </a:xfrm>
                    <a:prstGeom prst="rect">
                      <a:avLst/>
                    </a:prstGeom>
                    <a:noFill/>
                  </pic:spPr>
                </pic:pic>
              </a:graphicData>
            </a:graphic>
          </wp:anchor>
        </w:drawing>
      </w:r>
    </w:p>
    <w:p>
      <w:pPr>
        <w:spacing w:after="0" w:line="95" w:lineRule="exact"/>
        <w:rPr>
          <w:sz w:val="20"/>
          <w:szCs w:val="20"/>
          <w:color w:val="auto"/>
        </w:rPr>
      </w:pPr>
    </w:p>
    <w:p>
      <w:pPr>
        <w:jc w:val="both"/>
        <w:ind w:left="1380" w:right="1279"/>
        <w:spacing w:after="0" w:line="259" w:lineRule="auto"/>
        <w:rPr>
          <w:sz w:val="20"/>
          <w:szCs w:val="20"/>
          <w:color w:val="auto"/>
        </w:rPr>
      </w:pPr>
      <w:r>
        <w:rPr>
          <w:rFonts w:ascii="Arial" w:cs="Arial" w:eastAsia="Arial" w:hAnsi="Arial"/>
          <w:sz w:val="15"/>
          <w:szCs w:val="15"/>
          <w:color w:val="auto"/>
        </w:rPr>
        <w:t>the C-Trust, the Carisma Trust and Venia each may be deemed to beneficially own the 5,452,489 shares of common stock held by Salt Pond. Mr. Erbey’s business address is P.O. Box 25437, Christiansted, United States Virgin Islands 00824.</w:t>
      </w:r>
    </w:p>
    <w:p>
      <w:pPr>
        <w:spacing w:after="0" w:line="28" w:lineRule="exact"/>
        <w:rPr>
          <w:sz w:val="20"/>
          <w:szCs w:val="20"/>
          <w:color w:val="auto"/>
        </w:rPr>
      </w:pPr>
    </w:p>
    <w:p>
      <w:pPr>
        <w:ind w:left="1380" w:right="1299" w:hanging="301"/>
        <w:spacing w:after="0" w:line="207" w:lineRule="auto"/>
        <w:tabs>
          <w:tab w:leader="none" w:pos="138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13G filed with the SEC on February 27, 2025, with shared voting power with Glenn Koach and Thomas P. Krasner.</w:t>
      </w:r>
    </w:p>
    <w:p>
      <w:pPr>
        <w:spacing w:after="0" w:line="1" w:lineRule="exact"/>
        <w:rPr>
          <w:rFonts w:ascii="Arial" w:cs="Arial" w:eastAsia="Arial" w:hAnsi="Arial"/>
          <w:sz w:val="23"/>
          <w:szCs w:val="23"/>
          <w:color w:val="auto"/>
          <w:vertAlign w:val="superscript"/>
        </w:rPr>
      </w:pPr>
    </w:p>
    <w:p>
      <w:pPr>
        <w:ind w:left="1380" w:hanging="301"/>
        <w:spacing w:after="0" w:line="204" w:lineRule="auto"/>
        <w:tabs>
          <w:tab w:leader="none" w:pos="138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13G filed with the SEC on March 5, 2025.</w:t>
      </w:r>
    </w:p>
    <w:p>
      <w:pPr>
        <w:spacing w:after="0" w:line="53" w:lineRule="exact"/>
        <w:rPr>
          <w:rFonts w:ascii="Arial" w:cs="Arial" w:eastAsia="Arial" w:hAnsi="Arial"/>
          <w:sz w:val="23"/>
          <w:szCs w:val="23"/>
          <w:color w:val="auto"/>
          <w:vertAlign w:val="superscript"/>
        </w:rPr>
      </w:pPr>
    </w:p>
    <w:p>
      <w:pPr>
        <w:ind w:left="1380" w:hanging="301"/>
        <w:spacing w:after="0" w:line="188" w:lineRule="auto"/>
        <w:tabs>
          <w:tab w:leader="none" w:pos="13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Includes options to purchase 252,400 shares exercisable on or within 60 days of</w:t>
      </w:r>
    </w:p>
    <w:p>
      <w:pPr>
        <w:ind w:left="1380" w:right="1159"/>
        <w:spacing w:after="0" w:line="252" w:lineRule="auto"/>
        <w:rPr>
          <w:rFonts w:ascii="Arial" w:cs="Arial" w:eastAsia="Arial" w:hAnsi="Arial"/>
          <w:sz w:val="20"/>
          <w:szCs w:val="20"/>
          <w:color w:val="auto"/>
          <w:vertAlign w:val="superscript"/>
        </w:rPr>
      </w:pPr>
      <w:r>
        <w:rPr>
          <w:rFonts w:ascii="Arial" w:cs="Arial" w:eastAsia="Arial" w:hAnsi="Arial"/>
          <w:sz w:val="15"/>
          <w:szCs w:val="15"/>
          <w:color w:val="auto"/>
        </w:rPr>
        <w:t>March 17, 2025, 1,006,282 shares held by the William B. Shepro Revocable Trust (as to which Mr. and Mrs. Shepro share voting and dispositive power) and 42,976 restricted shares scheduled to vest within 60 days of March 17, 2025.</w:t>
      </w:r>
    </w:p>
    <w:p>
      <w:pPr>
        <w:spacing w:after="0" w:line="1" w:lineRule="exact"/>
        <w:rPr>
          <w:rFonts w:ascii="Arial" w:cs="Arial" w:eastAsia="Arial" w:hAnsi="Arial"/>
          <w:sz w:val="20"/>
          <w:szCs w:val="20"/>
          <w:color w:val="auto"/>
          <w:vertAlign w:val="superscript"/>
        </w:rPr>
      </w:pPr>
    </w:p>
    <w:p>
      <w:pPr>
        <w:ind w:left="1380" w:hanging="301"/>
        <w:spacing w:after="0" w:line="201" w:lineRule="auto"/>
        <w:tabs>
          <w:tab w:leader="none" w:pos="138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Includes options to purchase 30,716 shares exercisable on or within 60 days of</w:t>
      </w:r>
    </w:p>
    <w:p>
      <w:pPr>
        <w:jc w:val="both"/>
        <w:ind w:left="1380" w:right="1239"/>
        <w:spacing w:after="0" w:line="265" w:lineRule="auto"/>
        <w:rPr>
          <w:rFonts w:ascii="Arial" w:cs="Arial" w:eastAsia="Arial" w:hAnsi="Arial"/>
          <w:sz w:val="23"/>
          <w:szCs w:val="23"/>
          <w:color w:val="auto"/>
          <w:vertAlign w:val="superscript"/>
        </w:rPr>
      </w:pPr>
      <w:r>
        <w:rPr>
          <w:rFonts w:ascii="Arial" w:cs="Arial" w:eastAsia="Arial" w:hAnsi="Arial"/>
          <w:sz w:val="15"/>
          <w:szCs w:val="15"/>
          <w:color w:val="auto"/>
        </w:rPr>
        <w:t>March 17, 2025, 264,262 shares held jointly by Ms. Esterman and her spouse, Gregory F. Esterman and 9,965 restricted shares scheduled to vest within 60 days of March 17, 2025.</w:t>
      </w:r>
    </w:p>
    <w:p>
      <w:pPr>
        <w:spacing w:after="0" w:line="191" w:lineRule="exact"/>
        <w:rPr>
          <w:rFonts w:ascii="Arial" w:cs="Arial" w:eastAsia="Arial" w:hAnsi="Arial"/>
          <w:sz w:val="23"/>
          <w:szCs w:val="23"/>
          <w:color w:val="auto"/>
          <w:vertAlign w:val="superscript"/>
        </w:rPr>
      </w:pPr>
    </w:p>
    <w:p>
      <w:pPr>
        <w:ind w:left="1380" w:right="1439" w:hanging="301"/>
        <w:spacing w:after="0" w:line="219" w:lineRule="auto"/>
        <w:tabs>
          <w:tab w:leader="none" w:pos="138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Includes options to purchase 27,642 shares exercisable on or within 60 days of March 17, 2025, 89,921 shares held directly by Mr. Ritts and 9,037 restricted shares scheduled to vest within 60 days of March 17, 2025.</w:t>
      </w:r>
    </w:p>
    <w:p>
      <w:pPr>
        <w:spacing w:after="0" w:line="29" w:lineRule="exact"/>
        <w:rPr>
          <w:rFonts w:ascii="Arial" w:cs="Arial" w:eastAsia="Arial" w:hAnsi="Arial"/>
          <w:sz w:val="23"/>
          <w:szCs w:val="23"/>
          <w:color w:val="auto"/>
          <w:vertAlign w:val="superscript"/>
        </w:rPr>
      </w:pPr>
    </w:p>
    <w:p>
      <w:pPr>
        <w:ind w:left="1380" w:right="1679" w:hanging="301"/>
        <w:spacing w:after="0" w:line="207" w:lineRule="auto"/>
        <w:tabs>
          <w:tab w:leader="none" w:pos="138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Consists of 88,392 shares of common stock held directly by Mr. Aldridge and 125 restricted shares scheduled to vest within 60 days of March 17, 2025.</w:t>
      </w:r>
    </w:p>
    <w:p>
      <w:pPr>
        <w:spacing w:after="0" w:line="28" w:lineRule="exact"/>
        <w:rPr>
          <w:rFonts w:ascii="Arial" w:cs="Arial" w:eastAsia="Arial" w:hAnsi="Arial"/>
          <w:sz w:val="23"/>
          <w:szCs w:val="23"/>
          <w:color w:val="auto"/>
          <w:vertAlign w:val="superscript"/>
        </w:rPr>
      </w:pPr>
    </w:p>
    <w:p>
      <w:pPr>
        <w:ind w:left="1380" w:right="1319" w:hanging="301"/>
        <w:spacing w:after="0" w:line="207" w:lineRule="auto"/>
        <w:tabs>
          <w:tab w:leader="none" w:pos="138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Shares received by Ms. Hickok for her services as Director are transferred to the account of DPR CC LLC, a C-Corp wholly owned by Deer Park/STS Master Fund, Ltd.</w:t>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Equity Compensation Plan Information</w:t>
      </w:r>
    </w:p>
    <w:p>
      <w:pPr>
        <w:spacing w:after="0" w:line="91" w:lineRule="exact"/>
        <w:rPr>
          <w:sz w:val="20"/>
          <w:szCs w:val="20"/>
          <w:color w:val="auto"/>
        </w:rPr>
      </w:pPr>
    </w:p>
    <w:p>
      <w:pPr>
        <w:jc w:val="both"/>
        <w:ind w:left="1080" w:right="1139"/>
        <w:spacing w:after="0" w:line="278" w:lineRule="auto"/>
        <w:rPr>
          <w:sz w:val="20"/>
          <w:szCs w:val="20"/>
          <w:color w:val="auto"/>
        </w:rPr>
      </w:pPr>
      <w:r>
        <w:rPr>
          <w:rFonts w:ascii="Arial" w:cs="Arial" w:eastAsia="Arial" w:hAnsi="Arial"/>
          <w:sz w:val="15"/>
          <w:szCs w:val="15"/>
          <w:color w:val="auto"/>
        </w:rPr>
        <w:t>The following table sets forth information as of the end of the most recently completed fiscal year with respect to compensation plans under which our equity securities are authorized for issuance.</w:t>
      </w:r>
    </w:p>
    <w:p>
      <w:pPr>
        <w:spacing w:after="0" w:line="262"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w w:val="99"/>
              </w:rPr>
              <w:t>Number of 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Weighted average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Number of securities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9"/>
              </w:rPr>
              <w:t>to be issued upon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5"/>
                <w:szCs w:val="15"/>
                <w:b w:val="1"/>
                <w:bCs w:val="1"/>
                <w:color w:val="auto"/>
                <w:w w:val="99"/>
              </w:rPr>
              <w:t>exercise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Arial" w:cs="Arial" w:eastAsia="Arial" w:hAnsi="Arial"/>
                <w:sz w:val="15"/>
                <w:szCs w:val="15"/>
                <w:b w:val="1"/>
                <w:bCs w:val="1"/>
                <w:color w:val="auto"/>
                <w:w w:val="99"/>
              </w:rPr>
              <w:t>exercise price of</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Arial" w:cs="Arial" w:eastAsia="Arial" w:hAnsi="Arial"/>
                <w:sz w:val="15"/>
                <w:szCs w:val="15"/>
                <w:b w:val="1"/>
                <w:bCs w:val="1"/>
                <w:color w:val="auto"/>
              </w:rPr>
              <w:t>remaining available for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4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Plan category</w:t>
            </w:r>
          </w:p>
        </w:tc>
        <w:tc>
          <w:tcPr>
            <w:tcW w:w="1780" w:type="dxa"/>
            <w:vAlign w:val="bottom"/>
            <w:gridSpan w:val="3"/>
          </w:tcPr>
          <w:p>
            <w:pPr>
              <w:jc w:val="center"/>
              <w:ind w:right="100"/>
              <w:spacing w:after="0" w:line="146" w:lineRule="exact"/>
              <w:rPr>
                <w:sz w:val="20"/>
                <w:szCs w:val="20"/>
                <w:color w:val="auto"/>
              </w:rPr>
            </w:pPr>
            <w:r>
              <w:rPr>
                <w:rFonts w:ascii="Arial" w:cs="Arial" w:eastAsia="Arial" w:hAnsi="Arial"/>
                <w:sz w:val="15"/>
                <w:szCs w:val="15"/>
                <w:b w:val="1"/>
                <w:bCs w:val="1"/>
                <w:color w:val="auto"/>
              </w:rPr>
              <w:t>of outstanding options,</w:t>
            </w:r>
          </w:p>
        </w:tc>
        <w:tc>
          <w:tcPr>
            <w:tcW w:w="1680" w:type="dxa"/>
            <w:vAlign w:val="bottom"/>
            <w:gridSpan w:val="4"/>
          </w:tcPr>
          <w:p>
            <w:pPr>
              <w:jc w:val="center"/>
              <w:ind w:right="200"/>
              <w:spacing w:after="0" w:line="146" w:lineRule="exact"/>
              <w:rPr>
                <w:sz w:val="20"/>
                <w:szCs w:val="20"/>
                <w:color w:val="auto"/>
              </w:rPr>
            </w:pPr>
            <w:r>
              <w:rPr>
                <w:rFonts w:ascii="Arial" w:cs="Arial" w:eastAsia="Arial" w:hAnsi="Arial"/>
                <w:sz w:val="15"/>
                <w:szCs w:val="15"/>
                <w:b w:val="1"/>
                <w:bCs w:val="1"/>
                <w:color w:val="auto"/>
                <w:w w:val="99"/>
              </w:rPr>
              <w:t>outstanding options,</w:t>
            </w:r>
          </w:p>
        </w:tc>
        <w:tc>
          <w:tcPr>
            <w:tcW w:w="17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future issuance under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40" w:type="dxa"/>
            <w:vAlign w:val="bottom"/>
            <w:gridSpan w:val="2"/>
            <w:vMerge w:val="continue"/>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rPr>
              <w:t>warrants and rights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7"/>
          </w:tcPr>
          <w:p>
            <w:pPr>
              <w:ind w:left="40"/>
              <w:spacing w:after="0"/>
              <w:rPr>
                <w:sz w:val="20"/>
                <w:szCs w:val="20"/>
                <w:color w:val="auto"/>
              </w:rPr>
            </w:pPr>
            <w:r>
              <w:rPr>
                <w:rFonts w:ascii="Arial" w:cs="Arial" w:eastAsia="Arial" w:hAnsi="Arial"/>
                <w:sz w:val="15"/>
                <w:szCs w:val="15"/>
                <w:b w:val="1"/>
                <w:bCs w:val="1"/>
                <w:color w:val="auto"/>
              </w:rPr>
              <w:t>warrants and rights ​​equity compensation plans</w:t>
            </w:r>
          </w:p>
        </w:tc>
        <w:tc>
          <w:tcPr>
            <w:tcW w:w="0" w:type="dxa"/>
            <w:vAlign w:val="bottom"/>
          </w:tcPr>
          <w:p>
            <w:pPr>
              <w:spacing w:after="0"/>
              <w:rPr>
                <w:sz w:val="1"/>
                <w:szCs w:val="1"/>
                <w:color w:val="auto"/>
              </w:rPr>
            </w:pPr>
          </w:p>
        </w:tc>
      </w:tr>
      <w:tr>
        <w:trPr>
          <w:trHeight w:val="157"/>
        </w:trPr>
        <w:tc>
          <w:tcPr>
            <w:tcW w:w="146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5"/>
                <w:szCs w:val="15"/>
                <w:color w:val="auto"/>
              </w:rPr>
              <w:t>Equity</w:t>
            </w:r>
          </w:p>
        </w:tc>
        <w:tc>
          <w:tcPr>
            <w:tcW w:w="8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compensation</w:t>
            </w:r>
          </w:p>
        </w:tc>
        <w:tc>
          <w:tcPr>
            <w:tcW w:w="1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plans approved by</w:t>
            </w:r>
          </w:p>
        </w:tc>
        <w:tc>
          <w:tcPr>
            <w:tcW w:w="1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security holders</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680,242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​$ 21.75</w:t>
            </w:r>
          </w:p>
        </w:tc>
        <w:tc>
          <w:tcPr>
            <w:tcW w:w="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 4,022,262</w:t>
            </w:r>
          </w:p>
        </w:tc>
        <w:tc>
          <w:tcPr>
            <w:tcW w:w="8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-471805</wp:posOffset>
            </wp:positionV>
            <wp:extent cx="7175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-471805</wp:posOffset>
            </wp:positionV>
            <wp:extent cx="5715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-471805</wp:posOffset>
            </wp:positionV>
            <wp:extent cx="5715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0" cy="6985"/>
                    </a:xfrm>
                    <a:prstGeom prst="rect">
                      <a:avLst/>
                    </a:prstGeom>
                    <a:noFill/>
                  </pic:spPr>
                </pic:pic>
              </a:graphicData>
            </a:graphic>
          </wp:anchor>
        </w:drawing>
      </w: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Delinquent Section 16(a) Reports</w:t>
      </w:r>
    </w:p>
    <w:p>
      <w:pPr>
        <w:spacing w:after="0" w:line="102" w:lineRule="exact"/>
        <w:rPr>
          <w:sz w:val="20"/>
          <w:szCs w:val="20"/>
          <w:color w:val="auto"/>
        </w:rPr>
      </w:pPr>
    </w:p>
    <w:p>
      <w:pPr>
        <w:ind w:left="1080" w:right="1219"/>
        <w:spacing w:after="0" w:line="257" w:lineRule="auto"/>
        <w:rPr>
          <w:sz w:val="20"/>
          <w:szCs w:val="20"/>
          <w:color w:val="auto"/>
        </w:rPr>
      </w:pPr>
      <w:r>
        <w:rPr>
          <w:rFonts w:ascii="Arial" w:cs="Arial" w:eastAsia="Arial" w:hAnsi="Arial"/>
          <w:sz w:val="15"/>
          <w:szCs w:val="15"/>
          <w:color w:val="auto"/>
        </w:rPr>
        <w:t>Section 16(a) of the Exchange Act requires our executive officers, Directors and persons who own more than ten percent (10%) of our common stock to file reports of ownership and changes in ownership with the SEC. Executive officers, Directors and greater than</w:t>
      </w:r>
    </w:p>
    <w:p>
      <w:pPr>
        <w:spacing w:after="0" w:line="1" w:lineRule="exact"/>
        <w:rPr>
          <w:sz w:val="20"/>
          <w:szCs w:val="20"/>
          <w:color w:val="auto"/>
        </w:rPr>
      </w:pPr>
    </w:p>
    <w:p>
      <w:pPr>
        <w:jc w:val="both"/>
        <w:ind w:left="1080" w:right="1139"/>
        <w:spacing w:after="0" w:line="254" w:lineRule="auto"/>
        <w:rPr>
          <w:sz w:val="20"/>
          <w:szCs w:val="20"/>
          <w:color w:val="auto"/>
        </w:rPr>
      </w:pPr>
      <w:r>
        <w:rPr>
          <w:rFonts w:ascii="Arial" w:cs="Arial" w:eastAsia="Arial" w:hAnsi="Arial"/>
          <w:sz w:val="15"/>
          <w:szCs w:val="15"/>
          <w:color w:val="auto"/>
        </w:rPr>
        <w:t>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2024, except for one Section 16 report that was filed late, as the result of an administrative oversight: Mary C. Hickok filed one late report, which covered one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2" w:name="page33"/>
    <w:bookmarkEnd w:id="32"/>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33655</wp:posOffset>
            </wp:positionV>
            <wp:extent cx="435038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Summary Compensation Table</w:t>
      </w:r>
    </w:p>
    <w:p>
      <w:pPr>
        <w:spacing w:after="0" w:line="91" w:lineRule="exact"/>
        <w:rPr>
          <w:sz w:val="20"/>
          <w:szCs w:val="20"/>
          <w:color w:val="auto"/>
        </w:rPr>
      </w:pPr>
    </w:p>
    <w:p>
      <w:pPr>
        <w:ind w:left="1080" w:right="1499"/>
        <w:spacing w:after="0" w:line="260" w:lineRule="auto"/>
        <w:rPr>
          <w:sz w:val="20"/>
          <w:szCs w:val="20"/>
          <w:color w:val="auto"/>
        </w:rPr>
      </w:pPr>
      <w:r>
        <w:rPr>
          <w:rFonts w:ascii="Arial" w:cs="Arial" w:eastAsia="Arial" w:hAnsi="Arial"/>
          <w:sz w:val="15"/>
          <w:szCs w:val="15"/>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Named Executive Officers for the year ended December 31, 2024 were as follows:</w:t>
      </w:r>
    </w:p>
    <w:p>
      <w:pPr>
        <w:spacing w:after="0" w:line="132" w:lineRule="exact"/>
        <w:rPr>
          <w:sz w:val="20"/>
          <w:szCs w:val="20"/>
          <w:color w:val="auto"/>
        </w:rPr>
      </w:pPr>
    </w:p>
    <w:p>
      <w:pPr>
        <w:ind w:left="1680" w:hanging="301"/>
        <w:spacing w:after="0"/>
        <w:tabs>
          <w:tab w:leader="none" w:pos="1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William B. Shepro, Chief Executive Officer</w:t>
      </w:r>
    </w:p>
    <w:p>
      <w:pPr>
        <w:spacing w:after="0" w:line="120" w:lineRule="exact"/>
        <w:rPr>
          <w:rFonts w:ascii="Arial" w:cs="Arial" w:eastAsia="Arial" w:hAnsi="Arial"/>
          <w:sz w:val="15"/>
          <w:szCs w:val="15"/>
          <w:color w:val="auto"/>
        </w:rPr>
      </w:pPr>
    </w:p>
    <w:p>
      <w:pPr>
        <w:ind w:left="1680" w:hanging="301"/>
        <w:spacing w:after="0"/>
        <w:tabs>
          <w:tab w:leader="none" w:pos="1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Michelle D. Esterman, Chief Financial Officer</w:t>
      </w:r>
    </w:p>
    <w:p>
      <w:pPr>
        <w:spacing w:after="0" w:line="131" w:lineRule="exact"/>
        <w:rPr>
          <w:rFonts w:ascii="Arial" w:cs="Arial" w:eastAsia="Arial" w:hAnsi="Arial"/>
          <w:sz w:val="15"/>
          <w:szCs w:val="15"/>
          <w:color w:val="auto"/>
        </w:rPr>
      </w:pPr>
    </w:p>
    <w:p>
      <w:pPr>
        <w:ind w:left="1680" w:hanging="301"/>
        <w:spacing w:after="0"/>
        <w:tabs>
          <w:tab w:leader="none" w:pos="1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Gregory J. Ritts, Chief Legal and Compliance Officer</w:t>
      </w:r>
    </w:p>
    <w:p>
      <w:pPr>
        <w:spacing w:after="0" w:line="120" w:lineRule="exact"/>
        <w:rPr>
          <w:sz w:val="20"/>
          <w:szCs w:val="20"/>
          <w:color w:val="auto"/>
        </w:rPr>
      </w:pPr>
    </w:p>
    <w:p>
      <w:pPr>
        <w:ind w:left="1080" w:right="1159"/>
        <w:spacing w:after="0" w:line="286" w:lineRule="auto"/>
        <w:rPr>
          <w:sz w:val="20"/>
          <w:szCs w:val="20"/>
          <w:color w:val="auto"/>
        </w:rPr>
      </w:pPr>
      <w:r>
        <w:rPr>
          <w:rFonts w:ascii="Arial" w:cs="Arial" w:eastAsia="Arial" w:hAnsi="Arial"/>
          <w:sz w:val="15"/>
          <w:szCs w:val="15"/>
          <w:color w:val="auto"/>
        </w:rPr>
        <w:t>The following table discloses compensation of our Named Executive Officers for fiscal years 2023 and 2024.</w:t>
      </w:r>
    </w:p>
    <w:p>
      <w:pPr>
        <w:spacing w:after="0" w:line="73"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174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Name and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165"/>
              <w:spacing w:after="0"/>
              <w:rPr>
                <w:sz w:val="20"/>
                <w:szCs w:val="20"/>
                <w:color w:val="auto"/>
              </w:rPr>
            </w:pPr>
            <w:r>
              <w:rPr>
                <w:rFonts w:ascii="Arial" w:cs="Arial" w:eastAsia="Arial" w:hAnsi="Arial"/>
                <w:sz w:val="15"/>
                <w:szCs w:val="15"/>
                <w:b w:val="1"/>
                <w:bCs w:val="1"/>
                <w:color w:val="auto"/>
              </w:rPr>
              <w:t>Stock</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9"/>
              </w:rPr>
              <w:t>Non-Equity</w:t>
            </w:r>
          </w:p>
        </w:tc>
        <w:tc>
          <w:tcPr>
            <w:tcW w:w="100" w:type="dxa"/>
            <w:vAlign w:val="bottom"/>
          </w:tcPr>
          <w:p>
            <w:pPr>
              <w:spacing w:after="0"/>
              <w:rPr>
                <w:sz w:val="14"/>
                <w:szCs w:val="14"/>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5"/>
                <w:szCs w:val="15"/>
                <w:b w:val="1"/>
                <w:bCs w:val="1"/>
                <w:color w:val="auto"/>
              </w:rPr>
              <w:t>All Other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40" w:type="dxa"/>
            <w:vAlign w:val="bottom"/>
            <w:vMerge w:val="continue"/>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Year ​​Salary</w:t>
            </w:r>
            <w:r>
              <w:rPr>
                <w:rFonts w:ascii="Arial" w:cs="Arial" w:eastAsia="Arial" w:hAnsi="Arial"/>
                <w:sz w:val="19"/>
                <w:szCs w:val="19"/>
                <w:b w:val="1"/>
                <w:bCs w:val="1"/>
                <w:color w:val="auto"/>
                <w:vertAlign w:val="superscript"/>
              </w:rPr>
              <w:t>(1)</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rPr>
              <w:t>Incentive Plan</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40" w:type="dxa"/>
            <w:vAlign w:val="bottom"/>
          </w:tcPr>
          <w:p>
            <w:pPr>
              <w:ind w:left="220"/>
              <w:spacing w:after="0"/>
              <w:rPr>
                <w:sz w:val="20"/>
                <w:szCs w:val="20"/>
                <w:color w:val="auto"/>
              </w:rPr>
            </w:pPr>
            <w:r>
              <w:rPr>
                <w:rFonts w:ascii="Arial" w:cs="Arial" w:eastAsia="Arial" w:hAnsi="Arial"/>
                <w:sz w:val="15"/>
                <w:szCs w:val="15"/>
                <w:b w:val="1"/>
                <w:bCs w:val="1"/>
                <w:color w:val="auto"/>
              </w:rPr>
              <w:t>Principal Position</w:t>
            </w:r>
          </w:p>
        </w:tc>
        <w:tc>
          <w:tcPr>
            <w:tcW w:w="1080" w:type="dxa"/>
            <w:vAlign w:val="bottom"/>
            <w:gridSpan w:val="3"/>
            <w:vMerge w:val="continue"/>
          </w:tcPr>
          <w:p>
            <w:pPr>
              <w:spacing w:after="0"/>
              <w:rPr>
                <w:sz w:val="16"/>
                <w:szCs w:val="16"/>
                <w:color w:val="auto"/>
              </w:rPr>
            </w:pPr>
          </w:p>
        </w:tc>
        <w:tc>
          <w:tcPr>
            <w:tcW w:w="920" w:type="dxa"/>
            <w:vAlign w:val="bottom"/>
            <w:gridSpan w:val="2"/>
          </w:tcPr>
          <w:p>
            <w:pPr>
              <w:jc w:val="right"/>
              <w:ind w:right="45"/>
              <w:spacing w:after="0" w:line="192" w:lineRule="exact"/>
              <w:rPr>
                <w:sz w:val="20"/>
                <w:szCs w:val="20"/>
                <w:color w:val="auto"/>
              </w:rPr>
            </w:pPr>
            <w:r>
              <w:rPr>
                <w:rFonts w:ascii="Arial" w:cs="Arial" w:eastAsia="Arial" w:hAnsi="Arial"/>
                <w:sz w:val="15"/>
                <w:szCs w:val="15"/>
                <w:b w:val="1"/>
                <w:bCs w:val="1"/>
                <w:color w:val="auto"/>
              </w:rPr>
              <w:t>​​ Awards</w:t>
            </w:r>
            <w:r>
              <w:rPr>
                <w:rFonts w:ascii="Arial" w:cs="Arial" w:eastAsia="Arial" w:hAnsi="Arial"/>
                <w:sz w:val="19"/>
                <w:szCs w:val="19"/>
                <w:b w:val="1"/>
                <w:bCs w:val="1"/>
                <w:color w:val="auto"/>
                <w:vertAlign w:val="superscript"/>
              </w:rPr>
              <w:t>(2)</w:t>
            </w:r>
          </w:p>
        </w:tc>
        <w:tc>
          <w:tcPr>
            <w:tcW w:w="1220" w:type="dxa"/>
            <w:vAlign w:val="bottom"/>
            <w:gridSpan w:val="2"/>
          </w:tcPr>
          <w:p>
            <w:pPr>
              <w:jc w:val="center"/>
              <w:spacing w:after="0" w:line="192" w:lineRule="exact"/>
              <w:rPr>
                <w:sz w:val="20"/>
                <w:szCs w:val="20"/>
                <w:color w:val="auto"/>
              </w:rPr>
            </w:pPr>
            <w:r>
              <w:rPr>
                <w:rFonts w:ascii="Arial" w:cs="Arial" w:eastAsia="Arial" w:hAnsi="Arial"/>
                <w:sz w:val="15"/>
                <w:szCs w:val="15"/>
                <w:b w:val="1"/>
                <w:bCs w:val="1"/>
                <w:color w:val="auto"/>
                <w:w w:val="96"/>
              </w:rPr>
              <w:t>Compensation</w:t>
            </w:r>
            <w:r>
              <w:rPr>
                <w:rFonts w:ascii="Arial" w:cs="Arial" w:eastAsia="Arial" w:hAnsi="Arial"/>
                <w:sz w:val="19"/>
                <w:szCs w:val="19"/>
                <w:b w:val="1"/>
                <w:bCs w:val="1"/>
                <w:color w:val="auto"/>
                <w:w w:val="96"/>
                <w:vertAlign w:val="superscript"/>
              </w:rPr>
              <w:t>(3)</w:t>
            </w:r>
          </w:p>
        </w:tc>
        <w:tc>
          <w:tcPr>
            <w:tcW w:w="1400" w:type="dxa"/>
            <w:vAlign w:val="bottom"/>
            <w:gridSpan w:val="4"/>
          </w:tcPr>
          <w:p>
            <w:pPr>
              <w:spacing w:after="0" w:line="192"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19"/>
                <w:szCs w:val="19"/>
                <w:b w:val="1"/>
                <w:bCs w:val="1"/>
                <w:color w:val="auto"/>
                <w:vertAlign w:val="superscript"/>
              </w:rPr>
              <w:t>(4)</w:t>
            </w:r>
            <w:r>
              <w:rPr>
                <w:rFonts w:ascii="Arial" w:cs="Arial" w:eastAsia="Arial" w:hAnsi="Arial"/>
                <w:sz w:val="15"/>
                <w:szCs w:val="15"/>
                <w:b w:val="1"/>
                <w:bCs w:val="1"/>
                <w:color w:val="auto"/>
              </w:rPr>
              <w:t xml:space="preserve"> ​</w:t>
            </w:r>
          </w:p>
        </w:tc>
        <w:tc>
          <w:tcPr>
            <w:tcW w:w="680" w:type="dxa"/>
            <w:vAlign w:val="bottom"/>
            <w:gridSpan w:val="2"/>
          </w:tcPr>
          <w:p>
            <w:pPr>
              <w:jc w:val="right"/>
              <w:ind w:right="20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
        </w:trPr>
        <w:tc>
          <w:tcPr>
            <w:tcW w:w="174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7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5"/>
                <w:szCs w:val="15"/>
                <w:b w:val="1"/>
                <w:bCs w:val="1"/>
                <w:color w:val="auto"/>
              </w:rPr>
              <w:t>William B. Shepro</w:t>
            </w:r>
          </w:p>
        </w:tc>
        <w:tc>
          <w:tcPr>
            <w:tcW w:w="52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​2023 ​​​$</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927,412</w:t>
            </w:r>
          </w:p>
        </w:tc>
        <w:tc>
          <w:tcPr>
            <w:tcW w:w="220" w:type="dxa"/>
            <w:vAlign w:val="bottom"/>
            <w:tcBorders>
              <w:left w:val="single" w:sz="8" w:color="CCEEFF"/>
            </w:tcBorders>
            <w:shd w:val="clear" w:color="auto" w:fill="CCEEFF"/>
          </w:tcPr>
          <w:p>
            <w:pPr>
              <w:jc w:val="right"/>
              <w:ind w:right="46"/>
              <w:spacing w:after="0" w:line="82" w:lineRule="exact"/>
              <w:rPr>
                <w:sz w:val="20"/>
                <w:szCs w:val="20"/>
                <w:color w:val="auto"/>
              </w:rPr>
            </w:pPr>
            <w:r>
              <w:rPr>
                <w:rFonts w:ascii="Arial" w:cs="Arial" w:eastAsia="Arial" w:hAnsi="Arial"/>
                <w:sz w:val="9"/>
                <w:szCs w:val="9"/>
                <w:color w:val="auto"/>
                <w:w w:val="90"/>
              </w:rPr>
              <w:t>(5)</w:t>
            </w:r>
          </w:p>
        </w:tc>
        <w:tc>
          <w:tcPr>
            <w:tcW w:w="700" w:type="dxa"/>
            <w:vAlign w:val="bottom"/>
            <w:tcBorders>
              <w:right w:val="single" w:sz="8" w:color="CCEEFF"/>
            </w:tcBorders>
            <w:shd w:val="clear" w:color="auto" w:fill="CCEEFF"/>
          </w:tcPr>
          <w:p>
            <w:pPr>
              <w:spacing w:after="0"/>
              <w:rPr>
                <w:sz w:val="7"/>
                <w:szCs w:val="7"/>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00" w:type="dxa"/>
            <w:vAlign w:val="bottom"/>
            <w:tcBorders>
              <w:left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288,662</w:t>
            </w:r>
          </w:p>
        </w:tc>
        <w:tc>
          <w:tcPr>
            <w:tcW w:w="260" w:type="dxa"/>
            <w:vAlign w:val="bottom"/>
            <w:tcBorders>
              <w:right w:val="single" w:sz="8" w:color="CCEEFF"/>
            </w:tcBorders>
            <w:shd w:val="clear" w:color="auto" w:fill="CCEEFF"/>
          </w:tcPr>
          <w:p>
            <w:pPr>
              <w:spacing w:after="0"/>
              <w:rPr>
                <w:sz w:val="7"/>
                <w:szCs w:val="7"/>
                <w:color w:val="auto"/>
              </w:rPr>
            </w:pPr>
          </w:p>
        </w:tc>
        <w:tc>
          <w:tcPr>
            <w:tcW w:w="8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 ​​$2,401,648</w:t>
            </w:r>
          </w:p>
        </w:tc>
        <w:tc>
          <w:tcPr>
            <w:tcW w:w="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5"/>
        </w:trPr>
        <w:tc>
          <w:tcPr>
            <w:tcW w:w="1740" w:type="dxa"/>
            <w:vAlign w:val="bottom"/>
            <w:tcBorders>
              <w:right w:val="single" w:sz="8" w:color="CCEEFF"/>
            </w:tcBorders>
            <w:vMerge w:val="continue"/>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920" w:type="dxa"/>
            <w:vAlign w:val="bottom"/>
            <w:tcBorders>
              <w:left w:val="single" w:sz="8" w:color="CCEEFF"/>
              <w:right w:val="single" w:sz="8" w:color="CCEEFF"/>
            </w:tcBorders>
            <w:gridSpan w:val="2"/>
            <w:shd w:val="clear" w:color="auto" w:fill="CCEEFF"/>
          </w:tcPr>
          <w:p>
            <w:pPr>
              <w:jc w:val="right"/>
              <w:spacing w:after="0" w:line="95" w:lineRule="exact"/>
              <w:rPr>
                <w:sz w:val="20"/>
                <w:szCs w:val="20"/>
                <w:color w:val="auto"/>
              </w:rPr>
            </w:pPr>
            <w:r>
              <w:rPr>
                <w:rFonts w:ascii="Arial" w:cs="Arial" w:eastAsia="Arial" w:hAnsi="Arial"/>
                <w:sz w:val="11"/>
                <w:szCs w:val="11"/>
                <w:color w:val="auto"/>
              </w:rPr>
              <w:t>​​​$1,185,575 ​</w:t>
            </w:r>
          </w:p>
        </w:tc>
        <w:tc>
          <w:tcPr>
            <w:tcW w:w="1120" w:type="dxa"/>
            <w:vAlign w:val="bottom"/>
            <w:vMerge w:val="continue"/>
            <w:shd w:val="clear" w:color="auto" w:fill="CCEEFF"/>
          </w:tcPr>
          <w:p>
            <w:pPr>
              <w:spacing w:after="0"/>
              <w:rPr>
                <w:sz w:val="8"/>
                <w:szCs w:val="8"/>
                <w:color w:val="auto"/>
              </w:rPr>
            </w:pPr>
          </w:p>
        </w:tc>
        <w:tc>
          <w:tcPr>
            <w:tcW w:w="100" w:type="dxa"/>
            <w:vAlign w:val="bottom"/>
            <w:tcBorders>
              <w:left w:val="single" w:sz="8" w:color="CCEEFF"/>
            </w:tcBorders>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60" w:type="dxa"/>
            <w:vAlign w:val="bottom"/>
            <w:tcBorders>
              <w:right w:val="single" w:sz="8" w:color="CCEEFF"/>
            </w:tcBorders>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7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5"/>
                <w:szCs w:val="15"/>
                <w:color w:val="auto"/>
              </w:rPr>
              <w:t>Chief Executive Officer</w:t>
            </w:r>
          </w:p>
        </w:tc>
        <w:tc>
          <w:tcPr>
            <w:tcW w:w="4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jc w:val="right"/>
              <w:ind w:right="46"/>
              <w:spacing w:after="0" w:line="97" w:lineRule="exact"/>
              <w:rPr>
                <w:sz w:val="20"/>
                <w:szCs w:val="20"/>
                <w:color w:val="auto"/>
              </w:rPr>
            </w:pPr>
            <w:r>
              <w:rPr>
                <w:rFonts w:ascii="Arial" w:cs="Arial" w:eastAsia="Arial" w:hAnsi="Arial"/>
                <w:sz w:val="10"/>
                <w:szCs w:val="10"/>
                <w:color w:val="auto"/>
                <w:w w:val="81"/>
              </w:rPr>
              <w:t>(6)</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664,010​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00" w:type="dxa"/>
            <w:vAlign w:val="bottom"/>
            <w:tcBorders>
              <w:left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259,771</w:t>
            </w:r>
          </w:p>
        </w:tc>
        <w:tc>
          <w:tcPr>
            <w:tcW w:w="260" w:type="dxa"/>
            <w:vAlign w:val="bottom"/>
            <w:tcBorders>
              <w:right w:val="single" w:sz="8" w:color="CCEEFF"/>
            </w:tcBorders>
            <w:shd w:val="clear" w:color="auto" w:fill="CCEEFF"/>
          </w:tcPr>
          <w:p>
            <w:pPr>
              <w:spacing w:after="0" w:line="97" w:lineRule="exact"/>
              <w:rPr>
                <w:sz w:val="20"/>
                <w:szCs w:val="20"/>
                <w:color w:val="auto"/>
              </w:rPr>
            </w:pPr>
            <w:r>
              <w:rPr>
                <w:rFonts w:ascii="Arial" w:cs="Arial" w:eastAsia="Arial" w:hAnsi="Arial"/>
                <w:sz w:val="10"/>
                <w:szCs w:val="10"/>
                <w:color w:val="auto"/>
              </w:rPr>
              <w:t>(7)</w:t>
            </w:r>
          </w:p>
        </w:tc>
        <w:tc>
          <w:tcPr>
            <w:tcW w:w="8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 ​​$1,874,138​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40" w:type="dxa"/>
            <w:vAlign w:val="bottom"/>
            <w:tcBorders>
              <w:right w:val="single" w:sz="8" w:color="CCEEFF"/>
            </w:tcBorders>
            <w:vMerge w:val="continue"/>
            <w:shd w:val="clear" w:color="auto" w:fill="CCEEFF"/>
          </w:tcPr>
          <w:p>
            <w:pPr>
              <w:spacing w:after="0"/>
              <w:rPr>
                <w:sz w:val="8"/>
                <w:szCs w:val="8"/>
                <w:color w:val="auto"/>
              </w:rPr>
            </w:pPr>
          </w:p>
        </w:tc>
        <w:tc>
          <w:tcPr>
            <w:tcW w:w="1300" w:type="dxa"/>
            <w:vAlign w:val="bottom"/>
            <w:gridSpan w:val="4"/>
            <w:shd w:val="clear" w:color="auto" w:fill="CCEEFF"/>
          </w:tcPr>
          <w:p>
            <w:pPr>
              <w:jc w:val="right"/>
              <w:spacing w:after="0" w:line="102" w:lineRule="exact"/>
              <w:rPr>
                <w:sz w:val="20"/>
                <w:szCs w:val="20"/>
                <w:color w:val="auto"/>
              </w:rPr>
            </w:pPr>
            <w:r>
              <w:rPr>
                <w:rFonts w:ascii="Arial" w:cs="Arial" w:eastAsia="Arial" w:hAnsi="Arial"/>
                <w:sz w:val="11"/>
                <w:szCs w:val="11"/>
                <w:color w:val="auto"/>
              </w:rPr>
              <w:t>​2024​​​$950,357​​​$</w:t>
            </w:r>
          </w:p>
        </w:tc>
        <w:tc>
          <w:tcPr>
            <w:tcW w:w="700" w:type="dxa"/>
            <w:vAlign w:val="bottom"/>
            <w:tcBorders>
              <w:right w:val="single" w:sz="8" w:color="CCEEFF"/>
            </w:tcBorders>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tcBorders>
              <w:left w:val="single" w:sz="8" w:color="CCEEFF"/>
            </w:tcBorders>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60" w:type="dxa"/>
            <w:vAlign w:val="bottom"/>
            <w:tcBorders>
              <w:right w:val="single" w:sz="8" w:color="CCEEFF"/>
            </w:tcBorders>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740" w:type="dxa"/>
            <w:vAlign w:val="bottom"/>
            <w:vMerge w:val="restart"/>
          </w:tcPr>
          <w:p>
            <w:pPr>
              <w:spacing w:after="0"/>
              <w:rPr>
                <w:sz w:val="20"/>
                <w:szCs w:val="20"/>
                <w:color w:val="auto"/>
              </w:rPr>
            </w:pPr>
            <w:r>
              <w:rPr>
                <w:rFonts w:ascii="Arial" w:cs="Arial" w:eastAsia="Arial" w:hAnsi="Arial"/>
                <w:sz w:val="15"/>
                <w:szCs w:val="15"/>
                <w:b w:val="1"/>
                <w:bCs w:val="1"/>
                <w:color w:val="auto"/>
              </w:rPr>
              <w:t>Michelle D. Esterman</w:t>
            </w:r>
          </w:p>
        </w:tc>
        <w:tc>
          <w:tcPr>
            <w:tcW w:w="1080" w:type="dxa"/>
            <w:vAlign w:val="bottom"/>
            <w:gridSpan w:val="3"/>
            <w:vMerge w:val="restart"/>
          </w:tcPr>
          <w:p>
            <w:pPr>
              <w:jc w:val="right"/>
              <w:spacing w:after="0"/>
              <w:rPr>
                <w:sz w:val="20"/>
                <w:szCs w:val="20"/>
                <w:color w:val="auto"/>
              </w:rPr>
            </w:pPr>
            <w:r>
              <w:rPr>
                <w:rFonts w:ascii="Arial" w:cs="Arial" w:eastAsia="Arial" w:hAnsi="Arial"/>
                <w:sz w:val="15"/>
                <w:szCs w:val="15"/>
                <w:color w:val="auto"/>
              </w:rPr>
              <w:t>​2023 ​​​$433,149</w:t>
            </w:r>
          </w:p>
        </w:tc>
        <w:tc>
          <w:tcPr>
            <w:tcW w:w="220" w:type="dxa"/>
            <w:vAlign w:val="bottom"/>
          </w:tcPr>
          <w:p>
            <w:pPr>
              <w:jc w:val="right"/>
              <w:ind w:right="46"/>
              <w:spacing w:after="0"/>
              <w:rPr>
                <w:sz w:val="20"/>
                <w:szCs w:val="20"/>
                <w:color w:val="auto"/>
              </w:rPr>
            </w:pPr>
            <w:r>
              <w:rPr>
                <w:rFonts w:ascii="Arial" w:cs="Arial" w:eastAsia="Arial" w:hAnsi="Arial"/>
                <w:sz w:val="10"/>
                <w:szCs w:val="10"/>
                <w:color w:val="auto"/>
                <w:w w:val="81"/>
              </w:rPr>
              <w:t>(8)</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277,451 ​</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710,600 ​</w:t>
            </w:r>
          </w:p>
        </w:tc>
        <w:tc>
          <w:tcPr>
            <w:tcW w:w="0" w:type="dxa"/>
            <w:vAlign w:val="bottom"/>
          </w:tcPr>
          <w:p>
            <w:pPr>
              <w:spacing w:after="0"/>
              <w:rPr>
                <w:sz w:val="1"/>
                <w:szCs w:val="1"/>
                <w:color w:val="auto"/>
              </w:rPr>
            </w:pPr>
          </w:p>
        </w:tc>
      </w:tr>
      <w:tr>
        <w:trPr>
          <w:trHeight w:val="95"/>
        </w:trPr>
        <w:tc>
          <w:tcPr>
            <w:tcW w:w="1740" w:type="dxa"/>
            <w:vAlign w:val="bottom"/>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1"/>
                <w:szCs w:val="11"/>
                <w:color w:val="auto"/>
              </w:rPr>
              <w:t>​​​$</w:t>
            </w:r>
          </w:p>
        </w:tc>
        <w:tc>
          <w:tcPr>
            <w:tcW w:w="7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740" w:type="dxa"/>
            <w:vAlign w:val="bottom"/>
            <w:vMerge w:val="restart"/>
          </w:tcPr>
          <w:p>
            <w:pPr>
              <w:spacing w:after="0"/>
              <w:rPr>
                <w:sz w:val="20"/>
                <w:szCs w:val="20"/>
                <w:color w:val="auto"/>
              </w:rPr>
            </w:pPr>
            <w:r>
              <w:rPr>
                <w:rFonts w:ascii="Arial" w:cs="Arial" w:eastAsia="Arial" w:hAnsi="Arial"/>
                <w:sz w:val="15"/>
                <w:szCs w:val="15"/>
                <w:color w:val="auto"/>
              </w:rPr>
              <w:t>Chief Financial Officer</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jc w:val="right"/>
              <w:ind w:right="46"/>
              <w:spacing w:after="0" w:line="97" w:lineRule="exact"/>
              <w:rPr>
                <w:sz w:val="20"/>
                <w:szCs w:val="20"/>
                <w:color w:val="auto"/>
              </w:rPr>
            </w:pPr>
            <w:r>
              <w:rPr>
                <w:rFonts w:ascii="Arial" w:cs="Arial" w:eastAsia="Arial" w:hAnsi="Arial"/>
                <w:sz w:val="10"/>
                <w:szCs w:val="10"/>
                <w:color w:val="auto"/>
                <w:w w:val="81"/>
              </w:rPr>
              <w:t>(9)</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256,384​</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8"/>
                <w:szCs w:val="8"/>
                <w:color w:val="auto"/>
              </w:rPr>
            </w:pP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686,886​</w:t>
            </w:r>
          </w:p>
        </w:tc>
        <w:tc>
          <w:tcPr>
            <w:tcW w:w="0" w:type="dxa"/>
            <w:vAlign w:val="bottom"/>
          </w:tcPr>
          <w:p>
            <w:pPr>
              <w:spacing w:after="0"/>
              <w:rPr>
                <w:sz w:val="1"/>
                <w:szCs w:val="1"/>
                <w:color w:val="auto"/>
              </w:rPr>
            </w:pPr>
          </w:p>
        </w:tc>
      </w:tr>
      <w:tr>
        <w:trPr>
          <w:trHeight w:val="79"/>
        </w:trPr>
        <w:tc>
          <w:tcPr>
            <w:tcW w:w="1740" w:type="dxa"/>
            <w:vAlign w:val="bottom"/>
            <w:vMerge w:val="continue"/>
          </w:tcPr>
          <w:p>
            <w:pPr>
              <w:spacing w:after="0"/>
              <w:rPr>
                <w:sz w:val="6"/>
                <w:szCs w:val="6"/>
                <w:color w:val="auto"/>
              </w:rPr>
            </w:pPr>
          </w:p>
        </w:tc>
        <w:tc>
          <w:tcPr>
            <w:tcW w:w="1300" w:type="dxa"/>
            <w:vAlign w:val="bottom"/>
            <w:gridSpan w:val="4"/>
          </w:tcPr>
          <w:p>
            <w:pPr>
              <w:jc w:val="right"/>
              <w:spacing w:after="0" w:line="79" w:lineRule="exact"/>
              <w:rPr>
                <w:sz w:val="20"/>
                <w:szCs w:val="20"/>
                <w:color w:val="auto"/>
              </w:rPr>
            </w:pPr>
            <w:r>
              <w:rPr>
                <w:rFonts w:ascii="Arial" w:cs="Arial" w:eastAsia="Arial" w:hAnsi="Arial"/>
                <w:sz w:val="9"/>
                <w:szCs w:val="9"/>
                <w:color w:val="auto"/>
              </w:rPr>
              <w:t>​2024​​​$430,502​​​$</w:t>
            </w:r>
          </w:p>
        </w:tc>
        <w:tc>
          <w:tcPr>
            <w:tcW w:w="7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293"/>
        </w:trPr>
        <w:tc>
          <w:tcPr>
            <w:tcW w:w="1740" w:type="dxa"/>
            <w:vAlign w:val="bottom"/>
            <w:tcBorders>
              <w:right w:val="single" w:sz="8" w:color="CCEEFF"/>
            </w:tcBorders>
          </w:tcPr>
          <w:p>
            <w:pPr>
              <w:spacing w:after="0"/>
              <w:rPr>
                <w:sz w:val="20"/>
                <w:szCs w:val="20"/>
                <w:color w:val="auto"/>
              </w:rPr>
            </w:pPr>
            <w:r>
              <w:rPr>
                <w:rFonts w:ascii="Arial" w:cs="Arial" w:eastAsia="Arial" w:hAnsi="Arial"/>
                <w:sz w:val="15"/>
                <w:szCs w:val="15"/>
                <w:b w:val="1"/>
                <w:bCs w:val="1"/>
                <w:color w:val="auto"/>
              </w:rPr>
              <w:t>Gregory J. Ritts</w:t>
            </w:r>
          </w:p>
        </w:tc>
        <w:tc>
          <w:tcPr>
            <w:tcW w:w="1080" w:type="dxa"/>
            <w:vAlign w:val="bottom"/>
            <w:gridSpan w:val="3"/>
            <w:shd w:val="clear" w:color="auto" w:fill="CCEEFF"/>
          </w:tcPr>
          <w:p>
            <w:pPr>
              <w:jc w:val="right"/>
              <w:spacing w:after="0" w:line="292"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 xml:space="preserve">2023 </w:t>
            </w:r>
            <w:r>
              <w:rPr>
                <w:rFonts w:ascii="Arial" w:cs="Arial" w:eastAsia="Arial" w:hAnsi="Arial"/>
                <w:sz w:val="30"/>
                <w:szCs w:val="30"/>
                <w:color w:val="auto"/>
                <w:vertAlign w:val="superscript"/>
              </w:rPr>
              <w:t>​​​</w:t>
            </w:r>
            <w:r>
              <w:rPr>
                <w:rFonts w:ascii="Arial" w:cs="Arial" w:eastAsia="Arial" w:hAnsi="Arial"/>
                <w:sz w:val="15"/>
                <w:szCs w:val="15"/>
                <w:color w:val="auto"/>
              </w:rPr>
              <w:t>$505,317</w:t>
            </w:r>
          </w:p>
        </w:tc>
        <w:tc>
          <w:tcPr>
            <w:tcW w:w="220" w:type="dxa"/>
            <w:vAlign w:val="bottom"/>
            <w:tcBorders>
              <w:left w:val="single" w:sz="8" w:color="CCEEFF"/>
            </w:tcBorders>
            <w:shd w:val="clear" w:color="auto" w:fill="CCEEFF"/>
          </w:tcPr>
          <w:p>
            <w:pPr>
              <w:jc w:val="right"/>
              <w:spacing w:after="0" w:line="292" w:lineRule="exact"/>
              <w:rPr>
                <w:sz w:val="20"/>
                <w:szCs w:val="20"/>
                <w:color w:val="auto"/>
              </w:rPr>
            </w:pPr>
            <w:r>
              <w:rPr>
                <w:rFonts w:ascii="Arial" w:cs="Arial" w:eastAsia="Arial" w:hAnsi="Arial"/>
                <w:sz w:val="15"/>
                <w:szCs w:val="15"/>
                <w:color w:val="auto"/>
              </w:rPr>
              <w:t>​​​</w:t>
            </w:r>
            <w:r>
              <w:rPr>
                <w:rFonts w:ascii="Arial" w:cs="Arial" w:eastAsia="Arial" w:hAnsi="Arial"/>
                <w:sz w:val="30"/>
                <w:szCs w:val="30"/>
                <w:color w:val="auto"/>
                <w:vertAlign w:val="subscript"/>
              </w:rPr>
              <w:t>$</w:t>
            </w:r>
          </w:p>
        </w:tc>
        <w:tc>
          <w:tcPr>
            <w:tcW w:w="700" w:type="dxa"/>
            <w:vAlign w:val="bottom"/>
            <w:tcBorders>
              <w:right w:val="single" w:sz="8" w:color="CCEEFF"/>
            </w:tcBorders>
            <w:shd w:val="clear" w:color="auto" w:fill="CCEEFF"/>
          </w:tcPr>
          <w:p>
            <w:pPr>
              <w:jc w:val="right"/>
              <w:spacing w:after="0" w:line="292" w:lineRule="exact"/>
              <w:rPr>
                <w:sz w:val="20"/>
                <w:szCs w:val="20"/>
                <w:color w:val="auto"/>
              </w:rPr>
            </w:pPr>
            <w:r>
              <w:rPr>
                <w:rFonts w:ascii="Arial" w:cs="Arial" w:eastAsia="Arial" w:hAnsi="Arial"/>
                <w:sz w:val="15"/>
                <w:szCs w:val="15"/>
                <w:color w:val="auto"/>
              </w:rPr>
              <w:t xml:space="preserve">256,348 </w:t>
            </w:r>
            <w:r>
              <w:rPr>
                <w:rFonts w:ascii="Arial" w:cs="Arial" w:eastAsia="Arial" w:hAnsi="Arial"/>
                <w:sz w:val="30"/>
                <w:szCs w:val="30"/>
                <w:color w:val="auto"/>
                <w:vertAlign w:val="superscript"/>
              </w:rPr>
              <w:t>​</w:t>
            </w:r>
          </w:p>
        </w:tc>
        <w:tc>
          <w:tcPr>
            <w:tcW w:w="1120" w:type="dxa"/>
            <w:vAlign w:val="bottom"/>
            <w:shd w:val="clear" w:color="auto" w:fill="CCEEFF"/>
          </w:tcPr>
          <w:p>
            <w:pPr>
              <w:jc w:val="center"/>
              <w:spacing w:after="0" w:line="292"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w:t>
            </w:r>
          </w:p>
        </w:tc>
        <w:tc>
          <w:tcPr>
            <w:tcW w:w="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80"/>
              <w:spacing w:after="0" w:line="292"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111,046</w:t>
            </w:r>
          </w:p>
        </w:tc>
        <w:tc>
          <w:tcPr>
            <w:tcW w:w="26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line="292" w:lineRule="exact"/>
              <w:rPr>
                <w:sz w:val="20"/>
                <w:szCs w:val="20"/>
                <w:color w:val="auto"/>
              </w:rPr>
            </w:pPr>
            <w:r>
              <w:rPr>
                <w:rFonts w:ascii="Arial" w:cs="Arial" w:eastAsia="Arial" w:hAnsi="Arial"/>
                <w:sz w:val="15"/>
                <w:szCs w:val="15"/>
                <w:color w:val="auto"/>
              </w:rPr>
              <w:t>​ ​​</w:t>
            </w:r>
            <w:r>
              <w:rPr>
                <w:rFonts w:ascii="Arial" w:cs="Arial" w:eastAsia="Arial" w:hAnsi="Arial"/>
                <w:sz w:val="30"/>
                <w:szCs w:val="30"/>
                <w:color w:val="auto"/>
                <w:vertAlign w:val="subscript"/>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872,711</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40" w:type="dxa"/>
            <w:vAlign w:val="bottom"/>
            <w:vMerge w:val="restart"/>
          </w:tcPr>
          <w:p>
            <w:pPr>
              <w:spacing w:after="0"/>
              <w:rPr>
                <w:sz w:val="20"/>
                <w:szCs w:val="20"/>
                <w:color w:val="auto"/>
              </w:rPr>
            </w:pPr>
            <w:r>
              <w:rPr>
                <w:rFonts w:ascii="Arial" w:cs="Arial" w:eastAsia="Arial" w:hAnsi="Arial"/>
                <w:sz w:val="15"/>
                <w:szCs w:val="15"/>
                <w:color w:val="auto"/>
              </w:rPr>
              <w:t>Chief Legal and</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jc w:val="right"/>
              <w:ind w:right="6"/>
              <w:spacing w:after="0" w:line="68" w:lineRule="exact"/>
              <w:rPr>
                <w:sz w:val="20"/>
                <w:szCs w:val="20"/>
                <w:color w:val="auto"/>
              </w:rPr>
            </w:pPr>
            <w:r>
              <w:rPr>
                <w:rFonts w:ascii="Arial" w:cs="Arial" w:eastAsia="Arial" w:hAnsi="Arial"/>
                <w:sz w:val="7"/>
                <w:szCs w:val="7"/>
                <w:color w:val="auto"/>
              </w:rPr>
              <w:t>(10)</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225,631​</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35,261</w:t>
            </w:r>
          </w:p>
        </w:tc>
        <w:tc>
          <w:tcPr>
            <w:tcW w:w="260" w:type="dxa"/>
            <w:vAlign w:val="bottom"/>
          </w:tcPr>
          <w:p>
            <w:pPr>
              <w:spacing w:after="0" w:line="68" w:lineRule="exact"/>
              <w:rPr>
                <w:sz w:val="20"/>
                <w:szCs w:val="20"/>
                <w:color w:val="auto"/>
              </w:rPr>
            </w:pPr>
            <w:r>
              <w:rPr>
                <w:rFonts w:ascii="Arial" w:cs="Arial" w:eastAsia="Arial" w:hAnsi="Arial"/>
                <w:sz w:val="7"/>
                <w:szCs w:val="7"/>
                <w:color w:val="auto"/>
              </w:rPr>
              <w:t>(11)</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725,857​</w:t>
            </w:r>
          </w:p>
        </w:tc>
        <w:tc>
          <w:tcPr>
            <w:tcW w:w="0" w:type="dxa"/>
            <w:vAlign w:val="bottom"/>
          </w:tcPr>
          <w:p>
            <w:pPr>
              <w:spacing w:after="0"/>
              <w:rPr>
                <w:sz w:val="1"/>
                <w:szCs w:val="1"/>
                <w:color w:val="auto"/>
              </w:rPr>
            </w:pPr>
          </w:p>
        </w:tc>
      </w:tr>
      <w:tr>
        <w:trPr>
          <w:trHeight w:val="112"/>
        </w:trPr>
        <w:tc>
          <w:tcPr>
            <w:tcW w:w="1740" w:type="dxa"/>
            <w:vAlign w:val="bottom"/>
            <w:vMerge w:val="continue"/>
          </w:tcPr>
          <w:p>
            <w:pPr>
              <w:spacing w:after="0"/>
              <w:rPr>
                <w:sz w:val="9"/>
                <w:szCs w:val="9"/>
                <w:color w:val="auto"/>
              </w:rPr>
            </w:pPr>
          </w:p>
        </w:tc>
        <w:tc>
          <w:tcPr>
            <w:tcW w:w="1300" w:type="dxa"/>
            <w:vAlign w:val="bottom"/>
            <w:gridSpan w:val="4"/>
          </w:tcPr>
          <w:p>
            <w:pPr>
              <w:jc w:val="right"/>
              <w:spacing w:after="0" w:line="112" w:lineRule="exact"/>
              <w:rPr>
                <w:sz w:val="20"/>
                <w:szCs w:val="20"/>
                <w:color w:val="auto"/>
              </w:rPr>
            </w:pPr>
            <w:r>
              <w:rPr>
                <w:rFonts w:ascii="Arial" w:cs="Arial" w:eastAsia="Arial" w:hAnsi="Arial"/>
                <w:sz w:val="12"/>
                <w:szCs w:val="12"/>
                <w:color w:val="auto"/>
              </w:rPr>
              <w:t>​2024​​​$464,964​​​$</w:t>
            </w:r>
          </w:p>
        </w:tc>
        <w:tc>
          <w:tcPr>
            <w:tcW w:w="7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-299720</wp:posOffset>
            </wp:positionV>
            <wp:extent cx="4443095" cy="4648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43095" cy="4648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-850265</wp:posOffset>
            </wp:positionV>
            <wp:extent cx="355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-850265</wp:posOffset>
            </wp:positionV>
            <wp:extent cx="285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-850265</wp:posOffset>
            </wp:positionV>
            <wp:extent cx="2857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-850265</wp:posOffset>
            </wp:positionV>
            <wp:extent cx="4318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6985"/>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-850265</wp:posOffset>
            </wp:positionV>
            <wp:extent cx="4318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6985"/>
                    </a:xfrm>
                    <a:prstGeom prst="rect">
                      <a:avLst/>
                    </a:prstGeom>
                    <a:noFill/>
                  </pic:spPr>
                </pic:pic>
              </a:graphicData>
            </a:graphic>
          </wp:anchor>
        </w:drawing>
        <w:drawing>
          <wp:anchor simplePos="0" relativeHeight="251657728" behindDoc="1" locked="0" layoutInCell="0" allowOverlap="1">
            <wp:simplePos x="0" y="0"/>
            <wp:positionH relativeFrom="column">
              <wp:posOffset>1765300</wp:posOffset>
            </wp:positionH>
            <wp:positionV relativeFrom="paragraph">
              <wp:posOffset>-850265</wp:posOffset>
            </wp:positionV>
            <wp:extent cx="285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5"/>
          <w:szCs w:val="15"/>
          <w:color w:val="auto"/>
        </w:rPr>
        <w:t>Compliance Officer</w:t>
      </w:r>
    </w:p>
    <w:p>
      <w:pPr>
        <w:spacing w:after="0" w:line="152" w:lineRule="exact"/>
        <w:rPr>
          <w:sz w:val="20"/>
          <w:szCs w:val="20"/>
          <w:color w:val="auto"/>
        </w:rPr>
      </w:pPr>
    </w:p>
    <w:p>
      <w:pPr>
        <w:ind w:left="1380" w:right="1179" w:hanging="301"/>
        <w:spacing w:after="0"/>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Represents amounts earned in the corresponding year. From November 1, 2023 until February 1, 2025, Mr. Shepro and Ms. Esterman each provided the Company with the option to pay up to 30% of their salaries with a quarterly grant of unrestricted Altisource common stock in lieu of cash (the “Adjustment”). The Adjustment was determined by dividing the amount of the forgone salary by the lower of (i) the average closing stock price for the covered period and (ii) the closing stock price on the day immediately preceding the date of the grant.</w:t>
      </w:r>
    </w:p>
    <w:p>
      <w:pPr>
        <w:spacing w:after="0" w:line="168" w:lineRule="exact"/>
        <w:rPr>
          <w:rFonts w:ascii="Arial" w:cs="Arial" w:eastAsia="Arial" w:hAnsi="Arial"/>
          <w:sz w:val="23"/>
          <w:szCs w:val="23"/>
          <w:color w:val="auto"/>
          <w:vertAlign w:val="superscript"/>
        </w:rPr>
      </w:pPr>
    </w:p>
    <w:p>
      <w:pPr>
        <w:ind w:left="1380" w:right="1179" w:hanging="301"/>
        <w:spacing w:after="0" w:line="226" w:lineRule="auto"/>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Represents the grant date fair value in accordance with Financial Accounting Standards Board Accounting Standards Codification Topic 718 of the RSUs granted during each year presented. The value was determined by using the grant date fair value per award multiplied by the shares or RSUs granted, as per the grant date.</w:t>
      </w:r>
    </w:p>
    <w:p>
      <w:pPr>
        <w:spacing w:after="0" w:line="29" w:lineRule="exact"/>
        <w:rPr>
          <w:rFonts w:ascii="Arial" w:cs="Arial" w:eastAsia="Arial" w:hAnsi="Arial"/>
          <w:sz w:val="23"/>
          <w:szCs w:val="23"/>
          <w:color w:val="auto"/>
          <w:vertAlign w:val="superscript"/>
        </w:rPr>
      </w:pPr>
    </w:p>
    <w:p>
      <w:pPr>
        <w:ind w:left="1380" w:right="1159" w:hanging="301"/>
        <w:spacing w:after="0" w:line="207" w:lineRule="auto"/>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Consists of the cash portion of annual incentive compensation related to performance in the year indicated and awarded in the first quarter of the following year.</w:t>
      </w:r>
    </w:p>
    <w:p>
      <w:pPr>
        <w:spacing w:after="0" w:line="28" w:lineRule="exact"/>
        <w:rPr>
          <w:rFonts w:ascii="Arial" w:cs="Arial" w:eastAsia="Arial" w:hAnsi="Arial"/>
          <w:sz w:val="23"/>
          <w:szCs w:val="23"/>
          <w:color w:val="auto"/>
          <w:vertAlign w:val="superscript"/>
        </w:rPr>
      </w:pPr>
    </w:p>
    <w:p>
      <w:pPr>
        <w:ind w:left="1380" w:right="1119" w:hanging="301"/>
        <w:spacing w:after="0" w:line="219" w:lineRule="auto"/>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Consists of payments made to each Named Executive Officer or on their behalf pursuant to their respective employment agreements and relocation/expatriate plans, as detailed in the applicable footnotes.</w:t>
      </w:r>
    </w:p>
    <w:p>
      <w:pPr>
        <w:spacing w:after="0" w:line="29" w:lineRule="exact"/>
        <w:rPr>
          <w:rFonts w:ascii="Arial" w:cs="Arial" w:eastAsia="Arial" w:hAnsi="Arial"/>
          <w:sz w:val="23"/>
          <w:szCs w:val="23"/>
          <w:color w:val="auto"/>
          <w:vertAlign w:val="superscript"/>
        </w:rPr>
      </w:pPr>
    </w:p>
    <w:p>
      <w:pPr>
        <w:ind w:left="1380" w:right="1099" w:hanging="301"/>
        <w:spacing w:after="0"/>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Mr. Shepro’s salary is set in U.S. dollars and paid in euros. His salary was converted to euros using an exchange rate of 0.83 euros to the U.S. dollar. The base salary reported on the table above is the U.S. dollar salary prior to conversion to euros. During 2023, $47,518 of Mr. Shepro’s salary was subject to Adjustment, with the number of shares of common stock granted in lieu of cash determined as follows: Mr. Shepro received 13,348 shares of common stock in lieu of $47,518 for the fourth quarter of 2023. The Adjustment was determined by dividing the amount of the forgone cash compensation by $3.56, the closing share price the day immediately preceding the grant date, December 29, 2023 in this case.</w:t>
      </w:r>
    </w:p>
    <w:p>
      <w:pPr>
        <w:spacing w:after="0" w:line="195" w:lineRule="exact"/>
        <w:rPr>
          <w:rFonts w:ascii="Arial" w:cs="Arial" w:eastAsia="Arial" w:hAnsi="Arial"/>
          <w:sz w:val="23"/>
          <w:szCs w:val="23"/>
          <w:color w:val="auto"/>
          <w:vertAlign w:val="superscript"/>
        </w:rPr>
      </w:pPr>
    </w:p>
    <w:p>
      <w:pPr>
        <w:ind w:left="1380" w:right="1119" w:hanging="301"/>
        <w:spacing w:after="0" w:line="230" w:lineRule="auto"/>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Mr. Shepro’s salary is set in U.S. dollars and paid in euros. His salary was converted to euros using an exchange rate of 0.83 euros to the U.S. dollar. The base salary reported on the table above is the U.S. dollar salary prior to conversion to euros. During 2024, $285,108 of Mr. Shepro’s salary was subject to Adjustment, with the number of shares of common stock granted in lieu of cash determined on a quarterly basis as follows:</w:t>
      </w:r>
    </w:p>
    <w:p>
      <w:pPr>
        <w:ind w:left="1380" w:right="1239"/>
        <w:spacing w:after="0" w:line="258" w:lineRule="auto"/>
        <w:rPr>
          <w:rFonts w:ascii="Arial" w:cs="Arial" w:eastAsia="Arial" w:hAnsi="Arial"/>
          <w:sz w:val="23"/>
          <w:szCs w:val="23"/>
          <w:color w:val="auto"/>
          <w:vertAlign w:val="superscript"/>
        </w:rPr>
      </w:pPr>
      <w:r>
        <w:rPr>
          <w:rFonts w:ascii="Arial" w:cs="Arial" w:eastAsia="Arial" w:hAnsi="Arial"/>
          <w:sz w:val="15"/>
          <w:szCs w:val="15"/>
          <w:color w:val="auto"/>
        </w:rPr>
        <w:t>Mr. Shepro received 36,741 shares of common stock in lieu of $71,277 for the first quarter of 2024. The Adjustment was determined by dividing the amount of the forgone cash compensation</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3" w:name="page34"/>
    <w:bookmarkEnd w:id="33"/>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-181610</wp:posOffset>
            </wp:positionV>
            <wp:extent cx="1352550" cy="1219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52550" cy="121920"/>
                    </a:xfrm>
                    <a:prstGeom prst="rect">
                      <a:avLst/>
                    </a:prstGeom>
                    <a:noFill/>
                  </pic:spPr>
                </pic:pic>
              </a:graphicData>
            </a:graphic>
          </wp:anchor>
        </w:drawing>
      </w:r>
    </w:p>
    <w:p>
      <w:pPr>
        <w:spacing w:after="0" w:line="9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by $1.94, the closing share price the day immediately preceding the grant date,</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March 28, 2024 in this case. Mr. Shepro received 50,195 shares of common stock in lieu</w:t>
      </w:r>
    </w:p>
    <w:p>
      <w:pPr>
        <w:ind w:left="1380"/>
        <w:spacing w:after="0"/>
        <w:rPr>
          <w:sz w:val="20"/>
          <w:szCs w:val="20"/>
          <w:color w:val="auto"/>
        </w:rPr>
      </w:pPr>
      <w:r>
        <w:rPr>
          <w:rFonts w:ascii="Arial" w:cs="Arial" w:eastAsia="Arial" w:hAnsi="Arial"/>
          <w:sz w:val="15"/>
          <w:szCs w:val="15"/>
          <w:color w:val="auto"/>
        </w:rPr>
        <w:t>of $71,277 for the second quarter of 2024. The Adjustment was determined by dividing</w:t>
      </w:r>
    </w:p>
    <w:p>
      <w:pPr>
        <w:spacing w:after="0" w:line="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amount of the forgone cash compensation by $1.42, the closing share price the day</w:t>
      </w:r>
    </w:p>
    <w:p>
      <w:pPr>
        <w:ind w:left="1380"/>
        <w:spacing w:after="0" w:line="235" w:lineRule="auto"/>
        <w:rPr>
          <w:sz w:val="20"/>
          <w:szCs w:val="20"/>
          <w:color w:val="auto"/>
        </w:rPr>
      </w:pPr>
      <w:r>
        <w:rPr>
          <w:rFonts w:ascii="Arial" w:cs="Arial" w:eastAsia="Arial" w:hAnsi="Arial"/>
          <w:sz w:val="15"/>
          <w:szCs w:val="15"/>
          <w:color w:val="auto"/>
        </w:rPr>
        <w:t>immediately preceding the grant date, June 27, 2024 in this case. Mr. Shepro received</w:t>
      </w:r>
    </w:p>
    <w:p>
      <w:pPr>
        <w:ind w:left="1380"/>
        <w:spacing w:after="0"/>
        <w:rPr>
          <w:sz w:val="20"/>
          <w:szCs w:val="20"/>
          <w:color w:val="auto"/>
        </w:rPr>
      </w:pPr>
      <w:r>
        <w:rPr>
          <w:rFonts w:ascii="Arial" w:cs="Arial" w:eastAsia="Arial" w:hAnsi="Arial"/>
          <w:sz w:val="15"/>
          <w:szCs w:val="15"/>
          <w:color w:val="auto"/>
        </w:rPr>
        <w:t>59,897 shares of common stock in lieu of $71,277 for the third quarter of 2024. The</w:t>
      </w:r>
    </w:p>
    <w:p>
      <w:pPr>
        <w:spacing w:after="0" w:line="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Adjustment was determined by dividing the amount of the forgone cash compensation by</w:t>
      </w:r>
    </w:p>
    <w:p>
      <w:pPr>
        <w:ind w:left="1380"/>
        <w:spacing w:after="0" w:line="235" w:lineRule="auto"/>
        <w:rPr>
          <w:sz w:val="20"/>
          <w:szCs w:val="20"/>
          <w:color w:val="auto"/>
        </w:rPr>
      </w:pPr>
      <w:r>
        <w:rPr>
          <w:rFonts w:ascii="Arial" w:cs="Arial" w:eastAsia="Arial" w:hAnsi="Arial"/>
          <w:sz w:val="15"/>
          <w:szCs w:val="15"/>
          <w:color w:val="auto"/>
        </w:rPr>
        <w:t>$1.19, the closing share price the day immediately preceding the grant date,</w:t>
      </w:r>
    </w:p>
    <w:p>
      <w:pPr>
        <w:ind w:left="1380"/>
        <w:spacing w:after="0"/>
        <w:rPr>
          <w:sz w:val="20"/>
          <w:szCs w:val="20"/>
          <w:color w:val="auto"/>
        </w:rPr>
      </w:pPr>
      <w:r>
        <w:rPr>
          <w:rFonts w:ascii="Arial" w:cs="Arial" w:eastAsia="Arial" w:hAnsi="Arial"/>
          <w:sz w:val="15"/>
          <w:szCs w:val="15"/>
          <w:color w:val="auto"/>
        </w:rPr>
        <w:t>September 27, 2024 in this case. Mr. Shepro received 99,968 shares of common stock in</w:t>
      </w:r>
    </w:p>
    <w:p>
      <w:pPr>
        <w:spacing w:after="0" w:line="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lieu of $71,277 for the fourth quarter of 2024. The Adjustment was determined by</w:t>
      </w:r>
    </w:p>
    <w:p>
      <w:pPr>
        <w:ind w:left="1380"/>
        <w:spacing w:after="0" w:line="235" w:lineRule="auto"/>
        <w:rPr>
          <w:sz w:val="20"/>
          <w:szCs w:val="20"/>
          <w:color w:val="auto"/>
        </w:rPr>
      </w:pPr>
      <w:r>
        <w:rPr>
          <w:rFonts w:ascii="Arial" w:cs="Arial" w:eastAsia="Arial" w:hAnsi="Arial"/>
          <w:sz w:val="15"/>
          <w:szCs w:val="15"/>
          <w:color w:val="auto"/>
        </w:rPr>
        <w:t>dividing the amount of the forgone cash compensation by $0.713, the closing share price</w:t>
      </w:r>
    </w:p>
    <w:p>
      <w:pPr>
        <w:ind w:left="1380"/>
        <w:spacing w:after="0"/>
        <w:rPr>
          <w:sz w:val="20"/>
          <w:szCs w:val="20"/>
          <w:color w:val="auto"/>
        </w:rPr>
      </w:pPr>
      <w:r>
        <w:rPr>
          <w:rFonts w:ascii="Arial" w:cs="Arial" w:eastAsia="Arial" w:hAnsi="Arial"/>
          <w:sz w:val="15"/>
          <w:szCs w:val="15"/>
          <w:color w:val="auto"/>
        </w:rPr>
        <w:t>the day immediately preceding the grant date, December 30, 2024 in this case.</w:t>
      </w:r>
    </w:p>
    <w:p>
      <w:pPr>
        <w:spacing w:after="0" w:line="28" w:lineRule="exact"/>
        <w:rPr>
          <w:sz w:val="20"/>
          <w:szCs w:val="20"/>
          <w:color w:val="auto"/>
        </w:rPr>
      </w:pPr>
    </w:p>
    <w:p>
      <w:pPr>
        <w:ind w:left="1380" w:right="1119" w:hanging="301"/>
        <w:spacing w:after="0" w:line="231" w:lineRule="auto"/>
        <w:tabs>
          <w:tab w:leader="none" w:pos="138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Includes an education allowance, a goods and services allowance, a travel allowance, medical benefits and $104,882 tax gross-up payments on perquisites. Mr. Shepro’s other compensation includes benefits paid in euros and, for purposes of the table, is converted into U.S. dollars based on the Bloomberg one-year average exchange rate ending on December 31, 2024 of 0.9244 euros to the U.S. dollar.</w:t>
      </w:r>
    </w:p>
    <w:p>
      <w:pPr>
        <w:spacing w:after="0" w:line="16" w:lineRule="exact"/>
        <w:rPr>
          <w:rFonts w:ascii="Arial" w:cs="Arial" w:eastAsia="Arial" w:hAnsi="Arial"/>
          <w:sz w:val="23"/>
          <w:szCs w:val="23"/>
          <w:color w:val="auto"/>
          <w:vertAlign w:val="superscript"/>
        </w:rPr>
      </w:pPr>
    </w:p>
    <w:p>
      <w:pPr>
        <w:ind w:left="1380" w:right="1519" w:hanging="301"/>
        <w:spacing w:after="0" w:line="205" w:lineRule="auto"/>
        <w:tabs>
          <w:tab w:leader="none" w:pos="138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During 2023, $21,525 of Ms. Esterman’s salary was subject to Adjustment, with the number of shares of common stock granted in lieu of cash determined as follows:</w:t>
      </w:r>
    </w:p>
    <w:p>
      <w:pPr>
        <w:spacing w:after="0" w:line="1" w:lineRule="exact"/>
        <w:rPr>
          <w:rFonts w:ascii="Arial" w:cs="Arial" w:eastAsia="Arial" w:hAnsi="Arial"/>
          <w:sz w:val="23"/>
          <w:szCs w:val="23"/>
          <w:color w:val="auto"/>
          <w:vertAlign w:val="superscript"/>
        </w:rPr>
      </w:pPr>
    </w:p>
    <w:p>
      <w:pPr>
        <w:ind w:left="1380" w:right="1179"/>
        <w:spacing w:after="0" w:line="252" w:lineRule="auto"/>
        <w:rPr>
          <w:rFonts w:ascii="Arial" w:cs="Arial" w:eastAsia="Arial" w:hAnsi="Arial"/>
          <w:sz w:val="23"/>
          <w:szCs w:val="23"/>
          <w:color w:val="auto"/>
          <w:vertAlign w:val="superscript"/>
        </w:rPr>
      </w:pPr>
      <w:r>
        <w:rPr>
          <w:rFonts w:ascii="Arial" w:cs="Arial" w:eastAsia="Arial" w:hAnsi="Arial"/>
          <w:sz w:val="15"/>
          <w:szCs w:val="15"/>
          <w:color w:val="auto"/>
        </w:rPr>
        <w:t>Ms. Esterman received 6,046 shares of common stock in lieu of $21,525 for the fourth quarter of 2023. The Adjustment was determined by dividing the amount of the forgone cash compensation by $3.56, the closing share price the day immediately preceding the grant date, December 29, 2023 in this case.</w:t>
      </w:r>
    </w:p>
    <w:p>
      <w:pPr>
        <w:spacing w:after="0" w:line="16" w:lineRule="exact"/>
        <w:rPr>
          <w:rFonts w:ascii="Arial" w:cs="Arial" w:eastAsia="Arial" w:hAnsi="Arial"/>
          <w:sz w:val="23"/>
          <w:szCs w:val="23"/>
          <w:color w:val="auto"/>
          <w:vertAlign w:val="superscript"/>
        </w:rPr>
      </w:pPr>
    </w:p>
    <w:p>
      <w:pPr>
        <w:ind w:left="1380" w:right="1099" w:hanging="301"/>
        <w:spacing w:after="0" w:line="241" w:lineRule="auto"/>
        <w:tabs>
          <w:tab w:leader="none" w:pos="138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During 2024, $129,152 of Ms. Esterman’s salary was subject to Adjustment, with the number of shares of common stock granted in lieu of cash determined on a quarterly basis as follows: Ms. Esterman received 16,643 shares of common stock in lieu of $32,288 for the first quarter of 2024. The Adjustment was determined by dividing the amount of the forgone cash compensation by $1.94, the closing share price the day immediately preceding the grant date, March 28, 2024 in this case. Ms. Esterman received 22,738 shares of common stock in lieu of $32,288 for the second quarter of 2024. The Adjustment was determined by dividing the amount of the forgone cash compensation by $1.42, the closing share price the day immediately preceding the grant date, June 27, 2024 in this case. Ms. Esterman received 27,133 shares of common stock in lieu of $32,288 for the third quarter of 2024. The Adjustment was determined by dividing the amount of the forgone cash compensation by $1.19, the closing share price the day immediately preceding the grant date, September 27, 2024 in this case.</w:t>
      </w:r>
    </w:p>
    <w:p>
      <w:pPr>
        <w:spacing w:after="0" w:line="186" w:lineRule="exact"/>
        <w:rPr>
          <w:rFonts w:ascii="Arial" w:cs="Arial" w:eastAsia="Arial" w:hAnsi="Arial"/>
          <w:sz w:val="23"/>
          <w:szCs w:val="23"/>
          <w:color w:val="auto"/>
          <w:vertAlign w:val="superscript"/>
        </w:rPr>
      </w:pPr>
    </w:p>
    <w:p>
      <w:pPr>
        <w:ind w:left="1380" w:right="1219"/>
        <w:spacing w:after="0" w:line="250" w:lineRule="auto"/>
        <w:rPr>
          <w:rFonts w:ascii="Arial" w:cs="Arial" w:eastAsia="Arial" w:hAnsi="Arial"/>
          <w:sz w:val="23"/>
          <w:szCs w:val="23"/>
          <w:color w:val="auto"/>
          <w:vertAlign w:val="superscript"/>
        </w:rPr>
      </w:pPr>
      <w:r>
        <w:rPr>
          <w:rFonts w:ascii="Arial" w:cs="Arial" w:eastAsia="Arial" w:hAnsi="Arial"/>
          <w:sz w:val="15"/>
          <w:szCs w:val="15"/>
          <w:color w:val="auto"/>
        </w:rPr>
        <w:t>Ms. Esterman received 45,285 shares of common stock in lieu of $32,288 for the fourth quarter of 2024. The Adjustment was determined by dividing the amount of the forgone cash compensation by $0.713, the closing share price the day immediately preceding the grant date, December 30, 2024 in this case.</w:t>
      </w:r>
    </w:p>
    <w:p>
      <w:pPr>
        <w:spacing w:after="0" w:line="22" w:lineRule="exact"/>
        <w:rPr>
          <w:rFonts w:ascii="Arial" w:cs="Arial" w:eastAsia="Arial" w:hAnsi="Arial"/>
          <w:sz w:val="23"/>
          <w:szCs w:val="23"/>
          <w:color w:val="auto"/>
          <w:vertAlign w:val="superscript"/>
        </w:rPr>
      </w:pPr>
    </w:p>
    <w:p>
      <w:pPr>
        <w:ind w:left="1380" w:right="1179" w:hanging="301"/>
        <w:spacing w:after="0" w:line="219" w:lineRule="auto"/>
        <w:tabs>
          <w:tab w:leader="none" w:pos="138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Mr. Ritts’ base salary is set and paid in euros. His base salary was converted to U.S. dollars, for purposes of the table, based on Bloomberg one-year average exchange rate ending on December 31, 2024 of 0.9244 euros to the U.S. dollar.</w:t>
      </w:r>
    </w:p>
    <w:p>
      <w:pPr>
        <w:spacing w:after="0" w:line="18" w:lineRule="exact"/>
        <w:rPr>
          <w:rFonts w:ascii="Arial" w:cs="Arial" w:eastAsia="Arial" w:hAnsi="Arial"/>
          <w:sz w:val="23"/>
          <w:szCs w:val="23"/>
          <w:color w:val="auto"/>
          <w:vertAlign w:val="superscript"/>
        </w:rPr>
      </w:pPr>
    </w:p>
    <w:p>
      <w:pPr>
        <w:ind w:left="1380" w:right="1359" w:hanging="301"/>
        <w:spacing w:after="0" w:line="219" w:lineRule="auto"/>
        <w:tabs>
          <w:tab w:leader="none" w:pos="138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Includes housing allowance and a travel allowance paid in euros and, for purposes of the table, is converted into U.S. dollars based on Bloomberg one-year average exchange rate ending on December 31, 2024 of 0.9244 euros to the U.S. dollar.</w:t>
      </w:r>
    </w:p>
    <w:p>
      <w:pPr>
        <w:spacing w:after="0" w:line="14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02" w:lineRule="exact"/>
        <w:rPr>
          <w:sz w:val="20"/>
          <w:szCs w:val="20"/>
          <w:color w:val="auto"/>
        </w:rPr>
      </w:pPr>
    </w:p>
    <w:p>
      <w:pPr>
        <w:ind w:left="1080" w:right="1099"/>
        <w:spacing w:after="0" w:line="252" w:lineRule="auto"/>
        <w:rPr>
          <w:sz w:val="20"/>
          <w:szCs w:val="20"/>
          <w:color w:val="auto"/>
        </w:rPr>
      </w:pPr>
      <w:r>
        <w:rPr>
          <w:rFonts w:ascii="Arial" w:cs="Arial" w:eastAsia="Arial" w:hAnsi="Arial"/>
          <w:sz w:val="15"/>
          <w:szCs w:val="15"/>
          <w:color w:val="auto"/>
        </w:rPr>
        <w:t>For the year ended December 31, 2024, the compensation program for our Named Executive Officers consisted of base salary, annual incentive compensation, equity awards, other benefits, as well as relocation and foreign living allowances for certain of our Luxembourg-based Named Executive Officers.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Base Salary</w:t>
      </w:r>
    </w:p>
    <w:p>
      <w:pPr>
        <w:spacing w:after="0" w:line="132" w:lineRule="exact"/>
        <w:rPr>
          <w:sz w:val="20"/>
          <w:szCs w:val="20"/>
          <w:color w:val="auto"/>
        </w:rPr>
      </w:pPr>
    </w:p>
    <w:p>
      <w:pPr>
        <w:ind w:left="1080" w:right="1579"/>
        <w:spacing w:after="0" w:line="270" w:lineRule="auto"/>
        <w:rPr>
          <w:sz w:val="20"/>
          <w:szCs w:val="20"/>
          <w:color w:val="auto"/>
        </w:rPr>
      </w:pPr>
      <w:r>
        <w:rPr>
          <w:rFonts w:ascii="Arial" w:cs="Arial" w:eastAsia="Arial" w:hAnsi="Arial"/>
          <w:sz w:val="15"/>
          <w:szCs w:val="15"/>
          <w:color w:val="auto"/>
        </w:rPr>
        <w:t>The Compensation Committee sets the base salary for our Chief Executive Officer and approves the base salaries for all other Named Executive Officers.</w:t>
      </w:r>
    </w:p>
    <w:p>
      <w:pPr>
        <w:spacing w:after="0" w:line="74" w:lineRule="exact"/>
        <w:rPr>
          <w:sz w:val="20"/>
          <w:szCs w:val="20"/>
          <w:color w:val="auto"/>
        </w:rPr>
      </w:pPr>
    </w:p>
    <w:p>
      <w:pPr>
        <w:ind w:left="1080" w:right="1219"/>
        <w:spacing w:after="0" w:line="248" w:lineRule="auto"/>
        <w:rPr>
          <w:sz w:val="20"/>
          <w:szCs w:val="20"/>
          <w:color w:val="auto"/>
        </w:rPr>
      </w:pPr>
      <w:r>
        <w:rPr>
          <w:rFonts w:ascii="Arial" w:cs="Arial" w:eastAsia="Arial" w:hAnsi="Arial"/>
          <w:sz w:val="15"/>
          <w:szCs w:val="15"/>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relocation, promotion or change in job responsibility. In addition, base salaries of our Luxembourg-based Named Executive Officers may be subject to inflationary adjustments from time to time as required by applicable Luxembourg law.</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4" w:name="page35"/>
    <w:bookmarkEnd w:id="34"/>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-181610</wp:posOffset>
            </wp:positionV>
            <wp:extent cx="1352550" cy="1219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52550" cy="121920"/>
                    </a:xfrm>
                    <a:prstGeom prst="rect">
                      <a:avLst/>
                    </a:prstGeom>
                    <a:noFill/>
                  </pic:spPr>
                </pic:pic>
              </a:graphicData>
            </a:graphic>
          </wp:anchor>
        </w:drawing>
      </w:r>
    </w:p>
    <w:p>
      <w:pPr>
        <w:spacing w:after="0" w:line="95" w:lineRule="exact"/>
        <w:rPr>
          <w:sz w:val="20"/>
          <w:szCs w:val="20"/>
          <w:color w:val="auto"/>
        </w:rPr>
      </w:pPr>
    </w:p>
    <w:p>
      <w:pPr>
        <w:ind w:left="1080" w:right="1139"/>
        <w:spacing w:after="0" w:line="277" w:lineRule="auto"/>
        <w:rPr>
          <w:sz w:val="20"/>
          <w:szCs w:val="20"/>
          <w:color w:val="auto"/>
        </w:rPr>
      </w:pPr>
      <w:r>
        <w:rPr>
          <w:rFonts w:ascii="Arial" w:cs="Arial" w:eastAsia="Arial" w:hAnsi="Arial"/>
          <w:sz w:val="15"/>
          <w:szCs w:val="15"/>
          <w:color w:val="auto"/>
        </w:rPr>
        <w:t>The base salary for our Chief Executive Officer is set in U.S. dollars and paid in euros. Base salaries for our other Named Executive Officers are paid in their local currencies, i.e., in euros for our Chief Legal and Compliance Officer and in U.S. dollars for our Chief Financial Officer.</w:t>
      </w:r>
    </w:p>
    <w:p>
      <w:pPr>
        <w:spacing w:after="0" w:line="270"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Annual Incentive Compensation</w:t>
      </w:r>
    </w:p>
    <w:p>
      <w:pPr>
        <w:spacing w:after="0" w:line="132" w:lineRule="exact"/>
        <w:rPr>
          <w:sz w:val="20"/>
          <w:szCs w:val="20"/>
          <w:color w:val="auto"/>
        </w:rPr>
      </w:pPr>
    </w:p>
    <w:p>
      <w:pPr>
        <w:ind w:left="1080" w:right="1139"/>
        <w:spacing w:after="0" w:line="265" w:lineRule="auto"/>
        <w:rPr>
          <w:sz w:val="20"/>
          <w:szCs w:val="20"/>
          <w:color w:val="auto"/>
        </w:rPr>
      </w:pPr>
      <w:r>
        <w:rPr>
          <w:rFonts w:ascii="Arial" w:cs="Arial" w:eastAsia="Arial" w:hAnsi="Arial"/>
          <w:sz w:val="15"/>
          <w:szCs w:val="15"/>
          <w:color w:val="auto"/>
        </w:rPr>
        <w:t>The Compensation Committee sets the target incentive compensation for our Chief Executive Officer and approves the target incentive compensation for all other Named Executive Officers. The annual incentives for our Named Executive Officers (and other employees eligible for an annual incentive) are subject to adjustment based on a variable bonus pool (the “Bonus Pool”). The Bonus Pool may be increased or decreased based on the percentage achievement of (i) the consolidated service revenue budget target (the “Service Revenue Target”) multiplied by the line of business margin target determined by the Compensation Committee (the “Target Margin”) and 6.25%, and (ii) the consolidated adjusted EBITDA budget target (the “Adjusted EBITDA Target”) multiplied by 18.75%.</w:t>
      </w:r>
    </w:p>
    <w:p>
      <w:pPr>
        <w:spacing w:after="0" w:line="279" w:lineRule="exact"/>
        <w:rPr>
          <w:sz w:val="20"/>
          <w:szCs w:val="20"/>
          <w:color w:val="auto"/>
        </w:rPr>
      </w:pPr>
    </w:p>
    <w:p>
      <w:pPr>
        <w:ind w:left="1080" w:right="1099"/>
        <w:spacing w:after="0" w:line="271" w:lineRule="auto"/>
        <w:rPr>
          <w:sz w:val="20"/>
          <w:szCs w:val="20"/>
          <w:color w:val="auto"/>
        </w:rPr>
      </w:pPr>
      <w:r>
        <w:rPr>
          <w:rFonts w:ascii="Arial" w:cs="Arial" w:eastAsia="Arial" w:hAnsi="Arial"/>
          <w:sz w:val="15"/>
          <w:szCs w:val="15"/>
          <w:color w:val="auto"/>
        </w:rPr>
        <w:t>The actual service revenue achieved for the year is compared to the Service Revenue Target and the dollar amount difference from the target is multiplied by (a) the Target Margin and then (b) 6.25% to determine the increase or decrease the Bonus Pool. For example, if the Service Revenue Target is exceeded by $1,000 and the Target Margin is 20%, the Bonus Pool will be increased by (($1000 x 20%) x 6.25%) = $125.</w:t>
      </w:r>
    </w:p>
    <w:p>
      <w:pPr>
        <w:spacing w:after="0" w:line="85" w:lineRule="exact"/>
        <w:rPr>
          <w:sz w:val="20"/>
          <w:szCs w:val="20"/>
          <w:color w:val="auto"/>
        </w:rPr>
      </w:pPr>
    </w:p>
    <w:p>
      <w:pPr>
        <w:ind w:left="1080" w:right="1319"/>
        <w:spacing w:after="0" w:line="273" w:lineRule="auto"/>
        <w:rPr>
          <w:sz w:val="20"/>
          <w:szCs w:val="20"/>
          <w:color w:val="auto"/>
        </w:rPr>
      </w:pPr>
      <w:r>
        <w:rPr>
          <w:rFonts w:ascii="Arial" w:cs="Arial" w:eastAsia="Arial" w:hAnsi="Arial"/>
          <w:sz w:val="15"/>
          <w:szCs w:val="15"/>
          <w:color w:val="auto"/>
        </w:rPr>
        <w:t>The actual adjusted EBITDA achieved for the year is compared to the Adjusted EBITDA Target and the dollar difference from such target is multiplied by 18.75% to determine the increase or decrease in the portion of the Bonus Pool tied to the Adjusted EBITDA Target. For example, if the Adjusted EBITDA Target is exceeded by $2,000, the Bonus Pool is increased by ($2,000 x 18.75%) = $375.</w:t>
      </w:r>
    </w:p>
    <w:p>
      <w:pPr>
        <w:spacing w:after="0" w:line="274" w:lineRule="exact"/>
        <w:rPr>
          <w:sz w:val="20"/>
          <w:szCs w:val="20"/>
          <w:color w:val="auto"/>
        </w:rPr>
      </w:pPr>
    </w:p>
    <w:p>
      <w:pPr>
        <w:ind w:left="1080" w:right="1119"/>
        <w:spacing w:after="0" w:line="267" w:lineRule="auto"/>
        <w:rPr>
          <w:sz w:val="20"/>
          <w:szCs w:val="20"/>
          <w:color w:val="auto"/>
        </w:rPr>
      </w:pPr>
      <w:r>
        <w:rPr>
          <w:rFonts w:ascii="Arial" w:cs="Arial" w:eastAsia="Arial" w:hAnsi="Arial"/>
          <w:sz w:val="15"/>
          <w:szCs w:val="15"/>
          <w:color w:val="auto"/>
        </w:rPr>
        <w:t>Target incentive compensation is reviewed periodically, and adjustments may be made based on market information, internal review of the Named Executive Officer’s compensation in relation to other executives and performance. In addition, the Chief Executive Officer’s target incentive compensation historically has been adjusted commensurate with inflationary salary indexation under Luxembourg law. The incentives are typically paid in a mix of cash and equity as approved by the Compensation Committee.</w:t>
      </w:r>
    </w:p>
    <w:p>
      <w:pPr>
        <w:spacing w:after="0" w:line="99" w:lineRule="exact"/>
        <w:rPr>
          <w:sz w:val="20"/>
          <w:szCs w:val="20"/>
          <w:color w:val="auto"/>
        </w:rPr>
      </w:pPr>
    </w:p>
    <w:p>
      <w:pPr>
        <w:ind w:left="1080" w:right="1539"/>
        <w:spacing w:after="0" w:line="268" w:lineRule="auto"/>
        <w:rPr>
          <w:sz w:val="20"/>
          <w:szCs w:val="20"/>
          <w:color w:val="auto"/>
        </w:rPr>
      </w:pPr>
      <w:r>
        <w:rPr>
          <w:rFonts w:ascii="Arial" w:cs="Arial" w:eastAsia="Arial" w:hAnsi="Arial"/>
          <w:sz w:val="15"/>
          <w:szCs w:val="15"/>
          <w:color w:val="auto"/>
        </w:rPr>
        <w:t>For the year ended December 31, 2024, the target Bonus Pool was $5.734 million. The portion of the target Bonus Pool associated with the Named Executive Officers was $1,971,530. Our Named Executive Officers had the following target annual incentive compensation amounts, subject to adjustment based on changes to the Bonus Pool as described above: Mr. Shepro—$1,425,530; Ms. Esterman—$300,000; and Mr. Ritts— $246,000.</w:t>
      </w:r>
    </w:p>
    <w:p>
      <w:pPr>
        <w:spacing w:after="0" w:line="276" w:lineRule="exact"/>
        <w:rPr>
          <w:sz w:val="20"/>
          <w:szCs w:val="20"/>
          <w:color w:val="auto"/>
        </w:rPr>
      </w:pPr>
    </w:p>
    <w:p>
      <w:pPr>
        <w:ind w:left="1080" w:right="1159"/>
        <w:spacing w:after="0" w:line="284" w:lineRule="auto"/>
        <w:rPr>
          <w:sz w:val="20"/>
          <w:szCs w:val="20"/>
          <w:color w:val="auto"/>
        </w:rPr>
      </w:pPr>
      <w:r>
        <w:rPr>
          <w:rFonts w:ascii="Arial" w:cs="Arial" w:eastAsia="Arial" w:hAnsi="Arial"/>
          <w:sz w:val="15"/>
          <w:szCs w:val="15"/>
          <w:color w:val="auto"/>
        </w:rPr>
        <w:t>The table below includes the performance metrics for the annual incentive compensation and the percentage weight of each metric for the year ended December 31, 2024 for each of the Named Executive Officers:</w:t>
      </w:r>
    </w:p>
    <w:p>
      <w:pPr>
        <w:spacing w:after="0" w:line="75"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80" w:type="dxa"/>
            <w:vAlign w:val="bottom"/>
            <w:gridSpan w:val="12"/>
          </w:tcPr>
          <w:p>
            <w:pPr>
              <w:jc w:val="right"/>
              <w:ind w:right="20"/>
              <w:spacing w:after="0"/>
              <w:rPr>
                <w:sz w:val="20"/>
                <w:szCs w:val="20"/>
                <w:color w:val="auto"/>
              </w:rPr>
            </w:pPr>
            <w:r>
              <w:rPr>
                <w:rFonts w:ascii="Arial" w:cs="Arial" w:eastAsia="Arial" w:hAnsi="Arial"/>
                <w:sz w:val="15"/>
                <w:szCs w:val="15"/>
                <w:b w:val="1"/>
                <w:bCs w:val="1"/>
                <w:color w:val="auto"/>
              </w:rPr>
              <w:t>Consolidated Service  Consolidated Adjusted  Support Function</w:t>
            </w:r>
          </w:p>
        </w:tc>
      </w:tr>
      <w:tr>
        <w:trPr>
          <w:trHeight w:val="192"/>
        </w:trPr>
        <w:tc>
          <w:tcPr>
            <w:tcW w:w="2080" w:type="dxa"/>
            <w:vAlign w:val="bottom"/>
          </w:tcPr>
          <w:p>
            <w:pPr>
              <w:ind w:left="840"/>
              <w:spacing w:after="0"/>
              <w:rPr>
                <w:sz w:val="20"/>
                <w:szCs w:val="20"/>
                <w:color w:val="auto"/>
              </w:rPr>
            </w:pPr>
            <w:r>
              <w:rPr>
                <w:rFonts w:ascii="Arial" w:cs="Arial" w:eastAsia="Arial" w:hAnsi="Arial"/>
                <w:sz w:val="15"/>
                <w:szCs w:val="15"/>
                <w:b w:val="1"/>
                <w:bCs w:val="1"/>
                <w:color w:val="auto"/>
              </w:rPr>
              <w:t>Name</w:t>
            </w:r>
          </w:p>
        </w:tc>
        <w:tc>
          <w:tcPr>
            <w:tcW w:w="200" w:type="dxa"/>
            <w:vAlign w:val="bottom"/>
            <w:gridSpan w:val="2"/>
          </w:tcPr>
          <w:p>
            <w:pPr>
              <w:ind w:left="20"/>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ind w:left="80"/>
              <w:spacing w:after="0"/>
              <w:rPr>
                <w:sz w:val="20"/>
                <w:szCs w:val="20"/>
                <w:color w:val="auto"/>
              </w:rPr>
            </w:pPr>
            <w:r>
              <w:rPr>
                <w:rFonts w:ascii="Arial" w:cs="Arial" w:eastAsia="Arial" w:hAnsi="Arial"/>
                <w:sz w:val="15"/>
                <w:szCs w:val="15"/>
                <w:b w:val="1"/>
                <w:bCs w:val="1"/>
                <w:color w:val="auto"/>
              </w:rPr>
              <w:t>Revenue Budget</w:t>
            </w:r>
          </w:p>
        </w:tc>
        <w:tc>
          <w:tcPr>
            <w:tcW w:w="120" w:type="dxa"/>
            <w:vAlign w:val="bottom"/>
          </w:tcPr>
          <w:p>
            <w:pPr>
              <w:spacing w:after="0"/>
              <w:rPr>
                <w:sz w:val="16"/>
                <w:szCs w:val="16"/>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360" w:type="dxa"/>
            <w:vAlign w:val="bottom"/>
          </w:tcPr>
          <w:p>
            <w:pPr>
              <w:ind w:left="140"/>
              <w:spacing w:after="0"/>
              <w:rPr>
                <w:sz w:val="20"/>
                <w:szCs w:val="20"/>
                <w:color w:val="auto"/>
              </w:rPr>
            </w:pPr>
            <w:r>
              <w:rPr>
                <w:rFonts w:ascii="Arial" w:cs="Arial" w:eastAsia="Arial" w:hAnsi="Arial"/>
                <w:sz w:val="15"/>
                <w:szCs w:val="15"/>
                <w:b w:val="1"/>
                <w:bCs w:val="1"/>
                <w:color w:val="auto"/>
              </w:rPr>
              <w:t>EBITDA Budget</w:t>
            </w:r>
          </w:p>
        </w:tc>
        <w:tc>
          <w:tcPr>
            <w:tcW w:w="160" w:type="dxa"/>
            <w:vAlign w:val="bottom"/>
          </w:tcPr>
          <w:p>
            <w:pPr>
              <w:spacing w:after="0"/>
              <w:rPr>
                <w:sz w:val="16"/>
                <w:szCs w:val="16"/>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ind w:left="180"/>
              <w:spacing w:after="0"/>
              <w:rPr>
                <w:sz w:val="20"/>
                <w:szCs w:val="20"/>
                <w:color w:val="auto"/>
              </w:rPr>
            </w:pPr>
            <w:r>
              <w:rPr>
                <w:rFonts w:ascii="Arial" w:cs="Arial" w:eastAsia="Arial" w:hAnsi="Arial"/>
                <w:sz w:val="15"/>
                <w:szCs w:val="15"/>
                <w:b w:val="1"/>
                <w:bCs w:val="1"/>
                <w:color w:val="auto"/>
              </w:rPr>
              <w:t>Budget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20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William B. Shepro</w:t>
            </w:r>
          </w:p>
        </w:tc>
        <w:tc>
          <w:tcPr>
            <w:tcW w:w="10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560"/>
              <w:spacing w:after="0" w:line="161" w:lineRule="exact"/>
              <w:rPr>
                <w:sz w:val="20"/>
                <w:szCs w:val="20"/>
                <w:color w:val="auto"/>
              </w:rPr>
            </w:pPr>
            <w:r>
              <w:rPr>
                <w:rFonts w:ascii="Arial" w:cs="Arial" w:eastAsia="Arial" w:hAnsi="Arial"/>
                <w:sz w:val="15"/>
                <w:szCs w:val="15"/>
                <w:color w:val="auto"/>
              </w:rPr>
              <w:t>​ 5%</w:t>
            </w:r>
          </w:p>
        </w:tc>
        <w:tc>
          <w:tcPr>
            <w:tcW w:w="120" w:type="dxa"/>
            <w:vAlign w:val="bottom"/>
            <w:tcBorders>
              <w:top w:val="single" w:sz="8" w:color="auto"/>
            </w:tcBorders>
            <w:shd w:val="clear" w:color="auto" w:fill="CCEEFF"/>
          </w:tcPr>
          <w:p>
            <w:pPr>
              <w:ind w:left="60"/>
              <w:spacing w:after="0" w:line="161"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540"/>
              <w:spacing w:after="0" w:line="161" w:lineRule="exact"/>
              <w:rPr>
                <w:sz w:val="20"/>
                <w:szCs w:val="20"/>
                <w:color w:val="auto"/>
              </w:rPr>
            </w:pPr>
            <w:r>
              <w:rPr>
                <w:rFonts w:ascii="Arial" w:cs="Arial" w:eastAsia="Arial" w:hAnsi="Arial"/>
                <w:sz w:val="15"/>
                <w:szCs w:val="15"/>
                <w:color w:val="auto"/>
              </w:rPr>
              <w:t>​ 95%</w:t>
            </w:r>
          </w:p>
        </w:tc>
        <w:tc>
          <w:tcPr>
            <w:tcW w:w="160" w:type="dxa"/>
            <w:vAlign w:val="bottom"/>
            <w:tcBorders>
              <w:top w:val="single" w:sz="8" w:color="auto"/>
            </w:tcBorders>
            <w:shd w:val="clear" w:color="auto" w:fill="CCEEFF"/>
          </w:tcPr>
          <w:p>
            <w:pPr>
              <w:ind w:left="100"/>
              <w:spacing w:after="0" w:line="161"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300"/>
              <w:spacing w:after="0" w:line="161"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69"/>
        </w:trPr>
        <w:tc>
          <w:tcPr>
            <w:tcW w:w="2080" w:type="dxa"/>
            <w:vAlign w:val="bottom"/>
          </w:tcPr>
          <w:p>
            <w:pPr>
              <w:spacing w:after="0" w:line="169" w:lineRule="exact"/>
              <w:rPr>
                <w:sz w:val="20"/>
                <w:szCs w:val="20"/>
                <w:color w:val="auto"/>
              </w:rPr>
            </w:pPr>
            <w:r>
              <w:rPr>
                <w:rFonts w:ascii="Arial" w:cs="Arial" w:eastAsia="Arial" w:hAnsi="Arial"/>
                <w:sz w:val="15"/>
                <w:szCs w:val="15"/>
                <w:color w:val="auto"/>
              </w:rPr>
              <w:t>Michelle D. Esterman</w:t>
            </w:r>
          </w:p>
        </w:tc>
        <w:tc>
          <w:tcPr>
            <w:tcW w:w="200" w:type="dxa"/>
            <w:vAlign w:val="bottom"/>
            <w:gridSpan w:val="2"/>
          </w:tcPr>
          <w:p>
            <w:pPr>
              <w:ind w:left="20"/>
              <w:spacing w:after="0" w:line="169" w:lineRule="exact"/>
              <w:rPr>
                <w:sz w:val="20"/>
                <w:szCs w:val="20"/>
                <w:color w:val="auto"/>
              </w:rPr>
            </w:pPr>
            <w:r>
              <w:rPr>
                <w:rFonts w:ascii="Arial" w:cs="Arial" w:eastAsia="Arial" w:hAnsi="Arial"/>
                <w:sz w:val="15"/>
                <w:szCs w:val="15"/>
                <w:color w:val="auto"/>
              </w:rPr>
              <w:t>​​</w:t>
            </w:r>
          </w:p>
        </w:tc>
        <w:tc>
          <w:tcPr>
            <w:tcW w:w="1320" w:type="dxa"/>
            <w:vAlign w:val="bottom"/>
          </w:tcPr>
          <w:p>
            <w:pPr>
              <w:ind w:left="560"/>
              <w:spacing w:after="0" w:line="169" w:lineRule="exact"/>
              <w:rPr>
                <w:sz w:val="20"/>
                <w:szCs w:val="20"/>
                <w:color w:val="auto"/>
              </w:rPr>
            </w:pPr>
            <w:r>
              <w:rPr>
                <w:rFonts w:ascii="Arial" w:cs="Arial" w:eastAsia="Arial" w:hAnsi="Arial"/>
                <w:sz w:val="15"/>
                <w:szCs w:val="15"/>
                <w:color w:val="auto"/>
              </w:rPr>
              <w:t>​ 5%</w:t>
            </w:r>
          </w:p>
        </w:tc>
        <w:tc>
          <w:tcPr>
            <w:tcW w:w="36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 ​​</w:t>
            </w:r>
          </w:p>
        </w:tc>
        <w:tc>
          <w:tcPr>
            <w:tcW w:w="1360" w:type="dxa"/>
            <w:vAlign w:val="bottom"/>
          </w:tcPr>
          <w:p>
            <w:pPr>
              <w:ind w:left="540"/>
              <w:spacing w:after="0" w:line="169" w:lineRule="exact"/>
              <w:rPr>
                <w:sz w:val="20"/>
                <w:szCs w:val="20"/>
                <w:color w:val="auto"/>
              </w:rPr>
            </w:pPr>
            <w:r>
              <w:rPr>
                <w:rFonts w:ascii="Arial" w:cs="Arial" w:eastAsia="Arial" w:hAnsi="Arial"/>
                <w:sz w:val="15"/>
                <w:szCs w:val="15"/>
                <w:color w:val="auto"/>
              </w:rPr>
              <w:t>​ 85%</w:t>
            </w:r>
          </w:p>
        </w:tc>
        <w:tc>
          <w:tcPr>
            <w:tcW w:w="460" w:type="dxa"/>
            <w:vAlign w:val="bottom"/>
            <w:gridSpan w:val="3"/>
          </w:tcPr>
          <w:p>
            <w:pPr>
              <w:jc w:val="right"/>
              <w:ind w:right="180"/>
              <w:spacing w:after="0" w:line="169" w:lineRule="exact"/>
              <w:rPr>
                <w:sz w:val="20"/>
                <w:szCs w:val="20"/>
                <w:color w:val="auto"/>
              </w:rPr>
            </w:pPr>
            <w:r>
              <w:rPr>
                <w:rFonts w:ascii="Arial" w:cs="Arial" w:eastAsia="Arial" w:hAnsi="Arial"/>
                <w:sz w:val="15"/>
                <w:szCs w:val="15"/>
                <w:color w:val="auto"/>
              </w:rPr>
              <w:t>​ ​​</w:t>
            </w:r>
          </w:p>
        </w:tc>
        <w:tc>
          <w:tcPr>
            <w:tcW w:w="860" w:type="dxa"/>
            <w:vAlign w:val="bottom"/>
          </w:tcPr>
          <w:p>
            <w:pPr>
              <w:ind w:left="300"/>
              <w:spacing w:after="0" w:line="169" w:lineRule="exact"/>
              <w:rPr>
                <w:sz w:val="20"/>
                <w:szCs w:val="20"/>
                <w:color w:val="auto"/>
              </w:rPr>
            </w:pPr>
            <w:r>
              <w:rPr>
                <w:rFonts w:ascii="Arial" w:cs="Arial" w:eastAsia="Arial" w:hAnsi="Arial"/>
                <w:sz w:val="15"/>
                <w:szCs w:val="15"/>
                <w:color w:val="auto"/>
              </w:rPr>
              <w:t>​10%</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80"/>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5"/>
                <w:szCs w:val="15"/>
                <w:color w:val="auto"/>
              </w:rPr>
              <w:t>​ 5%</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1360" w:type="dxa"/>
            <w:vAlign w:val="bottom"/>
            <w:shd w:val="clear" w:color="auto" w:fill="CCEEFF"/>
          </w:tcPr>
          <w:p>
            <w:pPr>
              <w:ind w:left="540"/>
              <w:spacing w:after="0"/>
              <w:rPr>
                <w:sz w:val="20"/>
                <w:szCs w:val="20"/>
                <w:color w:val="auto"/>
              </w:rPr>
            </w:pPr>
            <w:r>
              <w:rPr>
                <w:rFonts w:ascii="Arial" w:cs="Arial" w:eastAsia="Arial" w:hAnsi="Arial"/>
                <w:sz w:val="15"/>
                <w:szCs w:val="15"/>
                <w:color w:val="auto"/>
              </w:rPr>
              <w:t>​ 85%</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 ​​</w:t>
            </w:r>
          </w:p>
        </w:tc>
        <w:tc>
          <w:tcPr>
            <w:tcW w:w="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-335915</wp:posOffset>
            </wp:positionV>
            <wp:extent cx="7175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-335915</wp:posOffset>
            </wp:positionV>
            <wp:extent cx="7175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-335915</wp:posOffset>
            </wp:positionV>
            <wp:extent cx="7175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55" cy="6985"/>
                    </a:xfrm>
                    <a:prstGeom prst="rect">
                      <a:avLst/>
                    </a:prstGeom>
                    <a:noFill/>
                  </pic:spPr>
                </pic:pic>
              </a:graphicData>
            </a:graphic>
          </wp:anchor>
        </w:drawing>
      </w:r>
    </w:p>
    <w:p>
      <w:pPr>
        <w:spacing w:after="0" w:line="100" w:lineRule="exact"/>
        <w:rPr>
          <w:sz w:val="20"/>
          <w:szCs w:val="20"/>
          <w:color w:val="auto"/>
        </w:rPr>
      </w:pPr>
    </w:p>
    <w:p>
      <w:pPr>
        <w:ind w:left="1080" w:right="1139"/>
        <w:spacing w:after="0" w:line="267" w:lineRule="auto"/>
        <w:rPr>
          <w:sz w:val="20"/>
          <w:szCs w:val="20"/>
          <w:color w:val="auto"/>
        </w:rPr>
      </w:pPr>
      <w:r>
        <w:rPr>
          <w:rFonts w:ascii="Arial" w:cs="Arial" w:eastAsia="Arial" w:hAnsi="Arial"/>
          <w:sz w:val="15"/>
          <w:szCs w:val="15"/>
          <w:color w:val="auto"/>
        </w:rPr>
        <w:t>For the Consolidated Service Target and the Adjusted EBITDA Target, individual achievement levels are based on a range of 25%–175% when 75%–125% of the given target is achieved (with a linear application) (e.g., if 75% of the Service Revenue Target is achieved, the Named Executive Officer earns 25% of the 5% target annual incentive compensation allocated to the Service Revenue Target). If achievement level is less than 75%, no annual incentive compensation is earned. If the achievement level is greater than 125%, no amount above 175% of the individual achievement level can be earned.</w:t>
      </w:r>
    </w:p>
    <w:p>
      <w:pPr>
        <w:spacing w:after="0" w:line="280" w:lineRule="exact"/>
        <w:rPr>
          <w:sz w:val="20"/>
          <w:szCs w:val="20"/>
          <w:color w:val="auto"/>
        </w:rPr>
      </w:pPr>
    </w:p>
    <w:p>
      <w:pPr>
        <w:ind w:left="1080" w:right="1199"/>
        <w:spacing w:after="0" w:line="276" w:lineRule="auto"/>
        <w:rPr>
          <w:sz w:val="20"/>
          <w:szCs w:val="20"/>
          <w:color w:val="auto"/>
        </w:rPr>
      </w:pPr>
      <w:r>
        <w:rPr>
          <w:rFonts w:ascii="Arial" w:cs="Arial" w:eastAsia="Arial" w:hAnsi="Arial"/>
          <w:sz w:val="15"/>
          <w:szCs w:val="15"/>
          <w:color w:val="auto"/>
        </w:rPr>
        <w:t>The level of achievement for support function budget target can range from 25% to 175% of target when 75%–125% of the given target is achieved (with a linear application), with scorecard achievement greater than 100% subject to the discretion of the CEO.</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5" w:name="page36"/>
    <w:bookmarkEnd w:id="35"/>
    <w:p>
      <w:pPr>
        <w:ind w:left="40"/>
        <w:spacing w:after="0"/>
        <w:rPr>
          <w:sz w:val="20"/>
          <w:szCs w:val="20"/>
          <w:color w:val="auto"/>
        </w:rPr>
      </w:pPr>
      <w:r>
        <w:rPr>
          <w:rFonts w:ascii="Calibri" w:cs="Calibri" w:eastAsia="Calibri" w:hAnsi="Calibri"/>
          <w:sz w:val="12"/>
          <w:szCs w:val="12"/>
          <w:color w:val="003366"/>
        </w:rPr>
        <w:t>TABLE OF CONTENTS</w:t>
      </w:r>
    </w:p>
    <w:p>
      <w:pPr>
        <w:spacing w:after="0" w:line="268" w:lineRule="exact"/>
        <w:rPr>
          <w:sz w:val="20"/>
          <w:szCs w:val="20"/>
          <w:color w:val="auto"/>
        </w:rPr>
      </w:pPr>
    </w:p>
    <w:tbl>
      <w:tblPr>
        <w:tblLayout w:type="fixed"/>
        <w:tblInd w:w="1080" w:type="dxa"/>
        <w:tblCellMar>
          <w:top w:w="0" w:type="dxa"/>
          <w:left w:w="0" w:type="dxa"/>
          <w:bottom w:w="0" w:type="dxa"/>
          <w:right w:w="0" w:type="dxa"/>
        </w:tblCellMar>
      </w:tblPr>
      <w:tr>
        <w:trPr>
          <w:trHeight w:val="130"/>
        </w:trPr>
        <w:tc>
          <w:tcPr>
            <w:tcW w:w="3700" w:type="dxa"/>
            <w:vAlign w:val="bottom"/>
            <w:gridSpan w:val="5"/>
            <w:vMerge w:val="restart"/>
          </w:tcPr>
          <w:p>
            <w:pPr>
              <w:spacing w:after="0"/>
              <w:rPr>
                <w:sz w:val="20"/>
                <w:szCs w:val="20"/>
                <w:color w:val="auto"/>
              </w:rPr>
            </w:pPr>
            <w:r>
              <w:rPr>
                <w:rFonts w:ascii="Arial" w:cs="Arial" w:eastAsia="Arial" w:hAnsi="Arial"/>
                <w:sz w:val="15"/>
                <w:szCs w:val="15"/>
                <w:color w:val="auto"/>
              </w:rPr>
              <w:t>Named Executive Officer Scorecard Achievement</w:t>
            </w:r>
          </w:p>
        </w:tc>
        <w:tc>
          <w:tcPr>
            <w:tcW w:w="1020" w:type="dxa"/>
            <w:vAlign w:val="bottom"/>
          </w:tcPr>
          <w:p>
            <w:pPr>
              <w:spacing w:after="0"/>
              <w:rPr>
                <w:sz w:val="11"/>
                <w:szCs w:val="11"/>
                <w:color w:val="auto"/>
              </w:rPr>
            </w:pPr>
          </w:p>
        </w:tc>
        <w:tc>
          <w:tcPr>
            <w:tcW w:w="2040" w:type="dxa"/>
            <w:vAlign w:val="bottom"/>
            <w:gridSpan w:val="5"/>
            <w:vMerge w:val="restart"/>
          </w:tcPr>
          <w:p>
            <w:pPr>
              <w:spacing w:after="0"/>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p>
        </w:tc>
        <w:tc>
          <w:tcPr>
            <w:tcW w:w="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314F60"/>
              </w:rPr>
              <w:t>​</w:t>
            </w:r>
          </w:p>
        </w:tc>
        <w:tc>
          <w:tcPr>
            <w:tcW w:w="0" w:type="dxa"/>
            <w:vAlign w:val="bottom"/>
          </w:tcPr>
          <w:p>
            <w:pPr>
              <w:spacing w:after="0"/>
              <w:rPr>
                <w:sz w:val="1"/>
                <w:szCs w:val="1"/>
                <w:color w:val="auto"/>
              </w:rPr>
            </w:pPr>
          </w:p>
        </w:tc>
      </w:tr>
      <w:tr>
        <w:trPr>
          <w:trHeight w:val="180"/>
        </w:trPr>
        <w:tc>
          <w:tcPr>
            <w:tcW w:w="3700" w:type="dxa"/>
            <w:vAlign w:val="bottom"/>
            <w:gridSpan w:val="5"/>
            <w:vMerge w:val="continue"/>
          </w:tcPr>
          <w:p>
            <w:pPr>
              <w:spacing w:after="0"/>
              <w:rPr>
                <w:sz w:val="15"/>
                <w:szCs w:val="15"/>
                <w:color w:val="auto"/>
              </w:rPr>
            </w:pPr>
          </w:p>
        </w:tc>
        <w:tc>
          <w:tcPr>
            <w:tcW w:w="1020" w:type="dxa"/>
            <w:vAlign w:val="bottom"/>
            <w:tcBorders>
              <w:right w:val="single" w:sz="8" w:color="75FF00"/>
            </w:tcBorders>
          </w:tcPr>
          <w:p>
            <w:pPr>
              <w:spacing w:after="0"/>
              <w:rPr>
                <w:sz w:val="15"/>
                <w:szCs w:val="15"/>
                <w:color w:val="auto"/>
              </w:rPr>
            </w:pPr>
          </w:p>
        </w:tc>
        <w:tc>
          <w:tcPr>
            <w:tcW w:w="2040" w:type="dxa"/>
            <w:vAlign w:val="bottom"/>
            <w:tcBorders>
              <w:bottom w:val="single" w:sz="8" w:color="75FF00"/>
            </w:tcBorders>
            <w:gridSpan w:val="5"/>
            <w:vMerge w:val="continue"/>
          </w:tcPr>
          <w:p>
            <w:pPr>
              <w:spacing w:after="0"/>
              <w:rPr>
                <w:sz w:val="15"/>
                <w:szCs w:val="15"/>
                <w:color w:val="auto"/>
              </w:rPr>
            </w:pPr>
          </w:p>
        </w:tc>
        <w:tc>
          <w:tcPr>
            <w:tcW w:w="80" w:type="dxa"/>
            <w:vAlign w:val="bottom"/>
            <w:tcBorders>
              <w:bottom w:val="single" w:sz="8" w:color="75FF00"/>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0"/>
        </w:trPr>
        <w:tc>
          <w:tcPr>
            <w:tcW w:w="3700" w:type="dxa"/>
            <w:vAlign w:val="bottom"/>
            <w:gridSpan w:val="5"/>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gridSpan w:val="3"/>
          </w:tcPr>
          <w:p>
            <w:pPr>
              <w:ind w:left="40"/>
              <w:spacing w:after="0"/>
              <w:rPr>
                <w:sz w:val="20"/>
                <w:szCs w:val="20"/>
                <w:color w:val="auto"/>
              </w:rPr>
            </w:pPr>
            <w:r>
              <w:rPr>
                <w:rFonts w:ascii="Arial" w:cs="Arial" w:eastAsia="Arial" w:hAnsi="Arial"/>
                <w:sz w:val="15"/>
                <w:szCs w:val="15"/>
                <w:b w:val="1"/>
                <w:bCs w:val="1"/>
                <w:color w:val="auto"/>
              </w:rPr>
              <w:t>Consolidated Service</w:t>
            </w:r>
          </w:p>
        </w:tc>
        <w:tc>
          <w:tcPr>
            <w:tcW w:w="1300" w:type="dxa"/>
            <w:vAlign w:val="bottom"/>
            <w:gridSpan w:val="2"/>
          </w:tcPr>
          <w:p>
            <w:pPr>
              <w:ind w:left="460"/>
              <w:spacing w:after="0"/>
              <w:rPr>
                <w:sz w:val="20"/>
                <w:szCs w:val="20"/>
                <w:color w:val="auto"/>
              </w:rPr>
            </w:pPr>
            <w:r>
              <w:rPr>
                <w:rFonts w:ascii="Arial" w:cs="Arial" w:eastAsia="Arial" w:hAnsi="Arial"/>
                <w:sz w:val="15"/>
                <w:szCs w:val="15"/>
                <w:b w:val="1"/>
                <w:bCs w:val="1"/>
                <w:color w:val="auto"/>
              </w:rPr>
              <w:t>Adjusted</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ind w:left="60"/>
              <w:spacing w:after="0"/>
              <w:rPr>
                <w:sz w:val="20"/>
                <w:szCs w:val="20"/>
                <w:color w:val="auto"/>
              </w:rPr>
            </w:pPr>
            <w:r>
              <w:rPr>
                <w:rFonts w:ascii="Arial" w:cs="Arial" w:eastAsia="Arial" w:hAnsi="Arial"/>
                <w:sz w:val="15"/>
                <w:szCs w:val="15"/>
                <w:b w:val="1"/>
                <w:bCs w:val="1"/>
                <w:color w:val="auto"/>
              </w:rPr>
              <w:t>Support Function</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00" w:type="dxa"/>
            <w:vAlign w:val="bottom"/>
            <w:gridSpan w:val="2"/>
          </w:tcPr>
          <w:p>
            <w:pPr>
              <w:ind w:left="760"/>
              <w:spacing w:after="0"/>
              <w:rPr>
                <w:sz w:val="20"/>
                <w:szCs w:val="20"/>
                <w:color w:val="auto"/>
              </w:rPr>
            </w:pPr>
            <w:r>
              <w:rPr>
                <w:rFonts w:ascii="Arial" w:cs="Arial" w:eastAsia="Arial" w:hAnsi="Arial"/>
                <w:sz w:val="15"/>
                <w:szCs w:val="15"/>
                <w:b w:val="1"/>
                <w:bCs w:val="1"/>
                <w:color w:val="auto"/>
              </w:rPr>
              <w:t>Name</w:t>
            </w:r>
          </w:p>
        </w:tc>
        <w:tc>
          <w:tcPr>
            <w:tcW w:w="170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w w:val="99"/>
              </w:rPr>
              <w:t>Revenue Achievement</w:t>
            </w:r>
          </w:p>
        </w:tc>
        <w:tc>
          <w:tcPr>
            <w:tcW w:w="3180" w:type="dxa"/>
            <w:vAlign w:val="bottom"/>
            <w:gridSpan w:val="8"/>
          </w:tcPr>
          <w:p>
            <w:pPr>
              <w:spacing w:after="0"/>
              <w:rPr>
                <w:sz w:val="20"/>
                <w:szCs w:val="20"/>
                <w:color w:val="auto"/>
              </w:rPr>
            </w:pPr>
            <w:r>
              <w:rPr>
                <w:rFonts w:ascii="Arial" w:cs="Arial" w:eastAsia="Arial" w:hAnsi="Arial"/>
                <w:sz w:val="15"/>
                <w:szCs w:val="15"/>
                <w:b w:val="1"/>
                <w:bCs w:val="1"/>
                <w:color w:val="auto"/>
              </w:rPr>
              <w:t>EBITDA Achievement ​Budget Achievement</w:t>
            </w:r>
          </w:p>
        </w:tc>
        <w:tc>
          <w:tcPr>
            <w:tcW w:w="0" w:type="dxa"/>
            <w:vAlign w:val="bottom"/>
          </w:tcPr>
          <w:p>
            <w:pPr>
              <w:spacing w:after="0"/>
              <w:rPr>
                <w:sz w:val="1"/>
                <w:szCs w:val="1"/>
                <w:color w:val="auto"/>
              </w:rPr>
            </w:pPr>
          </w:p>
        </w:tc>
      </w:tr>
      <w:tr>
        <w:trPr>
          <w:trHeight w:val="160"/>
        </w:trPr>
        <w:tc>
          <w:tcPr>
            <w:tcW w:w="19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William B. Shepro</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ind w:left="680"/>
              <w:spacing w:after="0" w:line="161" w:lineRule="exact"/>
              <w:rPr>
                <w:sz w:val="20"/>
                <w:szCs w:val="20"/>
                <w:color w:val="auto"/>
              </w:rPr>
            </w:pPr>
            <w:r>
              <w:rPr>
                <w:rFonts w:ascii="Arial" w:cs="Arial" w:eastAsia="Arial" w:hAnsi="Arial"/>
                <w:sz w:val="15"/>
                <w:szCs w:val="15"/>
                <w:color w:val="auto"/>
              </w:rPr>
              <w:t>​84%</w:t>
            </w:r>
          </w:p>
        </w:tc>
        <w:tc>
          <w:tcPr>
            <w:tcW w:w="3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gridSpan w:val="2"/>
            <w:shd w:val="clear" w:color="auto" w:fill="CCEEFF"/>
          </w:tcPr>
          <w:p>
            <w:pPr>
              <w:ind w:left="620"/>
              <w:spacing w:after="0" w:line="161" w:lineRule="exact"/>
              <w:rPr>
                <w:sz w:val="20"/>
                <w:szCs w:val="20"/>
                <w:color w:val="auto"/>
              </w:rPr>
            </w:pPr>
            <w:r>
              <w:rPr>
                <w:rFonts w:ascii="Arial" w:cs="Arial" w:eastAsia="Arial" w:hAnsi="Arial"/>
                <w:sz w:val="15"/>
                <w:szCs w:val="15"/>
                <w:color w:val="auto"/>
              </w:rPr>
              <w:t>​ 87%</w:t>
            </w:r>
          </w:p>
        </w:tc>
        <w:tc>
          <w:tcPr>
            <w:tcW w:w="240" w:type="dxa"/>
            <w:vAlign w:val="bottom"/>
            <w:tcBorders>
              <w:top w:val="single" w:sz="8" w:color="auto"/>
            </w:tcBorders>
            <w:shd w:val="clear" w:color="auto" w:fill="CCEEFF"/>
          </w:tcPr>
          <w:p>
            <w:pPr>
              <w:ind w:left="200"/>
              <w:spacing w:after="0" w:line="161"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0" w:type="dxa"/>
            <w:vAlign w:val="bottom"/>
            <w:gridSpan w:val="2"/>
          </w:tcPr>
          <w:p>
            <w:pPr>
              <w:spacing w:after="0" w:line="169" w:lineRule="exact"/>
              <w:rPr>
                <w:sz w:val="20"/>
                <w:szCs w:val="20"/>
                <w:color w:val="auto"/>
              </w:rPr>
            </w:pPr>
            <w:r>
              <w:rPr>
                <w:rFonts w:ascii="Arial" w:cs="Arial" w:eastAsia="Arial" w:hAnsi="Arial"/>
                <w:sz w:val="15"/>
                <w:szCs w:val="15"/>
                <w:color w:val="auto"/>
              </w:rPr>
              <w:t>Michelle D. Esterman</w:t>
            </w:r>
          </w:p>
        </w:tc>
        <w:tc>
          <w:tcPr>
            <w:tcW w:w="1300" w:type="dxa"/>
            <w:vAlign w:val="bottom"/>
          </w:tcPr>
          <w:p>
            <w:pPr>
              <w:ind w:left="680"/>
              <w:spacing w:after="0" w:line="169" w:lineRule="exact"/>
              <w:rPr>
                <w:sz w:val="20"/>
                <w:szCs w:val="20"/>
                <w:color w:val="auto"/>
              </w:rPr>
            </w:pPr>
            <w:r>
              <w:rPr>
                <w:rFonts w:ascii="Arial" w:cs="Arial" w:eastAsia="Arial" w:hAnsi="Arial"/>
                <w:sz w:val="15"/>
                <w:szCs w:val="15"/>
                <w:color w:val="auto"/>
              </w:rPr>
              <w:t>​84%</w:t>
            </w:r>
          </w:p>
        </w:tc>
        <w:tc>
          <w:tcPr>
            <w:tcW w:w="4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300" w:type="dxa"/>
            <w:vAlign w:val="bottom"/>
            <w:gridSpan w:val="2"/>
          </w:tcPr>
          <w:p>
            <w:pPr>
              <w:ind w:left="620"/>
              <w:spacing w:after="0" w:line="169" w:lineRule="exact"/>
              <w:rPr>
                <w:sz w:val="20"/>
                <w:szCs w:val="20"/>
                <w:color w:val="auto"/>
              </w:rPr>
            </w:pPr>
            <w:r>
              <w:rPr>
                <w:rFonts w:ascii="Arial" w:cs="Arial" w:eastAsia="Arial" w:hAnsi="Arial"/>
                <w:sz w:val="15"/>
                <w:szCs w:val="15"/>
                <w:color w:val="auto"/>
              </w:rPr>
              <w:t>​ 87%</w:t>
            </w:r>
          </w:p>
        </w:tc>
        <w:tc>
          <w:tcPr>
            <w:tcW w:w="420" w:type="dxa"/>
            <w:vAlign w:val="bottom"/>
            <w:gridSpan w:val="3"/>
          </w:tcPr>
          <w:p>
            <w:pPr>
              <w:ind w:left="200"/>
              <w:spacing w:after="0" w:line="169" w:lineRule="exact"/>
              <w:rPr>
                <w:sz w:val="20"/>
                <w:szCs w:val="20"/>
                <w:color w:val="auto"/>
              </w:rPr>
            </w:pPr>
            <w:r>
              <w:rPr>
                <w:rFonts w:ascii="Arial" w:cs="Arial" w:eastAsia="Arial" w:hAnsi="Arial"/>
                <w:sz w:val="15"/>
                <w:szCs w:val="15"/>
                <w:color w:val="auto"/>
              </w:rPr>
              <w:t>​ ​</w:t>
            </w:r>
          </w:p>
        </w:tc>
        <w:tc>
          <w:tcPr>
            <w:tcW w:w="1340" w:type="dxa"/>
            <w:vAlign w:val="bottom"/>
          </w:tcPr>
          <w:p>
            <w:pPr>
              <w:ind w:left="500"/>
              <w:spacing w:after="0" w:line="169" w:lineRule="exact"/>
              <w:rPr>
                <w:sz w:val="20"/>
                <w:szCs w:val="20"/>
                <w:color w:val="auto"/>
              </w:rPr>
            </w:pPr>
            <w:r>
              <w:rPr>
                <w:rFonts w:ascii="Arial" w:cs="Arial" w:eastAsia="Arial" w:hAnsi="Arial"/>
                <w:sz w:val="15"/>
                <w:szCs w:val="15"/>
                <w:color w:val="auto"/>
              </w:rPr>
              <w:t>​125%</w:t>
            </w:r>
          </w:p>
        </w:tc>
        <w:tc>
          <w:tcPr>
            <w:tcW w:w="80" w:type="dxa"/>
            <w:vAlign w:val="bottom"/>
          </w:tcPr>
          <w:p>
            <w:pPr>
              <w:ind w:left="40"/>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13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​84%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 87%</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 ​</w:t>
            </w:r>
          </w:p>
        </w:tc>
        <w:tc>
          <w:tcPr>
            <w:tcW w:w="13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 110%</w:t>
            </w:r>
          </w:p>
        </w:tc>
        <w:tc>
          <w:tcPr>
            <w:tcW w:w="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-335915</wp:posOffset>
            </wp:positionV>
            <wp:extent cx="10160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16000" cy="698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-335915</wp:posOffset>
            </wp:positionV>
            <wp:extent cx="5715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-335915</wp:posOffset>
            </wp:positionV>
            <wp:extent cx="5715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50" cy="6985"/>
                    </a:xfrm>
                    <a:prstGeom prst="rect">
                      <a:avLst/>
                    </a:prstGeom>
                    <a:noFill/>
                  </pic:spPr>
                </pic:pic>
              </a:graphicData>
            </a:graphic>
          </wp:anchor>
        </w:drawing>
      </w:r>
    </w:p>
    <w:p>
      <w:pPr>
        <w:spacing w:after="0" w:line="78" w:lineRule="exact"/>
        <w:rPr>
          <w:sz w:val="20"/>
          <w:szCs w:val="20"/>
          <w:color w:val="auto"/>
        </w:rPr>
      </w:pPr>
    </w:p>
    <w:p>
      <w:pPr>
        <w:ind w:left="1080" w:right="1159"/>
        <w:spacing w:after="0" w:line="267" w:lineRule="auto"/>
        <w:rPr>
          <w:sz w:val="20"/>
          <w:szCs w:val="20"/>
          <w:color w:val="auto"/>
        </w:rPr>
      </w:pPr>
      <w:r>
        <w:rPr>
          <w:rFonts w:ascii="Arial" w:cs="Arial" w:eastAsia="Arial" w:hAnsi="Arial"/>
          <w:sz w:val="15"/>
          <w:szCs w:val="15"/>
          <w:color w:val="auto"/>
        </w:rPr>
        <w:t>The table below summarizes the levels of achievement, as determined by the Compensation Committee, for our Named Executive Officers on their scorecards set forth in the table above:</w:t>
      </w: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2580" w:type="dxa"/>
            <w:vAlign w:val="bottom"/>
            <w:vMerge w:val="restart"/>
          </w:tcPr>
          <w:p>
            <w:pPr>
              <w:ind w:left="1080"/>
              <w:spacing w:after="0"/>
              <w:rPr>
                <w:sz w:val="20"/>
                <w:szCs w:val="20"/>
                <w:color w:val="auto"/>
              </w:rPr>
            </w:pPr>
            <w:r>
              <w:rPr>
                <w:rFonts w:ascii="Arial" w:cs="Arial" w:eastAsia="Arial" w:hAnsi="Arial"/>
                <w:sz w:val="15"/>
                <w:szCs w:val="15"/>
                <w:b w:val="1"/>
                <w:bCs w:val="1"/>
                <w:color w:val="auto"/>
              </w:rPr>
              <w:t>Name</w:t>
            </w:r>
          </w:p>
        </w:tc>
        <w:tc>
          <w:tcPr>
            <w:tcW w:w="140" w:type="dxa"/>
            <w:vAlign w:val="bottom"/>
            <w:vMerge w:val="restart"/>
          </w:tcPr>
          <w:p>
            <w:pPr>
              <w:spacing w:after="0"/>
              <w:rPr>
                <w:sz w:val="14"/>
                <w:szCs w:val="14"/>
                <w:color w:val="auto"/>
              </w:rPr>
            </w:pPr>
          </w:p>
        </w:tc>
        <w:tc>
          <w:tcPr>
            <w:tcW w:w="1540" w:type="dxa"/>
            <w:vAlign w:val="bottom"/>
            <w:gridSpan w:val="2"/>
          </w:tcPr>
          <w:p>
            <w:pPr>
              <w:jc w:val="center"/>
              <w:ind w:left="105"/>
              <w:spacing w:after="0"/>
              <w:rPr>
                <w:sz w:val="20"/>
                <w:szCs w:val="20"/>
                <w:color w:val="auto"/>
              </w:rPr>
            </w:pPr>
            <w:r>
              <w:rPr>
                <w:rFonts w:ascii="Arial" w:cs="Arial" w:eastAsia="Arial" w:hAnsi="Arial"/>
                <w:sz w:val="15"/>
                <w:szCs w:val="15"/>
                <w:b w:val="1"/>
                <w:bCs w:val="1"/>
                <w:color w:val="auto"/>
                <w:w w:val="99"/>
              </w:rPr>
              <w:t>Target Annual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9"/>
              </w:rPr>
              <w:t>% Achievement</w:t>
            </w:r>
          </w:p>
        </w:tc>
        <w:tc>
          <w:tcPr>
            <w:tcW w:w="10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9"/>
              </w:rPr>
              <w:t>Earned Based</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Incentive Compensation</w:t>
            </w: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on Scorecard</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on Scorecard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line="161" w:lineRule="exact"/>
              <w:rPr>
                <w:sz w:val="20"/>
                <w:szCs w:val="20"/>
                <w:color w:val="auto"/>
              </w:rPr>
            </w:pPr>
            <w:r>
              <w:rPr>
                <w:rFonts w:ascii="Arial" w:cs="Arial" w:eastAsia="Arial" w:hAnsi="Arial"/>
                <w:sz w:val="15"/>
                <w:szCs w:val="15"/>
                <w:color w:val="auto"/>
              </w:rPr>
              <w:t>William B. Shepro</w:t>
            </w:r>
          </w:p>
        </w:tc>
        <w:tc>
          <w:tcPr>
            <w:tcW w:w="140" w:type="dxa"/>
            <w:vAlign w:val="bottom"/>
          </w:tcPr>
          <w:p>
            <w:pPr>
              <w:spacing w:after="0"/>
              <w:rPr>
                <w:sz w:val="13"/>
                <w:szCs w:val="13"/>
                <w:color w:val="auto"/>
              </w:rPr>
            </w:pPr>
          </w:p>
        </w:tc>
        <w:tc>
          <w:tcPr>
            <w:tcW w:w="580" w:type="dxa"/>
            <w:vAlign w:val="bottom"/>
          </w:tcPr>
          <w:p>
            <w:pPr>
              <w:ind w:left="440"/>
              <w:spacing w:after="0" w:line="161"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line="161" w:lineRule="exact"/>
              <w:rPr>
                <w:sz w:val="20"/>
                <w:szCs w:val="20"/>
                <w:color w:val="auto"/>
              </w:rPr>
            </w:pPr>
            <w:r>
              <w:rPr>
                <w:rFonts w:ascii="Arial" w:cs="Arial" w:eastAsia="Arial" w:hAnsi="Arial"/>
                <w:sz w:val="15"/>
                <w:szCs w:val="15"/>
                <w:color w:val="auto"/>
                <w:w w:val="98"/>
              </w:rPr>
              <w:t>1,425,530</w:t>
            </w:r>
          </w:p>
        </w:tc>
        <w:tc>
          <w:tcPr>
            <w:tcW w:w="340" w:type="dxa"/>
            <w:vAlign w:val="bottom"/>
            <w:gridSpan w:val="2"/>
          </w:tcPr>
          <w:p>
            <w:pPr>
              <w:ind w:left="180"/>
              <w:spacing w:after="0" w:line="161" w:lineRule="exact"/>
              <w:rPr>
                <w:sz w:val="20"/>
                <w:szCs w:val="20"/>
                <w:color w:val="auto"/>
              </w:rPr>
            </w:pPr>
            <w:r>
              <w:rPr>
                <w:rFonts w:ascii="Arial" w:cs="Arial" w:eastAsia="Arial" w:hAnsi="Arial"/>
                <w:sz w:val="15"/>
                <w:szCs w:val="15"/>
                <w:color w:val="auto"/>
              </w:rPr>
              <w:t>​</w:t>
            </w:r>
          </w:p>
        </w:tc>
        <w:tc>
          <w:tcPr>
            <w:tcW w:w="1060" w:type="dxa"/>
            <w:vAlign w:val="bottom"/>
          </w:tcPr>
          <w:p>
            <w:pPr>
              <w:ind w:left="360"/>
              <w:spacing w:after="0" w:line="161" w:lineRule="exact"/>
              <w:rPr>
                <w:sz w:val="20"/>
                <w:szCs w:val="20"/>
                <w:color w:val="auto"/>
              </w:rPr>
            </w:pPr>
            <w:r>
              <w:rPr>
                <w:rFonts w:ascii="Arial" w:cs="Arial" w:eastAsia="Arial" w:hAnsi="Arial"/>
                <w:sz w:val="15"/>
                <w:szCs w:val="15"/>
                <w:color w:val="auto"/>
              </w:rPr>
              <w:t>​60.4%</w:t>
            </w:r>
          </w:p>
        </w:tc>
        <w:tc>
          <w:tcPr>
            <w:tcW w:w="180" w:type="dxa"/>
            <w:vAlign w:val="bottom"/>
            <w:gridSpan w:val="2"/>
          </w:tcPr>
          <w:p>
            <w:pPr>
              <w:ind w:left="20"/>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center"/>
              <w:spacing w:after="0" w:line="161" w:lineRule="exact"/>
              <w:rPr>
                <w:sz w:val="20"/>
                <w:szCs w:val="20"/>
                <w:color w:val="auto"/>
              </w:rPr>
            </w:pPr>
            <w:r>
              <w:rPr>
                <w:rFonts w:ascii="Arial" w:cs="Arial" w:eastAsia="Arial" w:hAnsi="Arial"/>
                <w:sz w:val="15"/>
                <w:szCs w:val="15"/>
                <w:color w:val="auto"/>
              </w:rPr>
              <w:t>​$ 861,475</w:t>
            </w:r>
          </w:p>
        </w:tc>
        <w:tc>
          <w:tcPr>
            <w:tcW w:w="40" w:type="dxa"/>
            <w:vAlign w:val="bottom"/>
          </w:tcPr>
          <w:p>
            <w:pPr>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720" w:type="dxa"/>
            <w:vAlign w:val="bottom"/>
            <w:gridSpan w:val="2"/>
          </w:tcPr>
          <w:p>
            <w:pPr>
              <w:spacing w:after="0" w:line="169" w:lineRule="exact"/>
              <w:rPr>
                <w:sz w:val="20"/>
                <w:szCs w:val="20"/>
                <w:color w:val="auto"/>
              </w:rPr>
            </w:pPr>
            <w:r>
              <w:rPr>
                <w:rFonts w:ascii="Arial" w:cs="Arial" w:eastAsia="Arial" w:hAnsi="Arial"/>
                <w:sz w:val="15"/>
                <w:szCs w:val="15"/>
                <w:color w:val="auto"/>
              </w:rPr>
              <w:t>Michelle D. Esterman</w:t>
            </w:r>
          </w:p>
        </w:tc>
        <w:tc>
          <w:tcPr>
            <w:tcW w:w="580" w:type="dxa"/>
            <w:vAlign w:val="bottom"/>
          </w:tcPr>
          <w:p>
            <w:pPr>
              <w:ind w:left="440"/>
              <w:spacing w:after="0" w:line="169"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line="169" w:lineRule="exact"/>
              <w:rPr>
                <w:sz w:val="20"/>
                <w:szCs w:val="20"/>
                <w:color w:val="auto"/>
              </w:rPr>
            </w:pPr>
            <w:r>
              <w:rPr>
                <w:rFonts w:ascii="Arial" w:cs="Arial" w:eastAsia="Arial" w:hAnsi="Arial"/>
                <w:sz w:val="15"/>
                <w:szCs w:val="15"/>
                <w:color w:val="auto"/>
              </w:rPr>
              <w:t>300,000</w:t>
            </w:r>
          </w:p>
        </w:tc>
        <w:tc>
          <w:tcPr>
            <w:tcW w:w="34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w:t>
            </w:r>
          </w:p>
        </w:tc>
        <w:tc>
          <w:tcPr>
            <w:tcW w:w="1060" w:type="dxa"/>
            <w:vAlign w:val="bottom"/>
          </w:tcPr>
          <w:p>
            <w:pPr>
              <w:ind w:left="360"/>
              <w:spacing w:after="0" w:line="169" w:lineRule="exact"/>
              <w:rPr>
                <w:sz w:val="20"/>
                <w:szCs w:val="20"/>
                <w:color w:val="auto"/>
              </w:rPr>
            </w:pPr>
            <w:r>
              <w:rPr>
                <w:rFonts w:ascii="Arial" w:cs="Arial" w:eastAsia="Arial" w:hAnsi="Arial"/>
                <w:sz w:val="15"/>
                <w:szCs w:val="15"/>
                <w:color w:val="auto"/>
              </w:rPr>
              <w:t>​70.6%</w:t>
            </w:r>
          </w:p>
        </w:tc>
        <w:tc>
          <w:tcPr>
            <w:tcW w:w="180" w:type="dxa"/>
            <w:vAlign w:val="bottom"/>
            <w:gridSpan w:val="2"/>
          </w:tcPr>
          <w:p>
            <w:pPr>
              <w:ind w:left="20"/>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center"/>
              <w:spacing w:after="0" w:line="169" w:lineRule="exact"/>
              <w:rPr>
                <w:sz w:val="20"/>
                <w:szCs w:val="20"/>
                <w:color w:val="auto"/>
              </w:rPr>
            </w:pPr>
            <w:r>
              <w:rPr>
                <w:rFonts w:ascii="Arial" w:cs="Arial" w:eastAsia="Arial" w:hAnsi="Arial"/>
                <w:sz w:val="15"/>
                <w:szCs w:val="15"/>
                <w:color w:val="auto"/>
              </w:rPr>
              <w:t>​$ 211,663</w:t>
            </w:r>
          </w:p>
        </w:tc>
        <w:tc>
          <w:tcPr>
            <w:tcW w:w="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20" w:type="dxa"/>
            <w:vAlign w:val="bottom"/>
            <w:gridSpan w:val="2"/>
          </w:tcPr>
          <w:p>
            <w:pPr>
              <w:spacing w:after="0"/>
              <w:rPr>
                <w:sz w:val="20"/>
                <w:szCs w:val="20"/>
                <w:color w:val="auto"/>
              </w:rPr>
            </w:pPr>
            <w:r>
              <w:rPr>
                <w:rFonts w:ascii="Arial" w:cs="Arial" w:eastAsia="Arial" w:hAnsi="Arial"/>
                <w:sz w:val="15"/>
                <w:szCs w:val="15"/>
                <w:color w:val="auto"/>
              </w:rPr>
              <w:t>Gregory J. Ritts</w:t>
            </w:r>
          </w:p>
        </w:tc>
        <w:tc>
          <w:tcPr>
            <w:tcW w:w="580" w:type="dxa"/>
            <w:vAlign w:val="bottom"/>
          </w:tcPr>
          <w:p>
            <w:pPr>
              <w:ind w:left="44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rPr>
                <w:sz w:val="20"/>
                <w:szCs w:val="20"/>
                <w:color w:val="auto"/>
              </w:rPr>
            </w:pPr>
            <w:r>
              <w:rPr>
                <w:rFonts w:ascii="Arial" w:cs="Arial" w:eastAsia="Arial" w:hAnsi="Arial"/>
                <w:sz w:val="15"/>
                <w:szCs w:val="15"/>
                <w:color w:val="auto"/>
              </w:rPr>
              <w:t>246,000</w:t>
            </w:r>
          </w:p>
        </w:tc>
        <w:tc>
          <w:tcPr>
            <w:tcW w:w="34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1060" w:type="dxa"/>
            <w:vAlign w:val="bottom"/>
          </w:tcPr>
          <w:p>
            <w:pPr>
              <w:ind w:left="360"/>
              <w:spacing w:after="0"/>
              <w:rPr>
                <w:sz w:val="20"/>
                <w:szCs w:val="20"/>
                <w:color w:val="auto"/>
              </w:rPr>
            </w:pPr>
            <w:r>
              <w:rPr>
                <w:rFonts w:ascii="Arial" w:cs="Arial" w:eastAsia="Arial" w:hAnsi="Arial"/>
                <w:sz w:val="15"/>
                <w:szCs w:val="15"/>
                <w:color w:val="auto"/>
              </w:rPr>
              <w:t>​67.2%</w:t>
            </w:r>
          </w:p>
        </w:tc>
        <w:tc>
          <w:tcPr>
            <w:tcW w:w="1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000" w:type="dxa"/>
            <w:vAlign w:val="bottom"/>
          </w:tcPr>
          <w:p>
            <w:pPr>
              <w:jc w:val="center"/>
              <w:spacing w:after="0"/>
              <w:rPr>
                <w:sz w:val="20"/>
                <w:szCs w:val="20"/>
                <w:color w:val="auto"/>
              </w:rPr>
            </w:pPr>
            <w:r>
              <w:rPr>
                <w:rFonts w:ascii="Arial" w:cs="Arial" w:eastAsia="Arial" w:hAnsi="Arial"/>
                <w:sz w:val="15"/>
                <w:szCs w:val="15"/>
                <w:color w:val="auto"/>
              </w:rPr>
              <w:t>​$ 165,210</w:t>
            </w: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-113665</wp:posOffset>
            </wp:positionV>
            <wp:extent cx="4350385" cy="114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50385" cy="11430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-335915</wp:posOffset>
            </wp:positionV>
            <wp:extent cx="4350385" cy="114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50385" cy="114300"/>
                    </a:xfrm>
                    <a:prstGeom prst="rect">
                      <a:avLst/>
                    </a:prstGeom>
                    <a:noFill/>
                  </pic:spPr>
                </pic:pic>
              </a:graphicData>
            </a:graphic>
          </wp:anchor>
        </w:drawing>
      </w:r>
    </w:p>
    <w:p>
      <w:pPr>
        <w:spacing w:after="0" w:line="78" w:lineRule="exact"/>
        <w:rPr>
          <w:sz w:val="20"/>
          <w:szCs w:val="20"/>
          <w:color w:val="auto"/>
        </w:rPr>
      </w:pPr>
    </w:p>
    <w:p>
      <w:pPr>
        <w:ind w:left="1080" w:right="1099"/>
        <w:spacing w:after="0" w:line="253" w:lineRule="auto"/>
        <w:rPr>
          <w:sz w:val="20"/>
          <w:szCs w:val="20"/>
          <w:color w:val="auto"/>
        </w:rPr>
      </w:pPr>
      <w:r>
        <w:rPr>
          <w:rFonts w:ascii="Arial" w:cs="Arial" w:eastAsia="Arial" w:hAnsi="Arial"/>
          <w:sz w:val="15"/>
          <w:szCs w:val="15"/>
          <w:color w:val="auto"/>
        </w:rPr>
        <w:t>The Compensation Committee determined that the 2024 annual incentive compensation earned by our Named Executive Officers would be paid entirely in RSUs, rather than a mix of cash and equity. Historically, the cash portion was paid immediately. Under the new structure:</w:t>
      </w:r>
    </w:p>
    <w:p>
      <w:pPr>
        <w:spacing w:after="0" w:line="232" w:lineRule="exact"/>
        <w:rPr>
          <w:sz w:val="20"/>
          <w:szCs w:val="20"/>
          <w:color w:val="auto"/>
        </w:rPr>
      </w:pPr>
    </w:p>
    <w:p>
      <w:pPr>
        <w:ind w:left="1520" w:right="1319" w:hanging="141"/>
        <w:spacing w:after="0" w:line="278" w:lineRule="auto"/>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60% of the RSUs, which would have corresponded to the cash portion of the award, will now vest on the first anniversary of the grant date, rather than being paid immediately</w:t>
      </w:r>
    </w:p>
    <w:p>
      <w:pPr>
        <w:spacing w:after="0" w:line="231" w:lineRule="exact"/>
        <w:rPr>
          <w:rFonts w:ascii="Arial" w:cs="Arial" w:eastAsia="Arial" w:hAnsi="Arial"/>
          <w:sz w:val="15"/>
          <w:szCs w:val="15"/>
          <w:color w:val="auto"/>
        </w:rPr>
      </w:pPr>
    </w:p>
    <w:p>
      <w:pPr>
        <w:ind w:left="1520" w:right="1459" w:hanging="141"/>
        <w:spacing w:after="0" w:line="263" w:lineRule="auto"/>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remaining 40% vest equally on the first and second anniversaries of the grant date</w:t>
      </w:r>
    </w:p>
    <w:p>
      <w:pPr>
        <w:spacing w:after="0" w:line="261" w:lineRule="exact"/>
        <w:rPr>
          <w:rFonts w:ascii="Arial" w:cs="Arial" w:eastAsia="Arial" w:hAnsi="Arial"/>
          <w:sz w:val="15"/>
          <w:szCs w:val="15"/>
          <w:color w:val="auto"/>
        </w:rPr>
      </w:pPr>
    </w:p>
    <w:p>
      <w:pPr>
        <w:ind w:left="1520" w:hanging="141"/>
        <w:spacing w:after="0"/>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Vesting is subject to continued employment</w:t>
      </w:r>
    </w:p>
    <w:p>
      <w:pPr>
        <w:spacing w:after="0" w:line="120" w:lineRule="exact"/>
        <w:rPr>
          <w:sz w:val="20"/>
          <w:szCs w:val="20"/>
          <w:color w:val="auto"/>
        </w:rPr>
      </w:pPr>
    </w:p>
    <w:p>
      <w:pPr>
        <w:ind w:left="1080" w:right="1119"/>
        <w:spacing w:after="0" w:line="245" w:lineRule="auto"/>
        <w:rPr>
          <w:sz w:val="20"/>
          <w:szCs w:val="20"/>
          <w:color w:val="auto"/>
        </w:rPr>
      </w:pPr>
      <w:r>
        <w:rPr>
          <w:rFonts w:ascii="Arial" w:cs="Arial" w:eastAsia="Arial" w:hAnsi="Arial"/>
          <w:sz w:val="15"/>
          <w:szCs w:val="15"/>
          <w:color w:val="auto"/>
        </w:rPr>
        <w:t>The Compensation Committee exercised its discretion to pay the annual incentive compensation in RSUs and set the number of RSUs available for distribution in the Bonus Pool at 1.827 million, representing approximately 2.1% of the Company’s outstanding shares as of February 25, 2025. The resulting value of the Bonus Pool was $1.297 million as of the February 25, 2025 grant date, based on a per share price of $0.71, the average of the high and low trading prices of the Company’s common stock on the grant date. The final Bonus Pool of $1.297 million divided by $3.666 million, representing the achievement levels of all employees participating in the annual incentive plan is 35.38%. As a result, each Named Executive Officer received 35.38% of their scorecard achievement.</w:t>
      </w:r>
    </w:p>
    <w:p>
      <w:pPr>
        <w:spacing w:after="0" w:line="270" w:lineRule="exact"/>
        <w:rPr>
          <w:sz w:val="20"/>
          <w:szCs w:val="20"/>
          <w:color w:val="auto"/>
        </w:rPr>
      </w:pPr>
    </w:p>
    <w:p>
      <w:pPr>
        <w:ind w:left="1080" w:right="1199"/>
        <w:spacing w:after="0" w:line="270" w:lineRule="auto"/>
        <w:rPr>
          <w:sz w:val="20"/>
          <w:szCs w:val="20"/>
          <w:color w:val="auto"/>
        </w:rPr>
      </w:pPr>
      <w:r>
        <w:rPr>
          <w:rFonts w:ascii="Arial" w:cs="Arial" w:eastAsia="Arial" w:hAnsi="Arial"/>
          <w:sz w:val="15"/>
          <w:szCs w:val="15"/>
          <w:color w:val="auto"/>
        </w:rPr>
        <w:t>Awards for our Named Executive Officers were determined based on (i) performance on the scorecard metrics, (ii) available Bonus Pool and (iii) certain discretionary reallocations.</w:t>
      </w:r>
    </w:p>
    <w:p>
      <w:pPr>
        <w:spacing w:after="0" w:line="74" w:lineRule="exact"/>
        <w:rPr>
          <w:sz w:val="20"/>
          <w:szCs w:val="20"/>
          <w:color w:val="auto"/>
        </w:rPr>
      </w:pPr>
    </w:p>
    <w:p>
      <w:pPr>
        <w:ind w:left="1080" w:right="1179"/>
        <w:spacing w:after="0" w:line="248" w:lineRule="auto"/>
        <w:rPr>
          <w:sz w:val="20"/>
          <w:szCs w:val="20"/>
          <w:color w:val="auto"/>
        </w:rPr>
      </w:pPr>
      <w:r>
        <w:rPr>
          <w:rFonts w:ascii="Arial" w:cs="Arial" w:eastAsia="Arial" w:hAnsi="Arial"/>
          <w:sz w:val="15"/>
          <w:szCs w:val="15"/>
          <w:color w:val="auto"/>
        </w:rPr>
        <w:t>Under the Compensation Committee’s approved level of achievement, Mr. Shepro earned 429,303 RSUs, Ms. Esterman would have received 105,479 RSUs and Mr. Ritts would have received 82,330 RSUs. However, at Mr. Shepro’s request, the Compensation Committee approved a voluntary reallocation of 329,303 of his earned RSUs (representing 76.7% of his total earned RSUs) to other Altisource employees, without increasing the total number of RSUs granted.</w:t>
      </w:r>
    </w:p>
    <w:p>
      <w:pPr>
        <w:spacing w:after="0" w:line="269" w:lineRule="exact"/>
        <w:rPr>
          <w:sz w:val="20"/>
          <w:szCs w:val="20"/>
          <w:color w:val="auto"/>
        </w:rPr>
      </w:pPr>
    </w:p>
    <w:p>
      <w:pPr>
        <w:ind w:left="1080" w:right="1539"/>
        <w:spacing w:after="0" w:line="252" w:lineRule="auto"/>
        <w:rPr>
          <w:sz w:val="20"/>
          <w:szCs w:val="20"/>
          <w:color w:val="auto"/>
        </w:rPr>
      </w:pPr>
      <w:r>
        <w:rPr>
          <w:rFonts w:ascii="Arial" w:cs="Arial" w:eastAsia="Arial" w:hAnsi="Arial"/>
          <w:sz w:val="15"/>
          <w:szCs w:val="15"/>
          <w:color w:val="auto"/>
        </w:rPr>
        <w:t>As part of Mr. Shepro’s voluntary RSU reduction and reallocation, Ms. Esterman and Mr. Ritts each received an additional 75,000 RSUs, in recognition of their extraordinary contributions to the successful execution of the Transaction.</w:t>
      </w:r>
    </w:p>
    <w:p>
      <w:pPr>
        <w:spacing w:after="0" w:line="88" w:lineRule="exact"/>
        <w:rPr>
          <w:sz w:val="20"/>
          <w:szCs w:val="20"/>
          <w:color w:val="auto"/>
        </w:rPr>
      </w:pPr>
    </w:p>
    <w:p>
      <w:pPr>
        <w:ind w:left="1080" w:right="1279"/>
        <w:spacing w:after="0" w:line="253" w:lineRule="auto"/>
        <w:rPr>
          <w:sz w:val="20"/>
          <w:szCs w:val="20"/>
          <w:color w:val="auto"/>
        </w:rPr>
      </w:pPr>
      <w:r>
        <w:rPr>
          <w:rFonts w:ascii="Arial" w:cs="Arial" w:eastAsia="Arial" w:hAnsi="Arial"/>
          <w:sz w:val="15"/>
          <w:szCs w:val="15"/>
          <w:color w:val="auto"/>
        </w:rPr>
        <w:t>The table below summarizes the equity award actually received by each Named Executive Officer as an annual incentive, as of the February 25, 2025 grant date. These awards are based on a per share price of $0.71, the average of the high and low trading prices on that date:</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040" w:type="dxa"/>
            <w:vAlign w:val="bottom"/>
          </w:tcPr>
          <w:p>
            <w:pPr>
              <w:spacing w:after="0"/>
              <w:rPr>
                <w:sz w:val="15"/>
                <w:szCs w:val="15"/>
                <w:color w:val="auto"/>
              </w:rPr>
            </w:pPr>
          </w:p>
        </w:tc>
        <w:tc>
          <w:tcPr>
            <w:tcW w:w="2680" w:type="dxa"/>
            <w:vAlign w:val="bottom"/>
            <w:vMerge w:val="restart"/>
          </w:tcPr>
          <w:p>
            <w:pPr>
              <w:ind w:left="1140"/>
              <w:spacing w:after="0"/>
              <w:rPr>
                <w:sz w:val="20"/>
                <w:szCs w:val="20"/>
                <w:color w:val="auto"/>
              </w:rPr>
            </w:pPr>
            <w:r>
              <w:rPr>
                <w:rFonts w:ascii="Arial" w:cs="Arial" w:eastAsia="Arial" w:hAnsi="Arial"/>
                <w:sz w:val="15"/>
                <w:szCs w:val="15"/>
                <w:b w:val="1"/>
                <w:bCs w:val="1"/>
                <w:color w:val="auto"/>
              </w:rPr>
              <w:t>Name</w:t>
            </w:r>
          </w:p>
        </w:tc>
        <w:tc>
          <w:tcPr>
            <w:tcW w:w="140" w:type="dxa"/>
            <w:vAlign w:val="bottom"/>
            <w:vMerge w:val="restart"/>
          </w:tcPr>
          <w:p>
            <w:pPr>
              <w:spacing w:after="0"/>
              <w:rPr>
                <w:sz w:val="15"/>
                <w:szCs w:val="15"/>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5"/>
                <w:szCs w:val="15"/>
                <w:b w:val="1"/>
                <w:bCs w:val="1"/>
                <w:color w:val="auto"/>
                <w:w w:val="99"/>
              </w:rPr>
              <w:t># RSUs Granted</w:t>
            </w:r>
          </w:p>
        </w:tc>
        <w:tc>
          <w:tcPr>
            <w:tcW w:w="120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9"/>
              </w:rPr>
              <w:t>Effective Value</w:t>
            </w:r>
          </w:p>
        </w:tc>
        <w:tc>
          <w:tcPr>
            <w:tcW w:w="1540" w:type="dxa"/>
            <w:vAlign w:val="bottom"/>
            <w:gridSpan w:val="2"/>
          </w:tcPr>
          <w:p>
            <w:pPr>
              <w:jc w:val="center"/>
              <w:spacing w:after="0"/>
              <w:rPr>
                <w:sz w:val="20"/>
                <w:szCs w:val="20"/>
                <w:color w:val="auto"/>
              </w:rPr>
            </w:pPr>
            <w:r>
              <w:rPr>
                <w:rFonts w:ascii="Arial" w:cs="Arial" w:eastAsia="Arial" w:hAnsi="Arial"/>
                <w:sz w:val="15"/>
                <w:szCs w:val="15"/>
                <w:b w:val="1"/>
                <w:bCs w:val="1"/>
                <w:color w:val="auto"/>
              </w:rPr>
              <w:t>Percentage Earnings</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2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320" w:type="dxa"/>
            <w:vAlign w:val="bottom"/>
          </w:tcPr>
          <w:p>
            <w:pPr>
              <w:jc w:val="center"/>
              <w:ind w:left="165"/>
              <w:spacing w:after="0"/>
              <w:rPr>
                <w:sz w:val="20"/>
                <w:szCs w:val="20"/>
                <w:color w:val="auto"/>
              </w:rPr>
            </w:pPr>
            <w:r>
              <w:rPr>
                <w:rFonts w:ascii="Arial" w:cs="Arial" w:eastAsia="Arial" w:hAnsi="Arial"/>
                <w:sz w:val="15"/>
                <w:szCs w:val="15"/>
                <w:b w:val="1"/>
                <w:bCs w:val="1"/>
                <w:color w:val="auto"/>
                <w:w w:val="97"/>
              </w:rPr>
              <w:t>(of Target)</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40" w:type="dxa"/>
            <w:vAlign w:val="bottom"/>
          </w:tcPr>
          <w:p>
            <w:pPr>
              <w:spacing w:after="0"/>
              <w:rPr>
                <w:sz w:val="13"/>
                <w:szCs w:val="13"/>
                <w:color w:val="auto"/>
              </w:rPr>
            </w:pPr>
          </w:p>
        </w:tc>
        <w:tc>
          <w:tcPr>
            <w:tcW w:w="26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William B. Shepro</w:t>
            </w:r>
          </w:p>
        </w:tc>
        <w:tc>
          <w:tcPr>
            <w:tcW w:w="140" w:type="dxa"/>
            <w:vAlign w:val="bottom"/>
            <w:vMerge w:val="continue"/>
            <w:shd w:val="clear" w:color="auto" w:fill="CCEEFF"/>
          </w:tcPr>
          <w:p>
            <w:pPr>
              <w:spacing w:after="0"/>
              <w:rPr>
                <w:sz w:val="13"/>
                <w:szCs w:val="13"/>
                <w:color w:val="auto"/>
              </w:rPr>
            </w:pPr>
          </w:p>
        </w:tc>
        <w:tc>
          <w:tcPr>
            <w:tcW w:w="1140" w:type="dxa"/>
            <w:vAlign w:val="bottom"/>
            <w:shd w:val="clear" w:color="auto" w:fill="CCEEFF"/>
          </w:tcPr>
          <w:p>
            <w:pPr>
              <w:jc w:val="center"/>
              <w:spacing w:after="0" w:line="161" w:lineRule="exact"/>
              <w:rPr>
                <w:sz w:val="20"/>
                <w:szCs w:val="20"/>
                <w:color w:val="auto"/>
              </w:rPr>
            </w:pPr>
            <w:r>
              <w:rPr>
                <w:rFonts w:ascii="Arial" w:cs="Arial" w:eastAsia="Arial" w:hAnsi="Arial"/>
                <w:sz w:val="15"/>
                <w:szCs w:val="15"/>
                <w:color w:val="auto"/>
              </w:rPr>
              <w:t>​ 100,000</w:t>
            </w:r>
          </w:p>
        </w:tc>
        <w:tc>
          <w:tcPr>
            <w:tcW w:w="140" w:type="dxa"/>
            <w:vAlign w:val="bottom"/>
            <w:vMerge w:val="continue"/>
            <w:shd w:val="clear" w:color="auto" w:fill="CCEEFF"/>
          </w:tcPr>
          <w:p>
            <w:pPr>
              <w:spacing w:after="0"/>
              <w:rPr>
                <w:sz w:val="13"/>
                <w:szCs w:val="13"/>
                <w:color w:val="auto"/>
              </w:rPr>
            </w:pPr>
          </w:p>
        </w:tc>
        <w:tc>
          <w:tcPr>
            <w:tcW w:w="960" w:type="dxa"/>
            <w:vAlign w:val="bottom"/>
            <w:shd w:val="clear" w:color="auto" w:fill="CCEEFF"/>
          </w:tcPr>
          <w:p>
            <w:pPr>
              <w:jc w:val="center"/>
              <w:ind w:left="25"/>
              <w:spacing w:after="0" w:line="161" w:lineRule="exact"/>
              <w:rPr>
                <w:sz w:val="20"/>
                <w:szCs w:val="20"/>
                <w:color w:val="auto"/>
              </w:rPr>
            </w:pPr>
            <w:r>
              <w:rPr>
                <w:rFonts w:ascii="Arial" w:cs="Arial" w:eastAsia="Arial" w:hAnsi="Arial"/>
                <w:sz w:val="15"/>
                <w:szCs w:val="15"/>
                <w:color w:val="auto"/>
              </w:rPr>
              <w:t>​$  71,000</w:t>
            </w:r>
          </w:p>
        </w:tc>
        <w:tc>
          <w:tcPr>
            <w:tcW w:w="240" w:type="dxa"/>
            <w:vAlign w:val="bottom"/>
            <w:gridSpan w:val="2"/>
            <w:shd w:val="clear" w:color="auto" w:fill="CCEEFF"/>
          </w:tcPr>
          <w:p>
            <w:pPr>
              <w:ind w:left="100"/>
              <w:spacing w:after="0" w:line="161" w:lineRule="exact"/>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560"/>
              <w:spacing w:after="0" w:line="161" w:lineRule="exact"/>
              <w:rPr>
                <w:sz w:val="20"/>
                <w:szCs w:val="20"/>
                <w:color w:val="auto"/>
              </w:rPr>
            </w:pPr>
            <w:r>
              <w:rPr>
                <w:rFonts w:ascii="Arial" w:cs="Arial" w:eastAsia="Arial" w:hAnsi="Arial"/>
                <w:sz w:val="15"/>
                <w:szCs w:val="15"/>
                <w:color w:val="auto"/>
              </w:rPr>
              <w:t>​  5.0%</w:t>
            </w:r>
          </w:p>
        </w:tc>
        <w:tc>
          <w:tcPr>
            <w:tcW w:w="220" w:type="dxa"/>
            <w:vAlign w:val="bottom"/>
            <w:shd w:val="clear" w:color="auto" w:fill="CCEEFF"/>
          </w:tcPr>
          <w:p>
            <w:pPr>
              <w:ind w:left="180"/>
              <w:spacing w:after="0" w:line="161" w:lineRule="exact"/>
              <w:rPr>
                <w:sz w:val="20"/>
                <w:szCs w:val="20"/>
                <w:color w:val="auto"/>
              </w:rPr>
            </w:pPr>
            <w:r>
              <w:rPr>
                <w:rFonts w:ascii="Arial" w:cs="Arial" w:eastAsia="Arial" w:hAnsi="Arial"/>
                <w:sz w:val="15"/>
                <w:szCs w:val="15"/>
                <w:color w:val="auto"/>
              </w:rPr>
              <w:t>​</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820" w:type="dxa"/>
            <w:vAlign w:val="bottom"/>
            <w:gridSpan w:val="2"/>
          </w:tcPr>
          <w:p>
            <w:pPr>
              <w:spacing w:after="0" w:line="169" w:lineRule="exact"/>
              <w:rPr>
                <w:sz w:val="20"/>
                <w:szCs w:val="20"/>
                <w:color w:val="auto"/>
              </w:rPr>
            </w:pPr>
            <w:r>
              <w:rPr>
                <w:rFonts w:ascii="Arial" w:cs="Arial" w:eastAsia="Arial" w:hAnsi="Arial"/>
                <w:sz w:val="15"/>
                <w:szCs w:val="15"/>
                <w:color w:val="auto"/>
              </w:rPr>
              <w:t>Michelle D. Esterman</w:t>
            </w:r>
          </w:p>
        </w:tc>
        <w:tc>
          <w:tcPr>
            <w:tcW w:w="1280" w:type="dxa"/>
            <w:vAlign w:val="bottom"/>
            <w:gridSpan w:val="2"/>
          </w:tcPr>
          <w:p>
            <w:pPr>
              <w:jc w:val="center"/>
              <w:ind w:right="180"/>
              <w:spacing w:after="0" w:line="169" w:lineRule="exact"/>
              <w:rPr>
                <w:sz w:val="20"/>
                <w:szCs w:val="20"/>
                <w:color w:val="auto"/>
              </w:rPr>
            </w:pPr>
            <w:r>
              <w:rPr>
                <w:rFonts w:ascii="Arial" w:cs="Arial" w:eastAsia="Arial" w:hAnsi="Arial"/>
                <w:sz w:val="15"/>
                <w:szCs w:val="15"/>
                <w:color w:val="auto"/>
              </w:rPr>
              <w:t>​ 180,479</w:t>
            </w:r>
          </w:p>
        </w:tc>
        <w:tc>
          <w:tcPr>
            <w:tcW w:w="960" w:type="dxa"/>
            <w:vAlign w:val="bottom"/>
          </w:tcPr>
          <w:p>
            <w:pPr>
              <w:jc w:val="center"/>
              <w:ind w:left="25"/>
              <w:spacing w:after="0" w:line="169" w:lineRule="exact"/>
              <w:rPr>
                <w:sz w:val="20"/>
                <w:szCs w:val="20"/>
                <w:color w:val="auto"/>
              </w:rPr>
            </w:pPr>
            <w:r>
              <w:rPr>
                <w:rFonts w:ascii="Arial" w:cs="Arial" w:eastAsia="Arial" w:hAnsi="Arial"/>
                <w:sz w:val="15"/>
                <w:szCs w:val="15"/>
                <w:color w:val="auto"/>
                <w:w w:val="98"/>
              </w:rPr>
              <w:t>​$ 128,140</w:t>
            </w:r>
          </w:p>
        </w:tc>
        <w:tc>
          <w:tcPr>
            <w:tcW w:w="24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w:t>
            </w:r>
          </w:p>
        </w:tc>
        <w:tc>
          <w:tcPr>
            <w:tcW w:w="1320" w:type="dxa"/>
            <w:vAlign w:val="bottom"/>
          </w:tcPr>
          <w:p>
            <w:pPr>
              <w:ind w:left="560"/>
              <w:spacing w:after="0" w:line="169" w:lineRule="exact"/>
              <w:rPr>
                <w:sz w:val="20"/>
                <w:szCs w:val="20"/>
                <w:color w:val="auto"/>
              </w:rPr>
            </w:pPr>
            <w:r>
              <w:rPr>
                <w:rFonts w:ascii="Arial" w:cs="Arial" w:eastAsia="Arial" w:hAnsi="Arial"/>
                <w:sz w:val="15"/>
                <w:szCs w:val="15"/>
                <w:color w:val="auto"/>
              </w:rPr>
              <w:t>​ 42.7%</w:t>
            </w:r>
          </w:p>
        </w:tc>
        <w:tc>
          <w:tcPr>
            <w:tcW w:w="220" w:type="dxa"/>
            <w:vAlign w:val="bottom"/>
          </w:tcPr>
          <w:p>
            <w:pPr>
              <w:ind w:left="180"/>
              <w:spacing w:after="0" w:line="169" w:lineRule="exact"/>
              <w:rPr>
                <w:sz w:val="20"/>
                <w:szCs w:val="20"/>
                <w:color w:val="auto"/>
              </w:rPr>
            </w:pPr>
            <w:r>
              <w:rPr>
                <w:rFonts w:ascii="Arial" w:cs="Arial" w:eastAsia="Arial" w:hAnsi="Arial"/>
                <w:sz w:val="15"/>
                <w:szCs w:val="15"/>
                <w:color w:val="auto"/>
              </w:rPr>
              <w: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 157,330</w:t>
            </w:r>
          </w:p>
        </w:tc>
        <w:tc>
          <w:tcPr>
            <w:tcW w:w="960" w:type="dxa"/>
            <w:vAlign w:val="bottom"/>
            <w:shd w:val="clear" w:color="auto" w:fill="CCEEFF"/>
          </w:tcPr>
          <w:p>
            <w:pPr>
              <w:jc w:val="center"/>
              <w:ind w:left="25"/>
              <w:spacing w:after="0"/>
              <w:rPr>
                <w:sz w:val="20"/>
                <w:szCs w:val="20"/>
                <w:color w:val="auto"/>
              </w:rPr>
            </w:pPr>
            <w:r>
              <w:rPr>
                <w:rFonts w:ascii="Arial" w:cs="Arial" w:eastAsia="Arial" w:hAnsi="Arial"/>
                <w:sz w:val="15"/>
                <w:szCs w:val="15"/>
                <w:color w:val="auto"/>
                <w:w w:val="98"/>
              </w:rPr>
              <w:t>​$ 111,704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5"/>
                <w:szCs w:val="15"/>
                <w:color w:val="auto"/>
              </w:rPr>
              <w:t>​ 45.4%</w:t>
            </w:r>
          </w:p>
        </w:tc>
        <w:tc>
          <w:tcPr>
            <w:tcW w:w="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0"/>
        </w:trPr>
        <w:tc>
          <w:tcPr>
            <w:tcW w:w="1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85"/>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-886460</wp:posOffset>
            </wp:positionV>
            <wp:extent cx="857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-886460</wp:posOffset>
            </wp:positionV>
            <wp:extent cx="857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-886460</wp:posOffset>
            </wp:positionV>
            <wp:extent cx="857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-26670</wp:posOffset>
            </wp:positionV>
            <wp:extent cx="3238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-26670</wp:posOffset>
            </wp:positionV>
            <wp:extent cx="3238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6" w:name="page37"/>
    <w:bookmarkEnd w:id="36"/>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-181610</wp:posOffset>
            </wp:positionV>
            <wp:extent cx="1352550" cy="1219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52550" cy="121920"/>
                    </a:xfrm>
                    <a:prstGeom prst="rect">
                      <a:avLst/>
                    </a:prstGeom>
                    <a:noFill/>
                  </pic:spPr>
                </pic:pic>
              </a:graphicData>
            </a:graphic>
          </wp:anchor>
        </w:drawing>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2024 Long-Term Incentive Plan Awards</w:t>
      </w:r>
    </w:p>
    <w:p>
      <w:pPr>
        <w:spacing w:after="0" w:line="120" w:lineRule="exact"/>
        <w:rPr>
          <w:sz w:val="20"/>
          <w:szCs w:val="20"/>
          <w:color w:val="auto"/>
        </w:rPr>
      </w:pPr>
    </w:p>
    <w:p>
      <w:pPr>
        <w:jc w:val="both"/>
        <w:ind w:left="1080" w:right="1379"/>
        <w:spacing w:after="0" w:line="268" w:lineRule="auto"/>
        <w:rPr>
          <w:sz w:val="20"/>
          <w:szCs w:val="20"/>
          <w:color w:val="auto"/>
        </w:rPr>
      </w:pPr>
      <w:r>
        <w:rPr>
          <w:rFonts w:ascii="Arial" w:cs="Arial" w:eastAsia="Arial" w:hAnsi="Arial"/>
          <w:sz w:val="15"/>
          <w:szCs w:val="15"/>
          <w:color w:val="auto"/>
        </w:rPr>
        <w:t>In February 2024, the Compensation Committee approved the 2024 Long-Term Incentive Plan (“LTIP”) equity awards for our Named Executive Officers. The awards are comprised equally of time-based RSUs and performance and market-based RSUs.</w:t>
      </w:r>
    </w:p>
    <w:p>
      <w:pPr>
        <w:spacing w:after="0" w:line="87" w:lineRule="exact"/>
        <w:rPr>
          <w:sz w:val="20"/>
          <w:szCs w:val="20"/>
          <w:color w:val="auto"/>
        </w:rPr>
      </w:pPr>
    </w:p>
    <w:p>
      <w:pPr>
        <w:ind w:left="1080" w:right="1379"/>
        <w:spacing w:after="0" w:line="268" w:lineRule="auto"/>
        <w:rPr>
          <w:sz w:val="20"/>
          <w:szCs w:val="20"/>
          <w:color w:val="auto"/>
        </w:rPr>
      </w:pPr>
      <w:r>
        <w:rPr>
          <w:rFonts w:ascii="Arial" w:cs="Arial" w:eastAsia="Arial" w:hAnsi="Arial"/>
          <w:sz w:val="15"/>
          <w:szCs w:val="15"/>
          <w:color w:val="auto"/>
        </w:rPr>
        <w:t>The time-based RSUs vest in three equal annual increments on each of the first three anniversaries of the grant date, subject to employment status and other conditions as set forth in the applicable award agreements.</w:t>
      </w:r>
    </w:p>
    <w:p>
      <w:pPr>
        <w:spacing w:after="0" w:line="87" w:lineRule="exact"/>
        <w:rPr>
          <w:sz w:val="20"/>
          <w:szCs w:val="20"/>
          <w:color w:val="auto"/>
        </w:rPr>
      </w:pPr>
    </w:p>
    <w:p>
      <w:pPr>
        <w:ind w:left="1080" w:right="1099"/>
        <w:spacing w:after="0" w:line="253" w:lineRule="auto"/>
        <w:rPr>
          <w:sz w:val="20"/>
          <w:szCs w:val="20"/>
          <w:color w:val="auto"/>
        </w:rPr>
      </w:pPr>
      <w:r>
        <w:rPr>
          <w:rFonts w:ascii="Arial" w:cs="Arial" w:eastAsia="Arial" w:hAnsi="Arial"/>
          <w:sz w:val="15"/>
          <w:szCs w:val="15"/>
          <w:color w:val="auto"/>
        </w:rPr>
        <w:t>The earned performance and market-based RSUs will cliff vest entirely on the third anniversary of the grant date, subject to continued employment and other conditions as set forth in the applicable award agreements. The determination of the amount of the award that vests will be based on a two-step process. In the first step, the number of RSUs that vest will be based on the Company’s achievement of pre-established goals tied to the Company’s 2024, 2025 and 2026 adjusted earnings per share (a non-GAAP measure). Based on the Company’s level of performance versus the adjusted earnings per share goals, the RSUs will have the opportunity to vest between zero percent (0%) and up to one hundred fifty percent (150%) of the initial target levels (the “Initial Award Size”). In the second step, the Initial Award Size may be further modified based on Altisource’s Total Shareholder Return (“TSR”) versus the return of the Russell 2000 Index during the applicable performance period (2024-2026), resulting in final vested RSUs ranging from zero percent (0%) to two hundred twenty-five percent (225%) of the Initial Award Size.</w:t>
      </w:r>
    </w:p>
    <w:p>
      <w:pPr>
        <w:spacing w:after="0" w:line="274" w:lineRule="exact"/>
        <w:rPr>
          <w:sz w:val="20"/>
          <w:szCs w:val="20"/>
          <w:color w:val="auto"/>
        </w:rPr>
      </w:pPr>
    </w:p>
    <w:p>
      <w:pPr>
        <w:ind w:left="1080" w:right="1519"/>
        <w:spacing w:after="0" w:line="286" w:lineRule="auto"/>
        <w:rPr>
          <w:sz w:val="20"/>
          <w:szCs w:val="20"/>
          <w:color w:val="auto"/>
        </w:rPr>
      </w:pPr>
      <w:r>
        <w:rPr>
          <w:rFonts w:ascii="Arial" w:cs="Arial" w:eastAsia="Arial" w:hAnsi="Arial"/>
          <w:sz w:val="15"/>
          <w:szCs w:val="15"/>
          <w:color w:val="auto"/>
        </w:rPr>
        <w:t>As illustrated in the graphic below, adjusted EPS (earnings per share) and relative TSR results will determine the portion of the performance and market-based RSUs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77470</wp:posOffset>
            </wp:positionV>
            <wp:extent cx="4028440" cy="1101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28440" cy="110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right="1159"/>
        <w:spacing w:after="0" w:line="261" w:lineRule="auto"/>
        <w:rPr>
          <w:sz w:val="20"/>
          <w:szCs w:val="20"/>
          <w:color w:val="auto"/>
        </w:rPr>
      </w:pPr>
      <w:r>
        <w:rPr>
          <w:rFonts w:ascii="Arial" w:cs="Arial" w:eastAsia="Arial" w:hAnsi="Arial"/>
          <w:sz w:val="15"/>
          <w:szCs w:val="15"/>
          <w:color w:val="auto"/>
        </w:rPr>
        <w:t>The 2024 LTIP equity awards are designed to incentivize the achievement of adjusted earnings per share goals and stock-price appreciation compared to the Russell 2000, over a multi-year period. This approach supports a long-term focus, further aligns executive compensation with shareholder interests and market practice, and aids in the retention of our executives.</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2024 LTIP equity awards were approved for our Named Executive Officers, as follows:</w:t>
      </w:r>
    </w:p>
    <w:p>
      <w:pPr>
        <w:spacing w:after="0" w:line="120"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ind w:left="5"/>
              <w:spacing w:after="0"/>
              <w:rPr>
                <w:sz w:val="20"/>
                <w:szCs w:val="20"/>
                <w:color w:val="auto"/>
              </w:rPr>
            </w:pPr>
            <w:r>
              <w:rPr>
                <w:rFonts w:ascii="Arial" w:cs="Arial" w:eastAsia="Arial" w:hAnsi="Arial"/>
                <w:sz w:val="15"/>
                <w:szCs w:val="15"/>
                <w:b w:val="1"/>
                <w:bCs w:val="1"/>
                <w:color w:val="auto"/>
              </w:rPr>
              <w:t>Performance and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20" w:type="dxa"/>
            <w:vAlign w:val="bottom"/>
          </w:tcPr>
          <w:p>
            <w:pPr>
              <w:ind w:left="1200"/>
              <w:spacing w:after="0"/>
              <w:rPr>
                <w:sz w:val="20"/>
                <w:szCs w:val="20"/>
                <w:color w:val="auto"/>
              </w:rPr>
            </w:pPr>
            <w:r>
              <w:rPr>
                <w:rFonts w:ascii="Arial" w:cs="Arial" w:eastAsia="Arial" w:hAnsi="Arial"/>
                <w:sz w:val="15"/>
                <w:szCs w:val="15"/>
                <w:b w:val="1"/>
                <w:bCs w:val="1"/>
                <w:color w:val="auto"/>
              </w:rPr>
              <w:t>Name</w:t>
            </w:r>
          </w:p>
        </w:tc>
        <w:tc>
          <w:tcPr>
            <w:tcW w:w="14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5"/>
                <w:szCs w:val="15"/>
                <w:b w:val="1"/>
                <w:bCs w:val="1"/>
                <w:color w:val="auto"/>
              </w:rPr>
              <w:t>Time-Based RSUs</w:t>
            </w:r>
          </w:p>
        </w:tc>
        <w:tc>
          <w:tcPr>
            <w:tcW w:w="2520" w:type="dxa"/>
            <w:vAlign w:val="bottom"/>
            <w:gridSpan w:val="6"/>
          </w:tcPr>
          <w:p>
            <w:pPr>
              <w:ind w:left="40"/>
              <w:spacing w:after="0"/>
              <w:rPr>
                <w:sz w:val="20"/>
                <w:szCs w:val="20"/>
                <w:color w:val="auto"/>
              </w:rPr>
            </w:pPr>
            <w:r>
              <w:rPr>
                <w:rFonts w:ascii="Arial" w:cs="Arial" w:eastAsia="Arial" w:hAnsi="Arial"/>
                <w:sz w:val="15"/>
                <w:szCs w:val="15"/>
                <w:b w:val="1"/>
                <w:bCs w:val="1"/>
                <w:color w:val="auto"/>
              </w:rPr>
              <w:t>​Market-Based RSUs ​ ​Total Award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ind w:left="40"/>
              <w:spacing w:after="0"/>
              <w:rPr>
                <w:sz w:val="20"/>
                <w:szCs w:val="20"/>
                <w:color w:val="auto"/>
              </w:rPr>
            </w:pPr>
            <w:r>
              <w:rPr>
                <w:rFonts w:ascii="Arial" w:cs="Arial" w:eastAsia="Arial" w:hAnsi="Arial"/>
                <w:sz w:val="1"/>
                <w:szCs w:val="1"/>
                <w:color w:val="auto"/>
                <w:w w:val="4294942296"/>
              </w:rPr>
              <w:t>​</w:t>
            </w:r>
          </w:p>
        </w:tc>
        <w:tc>
          <w:tcPr>
            <w:tcW w:w="1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60"/>
        </w:trPr>
        <w:tc>
          <w:tcPr>
            <w:tcW w:w="28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William B. Shepro</w:t>
            </w:r>
          </w:p>
        </w:tc>
        <w:tc>
          <w:tcPr>
            <w:tcW w:w="140" w:type="dxa"/>
            <w:vAlign w:val="bottom"/>
            <w:vMerge w:val="continue"/>
            <w:shd w:val="clear" w:color="auto" w:fill="CCEEFF"/>
          </w:tcPr>
          <w:p>
            <w:pPr>
              <w:spacing w:after="0"/>
              <w:rPr>
                <w:sz w:val="13"/>
                <w:szCs w:val="13"/>
                <w:color w:val="auto"/>
              </w:rPr>
            </w:pPr>
          </w:p>
        </w:tc>
        <w:tc>
          <w:tcPr>
            <w:tcW w:w="1080" w:type="dxa"/>
            <w:vAlign w:val="bottom"/>
            <w:shd w:val="clear" w:color="auto" w:fill="CCEEFF"/>
          </w:tcPr>
          <w:p>
            <w:pPr>
              <w:jc w:val="center"/>
              <w:ind w:left="105"/>
              <w:spacing w:after="0" w:line="161" w:lineRule="exact"/>
              <w:rPr>
                <w:sz w:val="20"/>
                <w:szCs w:val="20"/>
                <w:color w:val="auto"/>
              </w:rPr>
            </w:pPr>
            <w:r>
              <w:rPr>
                <w:rFonts w:ascii="Arial" w:cs="Arial" w:eastAsia="Arial" w:hAnsi="Arial"/>
                <w:sz w:val="15"/>
                <w:szCs w:val="15"/>
                <w:color w:val="auto"/>
              </w:rPr>
              <w:t>​ 78,146</w:t>
            </w:r>
          </w:p>
        </w:tc>
        <w:tc>
          <w:tcPr>
            <w:tcW w:w="280" w:type="dxa"/>
            <w:vAlign w:val="bottom"/>
            <w:tcBorders>
              <w:right w:val="single" w:sz="8" w:color="CCEEFF"/>
            </w:tcBorders>
            <w:shd w:val="clear" w:color="auto" w:fill="CCEEFF"/>
          </w:tcPr>
          <w:p>
            <w:pPr>
              <w:ind w:left="180"/>
              <w:spacing w:after="0" w:line="161" w:lineRule="exact"/>
              <w:rPr>
                <w:sz w:val="20"/>
                <w:szCs w:val="20"/>
                <w:color w:val="auto"/>
              </w:rPr>
            </w:pPr>
            <w:r>
              <w:rPr>
                <w:rFonts w:ascii="Arial" w:cs="Arial" w:eastAsia="Arial" w:hAnsi="Arial"/>
                <w:sz w:val="15"/>
                <w:szCs w:val="15"/>
                <w:color w:val="auto"/>
              </w:rPr>
              <w:t>​</w:t>
            </w:r>
          </w:p>
        </w:tc>
        <w:tc>
          <w:tcPr>
            <w:tcW w:w="80" w:type="dxa"/>
            <w:vAlign w:val="bottom"/>
            <w:vMerge w:val="continue"/>
            <w:shd w:val="clear" w:color="auto" w:fill="CCEEFF"/>
          </w:tcPr>
          <w:p>
            <w:pPr>
              <w:spacing w:after="0"/>
              <w:rPr>
                <w:sz w:val="13"/>
                <w:szCs w:val="13"/>
                <w:color w:val="auto"/>
              </w:rPr>
            </w:pPr>
          </w:p>
        </w:tc>
        <w:tc>
          <w:tcPr>
            <w:tcW w:w="1360" w:type="dxa"/>
            <w:vAlign w:val="bottom"/>
            <w:tcBorders>
              <w:left w:val="single" w:sz="8" w:color="CCEEFF"/>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rPr>
              <w:t>​ 78,146</w:t>
            </w:r>
          </w:p>
        </w:tc>
        <w:tc>
          <w:tcPr>
            <w:tcW w:w="300" w:type="dxa"/>
            <w:vAlign w:val="bottom"/>
            <w:tcBorders>
              <w:right w:val="single" w:sz="8" w:color="CCEEFF"/>
            </w:tcBorders>
            <w:gridSpan w:val="2"/>
            <w:shd w:val="clear" w:color="auto" w:fill="CCEEFF"/>
          </w:tcPr>
          <w:p>
            <w:pPr>
              <w:ind w:left="40"/>
              <w:spacing w:after="0" w:line="161" w:lineRule="exact"/>
              <w:rPr>
                <w:sz w:val="20"/>
                <w:szCs w:val="20"/>
                <w:color w:val="auto"/>
              </w:rPr>
            </w:pPr>
            <w:r>
              <w:rPr>
                <w:rFonts w:ascii="Arial" w:cs="Arial" w:eastAsia="Arial" w:hAnsi="Arial"/>
                <w:sz w:val="15"/>
                <w:szCs w:val="15"/>
                <w:color w:val="auto"/>
              </w:rPr>
              <w:t>​ ​ ​</w:t>
            </w:r>
          </w:p>
        </w:tc>
        <w:tc>
          <w:tcPr>
            <w:tcW w:w="780" w:type="dxa"/>
            <w:vAlign w:val="bottom"/>
            <w:gridSpan w:val="2"/>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rPr>
              <w:t>​156,292</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60" w:type="dxa"/>
            <w:vAlign w:val="bottom"/>
            <w:gridSpan w:val="2"/>
          </w:tcPr>
          <w:p>
            <w:pPr>
              <w:spacing w:after="0" w:line="169" w:lineRule="exact"/>
              <w:rPr>
                <w:sz w:val="20"/>
                <w:szCs w:val="20"/>
                <w:color w:val="auto"/>
              </w:rPr>
            </w:pPr>
            <w:r>
              <w:rPr>
                <w:rFonts w:ascii="Arial" w:cs="Arial" w:eastAsia="Arial" w:hAnsi="Arial"/>
                <w:sz w:val="15"/>
                <w:szCs w:val="15"/>
                <w:color w:val="auto"/>
              </w:rPr>
              <w:t>Michelle D. Esterman</w:t>
            </w:r>
          </w:p>
        </w:tc>
        <w:tc>
          <w:tcPr>
            <w:tcW w:w="1080" w:type="dxa"/>
            <w:vAlign w:val="bottom"/>
          </w:tcPr>
          <w:p>
            <w:pPr>
              <w:jc w:val="center"/>
              <w:ind w:left="105"/>
              <w:spacing w:after="0" w:line="169" w:lineRule="exact"/>
              <w:rPr>
                <w:sz w:val="20"/>
                <w:szCs w:val="20"/>
                <w:color w:val="auto"/>
              </w:rPr>
            </w:pPr>
            <w:r>
              <w:rPr>
                <w:rFonts w:ascii="Arial" w:cs="Arial" w:eastAsia="Arial" w:hAnsi="Arial"/>
                <w:sz w:val="15"/>
                <w:szCs w:val="15"/>
                <w:color w:val="auto"/>
              </w:rPr>
              <w:t>​ 19,072</w:t>
            </w:r>
          </w:p>
        </w:tc>
        <w:tc>
          <w:tcPr>
            <w:tcW w:w="280" w:type="dxa"/>
            <w:vAlign w:val="bottom"/>
          </w:tcPr>
          <w:p>
            <w:pPr>
              <w:ind w:left="18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
                <w:szCs w:val="1"/>
                <w:color w:val="auto"/>
                <w:w w:val="4294942296"/>
              </w:rPr>
              <w:t>​</w:t>
            </w:r>
          </w:p>
        </w:tc>
        <w:tc>
          <w:tcPr>
            <w:tcW w:w="1360" w:type="dxa"/>
            <w:vAlign w:val="bottom"/>
          </w:tcPr>
          <w:p>
            <w:pPr>
              <w:jc w:val="center"/>
              <w:spacing w:after="0" w:line="169" w:lineRule="exact"/>
              <w:rPr>
                <w:sz w:val="20"/>
                <w:szCs w:val="20"/>
                <w:color w:val="auto"/>
              </w:rPr>
            </w:pPr>
            <w:r>
              <w:rPr>
                <w:rFonts w:ascii="Arial" w:cs="Arial" w:eastAsia="Arial" w:hAnsi="Arial"/>
                <w:sz w:val="15"/>
                <w:szCs w:val="15"/>
                <w:color w:val="auto"/>
              </w:rPr>
              <w:t>​ 19,072</w:t>
            </w:r>
          </w:p>
        </w:tc>
        <w:tc>
          <w:tcPr>
            <w:tcW w:w="30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 ​ ​</w:t>
            </w:r>
          </w:p>
        </w:tc>
        <w:tc>
          <w:tcPr>
            <w:tcW w:w="140" w:type="dxa"/>
            <w:vAlign w:val="bottom"/>
          </w:tcPr>
          <w:p>
            <w:pPr>
              <w:ind w:left="60"/>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65"/>
              <w:spacing w:after="0" w:line="169" w:lineRule="exact"/>
              <w:rPr>
                <w:sz w:val="20"/>
                <w:szCs w:val="20"/>
                <w:color w:val="auto"/>
              </w:rPr>
            </w:pPr>
            <w:r>
              <w:rPr>
                <w:rFonts w:ascii="Arial" w:cs="Arial" w:eastAsia="Arial" w:hAnsi="Arial"/>
                <w:sz w:val="15"/>
                <w:szCs w:val="15"/>
                <w:color w:val="auto"/>
              </w:rPr>
              <w:t>38,144</w:t>
            </w:r>
          </w:p>
        </w:tc>
        <w:tc>
          <w:tcPr>
            <w:tcW w:w="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1080" w:type="dxa"/>
            <w:vAlign w:val="bottom"/>
            <w:shd w:val="clear" w:color="auto" w:fill="CCEEFF"/>
          </w:tcPr>
          <w:p>
            <w:pPr>
              <w:jc w:val="center"/>
              <w:ind w:left="105"/>
              <w:spacing w:after="0"/>
              <w:rPr>
                <w:sz w:val="20"/>
                <w:szCs w:val="20"/>
                <w:color w:val="auto"/>
              </w:rPr>
            </w:pPr>
            <w:r>
              <w:rPr>
                <w:rFonts w:ascii="Arial" w:cs="Arial" w:eastAsia="Arial" w:hAnsi="Arial"/>
                <w:sz w:val="15"/>
                <w:szCs w:val="15"/>
                <w:color w:val="auto"/>
              </w:rPr>
              <w:t>​ 19,072</w:t>
            </w:r>
          </w:p>
        </w:tc>
        <w:tc>
          <w:tcPr>
            <w:tcW w:w="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
                <w:szCs w:val="1"/>
                <w:color w:val="auto"/>
                <w:w w:val="4294942296"/>
              </w:rPr>
              <w:t>​</w:t>
            </w:r>
          </w:p>
        </w:tc>
        <w:tc>
          <w:tcPr>
            <w:tcW w:w="13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 19,072</w:t>
            </w:r>
          </w:p>
        </w:tc>
        <w:tc>
          <w:tcPr>
            <w:tcW w:w="30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38,144</w:t>
            </w: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-335915</wp:posOffset>
            </wp:positionV>
            <wp:extent cx="10033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0330" cy="698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-335915</wp:posOffset>
            </wp:positionV>
            <wp:extent cx="9271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-335915</wp:posOffset>
            </wp:positionV>
            <wp:extent cx="8572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6985"/>
                    </a:xfrm>
                    <a:prstGeom prst="rect">
                      <a:avLst/>
                    </a:prstGeom>
                    <a:noFill/>
                  </pic:spPr>
                </pic:pic>
              </a:graphicData>
            </a:graphic>
          </wp:anchor>
        </w:drawing>
      </w: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91" w:lineRule="exact"/>
        <w:rPr>
          <w:sz w:val="20"/>
          <w:szCs w:val="20"/>
          <w:color w:val="auto"/>
        </w:rPr>
      </w:pPr>
    </w:p>
    <w:p>
      <w:pPr>
        <w:ind w:left="1080" w:right="1119"/>
        <w:spacing w:after="0" w:line="286" w:lineRule="auto"/>
        <w:rPr>
          <w:sz w:val="20"/>
          <w:szCs w:val="20"/>
          <w:color w:val="auto"/>
        </w:rPr>
      </w:pPr>
      <w:r>
        <w:rPr>
          <w:rFonts w:ascii="Arial" w:cs="Arial" w:eastAsia="Arial" w:hAnsi="Arial"/>
          <w:sz w:val="15"/>
          <w:szCs w:val="15"/>
          <w:color w:val="auto"/>
        </w:rPr>
        <w:t>The table below contains outstanding equity awards at the end of 2024; details regarding the vesting terms of each award are described in the notes to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7" w:name="page38"/>
    <w:bookmarkEnd w:id="37"/>
    <w:p>
      <w:pPr>
        <w:ind w:left="40"/>
        <w:spacing w:after="0"/>
        <w:rPr>
          <w:sz w:val="20"/>
          <w:szCs w:val="20"/>
          <w:color w:val="auto"/>
        </w:rPr>
      </w:pPr>
      <w:r>
        <w:rPr>
          <w:rFonts w:ascii="Calibri" w:cs="Calibri" w:eastAsia="Calibri" w:hAnsi="Calibri"/>
          <w:sz w:val="12"/>
          <w:szCs w:val="12"/>
          <w:color w:val="003366"/>
        </w:rPr>
        <w:t>TABLE OF CONTENTS</w:t>
      </w:r>
    </w:p>
    <w:p>
      <w:pPr>
        <w:spacing w:after="0" w:line="268" w:lineRule="exact"/>
        <w:rPr>
          <w:sz w:val="20"/>
          <w:szCs w:val="20"/>
          <w:color w:val="auto"/>
        </w:rPr>
      </w:pPr>
    </w:p>
    <w:tbl>
      <w:tblPr>
        <w:tblLayout w:type="fixed"/>
        <w:tblInd w:w="440" w:type="dxa"/>
        <w:tblCellMar>
          <w:top w:w="0" w:type="dxa"/>
          <w:left w:w="0" w:type="dxa"/>
          <w:bottom w:w="0" w:type="dxa"/>
          <w:right w:w="0" w:type="dxa"/>
        </w:tblCellMar>
      </w:tblP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gridSpan w:val="11"/>
            <w:vMerge w:val="restart"/>
          </w:tcPr>
          <w:p>
            <w:pPr>
              <w:jc w:val="right"/>
              <w:ind w:right="1"/>
              <w:spacing w:after="0"/>
              <w:rPr>
                <w:sz w:val="20"/>
                <w:szCs w:val="20"/>
                <w:color w:val="auto"/>
              </w:rPr>
            </w:pPr>
            <w:r>
              <w:rPr>
                <w:rFonts w:ascii="Arial" w:cs="Arial" w:eastAsia="Arial" w:hAnsi="Arial"/>
                <w:sz w:val="27"/>
                <w:szCs w:val="27"/>
                <w:b w:val="1"/>
                <w:bCs w:val="1"/>
                <w:color w:val="314F60"/>
                <w:w w:val="97"/>
                <w:vertAlign w:val="superscript"/>
              </w:rPr>
              <w:t>​</w:t>
            </w:r>
            <w:r>
              <w:rPr>
                <w:rFonts w:ascii="Arial" w:cs="Arial" w:eastAsia="Arial" w:hAnsi="Arial"/>
                <w:sz w:val="14"/>
                <w:szCs w:val="14"/>
                <w:b w:val="1"/>
                <w:bCs w:val="1"/>
                <w:color w:val="314F60"/>
                <w:w w:val="97"/>
              </w:rPr>
              <w:t xml:space="preserve"> EXECUTIVE COMPENSATION</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314F60"/>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75FF00"/>
            </w:tcBorders>
          </w:tcPr>
          <w:p>
            <w:pPr>
              <w:spacing w:after="0"/>
              <w:rPr>
                <w:sz w:val="15"/>
                <w:szCs w:val="15"/>
                <w:color w:val="auto"/>
              </w:rPr>
            </w:pPr>
          </w:p>
        </w:tc>
        <w:tc>
          <w:tcPr>
            <w:tcW w:w="2040" w:type="dxa"/>
            <w:vAlign w:val="bottom"/>
            <w:tcBorders>
              <w:bottom w:val="single" w:sz="8" w:color="75FF00"/>
            </w:tcBorders>
            <w:gridSpan w:val="11"/>
            <w:vMerge w:val="continue"/>
          </w:tcPr>
          <w:p>
            <w:pPr>
              <w:spacing w:after="0"/>
              <w:rPr>
                <w:sz w:val="15"/>
                <w:szCs w:val="15"/>
                <w:color w:val="auto"/>
              </w:rPr>
            </w:pPr>
          </w:p>
        </w:tc>
        <w:tc>
          <w:tcPr>
            <w:tcW w:w="80" w:type="dxa"/>
            <w:vAlign w:val="bottom"/>
            <w:tcBorders>
              <w:bottom w:val="single" w:sz="8" w:color="75FF00"/>
            </w:tcBorders>
          </w:tcPr>
          <w:p>
            <w:pPr>
              <w:spacing w:after="0"/>
              <w:rPr>
                <w:sz w:val="15"/>
                <w:szCs w:val="15"/>
                <w:color w:val="auto"/>
              </w:rPr>
            </w:pPr>
          </w:p>
        </w:tc>
        <w:tc>
          <w:tcPr>
            <w:tcW w:w="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260" w:type="dxa"/>
            <w:vAlign w:val="bottom"/>
          </w:tcPr>
          <w:p>
            <w:pPr>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center"/>
              <w:ind w:right="160"/>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gridSpan w:val="5"/>
          </w:tcPr>
          <w:p>
            <w:pPr>
              <w:ind w:left="240"/>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8"/>
              </w:rPr>
              <w:t>Stock Awards</w:t>
            </w:r>
            <w:r>
              <w:rPr>
                <w:rFonts w:ascii="Arial" w:cs="Arial" w:eastAsia="Arial" w:hAnsi="Arial"/>
                <w:sz w:val="15"/>
                <w:szCs w:val="15"/>
                <w:b w:val="1"/>
                <w:bCs w:val="1"/>
                <w:color w:val="auto"/>
                <w:w w:val="98"/>
                <w:vertAlign w:val="superscript"/>
              </w:rPr>
              <w:t>(5)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98"/>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Incentive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jc w:val="center"/>
              <w:ind w:left="33"/>
              <w:spacing w:after="0" w:line="136" w:lineRule="exact"/>
              <w:rPr>
                <w:sz w:val="20"/>
                <w:szCs w:val="20"/>
                <w:color w:val="auto"/>
              </w:rPr>
            </w:pPr>
            <w:r>
              <w:rPr>
                <w:rFonts w:ascii="Arial" w:cs="Arial" w:eastAsia="Arial" w:hAnsi="Arial"/>
                <w:sz w:val="12"/>
                <w:szCs w:val="12"/>
                <w:b w:val="1"/>
                <w:bCs w:val="1"/>
                <w:color w:val="auto"/>
                <w:w w:val="98"/>
              </w:rPr>
              <w:t>Equity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Plan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center"/>
              <w:ind w:right="42"/>
              <w:spacing w:after="0" w:line="136" w:lineRule="exact"/>
              <w:rPr>
                <w:sz w:val="20"/>
                <w:szCs w:val="20"/>
                <w:color w:val="auto"/>
              </w:rPr>
            </w:pPr>
            <w:r>
              <w:rPr>
                <w:rFonts w:ascii="Arial" w:cs="Arial" w:eastAsia="Arial" w:hAnsi="Arial"/>
                <w:sz w:val="12"/>
                <w:szCs w:val="12"/>
                <w:b w:val="1"/>
                <w:bCs w:val="1"/>
                <w:color w:val="auto"/>
                <w:w w:val="99"/>
              </w:rPr>
              <w:t>Incentive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rPr>
              <w:t>Awards: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rPr>
              <w:t>Equity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Plan</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rPr>
              <w:t>Market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9"/>
              </w:rPr>
              <w:t>Incentive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center"/>
              <w:ind w:right="42"/>
              <w:spacing w:after="0" w:line="136" w:lineRule="exact"/>
              <w:rPr>
                <w:sz w:val="20"/>
                <w:szCs w:val="20"/>
                <w:color w:val="auto"/>
              </w:rPr>
            </w:pPr>
            <w:r>
              <w:rPr>
                <w:rFonts w:ascii="Arial" w:cs="Arial" w:eastAsia="Arial" w:hAnsi="Arial"/>
                <w:sz w:val="12"/>
                <w:szCs w:val="12"/>
                <w:b w:val="1"/>
                <w:bCs w:val="1"/>
                <w:color w:val="auto"/>
              </w:rPr>
              <w:t>Awards: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rPr>
              <w:t>Value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ind w:left="93"/>
              <w:spacing w:after="0" w:line="136" w:lineRule="exact"/>
              <w:rPr>
                <w:sz w:val="20"/>
                <w:szCs w:val="20"/>
                <w:color w:val="auto"/>
              </w:rPr>
            </w:pPr>
            <w:r>
              <w:rPr>
                <w:rFonts w:ascii="Arial" w:cs="Arial" w:eastAsia="Arial" w:hAnsi="Arial"/>
                <w:sz w:val="12"/>
                <w:szCs w:val="12"/>
                <w:b w:val="1"/>
                <w:bCs w:val="1"/>
                <w:color w:val="auto"/>
              </w:rPr>
              <w:t>Plan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center"/>
              <w:ind w:right="42"/>
              <w:spacing w:after="0" w:line="136"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72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rPr>
              <w:t>Payout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w w:val="97"/>
              </w:rPr>
              <w:t>Awards: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center"/>
              <w:ind w:right="42"/>
              <w:spacing w:after="0" w:line="136" w:lineRule="exact"/>
              <w:rPr>
                <w:sz w:val="20"/>
                <w:szCs w:val="20"/>
                <w:color w:val="auto"/>
              </w:rPr>
            </w:pPr>
            <w:r>
              <w:rPr>
                <w:rFonts w:ascii="Arial" w:cs="Arial" w:eastAsia="Arial" w:hAnsi="Arial"/>
                <w:sz w:val="12"/>
                <w:szCs w:val="12"/>
                <w:b w:val="1"/>
                <w:bCs w:val="1"/>
                <w:color w:val="auto"/>
              </w:rPr>
              <w:t>Unearned</w:t>
            </w:r>
          </w:p>
        </w:tc>
        <w:tc>
          <w:tcPr>
            <w:tcW w:w="60" w:type="dxa"/>
            <w:vAlign w:val="bottom"/>
          </w:tcPr>
          <w:p>
            <w:pPr>
              <w:spacing w:after="0"/>
              <w:rPr>
                <w:sz w:val="11"/>
                <w:szCs w:val="11"/>
                <w:color w:val="auto"/>
              </w:rPr>
            </w:pPr>
          </w:p>
        </w:tc>
        <w:tc>
          <w:tcPr>
            <w:tcW w:w="72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rPr>
              <w:t>Unearned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jc w:val="center"/>
              <w:ind w:right="80"/>
              <w:spacing w:after="0" w:line="136"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7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Pr>
          <w:p>
            <w:pPr>
              <w:spacing w:after="0"/>
              <w:rPr>
                <w:sz w:val="11"/>
                <w:szCs w:val="11"/>
                <w:color w:val="auto"/>
              </w:rPr>
            </w:pPr>
          </w:p>
        </w:tc>
        <w:tc>
          <w:tcPr>
            <w:tcW w:w="70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8"/>
              </w:rPr>
              <w:t>Market</w:t>
            </w:r>
          </w:p>
        </w:tc>
        <w:tc>
          <w:tcPr>
            <w:tcW w:w="40" w:type="dxa"/>
            <w:vAlign w:val="bottom"/>
          </w:tcPr>
          <w:p>
            <w:pPr>
              <w:spacing w:after="0"/>
              <w:rPr>
                <w:sz w:val="11"/>
                <w:szCs w:val="11"/>
                <w:color w:val="auto"/>
              </w:rPr>
            </w:pPr>
          </w:p>
        </w:tc>
        <w:tc>
          <w:tcPr>
            <w:tcW w:w="520" w:type="dxa"/>
            <w:vAlign w:val="bottom"/>
            <w:gridSpan w:val="2"/>
          </w:tcPr>
          <w:p>
            <w:pPr>
              <w:jc w:val="right"/>
              <w:spacing w:after="0" w:line="136" w:lineRule="exact"/>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jc w:val="center"/>
              <w:ind w:right="80"/>
              <w:spacing w:after="0" w:line="136"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7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0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680" w:type="dxa"/>
            <w:vAlign w:val="bottom"/>
            <w:gridSpan w:val="3"/>
          </w:tcPr>
          <w:p>
            <w:pPr>
              <w:jc w:val="right"/>
              <w:ind w:right="100"/>
              <w:spacing w:after="0" w:line="136" w:lineRule="exact"/>
              <w:rPr>
                <w:sz w:val="20"/>
                <w:szCs w:val="20"/>
                <w:color w:val="auto"/>
              </w:rPr>
            </w:pPr>
            <w:r>
              <w:rPr>
                <w:rFonts w:ascii="Arial" w:cs="Arial" w:eastAsia="Arial" w:hAnsi="Arial"/>
                <w:sz w:val="12"/>
                <w:szCs w:val="12"/>
                <w:b w:val="1"/>
                <w:bCs w:val="1"/>
                <w:color w:val="auto"/>
              </w:rPr>
              <w:t>Value of</w:t>
            </w:r>
          </w:p>
        </w:tc>
        <w:tc>
          <w:tcPr>
            <w:tcW w:w="40" w:type="dxa"/>
            <w:vAlign w:val="bottom"/>
          </w:tcPr>
          <w:p>
            <w:pPr>
              <w:spacing w:after="0"/>
              <w:rPr>
                <w:sz w:val="11"/>
                <w:szCs w:val="11"/>
                <w:color w:val="auto"/>
              </w:rPr>
            </w:pPr>
          </w:p>
        </w:tc>
        <w:tc>
          <w:tcPr>
            <w:tcW w:w="520" w:type="dxa"/>
            <w:vAlign w:val="bottom"/>
            <w:gridSpan w:val="2"/>
          </w:tcPr>
          <w:p>
            <w:pPr>
              <w:jc w:val="right"/>
              <w:spacing w:after="0" w:line="136" w:lineRule="exact"/>
              <w:rPr>
                <w:sz w:val="20"/>
                <w:szCs w:val="20"/>
                <w:color w:val="auto"/>
              </w:rPr>
            </w:pPr>
            <w:r>
              <w:rPr>
                <w:rFonts w:ascii="Arial" w:cs="Arial" w:eastAsia="Arial" w:hAnsi="Arial"/>
                <w:sz w:val="12"/>
                <w:szCs w:val="12"/>
                <w:b w:val="1"/>
                <w:bCs w:val="1"/>
                <w:color w:val="auto"/>
              </w:rPr>
              <w:t>Units or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w w:val="96"/>
              </w:rPr>
              <w:t>Units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jc w:val="center"/>
              <w:ind w:right="80"/>
              <w:spacing w:after="0" w:line="136"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0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w w:val="98"/>
              </w:rPr>
              <w:t>Underlying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83"/>
              <w:spacing w:after="0"/>
              <w:rPr>
                <w:sz w:val="20"/>
                <w:szCs w:val="20"/>
                <w:color w:val="auto"/>
              </w:rPr>
            </w:pPr>
            <w:r>
              <w:rPr>
                <w:rFonts w:ascii="Arial" w:cs="Arial" w:eastAsia="Arial" w:hAnsi="Arial"/>
                <w:sz w:val="12"/>
                <w:szCs w:val="12"/>
                <w:b w:val="1"/>
                <w:bCs w:val="1"/>
                <w:color w:val="auto"/>
              </w:rPr>
              <w:t>Option</w:t>
            </w:r>
          </w:p>
        </w:tc>
        <w:tc>
          <w:tcPr>
            <w:tcW w:w="40" w:type="dxa"/>
            <w:vAlign w:val="bottom"/>
          </w:tcPr>
          <w:p>
            <w:pPr>
              <w:spacing w:after="0"/>
              <w:rPr>
                <w:sz w:val="11"/>
                <w:szCs w:val="11"/>
                <w:color w:val="auto"/>
              </w:rPr>
            </w:pPr>
          </w:p>
        </w:tc>
        <w:tc>
          <w:tcPr>
            <w:tcW w:w="70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rPr>
              <w:t>Shares or</w:t>
            </w:r>
          </w:p>
        </w:tc>
        <w:tc>
          <w:tcPr>
            <w:tcW w:w="60" w:type="dxa"/>
            <w:vAlign w:val="bottom"/>
          </w:tcPr>
          <w:p>
            <w:pPr>
              <w:spacing w:after="0"/>
              <w:rPr>
                <w:sz w:val="11"/>
                <w:szCs w:val="11"/>
                <w:color w:val="auto"/>
              </w:rPr>
            </w:pPr>
          </w:p>
        </w:tc>
        <w:tc>
          <w:tcPr>
            <w:tcW w:w="68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Shares 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1"/>
                <w:szCs w:val="11"/>
                <w:color w:val="auto"/>
              </w:rPr>
            </w:pPr>
          </w:p>
        </w:tc>
        <w:tc>
          <w:tcPr>
            <w:tcW w:w="780" w:type="dxa"/>
            <w:vAlign w:val="bottom"/>
            <w:gridSpan w:val="5"/>
          </w:tcPr>
          <w:p>
            <w:pPr>
              <w:jc w:val="center"/>
              <w:spacing w:after="0" w:line="136" w:lineRule="exact"/>
              <w:rPr>
                <w:sz w:val="20"/>
                <w:szCs w:val="20"/>
                <w:color w:val="auto"/>
              </w:rPr>
            </w:pPr>
            <w:r>
              <w:rPr>
                <w:rFonts w:ascii="Arial" w:cs="Arial" w:eastAsia="Arial" w:hAnsi="Arial"/>
                <w:sz w:val="12"/>
                <w:szCs w:val="12"/>
                <w:b w:val="1"/>
                <w:bCs w:val="1"/>
                <w:color w:val="auto"/>
                <w:w w:val="99"/>
              </w:rPr>
              <w:t>Other Rights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5"/>
          </w:tcPr>
          <w:p>
            <w:pPr>
              <w:spacing w:after="0" w:line="124" w:lineRule="exact"/>
              <w:rPr>
                <w:sz w:val="20"/>
                <w:szCs w:val="20"/>
                <w:color w:val="auto"/>
              </w:rPr>
            </w:pPr>
            <w:r>
              <w:rPr>
                <w:rFonts w:ascii="Arial" w:cs="Arial" w:eastAsia="Arial" w:hAnsi="Arial"/>
                <w:sz w:val="12"/>
                <w:szCs w:val="12"/>
                <w:b w:val="1"/>
                <w:bCs w:val="1"/>
                <w:color w:val="auto"/>
              </w:rPr>
              <w:t>Unexercised</w:t>
            </w:r>
          </w:p>
        </w:tc>
        <w:tc>
          <w:tcPr>
            <w:tcW w:w="60" w:type="dxa"/>
            <w:vAlign w:val="bottom"/>
          </w:tcPr>
          <w:p>
            <w:pPr>
              <w:spacing w:after="0"/>
              <w:rPr>
                <w:sz w:val="10"/>
                <w:szCs w:val="10"/>
                <w:color w:val="auto"/>
              </w:rPr>
            </w:pPr>
          </w:p>
        </w:tc>
        <w:tc>
          <w:tcPr>
            <w:tcW w:w="780" w:type="dxa"/>
            <w:vAlign w:val="bottom"/>
            <w:gridSpan w:val="2"/>
          </w:tcPr>
          <w:p>
            <w:pPr>
              <w:jc w:val="center"/>
              <w:spacing w:after="0" w:line="124" w:lineRule="exact"/>
              <w:rPr>
                <w:sz w:val="20"/>
                <w:szCs w:val="20"/>
                <w:color w:val="auto"/>
              </w:rPr>
            </w:pPr>
            <w:r>
              <w:rPr>
                <w:rFonts w:ascii="Arial" w:cs="Arial" w:eastAsia="Arial" w:hAnsi="Arial"/>
                <w:sz w:val="12"/>
                <w:szCs w:val="12"/>
                <w:b w:val="1"/>
                <w:bCs w:val="1"/>
                <w:color w:val="auto"/>
              </w:rPr>
              <w:t>Unexercised</w:t>
            </w:r>
          </w:p>
        </w:tc>
        <w:tc>
          <w:tcPr>
            <w:tcW w:w="800" w:type="dxa"/>
            <w:vAlign w:val="bottom"/>
            <w:gridSpan w:val="4"/>
          </w:tcPr>
          <w:p>
            <w:pPr>
              <w:jc w:val="center"/>
              <w:ind w:left="1"/>
              <w:spacing w:after="0" w:line="124" w:lineRule="exact"/>
              <w:rPr>
                <w:sz w:val="20"/>
                <w:szCs w:val="20"/>
                <w:color w:val="auto"/>
              </w:rPr>
            </w:pPr>
            <w:r>
              <w:rPr>
                <w:rFonts w:ascii="Arial" w:cs="Arial" w:eastAsia="Arial" w:hAnsi="Arial"/>
                <w:sz w:val="12"/>
                <w:szCs w:val="12"/>
                <w:b w:val="1"/>
                <w:bCs w:val="1"/>
                <w:color w:val="auto"/>
                <w:w w:val="98"/>
              </w:rPr>
              <w:t>Unexercised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jc w:val="center"/>
              <w:ind w:right="20"/>
              <w:spacing w:after="0" w:line="124" w:lineRule="exact"/>
              <w:rPr>
                <w:sz w:val="20"/>
                <w:szCs w:val="20"/>
                <w:color w:val="auto"/>
              </w:rPr>
            </w:pPr>
            <w:r>
              <w:rPr>
                <w:rFonts w:ascii="Arial" w:cs="Arial" w:eastAsia="Arial" w:hAnsi="Arial"/>
                <w:sz w:val="12"/>
                <w:szCs w:val="12"/>
                <w:b w:val="1"/>
                <w:bCs w:val="1"/>
                <w:color w:val="auto"/>
                <w:w w:val="93"/>
              </w:rPr>
              <w:t>Units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Units</w:t>
            </w:r>
          </w:p>
        </w:tc>
        <w:tc>
          <w:tcPr>
            <w:tcW w:w="720" w:type="dxa"/>
            <w:vAlign w:val="bottom"/>
            <w:gridSpan w:val="4"/>
          </w:tcPr>
          <w:p>
            <w:pPr>
              <w:jc w:val="center"/>
              <w:ind w:right="22"/>
              <w:spacing w:after="0" w:line="124" w:lineRule="exact"/>
              <w:rPr>
                <w:sz w:val="20"/>
                <w:szCs w:val="20"/>
                <w:color w:val="auto"/>
              </w:rPr>
            </w:pPr>
            <w:r>
              <w:rPr>
                <w:rFonts w:ascii="Arial" w:cs="Arial" w:eastAsia="Arial" w:hAnsi="Arial"/>
                <w:sz w:val="12"/>
                <w:szCs w:val="12"/>
                <w:b w:val="1"/>
                <w:bCs w:val="1"/>
                <w:color w:val="auto"/>
                <w:w w:val="99"/>
              </w:rPr>
              <w:t>Rights That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That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auto"/>
                <w:w w:val="96"/>
              </w:rPr>
              <w:t>Options</w:t>
            </w:r>
          </w:p>
        </w:tc>
        <w:tc>
          <w:tcPr>
            <w:tcW w:w="60" w:type="dxa"/>
            <w:vAlign w:val="bottom"/>
          </w:tcPr>
          <w:p>
            <w:pPr>
              <w:spacing w:after="0"/>
              <w:rPr>
                <w:sz w:val="11"/>
                <w:szCs w:val="11"/>
                <w:color w:val="auto"/>
              </w:rPr>
            </w:pPr>
          </w:p>
        </w:tc>
        <w:tc>
          <w:tcPr>
            <w:tcW w:w="7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70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w w:val="97"/>
              </w:rPr>
              <w:t>Unearned</w:t>
            </w:r>
          </w:p>
        </w:tc>
        <w:tc>
          <w:tcPr>
            <w:tcW w:w="140" w:type="dxa"/>
            <w:vAlign w:val="bottom"/>
          </w:tcPr>
          <w:p>
            <w:pPr>
              <w:spacing w:after="0"/>
              <w:rPr>
                <w:sz w:val="11"/>
                <w:szCs w:val="11"/>
                <w:color w:val="auto"/>
              </w:rPr>
            </w:pPr>
          </w:p>
        </w:tc>
        <w:tc>
          <w:tcPr>
            <w:tcW w:w="700" w:type="dxa"/>
            <w:vAlign w:val="bottom"/>
            <w:gridSpan w:val="5"/>
          </w:tcPr>
          <w:p>
            <w:pPr>
              <w:ind w:left="80"/>
              <w:spacing w:after="0" w:line="136" w:lineRule="exact"/>
              <w:rPr>
                <w:sz w:val="20"/>
                <w:szCs w:val="20"/>
                <w:color w:val="auto"/>
              </w:rPr>
            </w:pPr>
            <w:r>
              <w:rPr>
                <w:rFonts w:ascii="Arial" w:cs="Arial" w:eastAsia="Arial" w:hAnsi="Arial"/>
                <w:sz w:val="12"/>
                <w:szCs w:val="12"/>
                <w:b w:val="1"/>
                <w:bCs w:val="1"/>
                <w:color w:val="auto"/>
              </w:rPr>
              <w:t>Option</w:t>
            </w:r>
          </w:p>
        </w:tc>
        <w:tc>
          <w:tcPr>
            <w:tcW w:w="640" w:type="dxa"/>
            <w:vAlign w:val="bottom"/>
            <w:gridSpan w:val="2"/>
          </w:tcPr>
          <w:p>
            <w:pPr>
              <w:jc w:val="right"/>
              <w:spacing w:after="0" w:line="136" w:lineRule="exact"/>
              <w:rPr>
                <w:sz w:val="20"/>
                <w:szCs w:val="20"/>
                <w:color w:val="auto"/>
              </w:rPr>
            </w:pPr>
            <w:r>
              <w:rPr>
                <w:rFonts w:ascii="Arial" w:cs="Arial" w:eastAsia="Arial" w:hAnsi="Arial"/>
                <w:sz w:val="12"/>
                <w:szCs w:val="12"/>
                <w:b w:val="1"/>
                <w:bCs w:val="1"/>
                <w:color w:val="auto"/>
                <w:w w:val="98"/>
              </w:rPr>
              <w:t>Expiration</w:t>
            </w:r>
          </w:p>
        </w:tc>
        <w:tc>
          <w:tcPr>
            <w:tcW w:w="40" w:type="dxa"/>
            <w:vAlign w:val="bottom"/>
          </w:tcPr>
          <w:p>
            <w:pPr>
              <w:spacing w:after="0"/>
              <w:rPr>
                <w:sz w:val="11"/>
                <w:szCs w:val="11"/>
                <w:color w:val="auto"/>
              </w:rPr>
            </w:pPr>
          </w:p>
        </w:tc>
        <w:tc>
          <w:tcPr>
            <w:tcW w:w="700" w:type="dxa"/>
            <w:vAlign w:val="bottom"/>
            <w:gridSpan w:val="3"/>
          </w:tcPr>
          <w:p>
            <w:pPr>
              <w:jc w:val="center"/>
              <w:ind w:right="42"/>
              <w:spacing w:after="0" w:line="136" w:lineRule="exact"/>
              <w:rPr>
                <w:sz w:val="20"/>
                <w:szCs w:val="20"/>
                <w:color w:val="auto"/>
              </w:rPr>
            </w:pPr>
            <w:r>
              <w:rPr>
                <w:rFonts w:ascii="Arial" w:cs="Arial" w:eastAsia="Arial" w:hAnsi="Arial"/>
                <w:sz w:val="12"/>
                <w:szCs w:val="12"/>
                <w:b w:val="1"/>
                <w:bCs w:val="1"/>
                <w:color w:val="auto"/>
              </w:rPr>
              <w:t>That Have</w:t>
            </w:r>
          </w:p>
        </w:tc>
        <w:tc>
          <w:tcPr>
            <w:tcW w:w="60" w:type="dxa"/>
            <w:vAlign w:val="bottom"/>
          </w:tcPr>
          <w:p>
            <w:pPr>
              <w:spacing w:after="0"/>
              <w:rPr>
                <w:sz w:val="11"/>
                <w:szCs w:val="11"/>
                <w:color w:val="auto"/>
              </w:rPr>
            </w:pPr>
          </w:p>
        </w:tc>
        <w:tc>
          <w:tcPr>
            <w:tcW w:w="68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rPr>
              <w:t>That Have</w:t>
            </w:r>
          </w:p>
        </w:tc>
        <w:tc>
          <w:tcPr>
            <w:tcW w:w="40" w:type="dxa"/>
            <w:vAlign w:val="bottom"/>
          </w:tcPr>
          <w:p>
            <w:pPr>
              <w:spacing w:after="0"/>
              <w:rPr>
                <w:sz w:val="11"/>
                <w:szCs w:val="11"/>
                <w:color w:val="auto"/>
              </w:rPr>
            </w:pPr>
          </w:p>
        </w:tc>
        <w:tc>
          <w:tcPr>
            <w:tcW w:w="680" w:type="dxa"/>
            <w:vAlign w:val="bottom"/>
            <w:gridSpan w:val="3"/>
          </w:tcPr>
          <w:p>
            <w:pPr>
              <w:jc w:val="center"/>
              <w:ind w:right="42"/>
              <w:spacing w:after="0" w:line="136" w:lineRule="exact"/>
              <w:rPr>
                <w:sz w:val="20"/>
                <w:szCs w:val="20"/>
                <w:color w:val="auto"/>
              </w:rPr>
            </w:pPr>
            <w:r>
              <w:rPr>
                <w:rFonts w:ascii="Arial" w:cs="Arial" w:eastAsia="Arial" w:hAnsi="Arial"/>
                <w:sz w:val="12"/>
                <w:szCs w:val="12"/>
                <w:b w:val="1"/>
                <w:bCs w:val="1"/>
                <w:color w:val="auto"/>
                <w:w w:val="99"/>
              </w:rPr>
              <w:t>Have Not</w:t>
            </w:r>
          </w:p>
        </w:tc>
        <w:tc>
          <w:tcPr>
            <w:tcW w:w="60" w:type="dxa"/>
            <w:vAlign w:val="bottom"/>
          </w:tcPr>
          <w:p>
            <w:pPr>
              <w:spacing w:after="0"/>
              <w:rPr>
                <w:sz w:val="11"/>
                <w:szCs w:val="11"/>
                <w:color w:val="auto"/>
              </w:rPr>
            </w:pPr>
          </w:p>
        </w:tc>
        <w:tc>
          <w:tcPr>
            <w:tcW w:w="72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Have Not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center"/>
              <w:ind w:right="200"/>
              <w:spacing w:after="0"/>
              <w:rPr>
                <w:sz w:val="20"/>
                <w:szCs w:val="20"/>
                <w:color w:val="auto"/>
              </w:rPr>
            </w:pPr>
            <w:r>
              <w:rPr>
                <w:rFonts w:ascii="Arial" w:cs="Arial" w:eastAsia="Arial" w:hAnsi="Arial"/>
                <w:sz w:val="12"/>
                <w:szCs w:val="12"/>
                <w:b w:val="1"/>
                <w:bCs w:val="1"/>
                <w:color w:val="auto"/>
              </w:rPr>
              <w:t>Name</w:t>
            </w:r>
          </w:p>
        </w:tc>
        <w:tc>
          <w:tcPr>
            <w:tcW w:w="1700" w:type="dxa"/>
            <w:vAlign w:val="bottom"/>
            <w:gridSpan w:val="9"/>
          </w:tcPr>
          <w:p>
            <w:pPr>
              <w:spacing w:after="0" w:line="166" w:lineRule="exact"/>
              <w:rPr>
                <w:sz w:val="20"/>
                <w:szCs w:val="20"/>
                <w:color w:val="auto"/>
              </w:rPr>
            </w:pPr>
            <w:r>
              <w:rPr>
                <w:rFonts w:ascii="Arial" w:cs="Arial" w:eastAsia="Arial" w:hAnsi="Arial"/>
                <w:sz w:val="12"/>
                <w:szCs w:val="12"/>
                <w:b w:val="1"/>
                <w:bCs w:val="1"/>
                <w:color w:val="auto"/>
              </w:rPr>
              <w:t>​Exercisable ​Unexercisable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w:t>
            </w:r>
          </w:p>
        </w:tc>
        <w:tc>
          <w:tcPr>
            <w:tcW w:w="700" w:type="dxa"/>
            <w:vAlign w:val="bottom"/>
            <w:gridSpan w:val="3"/>
          </w:tcPr>
          <w:p>
            <w:pPr>
              <w:jc w:val="center"/>
              <w:spacing w:after="0" w:line="166" w:lineRule="exact"/>
              <w:rPr>
                <w:sz w:val="20"/>
                <w:szCs w:val="20"/>
                <w:color w:val="auto"/>
              </w:rPr>
            </w:pPr>
            <w:r>
              <w:rPr>
                <w:rFonts w:ascii="Arial" w:cs="Arial" w:eastAsia="Arial" w:hAnsi="Arial"/>
                <w:sz w:val="12"/>
                <w:szCs w:val="12"/>
                <w:b w:val="1"/>
                <w:bCs w:val="1"/>
                <w:color w:val="auto"/>
                <w:w w:val="93"/>
              </w:rPr>
              <w:t>Options</w:t>
            </w:r>
            <w:r>
              <w:rPr>
                <w:rFonts w:ascii="Arial" w:cs="Arial" w:eastAsia="Arial" w:hAnsi="Arial"/>
                <w:sz w:val="15"/>
                <w:szCs w:val="15"/>
                <w:b w:val="1"/>
                <w:bCs w:val="1"/>
                <w:color w:val="auto"/>
                <w:w w:val="93"/>
                <w:vertAlign w:val="superscript"/>
              </w:rPr>
              <w:t>(2)</w:t>
            </w:r>
          </w:p>
        </w:tc>
        <w:tc>
          <w:tcPr>
            <w:tcW w:w="920" w:type="dxa"/>
            <w:vAlign w:val="bottom"/>
            <w:gridSpan w:val="7"/>
          </w:tcPr>
          <w:p>
            <w:pPr>
              <w:jc w:val="right"/>
              <w:spacing w:after="0"/>
              <w:rPr>
                <w:sz w:val="20"/>
                <w:szCs w:val="20"/>
                <w:color w:val="auto"/>
              </w:rPr>
            </w:pPr>
            <w:r>
              <w:rPr>
                <w:rFonts w:ascii="Arial" w:cs="Arial" w:eastAsia="Arial" w:hAnsi="Arial"/>
                <w:sz w:val="12"/>
                <w:szCs w:val="12"/>
                <w:b w:val="1"/>
                <w:bCs w:val="1"/>
                <w:color w:val="auto"/>
              </w:rPr>
              <w:t>​Exercise Price​</w:t>
            </w:r>
          </w:p>
        </w:tc>
        <w:tc>
          <w:tcPr>
            <w:tcW w:w="2080" w:type="dxa"/>
            <w:vAlign w:val="bottom"/>
            <w:gridSpan w:val="10"/>
          </w:tcPr>
          <w:p>
            <w:pPr>
              <w:jc w:val="right"/>
              <w:spacing w:after="0" w:line="166" w:lineRule="exact"/>
              <w:rPr>
                <w:sz w:val="20"/>
                <w:szCs w:val="20"/>
                <w:color w:val="auto"/>
              </w:rPr>
            </w:pPr>
            <w:r>
              <w:rPr>
                <w:rFonts w:ascii="Arial" w:cs="Arial" w:eastAsia="Arial" w:hAnsi="Arial"/>
                <w:sz w:val="12"/>
                <w:szCs w:val="12"/>
                <w:b w:val="1"/>
                <w:bCs w:val="1"/>
                <w:color w:val="auto"/>
              </w:rPr>
              <w:t>Date   ​Not Vested</w:t>
            </w:r>
            <w:r>
              <w:rPr>
                <w:rFonts w:ascii="Arial" w:cs="Arial" w:eastAsia="Arial" w:hAnsi="Arial"/>
                <w:sz w:val="15"/>
                <w:szCs w:val="15"/>
                <w:b w:val="1"/>
                <w:bCs w:val="1"/>
                <w:color w:val="auto"/>
                <w:vertAlign w:val="superscript"/>
              </w:rPr>
              <w:t>(3)</w:t>
            </w:r>
            <w:r>
              <w:rPr>
                <w:rFonts w:ascii="Arial" w:cs="Arial" w:eastAsia="Arial" w:hAnsi="Arial"/>
                <w:sz w:val="12"/>
                <w:szCs w:val="12"/>
                <w:b w:val="1"/>
                <w:bCs w:val="1"/>
                <w:color w:val="auto"/>
              </w:rPr>
              <w:t xml:space="preserve"> ​ Not Vested ​</w:t>
            </w:r>
          </w:p>
        </w:tc>
        <w:tc>
          <w:tcPr>
            <w:tcW w:w="680" w:type="dxa"/>
            <w:vAlign w:val="bottom"/>
            <w:gridSpan w:val="3"/>
          </w:tcPr>
          <w:p>
            <w:pPr>
              <w:jc w:val="center"/>
              <w:ind w:right="2"/>
              <w:spacing w:after="0" w:line="166" w:lineRule="exact"/>
              <w:rPr>
                <w:sz w:val="20"/>
                <w:szCs w:val="20"/>
                <w:color w:val="auto"/>
              </w:rPr>
            </w:pPr>
            <w:r>
              <w:rPr>
                <w:rFonts w:ascii="Arial" w:cs="Arial" w:eastAsia="Arial" w:hAnsi="Arial"/>
                <w:sz w:val="12"/>
                <w:szCs w:val="12"/>
                <w:b w:val="1"/>
                <w:bCs w:val="1"/>
                <w:color w:val="auto"/>
                <w:w w:val="92"/>
              </w:rPr>
              <w:t>Vested</w:t>
            </w:r>
            <w:r>
              <w:rPr>
                <w:rFonts w:ascii="Arial" w:cs="Arial" w:eastAsia="Arial" w:hAnsi="Arial"/>
                <w:sz w:val="15"/>
                <w:szCs w:val="15"/>
                <w:b w:val="1"/>
                <w:bCs w:val="1"/>
                <w:color w:val="auto"/>
                <w:w w:val="92"/>
                <w:vertAlign w:val="superscript"/>
              </w:rPr>
              <w:t>(4)</w:t>
            </w:r>
          </w:p>
        </w:tc>
        <w:tc>
          <w:tcPr>
            <w:tcW w:w="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6"/>
              </w:rPr>
              <w:t>Vested</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113"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line="20" w:lineRule="exact"/>
              <w:rPr>
                <w:sz w:val="1"/>
                <w:szCs w:val="1"/>
                <w:color w:val="auto"/>
              </w:rPr>
            </w:pPr>
          </w:p>
        </w:tc>
      </w:tr>
      <w:tr>
        <w:trPr>
          <w:trHeight w:val="93"/>
        </w:trPr>
        <w:tc>
          <w:tcPr>
            <w:tcW w:w="26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1000" w:type="dxa"/>
            <w:vAlign w:val="bottom"/>
            <w:shd w:val="clear" w:color="auto" w:fill="CCEEFF"/>
          </w:tcPr>
          <w:p>
            <w:pPr>
              <w:spacing w:after="0"/>
              <w:rPr>
                <w:sz w:val="8"/>
                <w:szCs w:val="8"/>
                <w:color w:val="auto"/>
              </w:rPr>
            </w:pPr>
          </w:p>
        </w:tc>
        <w:tc>
          <w:tcPr>
            <w:tcW w:w="120" w:type="dxa"/>
            <w:vAlign w:val="bottom"/>
            <w:gridSpan w:val="2"/>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vMerge w:val="restart"/>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52,400</w:t>
            </w:r>
          </w:p>
        </w:tc>
        <w:tc>
          <w:tcPr>
            <w:tcW w:w="6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300"/>
              <w:spacing w:after="0" w:line="9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ind w:left="40"/>
              <w:spacing w:after="0" w:line="93"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ind w:left="160"/>
              <w:spacing w:after="0" w:line="93" w:lineRule="exact"/>
              <w:rPr>
                <w:sz w:val="20"/>
                <w:szCs w:val="20"/>
                <w:color w:val="auto"/>
              </w:rPr>
            </w:pPr>
            <w:r>
              <w:rPr>
                <w:rFonts w:ascii="Arial" w:cs="Arial" w:eastAsia="Arial" w:hAnsi="Arial"/>
                <w:sz w:val="10"/>
                <w:szCs w:val="10"/>
                <w:color w:val="auto"/>
              </w:rPr>
              <w:t>​</w:t>
            </w:r>
          </w:p>
        </w:tc>
        <w:tc>
          <w:tcPr>
            <w:tcW w:w="220" w:type="dxa"/>
            <w:vAlign w:val="bottom"/>
            <w:tcBorders>
              <w:right w:val="single" w:sz="8" w:color="CCEEFF"/>
            </w:tcBorders>
            <w:vMerge w:val="restart"/>
            <w:shd w:val="clear" w:color="auto" w:fill="CCEEFF"/>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ind w:left="100"/>
              <w:spacing w:after="0" w:line="9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w:t>
            </w:r>
          </w:p>
        </w:tc>
        <w:tc>
          <w:tcPr>
            <w:tcW w:w="560" w:type="dxa"/>
            <w:vAlign w:val="bottom"/>
            <w:vMerge w:val="restart"/>
            <w:shd w:val="clear" w:color="auto" w:fill="CCEEFF"/>
          </w:tcPr>
          <w:p>
            <w:pPr>
              <w:jc w:val="right"/>
              <w:spacing w:after="0" w:line="130" w:lineRule="exact"/>
              <w:rPr>
                <w:sz w:val="20"/>
                <w:szCs w:val="20"/>
                <w:color w:val="auto"/>
              </w:rPr>
            </w:pPr>
            <w:r>
              <w:rPr>
                <w:rFonts w:ascii="Arial" w:cs="Arial" w:eastAsia="Arial" w:hAnsi="Arial"/>
                <w:sz w:val="12"/>
                <w:szCs w:val="12"/>
                <w:color w:val="auto"/>
              </w:rPr>
              <w:t>4/15/2025</w:t>
            </w:r>
          </w:p>
        </w:tc>
        <w:tc>
          <w:tcPr>
            <w:tcW w:w="220" w:type="dxa"/>
            <w:vAlign w:val="bottom"/>
            <w:tcBorders>
              <w:left w:val="single" w:sz="8" w:color="CCEEFF"/>
              <w:right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 xml:space="preserve">​  </w:t>
            </w:r>
            <w:r>
              <w:rPr>
                <w:rFonts w:ascii="Arial" w:cs="Arial" w:eastAsia="Arial" w:hAnsi="Arial"/>
                <w:sz w:val="10"/>
                <w:szCs w:val="10"/>
                <w:color w:val="auto"/>
              </w:rPr>
              <w:t>​</w:t>
            </w:r>
          </w:p>
        </w:tc>
        <w:tc>
          <w:tcPr>
            <w:tcW w:w="360" w:type="dxa"/>
            <w:vAlign w:val="bottom"/>
            <w:vMerge w:val="restart"/>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ind w:left="80"/>
              <w:spacing w:after="0" w:line="93" w:lineRule="exact"/>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line="130"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CEEFF"/>
            </w:tcBorders>
            <w:vMerge w:val="restart"/>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ind w:left="80"/>
              <w:spacing w:after="0" w:line="93" w:lineRule="exact"/>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93" w:lineRule="exact"/>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line="130" w:lineRule="exact"/>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260" w:type="dxa"/>
            <w:vAlign w:val="bottom"/>
            <w:gridSpan w:val="2"/>
            <w:shd w:val="clear" w:color="auto" w:fill="CCEEFF"/>
          </w:tcPr>
          <w:p>
            <w:pPr>
              <w:spacing w:after="0" w:line="37" w:lineRule="exact"/>
              <w:rPr>
                <w:sz w:val="20"/>
                <w:szCs w:val="20"/>
                <w:color w:val="auto"/>
              </w:rPr>
            </w:pPr>
            <w:r>
              <w:rPr>
                <w:rFonts w:ascii="Arial" w:cs="Arial" w:eastAsia="Arial" w:hAnsi="Arial"/>
                <w:sz w:val="4"/>
                <w:szCs w:val="4"/>
                <w:color w:val="auto"/>
              </w:rPr>
              <w:t>William B. Shepro</w:t>
            </w: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line="37" w:lineRule="exact"/>
              <w:rPr>
                <w:sz w:val="20"/>
                <w:szCs w:val="20"/>
                <w:color w:val="auto"/>
              </w:rPr>
            </w:pPr>
            <w:r>
              <w:rPr>
                <w:rFonts w:ascii="Arial" w:cs="Arial" w:eastAsia="Arial" w:hAnsi="Arial"/>
                <w:sz w:val="4"/>
                <w:szCs w:val="4"/>
                <w:color w:val="auto"/>
              </w:rPr>
              <w:t>​</w:t>
            </w:r>
          </w:p>
        </w:tc>
        <w:tc>
          <w:tcPr>
            <w:tcW w:w="560" w:type="dxa"/>
            <w:vAlign w:val="bottom"/>
            <w:tcBorders>
              <w:right w:val="single" w:sz="8" w:color="CCEEFF"/>
            </w:tcBorders>
            <w:gridSpan w:val="2"/>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gridSpan w:val="2"/>
            <w:shd w:val="clear" w:color="auto" w:fill="CCEEFF"/>
          </w:tcPr>
          <w:p>
            <w:pPr>
              <w:jc w:val="right"/>
              <w:ind w:right="260"/>
              <w:spacing w:after="0" w:line="37" w:lineRule="exact"/>
              <w:rPr>
                <w:sz w:val="20"/>
                <w:szCs w:val="20"/>
                <w:color w:val="auto"/>
              </w:rPr>
            </w:pPr>
            <w:r>
              <w:rPr>
                <w:rFonts w:ascii="Arial" w:cs="Arial" w:eastAsia="Arial" w:hAnsi="Arial"/>
                <w:sz w:val="4"/>
                <w:szCs w:val="4"/>
                <w:color w:val="auto"/>
              </w:rPr>
              <w:t>​—</w:t>
            </w: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ind w:left="180"/>
              <w:spacing w:after="0" w:line="37" w:lineRule="exact"/>
              <w:rPr>
                <w:sz w:val="20"/>
                <w:szCs w:val="20"/>
                <w:color w:val="auto"/>
              </w:rPr>
            </w:pPr>
            <w:r>
              <w:rPr>
                <w:rFonts w:ascii="Arial" w:cs="Arial" w:eastAsia="Arial" w:hAnsi="Arial"/>
                <w:sz w:val="4"/>
                <w:szCs w:val="4"/>
                <w:color w:val="auto"/>
              </w:rPr>
              <w:t>​</w:t>
            </w:r>
          </w:p>
        </w:tc>
        <w:tc>
          <w:tcPr>
            <w:tcW w:w="220" w:type="dxa"/>
            <w:vAlign w:val="bottom"/>
            <w:tcBorders>
              <w:right w:val="single" w:sz="8" w:color="CCEEFF"/>
            </w:tcBorders>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gridSpan w:val="5"/>
            <w:shd w:val="clear" w:color="auto" w:fill="CCEEFF"/>
          </w:tcPr>
          <w:p>
            <w:pPr>
              <w:ind w:left="120"/>
              <w:spacing w:after="0" w:line="37" w:lineRule="exact"/>
              <w:rPr>
                <w:sz w:val="20"/>
                <w:szCs w:val="20"/>
                <w:color w:val="auto"/>
              </w:rPr>
            </w:pPr>
            <w:r>
              <w:rPr>
                <w:rFonts w:ascii="Arial" w:cs="Arial" w:eastAsia="Arial" w:hAnsi="Arial"/>
                <w:sz w:val="4"/>
                <w:szCs w:val="4"/>
                <w:color w:val="auto"/>
              </w:rPr>
              <w:t>$18.79</w:t>
            </w:r>
          </w:p>
        </w:tc>
        <w:tc>
          <w:tcPr>
            <w:tcW w:w="80" w:type="dxa"/>
            <w:vAlign w:val="bottom"/>
            <w:shd w:val="clear" w:color="auto" w:fill="CCEEFF"/>
          </w:tcPr>
          <w:p>
            <w:pPr>
              <w:jc w:val="right"/>
              <w:spacing w:after="0" w:line="37" w:lineRule="exact"/>
              <w:rPr>
                <w:sz w:val="20"/>
                <w:szCs w:val="20"/>
                <w:color w:val="auto"/>
              </w:rPr>
            </w:pPr>
            <w:r>
              <w:rPr>
                <w:rFonts w:ascii="Arial" w:cs="Arial" w:eastAsia="Arial" w:hAnsi="Arial"/>
                <w:sz w:val="4"/>
                <w:szCs w:val="4"/>
                <w:color w:val="auto"/>
              </w:rPr>
              <w:t>​</w:t>
            </w:r>
          </w:p>
        </w:tc>
        <w:tc>
          <w:tcPr>
            <w:tcW w:w="560" w:type="dxa"/>
            <w:vAlign w:val="bottom"/>
            <w:vMerge w:val="continue"/>
            <w:shd w:val="clear" w:color="auto" w:fill="CCEEFF"/>
          </w:tcPr>
          <w:p>
            <w:pPr>
              <w:spacing w:after="0"/>
              <w:rPr>
                <w:sz w:val="3"/>
                <w:szCs w:val="3"/>
                <w:color w:val="auto"/>
              </w:rPr>
            </w:pPr>
          </w:p>
        </w:tc>
        <w:tc>
          <w:tcPr>
            <w:tcW w:w="4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ind w:left="100"/>
              <w:spacing w:after="0" w:line="37" w:lineRule="exact"/>
              <w:rPr>
                <w:sz w:val="20"/>
                <w:szCs w:val="20"/>
                <w:color w:val="auto"/>
              </w:rPr>
            </w:pPr>
            <w:r>
              <w:rPr>
                <w:rFonts w:ascii="Arial" w:cs="Arial" w:eastAsia="Arial" w:hAnsi="Arial"/>
                <w:sz w:val="4"/>
                <w:szCs w:val="4"/>
                <w:color w:val="auto"/>
              </w:rPr>
              <w:t>​</w:t>
            </w:r>
          </w:p>
        </w:tc>
        <w:tc>
          <w:tcPr>
            <w:tcW w:w="360" w:type="dxa"/>
            <w:vAlign w:val="bottom"/>
            <w:vMerge w:val="continue"/>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46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ind w:left="80"/>
              <w:spacing w:after="0" w:line="37" w:lineRule="exact"/>
              <w:rPr>
                <w:sz w:val="20"/>
                <w:szCs w:val="20"/>
                <w:color w:val="auto"/>
              </w:rPr>
            </w:pPr>
            <w:r>
              <w:rPr>
                <w:rFonts w:ascii="Arial" w:cs="Arial" w:eastAsia="Arial" w:hAnsi="Arial"/>
                <w:sz w:val="4"/>
                <w:szCs w:val="4"/>
                <w:color w:val="auto"/>
              </w:rPr>
              <w:t>​</w:t>
            </w:r>
          </w:p>
        </w:tc>
        <w:tc>
          <w:tcPr>
            <w:tcW w:w="380" w:type="dxa"/>
            <w:vAlign w:val="bottom"/>
            <w:vMerge w:val="continue"/>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480" w:type="dxa"/>
            <w:vAlign w:val="bottom"/>
            <w:vMerge w:val="continue"/>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200,000</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gridSpan w:val="5"/>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$24.82</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9"/>
                <w:szCs w:val="19"/>
                <w:b w:val="1"/>
                <w:bCs w:val="1"/>
                <w:color w:val="auto"/>
                <w:vertAlign w:val="superscript"/>
              </w:rPr>
              <w:t>​</w:t>
            </w:r>
            <w:r>
              <w:rPr>
                <w:rFonts w:ascii="Arial" w:cs="Arial" w:eastAsia="Arial" w:hAnsi="Arial"/>
                <w:sz w:val="10"/>
                <w:szCs w:val="10"/>
                <w:color w:val="auto"/>
              </w:rPr>
              <w:t>​</w:t>
            </w: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0"/>
                <w:szCs w:val="10"/>
                <w:color w:val="auto"/>
              </w:rPr>
              <w:t>2/12/2028</w:t>
            </w:r>
            <w:r>
              <w:rPr>
                <w:rFonts w:ascii="Arial" w:cs="Arial" w:eastAsia="Arial" w:hAnsi="Arial"/>
                <w:sz w:val="19"/>
                <w:szCs w:val="19"/>
                <w:b w:val="1"/>
                <w:bCs w:val="1"/>
                <w:color w:val="auto"/>
                <w:vertAlign w:val="superscript"/>
              </w:rPr>
              <w:t>​</w:t>
            </w:r>
          </w:p>
        </w:tc>
        <w:tc>
          <w:tcPr>
            <w:tcW w:w="180" w:type="dxa"/>
            <w:vAlign w:val="bottom"/>
            <w:tcBorders>
              <w:right w:val="single" w:sz="8" w:color="CCEEFF"/>
            </w:tcBorders>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60" w:type="dxa"/>
            <w:vAlign w:val="bottom"/>
            <w:tcBorders>
              <w:right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3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right w:val="single" w:sz="8" w:color="CCEEFF"/>
            </w:tcBorders>
            <w:vMerge w:val="restart"/>
            <w:shd w:val="clear" w:color="auto" w:fill="CCEEFF"/>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CCEEFF"/>
            </w:tcBorders>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8"/>
                <w:szCs w:val="8"/>
                <w:color w:val="auto"/>
                <w:w w:val="81"/>
              </w:rPr>
              <w:t>(6)</w:t>
            </w: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gridSpan w:val="2"/>
            <w:shd w:val="clear" w:color="auto" w:fill="CCEEFF"/>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40" w:type="dxa"/>
            <w:vAlign w:val="bottom"/>
            <w:tcBorders>
              <w:left w:val="single" w:sz="8" w:color="CCEEFF"/>
            </w:tcBorders>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4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20" w:type="dxa"/>
            <w:vAlign w:val="bottom"/>
            <w:gridSpan w:val="2"/>
            <w:shd w:val="clear" w:color="auto" w:fill="CCEEFF"/>
          </w:tcPr>
          <w:p>
            <w:pPr>
              <w:ind w:left="80"/>
              <w:spacing w:after="0" w:line="49" w:lineRule="exact"/>
              <w:rPr>
                <w:sz w:val="20"/>
                <w:szCs w:val="20"/>
                <w:color w:val="auto"/>
              </w:rPr>
            </w:pPr>
            <w:r>
              <w:rPr>
                <w:rFonts w:ascii="Arial" w:cs="Arial" w:eastAsia="Arial" w:hAnsi="Arial"/>
                <w:sz w:val="5"/>
                <w:szCs w:val="5"/>
                <w:color w:val="auto"/>
              </w:rPr>
              <w:t>​ 40,000</w:t>
            </w: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gridSpan w:val="4"/>
            <w:shd w:val="clear" w:color="auto" w:fill="CCEEFF"/>
          </w:tcPr>
          <w:p>
            <w:pPr>
              <w:ind w:left="120"/>
              <w:spacing w:after="0" w:line="49" w:lineRule="exact"/>
              <w:rPr>
                <w:sz w:val="20"/>
                <w:szCs w:val="20"/>
                <w:color w:val="auto"/>
              </w:rPr>
            </w:pPr>
            <w:r>
              <w:rPr>
                <w:rFonts w:ascii="Arial" w:cs="Arial" w:eastAsia="Arial" w:hAnsi="Arial"/>
                <w:sz w:val="5"/>
                <w:szCs w:val="5"/>
                <w:color w:val="auto"/>
              </w:rPr>
              <w:t>$26,296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80" w:type="dxa"/>
            <w:vAlign w:val="bottom"/>
            <w:gridSpan w:val="3"/>
            <w:shd w:val="clear" w:color="auto" w:fill="CCEEFF"/>
          </w:tcPr>
          <w:p>
            <w:pPr>
              <w:ind w:left="10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b w:val="1"/>
                <w:bCs w:val="1"/>
                <w:color w:val="auto"/>
                <w:vertAlign w:val="superscript"/>
              </w:rPr>
              <w:t>​</w:t>
            </w:r>
          </w:p>
        </w:tc>
        <w:tc>
          <w:tcPr>
            <w:tcW w:w="180" w:type="dxa"/>
            <w:vAlign w:val="bottom"/>
            <w:tcBorders>
              <w:right w:val="single" w:sz="8" w:color="CCEEFF"/>
            </w:tcBorders>
            <w:shd w:val="clear" w:color="auto" w:fill="CCEEFF"/>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Borders>
              <w:right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shd w:val="clear" w:color="auto" w:fill="CCEEFF"/>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40,974</w:t>
            </w:r>
            <w:r>
              <w:rPr>
                <w:rFonts w:ascii="Arial" w:cs="Arial" w:eastAsia="Arial" w:hAnsi="Arial"/>
                <w:sz w:val="13"/>
                <w:szCs w:val="13"/>
                <w:color w:val="auto"/>
                <w:vertAlign w:val="superscript"/>
              </w:rPr>
              <w:t>(13)</w:t>
            </w: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$26,936</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1"/>
        </w:trPr>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60" w:type="dxa"/>
            <w:vAlign w:val="bottom"/>
          </w:tcPr>
          <w:p>
            <w:pPr>
              <w:ind w:left="300"/>
              <w:spacing w:after="0" w:line="102"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80" w:type="dxa"/>
            <w:vAlign w:val="bottom"/>
            <w:gridSpan w:val="2"/>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8"/>
                <w:szCs w:val="8"/>
                <w:color w:val="auto"/>
              </w:rPr>
            </w:pPr>
          </w:p>
        </w:tc>
        <w:tc>
          <w:tcPr>
            <w:tcW w:w="160" w:type="dxa"/>
            <w:vAlign w:val="bottom"/>
          </w:tcPr>
          <w:p>
            <w:pPr>
              <w:jc w:val="right"/>
              <w:spacing w:after="0"/>
              <w:rPr>
                <w:sz w:val="20"/>
                <w:szCs w:val="20"/>
                <w:color w:val="auto"/>
              </w:rPr>
            </w:pPr>
            <w:r>
              <w:rPr>
                <w:rFonts w:ascii="Arial" w:cs="Arial" w:eastAsia="Arial" w:hAnsi="Arial"/>
                <w:sz w:val="8"/>
                <w:szCs w:val="8"/>
                <w:color w:val="auto"/>
                <w:w w:val="84"/>
              </w:rPr>
              <w:t>(12)</w:t>
            </w: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2"/>
          </w:tcPr>
          <w:p>
            <w:pPr>
              <w:ind w:left="100"/>
              <w:spacing w:after="0" w:line="49" w:lineRule="exact"/>
              <w:rPr>
                <w:sz w:val="20"/>
                <w:szCs w:val="20"/>
                <w:color w:val="auto"/>
              </w:rPr>
            </w:pPr>
            <w:r>
              <w:rPr>
                <w:rFonts w:ascii="Arial" w:cs="Arial" w:eastAsia="Arial" w:hAnsi="Arial"/>
                <w:sz w:val="5"/>
                <w:szCs w:val="5"/>
                <w:color w:val="auto"/>
              </w:rPr>
              <w:t>​ 13,659</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tcPr>
          <w:p>
            <w:pPr>
              <w:ind w:left="80"/>
              <w:spacing w:after="0" w:line="49" w:lineRule="exact"/>
              <w:rPr>
                <w:sz w:val="20"/>
                <w:szCs w:val="20"/>
                <w:color w:val="auto"/>
              </w:rPr>
            </w:pPr>
            <w:r>
              <w:rPr>
                <w:rFonts w:ascii="Arial" w:cs="Arial" w:eastAsia="Arial" w:hAnsi="Arial"/>
                <w:sz w:val="5"/>
                <w:szCs w:val="5"/>
                <w:color w:val="auto"/>
              </w:rPr>
              <w:t>$ 8,979</w:t>
            </w:r>
          </w:p>
        </w:tc>
        <w:tc>
          <w:tcPr>
            <w:tcW w:w="40" w:type="dxa"/>
            <w:vAlign w:val="bottom"/>
          </w:tcPr>
          <w:p>
            <w:pPr>
              <w:spacing w:after="0"/>
              <w:rPr>
                <w:sz w:val="4"/>
                <w:szCs w:val="4"/>
                <w:color w:val="auto"/>
              </w:rPr>
            </w:pPr>
          </w:p>
        </w:tc>
        <w:tc>
          <w:tcPr>
            <w:tcW w:w="140" w:type="dxa"/>
            <w:vAlign w:val="bottom"/>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right w:val="single" w:sz="8" w:color="CCEEFF"/>
            </w:tcBorders>
            <w:vMerge w:val="restart"/>
            <w:shd w:val="clear" w:color="auto" w:fill="CCEEFF"/>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4"/>
              </w:rPr>
              <w:t>(14)</w:t>
            </w: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40" w:type="dxa"/>
            <w:vAlign w:val="bottom"/>
            <w:tcBorders>
              <w:left w:val="single" w:sz="8" w:color="CCEEFF"/>
            </w:tcBorders>
            <w:shd w:val="clear" w:color="auto" w:fill="CCEEFF"/>
          </w:tcPr>
          <w:p>
            <w:pPr>
              <w:spacing w:after="0"/>
              <w:rPr>
                <w:sz w:val="5"/>
                <w:szCs w:val="5"/>
                <w:color w:val="auto"/>
              </w:rPr>
            </w:pPr>
          </w:p>
        </w:tc>
        <w:tc>
          <w:tcPr>
            <w:tcW w:w="540" w:type="dxa"/>
            <w:vAlign w:val="bottom"/>
            <w:gridSpan w:val="2"/>
            <w:shd w:val="clear" w:color="auto" w:fill="CCEEFF"/>
          </w:tcPr>
          <w:p>
            <w:pPr>
              <w:ind w:left="100"/>
              <w:spacing w:after="0" w:line="49" w:lineRule="exact"/>
              <w:rPr>
                <w:sz w:val="20"/>
                <w:szCs w:val="20"/>
                <w:color w:val="auto"/>
              </w:rPr>
            </w:pPr>
            <w:r>
              <w:rPr>
                <w:rFonts w:ascii="Arial" w:cs="Arial" w:eastAsia="Arial" w:hAnsi="Arial"/>
                <w:sz w:val="5"/>
                <w:szCs w:val="5"/>
                <w:color w:val="auto"/>
              </w:rPr>
              <w:t>​ 25,904</w:t>
            </w: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tcBorders>
              <w:right w:val="single" w:sz="8" w:color="CCEEFF"/>
            </w:tcBorders>
            <w:gridSpan w:val="3"/>
            <w:shd w:val="clear" w:color="auto" w:fill="CCEEFF"/>
          </w:tcPr>
          <w:p>
            <w:pPr>
              <w:ind w:left="80"/>
              <w:spacing w:after="0" w:line="49" w:lineRule="exact"/>
              <w:rPr>
                <w:sz w:val="20"/>
                <w:szCs w:val="20"/>
                <w:color w:val="auto"/>
              </w:rPr>
            </w:pPr>
            <w:r>
              <w:rPr>
                <w:rFonts w:ascii="Arial" w:cs="Arial" w:eastAsia="Arial" w:hAnsi="Arial"/>
                <w:sz w:val="5"/>
                <w:szCs w:val="5"/>
                <w:color w:val="auto"/>
              </w:rPr>
              <w:t>$17,029</w:t>
            </w: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2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80" w:type="dxa"/>
            <w:vAlign w:val="bottom"/>
            <w:gridSpan w:val="3"/>
          </w:tcPr>
          <w:p>
            <w:pPr>
              <w:ind w:left="100"/>
              <w:spacing w:after="0" w:line="15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5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color w:val="auto"/>
                <w:vertAlign w:val="subscript"/>
              </w:rPr>
              <w:t>​</w:t>
            </w:r>
          </w:p>
        </w:tc>
        <w:tc>
          <w:tcPr>
            <w:tcW w:w="600" w:type="dxa"/>
            <w:vAlign w:val="bottom"/>
            <w:gridSpan w:val="2"/>
          </w:tcPr>
          <w:p>
            <w:pPr>
              <w:jc w:val="right"/>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b w:val="1"/>
                <w:bCs w:val="1"/>
                <w:color w:val="auto"/>
                <w:vertAlign w:val="superscript"/>
              </w:rPr>
              <w:t>​</w:t>
            </w:r>
          </w:p>
        </w:tc>
        <w:tc>
          <w:tcPr>
            <w:tcW w:w="180" w:type="dxa"/>
            <w:vAlign w:val="bottom"/>
          </w:tcPr>
          <w:p>
            <w:pPr>
              <w:ind w:left="10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5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ind w:left="8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 51,218</w:t>
            </w:r>
            <w:r>
              <w:rPr>
                <w:rFonts w:ascii="Arial" w:cs="Arial" w:eastAsia="Arial" w:hAnsi="Arial"/>
                <w:sz w:val="12"/>
                <w:szCs w:val="12"/>
                <w:color w:val="auto"/>
                <w:vertAlign w:val="superscript"/>
              </w:rPr>
              <w:t>(16)</w:t>
            </w: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640" w:type="dxa"/>
            <w:vAlign w:val="bottom"/>
            <w:gridSpan w:val="3"/>
          </w:tcPr>
          <w:p>
            <w:pPr>
              <w:ind w:left="4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$33,671</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8"/>
                <w:szCs w:val="8"/>
                <w:color w:val="auto"/>
                <w:w w:val="84"/>
              </w:rPr>
              <w:t>(15)</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2"/>
          </w:tcPr>
          <w:p>
            <w:pPr>
              <w:ind w:left="100"/>
              <w:spacing w:after="0" w:line="49" w:lineRule="exact"/>
              <w:rPr>
                <w:sz w:val="20"/>
                <w:szCs w:val="20"/>
                <w:color w:val="auto"/>
              </w:rPr>
            </w:pPr>
            <w:r>
              <w:rPr>
                <w:rFonts w:ascii="Arial" w:cs="Arial" w:eastAsia="Arial" w:hAnsi="Arial"/>
                <w:sz w:val="5"/>
                <w:szCs w:val="5"/>
                <w:color w:val="auto"/>
              </w:rPr>
              <w:t>​ 34,145</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tcPr>
          <w:p>
            <w:pPr>
              <w:ind w:left="80"/>
              <w:spacing w:after="0" w:line="49" w:lineRule="exact"/>
              <w:rPr>
                <w:sz w:val="20"/>
                <w:szCs w:val="20"/>
                <w:color w:val="auto"/>
              </w:rPr>
            </w:pPr>
            <w:r>
              <w:rPr>
                <w:rFonts w:ascii="Arial" w:cs="Arial" w:eastAsia="Arial" w:hAnsi="Arial"/>
                <w:sz w:val="5"/>
                <w:szCs w:val="5"/>
                <w:color w:val="auto"/>
              </w:rPr>
              <w:t>$22,447</w:t>
            </w:r>
          </w:p>
        </w:tc>
        <w:tc>
          <w:tcPr>
            <w:tcW w:w="40" w:type="dxa"/>
            <w:vAlign w:val="bottom"/>
          </w:tcPr>
          <w:p>
            <w:pPr>
              <w:spacing w:after="0"/>
              <w:rPr>
                <w:sz w:val="4"/>
                <w:szCs w:val="4"/>
                <w:color w:val="auto"/>
              </w:rPr>
            </w:pPr>
          </w:p>
        </w:tc>
        <w:tc>
          <w:tcPr>
            <w:tcW w:w="140" w:type="dxa"/>
            <w:vAlign w:val="bottom"/>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right w:val="single" w:sz="8" w:color="CCEEFF"/>
            </w:tcBorders>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4"/>
              </w:rPr>
              <w:t>(17)</w:t>
            </w: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tcBorders>
              <w:right w:val="single" w:sz="8" w:color="CCEEFF"/>
            </w:tcBorders>
            <w:vMerge w:val="continue"/>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40" w:type="dxa"/>
            <w:vAlign w:val="bottom"/>
            <w:tcBorders>
              <w:left w:val="single" w:sz="8" w:color="CCEEFF"/>
            </w:tcBorders>
            <w:shd w:val="clear" w:color="auto" w:fill="CCEEFF"/>
          </w:tcPr>
          <w:p>
            <w:pPr>
              <w:spacing w:after="0"/>
              <w:rPr>
                <w:sz w:val="5"/>
                <w:szCs w:val="5"/>
                <w:color w:val="auto"/>
              </w:rPr>
            </w:pPr>
          </w:p>
        </w:tc>
        <w:tc>
          <w:tcPr>
            <w:tcW w:w="540" w:type="dxa"/>
            <w:vAlign w:val="bottom"/>
            <w:gridSpan w:val="2"/>
            <w:shd w:val="clear" w:color="auto" w:fill="CCEEFF"/>
          </w:tcPr>
          <w:p>
            <w:pPr>
              <w:ind w:left="100"/>
              <w:spacing w:after="0" w:line="49" w:lineRule="exact"/>
              <w:rPr>
                <w:sz w:val="20"/>
                <w:szCs w:val="20"/>
                <w:color w:val="auto"/>
              </w:rPr>
            </w:pPr>
            <w:r>
              <w:rPr>
                <w:rFonts w:ascii="Arial" w:cs="Arial" w:eastAsia="Arial" w:hAnsi="Arial"/>
                <w:sz w:val="5"/>
                <w:szCs w:val="5"/>
                <w:color w:val="auto"/>
              </w:rPr>
              <w:t>​104,858</w:t>
            </w: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tcBorders>
              <w:right w:val="single" w:sz="8" w:color="CCEEFF"/>
            </w:tcBorders>
            <w:gridSpan w:val="3"/>
            <w:shd w:val="clear" w:color="auto" w:fill="CCEEFF"/>
          </w:tcPr>
          <w:p>
            <w:pPr>
              <w:ind w:left="80"/>
              <w:spacing w:after="0" w:line="49" w:lineRule="exact"/>
              <w:rPr>
                <w:sz w:val="20"/>
                <w:szCs w:val="20"/>
                <w:color w:val="auto"/>
              </w:rPr>
            </w:pPr>
            <w:r>
              <w:rPr>
                <w:rFonts w:ascii="Arial" w:cs="Arial" w:eastAsia="Arial" w:hAnsi="Arial"/>
                <w:sz w:val="5"/>
                <w:szCs w:val="5"/>
                <w:color w:val="auto"/>
              </w:rPr>
              <w:t>$68,934</w:t>
            </w: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2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gridSpan w:val="2"/>
          </w:tcPr>
          <w:p>
            <w:pPr>
              <w:spacing w:after="0" w:line="15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5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color w:val="auto"/>
                <w:vertAlign w:val="subscript"/>
              </w:rPr>
              <w:t>​</w:t>
            </w:r>
          </w:p>
        </w:tc>
        <w:tc>
          <w:tcPr>
            <w:tcW w:w="600" w:type="dxa"/>
            <w:vAlign w:val="bottom"/>
            <w:gridSpan w:val="2"/>
          </w:tcPr>
          <w:p>
            <w:pPr>
              <w:jc w:val="right"/>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b w:val="1"/>
                <w:bCs w:val="1"/>
                <w:color w:val="auto"/>
                <w:vertAlign w:val="superscript"/>
              </w:rPr>
              <w:t>​</w:t>
            </w:r>
          </w:p>
        </w:tc>
        <w:tc>
          <w:tcPr>
            <w:tcW w:w="180" w:type="dxa"/>
            <w:vAlign w:val="bottom"/>
          </w:tcPr>
          <w:p>
            <w:pPr>
              <w:ind w:left="10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5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ind w:left="8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 78,146</w:t>
            </w:r>
            <w:r>
              <w:rPr>
                <w:rFonts w:ascii="Arial" w:cs="Arial" w:eastAsia="Arial" w:hAnsi="Arial"/>
                <w:sz w:val="12"/>
                <w:szCs w:val="12"/>
                <w:color w:val="auto"/>
                <w:vertAlign w:val="superscript"/>
              </w:rPr>
              <w:t>(19)</w:t>
            </w: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640" w:type="dxa"/>
            <w:vAlign w:val="bottom"/>
            <w:gridSpan w:val="3"/>
          </w:tcPr>
          <w:p>
            <w:pPr>
              <w:ind w:left="4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$51,373</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4"/>
              </w:rPr>
              <w:t>(18)</w:t>
            </w: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40" w:type="dxa"/>
            <w:vAlign w:val="bottom"/>
            <w:tcBorders>
              <w:left w:val="single" w:sz="8" w:color="CCEEFF"/>
            </w:tcBorders>
            <w:shd w:val="clear" w:color="auto" w:fill="CCEEFF"/>
          </w:tcPr>
          <w:p>
            <w:pPr>
              <w:spacing w:after="0"/>
              <w:rPr>
                <w:sz w:val="5"/>
                <w:szCs w:val="5"/>
                <w:color w:val="auto"/>
              </w:rPr>
            </w:pPr>
          </w:p>
        </w:tc>
        <w:tc>
          <w:tcPr>
            <w:tcW w:w="540" w:type="dxa"/>
            <w:vAlign w:val="bottom"/>
            <w:gridSpan w:val="2"/>
            <w:shd w:val="clear" w:color="auto" w:fill="CCEEFF"/>
          </w:tcPr>
          <w:p>
            <w:pPr>
              <w:ind w:left="100"/>
              <w:spacing w:after="0" w:line="49" w:lineRule="exact"/>
              <w:rPr>
                <w:sz w:val="20"/>
                <w:szCs w:val="20"/>
                <w:color w:val="auto"/>
              </w:rPr>
            </w:pPr>
            <w:r>
              <w:rPr>
                <w:rFonts w:ascii="Arial" w:cs="Arial" w:eastAsia="Arial" w:hAnsi="Arial"/>
                <w:sz w:val="5"/>
                <w:szCs w:val="5"/>
                <w:color w:val="auto"/>
              </w:rPr>
              <w:t>​ 78,146</w:t>
            </w: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tcBorders>
              <w:right w:val="single" w:sz="8" w:color="CCEEFF"/>
            </w:tcBorders>
            <w:gridSpan w:val="3"/>
            <w:shd w:val="clear" w:color="auto" w:fill="CCEEFF"/>
          </w:tcPr>
          <w:p>
            <w:pPr>
              <w:ind w:left="80"/>
              <w:spacing w:after="0" w:line="49" w:lineRule="exact"/>
              <w:rPr>
                <w:sz w:val="20"/>
                <w:szCs w:val="20"/>
                <w:color w:val="auto"/>
              </w:rPr>
            </w:pPr>
            <w:r>
              <w:rPr>
                <w:rFonts w:ascii="Arial" w:cs="Arial" w:eastAsia="Arial" w:hAnsi="Arial"/>
                <w:sz w:val="5"/>
                <w:szCs w:val="5"/>
                <w:color w:val="auto"/>
              </w:rPr>
              <w:t>$51,373</w:t>
            </w: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000" w:type="dxa"/>
            <w:vAlign w:val="bottom"/>
          </w:tcPr>
          <w:p>
            <w:pPr>
              <w:spacing w:after="0"/>
              <w:rPr>
                <w:sz w:val="8"/>
                <w:szCs w:val="8"/>
                <w:color w:val="auto"/>
              </w:rPr>
            </w:pPr>
          </w:p>
        </w:tc>
        <w:tc>
          <w:tcPr>
            <w:tcW w:w="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780" w:type="dxa"/>
            <w:vAlign w:val="bottom"/>
            <w:gridSpan w:val="2"/>
          </w:tcPr>
          <w:p>
            <w:pPr>
              <w:ind w:left="30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180" w:type="dxa"/>
            <w:vAlign w:val="bottom"/>
          </w:tcPr>
          <w:p>
            <w:pPr>
              <w:spacing w:after="0"/>
              <w:rPr>
                <w:sz w:val="20"/>
                <w:szCs w:val="20"/>
                <w:color w:val="auto"/>
              </w:rPr>
            </w:pPr>
            <w:r>
              <w:rPr>
                <w:rFonts w:ascii="Arial" w:cs="Arial" w:eastAsia="Arial" w:hAnsi="Arial"/>
                <w:sz w:val="8"/>
                <w:szCs w:val="8"/>
                <w:color w:val="auto"/>
              </w:rPr>
              <w:t>(7)</w:t>
            </w:r>
          </w:p>
        </w:tc>
        <w:tc>
          <w:tcPr>
            <w:tcW w:w="1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80" w:type="dxa"/>
            <w:vAlign w:val="bottom"/>
            <w:gridSpan w:val="2"/>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2/10/2025</w:t>
            </w:r>
          </w:p>
        </w:tc>
        <w:tc>
          <w:tcPr>
            <w:tcW w:w="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8"/>
        </w:trPr>
        <w:tc>
          <w:tcPr>
            <w:tcW w:w="1260" w:type="dxa"/>
            <w:vAlign w:val="bottom"/>
            <w:gridSpan w:val="2"/>
          </w:tcPr>
          <w:p>
            <w:pPr>
              <w:spacing w:after="0" w:line="49" w:lineRule="exact"/>
              <w:rPr>
                <w:sz w:val="20"/>
                <w:szCs w:val="20"/>
                <w:color w:val="auto"/>
              </w:rPr>
            </w:pPr>
            <w:r>
              <w:rPr>
                <w:rFonts w:ascii="Arial" w:cs="Arial" w:eastAsia="Arial" w:hAnsi="Arial"/>
                <w:sz w:val="5"/>
                <w:szCs w:val="5"/>
                <w:color w:val="auto"/>
              </w:rPr>
              <w:t>Michelle D. Esterman</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520" w:type="dxa"/>
            <w:vAlign w:val="bottom"/>
            <w:gridSpan w:val="2"/>
          </w:tcPr>
          <w:p>
            <w:pPr>
              <w:ind w:left="180"/>
              <w:spacing w:after="0" w:line="49" w:lineRule="exact"/>
              <w:rPr>
                <w:sz w:val="20"/>
                <w:szCs w:val="20"/>
                <w:color w:val="auto"/>
              </w:rPr>
            </w:pPr>
            <w:r>
              <w:rPr>
                <w:rFonts w:ascii="Arial" w:cs="Arial" w:eastAsia="Arial" w:hAnsi="Arial"/>
                <w:sz w:val="5"/>
                <w:szCs w:val="5"/>
                <w:color w:val="auto"/>
              </w:rPr>
              <w:t>​6,250</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5"/>
          </w:tcPr>
          <w:p>
            <w:pPr>
              <w:ind w:left="120"/>
              <w:spacing w:after="0" w:line="49" w:lineRule="exact"/>
              <w:rPr>
                <w:sz w:val="20"/>
                <w:szCs w:val="20"/>
                <w:color w:val="auto"/>
              </w:rPr>
            </w:pPr>
            <w:r>
              <w:rPr>
                <w:rFonts w:ascii="Arial" w:cs="Arial" w:eastAsia="Arial" w:hAnsi="Arial"/>
                <w:sz w:val="5"/>
                <w:szCs w:val="5"/>
                <w:color w:val="auto"/>
              </w:rPr>
              <w:t>$21.89</w:t>
            </w: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12,500</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$21.89</w:t>
            </w:r>
          </w:p>
        </w:tc>
        <w:tc>
          <w:tcPr>
            <w:tcW w:w="80" w:type="dxa"/>
            <w:vAlign w:val="bottom"/>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69" w:lineRule="exact"/>
              <w:rPr>
                <w:sz w:val="20"/>
                <w:szCs w:val="20"/>
                <w:color w:val="auto"/>
              </w:rPr>
            </w:pPr>
            <w:r>
              <w:rPr>
                <w:rFonts w:ascii="Arial" w:cs="Arial" w:eastAsia="Arial" w:hAnsi="Arial"/>
                <w:sz w:val="10"/>
                <w:szCs w:val="10"/>
                <w:color w:val="auto"/>
              </w:rPr>
              <w:t>2/10/2025</w:t>
            </w:r>
            <w:r>
              <w:rPr>
                <w:rFonts w:ascii="Arial" w:cs="Arial" w:eastAsia="Arial" w:hAnsi="Arial"/>
                <w:sz w:val="19"/>
                <w:szCs w:val="19"/>
                <w:b w:val="1"/>
                <w:bCs w:val="1"/>
                <w:color w:val="auto"/>
                <w:vertAlign w:val="superscript"/>
              </w:rPr>
              <w:t>​</w:t>
            </w:r>
          </w:p>
        </w:tc>
        <w:tc>
          <w:tcPr>
            <w:tcW w:w="180" w:type="dxa"/>
            <w:vAlign w:val="bottom"/>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60" w:type="dxa"/>
            <w:vAlign w:val="bottom"/>
            <w:gridSpan w:val="2"/>
          </w:tcPr>
          <w:p>
            <w:pPr>
              <w:ind w:left="4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6,250</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$21.89</w:t>
            </w:r>
          </w:p>
        </w:tc>
        <w:tc>
          <w:tcPr>
            <w:tcW w:w="80" w:type="dxa"/>
            <w:vAlign w:val="bottom"/>
          </w:tcPr>
          <w:p>
            <w:pPr>
              <w:jc w:val="right"/>
              <w:spacing w:after="0" w:line="169" w:lineRule="exact"/>
              <w:rPr>
                <w:sz w:val="20"/>
                <w:szCs w:val="20"/>
                <w:color w:val="auto"/>
              </w:rPr>
            </w:pPr>
            <w:r>
              <w:rPr>
                <w:rFonts w:ascii="Arial" w:cs="Arial" w:eastAsia="Arial" w:hAnsi="Arial"/>
                <w:sz w:val="19"/>
                <w:szCs w:val="19"/>
                <w:b w:val="1"/>
                <w:bCs w:val="1"/>
                <w:color w:val="auto"/>
                <w:vertAlign w:val="superscript"/>
              </w:rPr>
              <w:t>​</w:t>
            </w:r>
            <w:r>
              <w:rPr>
                <w:rFonts w:ascii="Arial" w:cs="Arial" w:eastAsia="Arial" w:hAnsi="Arial"/>
                <w:sz w:val="10"/>
                <w:szCs w:val="10"/>
                <w:color w:val="auto"/>
              </w:rPr>
              <w:t>​</w:t>
            </w:r>
          </w:p>
        </w:tc>
        <w:tc>
          <w:tcPr>
            <w:tcW w:w="600" w:type="dxa"/>
            <w:vAlign w:val="bottom"/>
            <w:gridSpan w:val="2"/>
          </w:tcPr>
          <w:p>
            <w:pPr>
              <w:jc w:val="right"/>
              <w:spacing w:after="0" w:line="169" w:lineRule="exact"/>
              <w:rPr>
                <w:sz w:val="20"/>
                <w:szCs w:val="20"/>
                <w:color w:val="auto"/>
              </w:rPr>
            </w:pPr>
            <w:r>
              <w:rPr>
                <w:rFonts w:ascii="Arial" w:cs="Arial" w:eastAsia="Arial" w:hAnsi="Arial"/>
                <w:sz w:val="10"/>
                <w:szCs w:val="10"/>
                <w:color w:val="auto"/>
              </w:rPr>
              <w:t>2/10/2025</w:t>
            </w:r>
            <w:r>
              <w:rPr>
                <w:rFonts w:ascii="Arial" w:cs="Arial" w:eastAsia="Arial" w:hAnsi="Arial"/>
                <w:sz w:val="19"/>
                <w:szCs w:val="19"/>
                <w:b w:val="1"/>
                <w:bCs w:val="1"/>
                <w:color w:val="auto"/>
                <w:vertAlign w:val="superscript"/>
              </w:rPr>
              <w:t>​</w:t>
            </w:r>
          </w:p>
        </w:tc>
        <w:tc>
          <w:tcPr>
            <w:tcW w:w="180" w:type="dxa"/>
            <w:vAlign w:val="bottom"/>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60" w:type="dxa"/>
            <w:vAlign w:val="bottom"/>
            <w:gridSpan w:val="2"/>
          </w:tcPr>
          <w:p>
            <w:pPr>
              <w:ind w:left="4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13,400</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$18.79</w:t>
            </w:r>
          </w:p>
        </w:tc>
        <w:tc>
          <w:tcPr>
            <w:tcW w:w="80" w:type="dxa"/>
            <w:vAlign w:val="bottom"/>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69" w:lineRule="exact"/>
              <w:rPr>
                <w:sz w:val="20"/>
                <w:szCs w:val="20"/>
                <w:color w:val="auto"/>
              </w:rPr>
            </w:pPr>
            <w:r>
              <w:rPr>
                <w:rFonts w:ascii="Arial" w:cs="Arial" w:eastAsia="Arial" w:hAnsi="Arial"/>
                <w:sz w:val="10"/>
                <w:szCs w:val="10"/>
                <w:color w:val="auto"/>
              </w:rPr>
              <w:t>4/15/2025</w:t>
            </w:r>
            <w:r>
              <w:rPr>
                <w:rFonts w:ascii="Arial" w:cs="Arial" w:eastAsia="Arial" w:hAnsi="Arial"/>
                <w:sz w:val="19"/>
                <w:szCs w:val="19"/>
                <w:b w:val="1"/>
                <w:bCs w:val="1"/>
                <w:color w:val="auto"/>
                <w:vertAlign w:val="superscript"/>
              </w:rPr>
              <w:t>​</w:t>
            </w:r>
          </w:p>
        </w:tc>
        <w:tc>
          <w:tcPr>
            <w:tcW w:w="180" w:type="dxa"/>
            <w:vAlign w:val="bottom"/>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60" w:type="dxa"/>
            <w:vAlign w:val="bottom"/>
            <w:gridSpan w:val="2"/>
          </w:tcPr>
          <w:p>
            <w:pPr>
              <w:ind w:left="4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17,316</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$24.82</w:t>
            </w:r>
          </w:p>
        </w:tc>
        <w:tc>
          <w:tcPr>
            <w:tcW w:w="80" w:type="dxa"/>
            <w:vAlign w:val="bottom"/>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69" w:lineRule="exact"/>
              <w:rPr>
                <w:sz w:val="20"/>
                <w:szCs w:val="20"/>
                <w:color w:val="auto"/>
              </w:rPr>
            </w:pPr>
            <w:r>
              <w:rPr>
                <w:rFonts w:ascii="Arial" w:cs="Arial" w:eastAsia="Arial" w:hAnsi="Arial"/>
                <w:sz w:val="10"/>
                <w:szCs w:val="10"/>
                <w:color w:val="auto"/>
              </w:rPr>
              <w:t>2/12/2028</w:t>
            </w:r>
            <w:r>
              <w:rPr>
                <w:rFonts w:ascii="Arial" w:cs="Arial" w:eastAsia="Arial" w:hAnsi="Arial"/>
                <w:sz w:val="19"/>
                <w:szCs w:val="19"/>
                <w:b w:val="1"/>
                <w:bCs w:val="1"/>
                <w:color w:val="auto"/>
                <w:vertAlign w:val="superscript"/>
              </w:rPr>
              <w:t>​</w:t>
            </w:r>
          </w:p>
        </w:tc>
        <w:tc>
          <w:tcPr>
            <w:tcW w:w="180" w:type="dxa"/>
            <w:vAlign w:val="bottom"/>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60" w:type="dxa"/>
            <w:vAlign w:val="bottom"/>
            <w:gridSpan w:val="2"/>
          </w:tcPr>
          <w:p>
            <w:pPr>
              <w:ind w:left="4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21" w:lineRule="exact"/>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3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160" w:type="dxa"/>
            <w:vAlign w:val="bottom"/>
          </w:tcPr>
          <w:p>
            <w:pPr>
              <w:jc w:val="right"/>
              <w:ind w:right="22"/>
              <w:spacing w:after="0"/>
              <w:rPr>
                <w:sz w:val="20"/>
                <w:szCs w:val="20"/>
                <w:color w:val="auto"/>
              </w:rPr>
            </w:pPr>
            <w:r>
              <w:rPr>
                <w:rFonts w:ascii="Arial" w:cs="Arial" w:eastAsia="Arial" w:hAnsi="Arial"/>
                <w:sz w:val="8"/>
                <w:szCs w:val="8"/>
                <w:color w:val="auto"/>
                <w:w w:val="81"/>
              </w:rPr>
              <w:t>(6)</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gridSpan w:val="2"/>
          </w:tcPr>
          <w:p>
            <w:pPr>
              <w:ind w:left="80"/>
              <w:spacing w:after="0" w:line="49" w:lineRule="exact"/>
              <w:rPr>
                <w:sz w:val="20"/>
                <w:szCs w:val="20"/>
                <w:color w:val="auto"/>
              </w:rPr>
            </w:pPr>
            <w:r>
              <w:rPr>
                <w:rFonts w:ascii="Arial" w:cs="Arial" w:eastAsia="Arial" w:hAnsi="Arial"/>
                <w:sz w:val="5"/>
                <w:szCs w:val="5"/>
                <w:color w:val="auto"/>
              </w:rPr>
              <w:t>​ 19,000</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4"/>
          </w:tcPr>
          <w:p>
            <w:pPr>
              <w:ind w:left="120"/>
              <w:spacing w:after="0" w:line="49" w:lineRule="exact"/>
              <w:rPr>
                <w:sz w:val="20"/>
                <w:szCs w:val="20"/>
                <w:color w:val="auto"/>
              </w:rPr>
            </w:pPr>
            <w:r>
              <w:rPr>
                <w:rFonts w:ascii="Arial" w:cs="Arial" w:eastAsia="Arial" w:hAnsi="Arial"/>
                <w:sz w:val="5"/>
                <w:szCs w:val="5"/>
                <w:color w:val="auto"/>
              </w:rPr>
              <w:t>$12,491</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80" w:type="dxa"/>
            <w:vAlign w:val="bottom"/>
            <w:gridSpan w:val="3"/>
          </w:tcPr>
          <w:p>
            <w:pPr>
              <w:ind w:left="10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b w:val="1"/>
                <w:bCs w:val="1"/>
                <w:color w:val="auto"/>
              </w:rPr>
              <w:t>​</w:t>
            </w:r>
          </w:p>
        </w:tc>
        <w:tc>
          <w:tcPr>
            <w:tcW w:w="180" w:type="dxa"/>
            <w:vAlign w:val="bottom"/>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10,000</w:t>
            </w:r>
            <w:r>
              <w:rPr>
                <w:rFonts w:ascii="Arial" w:cs="Arial" w:eastAsia="Arial" w:hAnsi="Arial"/>
                <w:sz w:val="13"/>
                <w:szCs w:val="13"/>
                <w:color w:val="auto"/>
                <w:vertAlign w:val="superscript"/>
              </w:rPr>
              <w:t>(13)</w:t>
            </w: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100" w:type="dxa"/>
            <w:vAlign w:val="bottom"/>
          </w:tcPr>
          <w:p>
            <w:pPr>
              <w:ind w:left="40"/>
              <w:spacing w:after="0" w:line="169"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6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color w:val="auto"/>
                <w:w w:val="99"/>
              </w:rPr>
              <w:t>6,574</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21" w:lineRule="exact"/>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3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3,334</w:t>
            </w:r>
          </w:p>
        </w:tc>
        <w:tc>
          <w:tcPr>
            <w:tcW w:w="160" w:type="dxa"/>
            <w:vAlign w:val="bottom"/>
          </w:tcPr>
          <w:p>
            <w:pPr>
              <w:jc w:val="right"/>
              <w:spacing w:after="0"/>
              <w:rPr>
                <w:sz w:val="20"/>
                <w:szCs w:val="20"/>
                <w:color w:val="auto"/>
              </w:rPr>
            </w:pPr>
            <w:r>
              <w:rPr>
                <w:rFonts w:ascii="Arial" w:cs="Arial" w:eastAsia="Arial" w:hAnsi="Arial"/>
                <w:sz w:val="8"/>
                <w:szCs w:val="8"/>
                <w:color w:val="auto"/>
                <w:w w:val="84"/>
              </w:rPr>
              <w:t>(12)</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tcPr>
          <w:p>
            <w:pPr>
              <w:ind w:left="80"/>
              <w:spacing w:after="0" w:line="49" w:lineRule="exact"/>
              <w:rPr>
                <w:sz w:val="20"/>
                <w:szCs w:val="20"/>
                <w:color w:val="auto"/>
              </w:rPr>
            </w:pPr>
            <w:r>
              <w:rPr>
                <w:rFonts w:ascii="Arial" w:cs="Arial" w:eastAsia="Arial" w:hAnsi="Arial"/>
                <w:sz w:val="5"/>
                <w:szCs w:val="5"/>
                <w:color w:val="auto"/>
              </w:rPr>
              <w:t>$ 2,192</w:t>
            </w:r>
          </w:p>
        </w:tc>
        <w:tc>
          <w:tcPr>
            <w:tcW w:w="40" w:type="dxa"/>
            <w:vAlign w:val="bottom"/>
          </w:tcPr>
          <w:p>
            <w:pPr>
              <w:spacing w:after="0"/>
              <w:rPr>
                <w:sz w:val="4"/>
                <w:szCs w:val="4"/>
                <w:color w:val="auto"/>
              </w:rPr>
            </w:pPr>
          </w:p>
        </w:tc>
        <w:tc>
          <w:tcPr>
            <w:tcW w:w="140" w:type="dxa"/>
            <w:vAlign w:val="bottom"/>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21" w:lineRule="exact"/>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3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5,799</w:t>
            </w:r>
          </w:p>
        </w:tc>
        <w:tc>
          <w:tcPr>
            <w:tcW w:w="160" w:type="dxa"/>
            <w:vAlign w:val="bottom"/>
          </w:tcPr>
          <w:p>
            <w:pPr>
              <w:jc w:val="right"/>
              <w:spacing w:after="0"/>
              <w:rPr>
                <w:sz w:val="20"/>
                <w:szCs w:val="20"/>
                <w:color w:val="auto"/>
              </w:rPr>
            </w:pPr>
            <w:r>
              <w:rPr>
                <w:rFonts w:ascii="Arial" w:cs="Arial" w:eastAsia="Arial" w:hAnsi="Arial"/>
                <w:sz w:val="8"/>
                <w:szCs w:val="8"/>
                <w:color w:val="auto"/>
                <w:w w:val="84"/>
              </w:rPr>
              <w:t>(14)</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tcPr>
          <w:p>
            <w:pPr>
              <w:ind w:left="80"/>
              <w:spacing w:after="0" w:line="49" w:lineRule="exact"/>
              <w:rPr>
                <w:sz w:val="20"/>
                <w:szCs w:val="20"/>
                <w:color w:val="auto"/>
              </w:rPr>
            </w:pPr>
            <w:r>
              <w:rPr>
                <w:rFonts w:ascii="Arial" w:cs="Arial" w:eastAsia="Arial" w:hAnsi="Arial"/>
                <w:sz w:val="5"/>
                <w:szCs w:val="5"/>
                <w:color w:val="auto"/>
              </w:rPr>
              <w:t>$ 3,812</w:t>
            </w:r>
          </w:p>
        </w:tc>
        <w:tc>
          <w:tcPr>
            <w:tcW w:w="40" w:type="dxa"/>
            <w:vAlign w:val="bottom"/>
          </w:tcPr>
          <w:p>
            <w:pPr>
              <w:spacing w:after="0"/>
              <w:rPr>
                <w:sz w:val="4"/>
                <w:szCs w:val="4"/>
                <w:color w:val="auto"/>
              </w:rPr>
            </w:pPr>
          </w:p>
        </w:tc>
        <w:tc>
          <w:tcPr>
            <w:tcW w:w="140" w:type="dxa"/>
            <w:vAlign w:val="bottom"/>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80" w:type="dxa"/>
            <w:vAlign w:val="bottom"/>
            <w:gridSpan w:val="3"/>
          </w:tcPr>
          <w:p>
            <w:pPr>
              <w:ind w:left="10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b w:val="1"/>
                <w:bCs w:val="1"/>
                <w:color w:val="auto"/>
              </w:rPr>
              <w:t>​</w:t>
            </w:r>
          </w:p>
        </w:tc>
        <w:tc>
          <w:tcPr>
            <w:tcW w:w="180" w:type="dxa"/>
            <w:vAlign w:val="bottom"/>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12,500</w:t>
            </w:r>
            <w:r>
              <w:rPr>
                <w:rFonts w:ascii="Arial" w:cs="Arial" w:eastAsia="Arial" w:hAnsi="Arial"/>
                <w:sz w:val="13"/>
                <w:szCs w:val="13"/>
                <w:color w:val="auto"/>
                <w:vertAlign w:val="superscript"/>
              </w:rPr>
              <w:t>(16)</w:t>
            </w: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100" w:type="dxa"/>
            <w:vAlign w:val="bottom"/>
          </w:tcPr>
          <w:p>
            <w:pPr>
              <w:ind w:left="40"/>
              <w:spacing w:after="0" w:line="169"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6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color w:val="auto"/>
                <w:w w:val="99"/>
              </w:rPr>
              <w:t>8,218</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21" w:lineRule="exact"/>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3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8,333</w:t>
            </w:r>
          </w:p>
        </w:tc>
        <w:tc>
          <w:tcPr>
            <w:tcW w:w="160" w:type="dxa"/>
            <w:vAlign w:val="bottom"/>
          </w:tcPr>
          <w:p>
            <w:pPr>
              <w:jc w:val="right"/>
              <w:spacing w:after="0"/>
              <w:rPr>
                <w:sz w:val="20"/>
                <w:szCs w:val="20"/>
                <w:color w:val="auto"/>
              </w:rPr>
            </w:pPr>
            <w:r>
              <w:rPr>
                <w:rFonts w:ascii="Arial" w:cs="Arial" w:eastAsia="Arial" w:hAnsi="Arial"/>
                <w:sz w:val="8"/>
                <w:szCs w:val="8"/>
                <w:color w:val="auto"/>
                <w:w w:val="84"/>
              </w:rPr>
              <w:t>(15)</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tcPr>
          <w:p>
            <w:pPr>
              <w:ind w:left="80"/>
              <w:spacing w:after="0" w:line="49" w:lineRule="exact"/>
              <w:rPr>
                <w:sz w:val="20"/>
                <w:szCs w:val="20"/>
                <w:color w:val="auto"/>
              </w:rPr>
            </w:pPr>
            <w:r>
              <w:rPr>
                <w:rFonts w:ascii="Arial" w:cs="Arial" w:eastAsia="Arial" w:hAnsi="Arial"/>
                <w:sz w:val="5"/>
                <w:szCs w:val="5"/>
                <w:color w:val="auto"/>
              </w:rPr>
              <w:t>$ 5,478</w:t>
            </w:r>
          </w:p>
        </w:tc>
        <w:tc>
          <w:tcPr>
            <w:tcW w:w="40" w:type="dxa"/>
            <w:vAlign w:val="bottom"/>
          </w:tcPr>
          <w:p>
            <w:pPr>
              <w:spacing w:after="0"/>
              <w:rPr>
                <w:sz w:val="4"/>
                <w:szCs w:val="4"/>
                <w:color w:val="auto"/>
              </w:rPr>
            </w:pPr>
          </w:p>
        </w:tc>
        <w:tc>
          <w:tcPr>
            <w:tcW w:w="140" w:type="dxa"/>
            <w:vAlign w:val="bottom"/>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21" w:lineRule="exact"/>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3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8"/>
                <w:szCs w:val="8"/>
                <w:color w:val="auto"/>
                <w:w w:val="84"/>
              </w:rPr>
              <w:t>(17)</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2"/>
          </w:tcPr>
          <w:p>
            <w:pPr>
              <w:ind w:left="100"/>
              <w:spacing w:after="0" w:line="49" w:lineRule="exact"/>
              <w:rPr>
                <w:sz w:val="20"/>
                <w:szCs w:val="20"/>
                <w:color w:val="auto"/>
              </w:rPr>
            </w:pPr>
            <w:r>
              <w:rPr>
                <w:rFonts w:ascii="Arial" w:cs="Arial" w:eastAsia="Arial" w:hAnsi="Arial"/>
                <w:sz w:val="5"/>
                <w:szCs w:val="5"/>
                <w:color w:val="auto"/>
              </w:rPr>
              <w:t>​ 57,139</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tcPr>
          <w:p>
            <w:pPr>
              <w:ind w:left="80"/>
              <w:spacing w:after="0" w:line="49" w:lineRule="exact"/>
              <w:rPr>
                <w:sz w:val="20"/>
                <w:szCs w:val="20"/>
                <w:color w:val="auto"/>
              </w:rPr>
            </w:pPr>
            <w:r>
              <w:rPr>
                <w:rFonts w:ascii="Arial" w:cs="Arial" w:eastAsia="Arial" w:hAnsi="Arial"/>
                <w:sz w:val="5"/>
                <w:szCs w:val="5"/>
                <w:color w:val="auto"/>
              </w:rPr>
              <w:t>$37,563</w:t>
            </w:r>
          </w:p>
        </w:tc>
        <w:tc>
          <w:tcPr>
            <w:tcW w:w="40" w:type="dxa"/>
            <w:vAlign w:val="bottom"/>
          </w:tcPr>
          <w:p>
            <w:pPr>
              <w:spacing w:after="0"/>
              <w:rPr>
                <w:sz w:val="4"/>
                <w:szCs w:val="4"/>
                <w:color w:val="auto"/>
              </w:rPr>
            </w:pPr>
          </w:p>
        </w:tc>
        <w:tc>
          <w:tcPr>
            <w:tcW w:w="140" w:type="dxa"/>
            <w:vAlign w:val="bottom"/>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80" w:type="dxa"/>
            <w:vAlign w:val="bottom"/>
            <w:gridSpan w:val="3"/>
          </w:tcPr>
          <w:p>
            <w:pPr>
              <w:ind w:left="10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b w:val="1"/>
                <w:bCs w:val="1"/>
                <w:color w:val="auto"/>
              </w:rPr>
              <w:t>​</w:t>
            </w:r>
          </w:p>
        </w:tc>
        <w:tc>
          <w:tcPr>
            <w:tcW w:w="180" w:type="dxa"/>
            <w:vAlign w:val="bottom"/>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19,072</w:t>
            </w:r>
            <w:r>
              <w:rPr>
                <w:rFonts w:ascii="Arial" w:cs="Arial" w:eastAsia="Arial" w:hAnsi="Arial"/>
                <w:sz w:val="13"/>
                <w:szCs w:val="13"/>
                <w:color w:val="auto"/>
                <w:vertAlign w:val="superscript"/>
              </w:rPr>
              <w:t>(19)</w:t>
            </w: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40" w:type="dxa"/>
            <w:vAlign w:val="bottom"/>
            <w:gridSpan w:val="3"/>
          </w:tcPr>
          <w:p>
            <w:pPr>
              <w:ind w:left="4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$12,538</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line="121" w:lineRule="exact"/>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3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8"/>
                <w:szCs w:val="8"/>
                <w:color w:val="auto"/>
                <w:w w:val="84"/>
              </w:rPr>
              <w:t>(18)</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line="68" w:lineRule="exact"/>
              <w:rPr>
                <w:sz w:val="20"/>
                <w:szCs w:val="20"/>
                <w:color w:val="auto"/>
              </w:rPr>
            </w:pPr>
            <w:r>
              <w:rPr>
                <w:rFonts w:ascii="Arial" w:cs="Arial" w:eastAsia="Arial" w:hAnsi="Arial"/>
                <w:sz w:val="7"/>
                <w:szCs w:val="7"/>
                <w:color w:val="auto"/>
              </w:rPr>
              <w:t>​</w:t>
            </w: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tcPr>
          <w:p>
            <w:pPr>
              <w:jc w:val="right"/>
              <w:ind w:right="260"/>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300" w:type="dxa"/>
            <w:vAlign w:val="bottom"/>
          </w:tcPr>
          <w:p>
            <w:pPr>
              <w:ind w:left="180"/>
              <w:spacing w:after="0" w:line="68" w:lineRule="exact"/>
              <w:rPr>
                <w:sz w:val="20"/>
                <w:szCs w:val="20"/>
                <w:color w:val="auto"/>
              </w:rPr>
            </w:pPr>
            <w:r>
              <w:rPr>
                <w:rFonts w:ascii="Arial" w:cs="Arial" w:eastAsia="Arial" w:hAnsi="Arial"/>
                <w:sz w:val="7"/>
                <w:szCs w:val="7"/>
                <w:color w:val="auto"/>
              </w:rPr>
              <w:t>​</w:t>
            </w:r>
          </w:p>
        </w:tc>
        <w:tc>
          <w:tcPr>
            <w:tcW w:w="2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2"/>
          </w:tcPr>
          <w:p>
            <w:pPr>
              <w:ind w:left="100"/>
              <w:spacing w:after="0" w:line="68" w:lineRule="exact"/>
              <w:rPr>
                <w:sz w:val="20"/>
                <w:szCs w:val="20"/>
                <w:color w:val="auto"/>
              </w:rPr>
            </w:pPr>
            <w:r>
              <w:rPr>
                <w:rFonts w:ascii="Arial" w:cs="Arial" w:eastAsia="Arial" w:hAnsi="Arial"/>
                <w:sz w:val="7"/>
                <w:szCs w:val="7"/>
                <w:color w:val="auto"/>
              </w:rPr>
              <w:t>​ 19,072</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3"/>
          </w:tcPr>
          <w:p>
            <w:pPr>
              <w:ind w:left="80"/>
              <w:spacing w:after="0" w:line="68" w:lineRule="exact"/>
              <w:rPr>
                <w:sz w:val="20"/>
                <w:szCs w:val="20"/>
                <w:color w:val="auto"/>
              </w:rPr>
            </w:pPr>
            <w:r>
              <w:rPr>
                <w:rFonts w:ascii="Arial" w:cs="Arial" w:eastAsia="Arial" w:hAnsi="Arial"/>
                <w:sz w:val="7"/>
                <w:szCs w:val="7"/>
                <w:color w:val="auto"/>
              </w:rPr>
              <w:t>$12,538</w:t>
            </w:r>
          </w:p>
        </w:tc>
        <w:tc>
          <w:tcPr>
            <w:tcW w:w="40" w:type="dxa"/>
            <w:vAlign w:val="bottom"/>
          </w:tcPr>
          <w:p>
            <w:pPr>
              <w:spacing w:after="0"/>
              <w:rPr>
                <w:sz w:val="5"/>
                <w:szCs w:val="5"/>
                <w:color w:val="auto"/>
              </w:rPr>
            </w:pPr>
          </w:p>
        </w:tc>
        <w:tc>
          <w:tcPr>
            <w:tcW w:w="14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1"/>
        </w:trPr>
        <w:tc>
          <w:tcPr>
            <w:tcW w:w="2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spacing w:after="0"/>
              <w:rPr>
                <w:sz w:val="8"/>
                <w:szCs w:val="8"/>
                <w:color w:val="auto"/>
              </w:rPr>
            </w:pPr>
          </w:p>
        </w:tc>
        <w:tc>
          <w:tcPr>
            <w:tcW w:w="12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7,800</w:t>
            </w:r>
          </w:p>
        </w:tc>
        <w:tc>
          <w:tcPr>
            <w:tcW w:w="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300"/>
              <w:spacing w:after="0" w:line="10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ind w:left="160"/>
              <w:spacing w:after="0" w:line="102" w:lineRule="exact"/>
              <w:rPr>
                <w:sz w:val="20"/>
                <w:szCs w:val="20"/>
                <w:color w:val="auto"/>
              </w:rPr>
            </w:pPr>
            <w:r>
              <w:rPr>
                <w:rFonts w:ascii="Arial" w:cs="Arial" w:eastAsia="Arial" w:hAnsi="Arial"/>
                <w:sz w:val="11"/>
                <w:szCs w:val="11"/>
                <w:color w:val="auto"/>
              </w:rPr>
              <w:t>​</w:t>
            </w:r>
          </w:p>
        </w:tc>
        <w:tc>
          <w:tcPr>
            <w:tcW w:w="220" w:type="dxa"/>
            <w:vAlign w:val="bottom"/>
            <w:tcBorders>
              <w:right w:val="single" w:sz="8" w:color="CCEEFF"/>
            </w:tcBorders>
            <w:vMerge w:val="restart"/>
            <w:shd w:val="clear" w:color="auto" w:fill="CCEEFF"/>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4/15/2025</w:t>
            </w:r>
          </w:p>
        </w:tc>
        <w:tc>
          <w:tcPr>
            <w:tcW w:w="220" w:type="dxa"/>
            <w:vAlign w:val="bottom"/>
            <w:tcBorders>
              <w:left w:val="single" w:sz="8" w:color="CCEEFF"/>
              <w:right w:val="single" w:sz="8" w:color="CCEEFF"/>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1"/>
                <w:szCs w:val="1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ind w:left="80"/>
              <w:spacing w:after="0" w:line="102" w:lineRule="exact"/>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CCEEFF"/>
            </w:tcBorders>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ind w:left="8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260" w:type="dxa"/>
            <w:vAlign w:val="bottom"/>
            <w:gridSpan w:val="2"/>
            <w:shd w:val="clear" w:color="auto" w:fill="CCEEFF"/>
          </w:tcPr>
          <w:p>
            <w:pPr>
              <w:spacing w:after="0" w:line="49" w:lineRule="exact"/>
              <w:rPr>
                <w:sz w:val="20"/>
                <w:szCs w:val="20"/>
                <w:color w:val="auto"/>
              </w:rPr>
            </w:pPr>
            <w:r>
              <w:rPr>
                <w:rFonts w:ascii="Arial" w:cs="Arial" w:eastAsia="Arial" w:hAnsi="Arial"/>
                <w:sz w:val="5"/>
                <w:szCs w:val="5"/>
                <w:color w:val="auto"/>
              </w:rPr>
              <w:t>Gregory J. Ritts</w:t>
            </w: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56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gridSpan w:val="2"/>
            <w:shd w:val="clear" w:color="auto" w:fill="CCEEFF"/>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gridSpan w:val="5"/>
            <w:shd w:val="clear" w:color="auto" w:fill="CCEEFF"/>
          </w:tcPr>
          <w:p>
            <w:pPr>
              <w:ind w:left="120"/>
              <w:spacing w:after="0" w:line="49" w:lineRule="exact"/>
              <w:rPr>
                <w:sz w:val="20"/>
                <w:szCs w:val="20"/>
                <w:color w:val="auto"/>
              </w:rPr>
            </w:pPr>
            <w:r>
              <w:rPr>
                <w:rFonts w:ascii="Arial" w:cs="Arial" w:eastAsia="Arial" w:hAnsi="Arial"/>
                <w:sz w:val="5"/>
                <w:szCs w:val="5"/>
                <w:color w:val="auto"/>
              </w:rPr>
              <w:t>$18.79</w:t>
            </w: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40" w:type="dxa"/>
            <w:vAlign w:val="bottom"/>
            <w:tcBorders>
              <w:left w:val="single" w:sz="8" w:color="CCEEFF"/>
            </w:tcBorders>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4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3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8"/>
                <w:szCs w:val="8"/>
                <w:color w:val="auto"/>
              </w:rPr>
              <w:t>(8)</w:t>
            </w: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8/29/2026</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CCEEFF"/>
            </w:tcBorders>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gridSpan w:val="2"/>
            <w:shd w:val="clear" w:color="auto" w:fill="CCEEFF"/>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4"/>
                <w:szCs w:val="4"/>
                <w:color w:val="auto"/>
              </w:rPr>
            </w:pPr>
          </w:p>
        </w:tc>
        <w:tc>
          <w:tcPr>
            <w:tcW w:w="520" w:type="dxa"/>
            <w:vAlign w:val="bottom"/>
            <w:tcBorders>
              <w:right w:val="single" w:sz="8" w:color="CCEEFF"/>
            </w:tcBorders>
            <w:gridSpan w:val="2"/>
            <w:shd w:val="clear" w:color="auto" w:fill="CCEEFF"/>
          </w:tcPr>
          <w:p>
            <w:pPr>
              <w:ind w:left="180"/>
              <w:spacing w:after="0" w:line="49" w:lineRule="exact"/>
              <w:rPr>
                <w:sz w:val="20"/>
                <w:szCs w:val="20"/>
                <w:color w:val="auto"/>
              </w:rPr>
            </w:pPr>
            <w:r>
              <w:rPr>
                <w:rFonts w:ascii="Arial" w:cs="Arial" w:eastAsia="Arial" w:hAnsi="Arial"/>
                <w:sz w:val="5"/>
                <w:szCs w:val="5"/>
                <w:color w:val="auto"/>
              </w:rPr>
              <w:t>​1,667</w:t>
            </w: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gridSpan w:val="5"/>
            <w:shd w:val="clear" w:color="auto" w:fill="CCEEFF"/>
          </w:tcPr>
          <w:p>
            <w:pPr>
              <w:ind w:left="120"/>
              <w:spacing w:after="0" w:line="49" w:lineRule="exact"/>
              <w:rPr>
                <w:sz w:val="20"/>
                <w:szCs w:val="20"/>
                <w:color w:val="auto"/>
              </w:rPr>
            </w:pPr>
            <w:r>
              <w:rPr>
                <w:rFonts w:ascii="Arial" w:cs="Arial" w:eastAsia="Arial" w:hAnsi="Arial"/>
                <w:sz w:val="5"/>
                <w:szCs w:val="5"/>
                <w:color w:val="auto"/>
              </w:rPr>
              <w:t>$32.64</w:t>
            </w: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40" w:type="dxa"/>
            <w:vAlign w:val="bottom"/>
            <w:tcBorders>
              <w:left w:val="single" w:sz="8" w:color="CCEEFF"/>
            </w:tcBorders>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4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3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8"/>
                <w:szCs w:val="8"/>
                <w:color w:val="auto"/>
              </w:rPr>
              <w:t>(9)</w:t>
            </w: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8/29/2026</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CCEEFF"/>
            </w:tcBorders>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gridSpan w:val="2"/>
            <w:shd w:val="clear" w:color="auto" w:fill="CCEEFF"/>
          </w:tcPr>
          <w:p>
            <w:pPr>
              <w:jc w:val="right"/>
              <w:ind w:right="26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4"/>
                <w:szCs w:val="4"/>
                <w:color w:val="auto"/>
              </w:rPr>
            </w:pPr>
          </w:p>
        </w:tc>
        <w:tc>
          <w:tcPr>
            <w:tcW w:w="520" w:type="dxa"/>
            <w:vAlign w:val="bottom"/>
            <w:tcBorders>
              <w:right w:val="single" w:sz="8" w:color="CCEEFF"/>
            </w:tcBorders>
            <w:gridSpan w:val="2"/>
            <w:shd w:val="clear" w:color="auto" w:fill="CCEEFF"/>
          </w:tcPr>
          <w:p>
            <w:pPr>
              <w:ind w:left="180"/>
              <w:spacing w:after="0" w:line="49" w:lineRule="exact"/>
              <w:rPr>
                <w:sz w:val="20"/>
                <w:szCs w:val="20"/>
                <w:color w:val="auto"/>
              </w:rPr>
            </w:pPr>
            <w:r>
              <w:rPr>
                <w:rFonts w:ascii="Arial" w:cs="Arial" w:eastAsia="Arial" w:hAnsi="Arial"/>
                <w:sz w:val="5"/>
                <w:szCs w:val="5"/>
                <w:color w:val="auto"/>
              </w:rPr>
              <w:t>​3,333</w:t>
            </w: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gridSpan w:val="5"/>
            <w:shd w:val="clear" w:color="auto" w:fill="CCEEFF"/>
          </w:tcPr>
          <w:p>
            <w:pPr>
              <w:ind w:left="120"/>
              <w:spacing w:after="0" w:line="49" w:lineRule="exact"/>
              <w:rPr>
                <w:sz w:val="20"/>
                <w:szCs w:val="20"/>
                <w:color w:val="auto"/>
              </w:rPr>
            </w:pPr>
            <w:r>
              <w:rPr>
                <w:rFonts w:ascii="Arial" w:cs="Arial" w:eastAsia="Arial" w:hAnsi="Arial"/>
                <w:sz w:val="5"/>
                <w:szCs w:val="5"/>
                <w:color w:val="auto"/>
              </w:rPr>
              <w:t>$32.64</w:t>
            </w: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40" w:type="dxa"/>
            <w:vAlign w:val="bottom"/>
            <w:tcBorders>
              <w:left w:val="single" w:sz="8" w:color="CCEEFF"/>
            </w:tcBorders>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4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gridSpan w:val="5"/>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$32.64</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9"/>
                <w:szCs w:val="19"/>
                <w:b w:val="1"/>
                <w:bCs w:val="1"/>
                <w:color w:val="auto"/>
                <w:vertAlign w:val="superscript"/>
              </w:rPr>
              <w:t>​</w:t>
            </w:r>
            <w:r>
              <w:rPr>
                <w:rFonts w:ascii="Arial" w:cs="Arial" w:eastAsia="Arial" w:hAnsi="Arial"/>
                <w:sz w:val="10"/>
                <w:szCs w:val="10"/>
                <w:color w:val="auto"/>
              </w:rPr>
              <w:t>​</w:t>
            </w: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0"/>
                <w:szCs w:val="10"/>
                <w:color w:val="auto"/>
              </w:rPr>
              <w:t>8/29/2026</w:t>
            </w:r>
            <w:r>
              <w:rPr>
                <w:rFonts w:ascii="Arial" w:cs="Arial" w:eastAsia="Arial" w:hAnsi="Arial"/>
                <w:sz w:val="19"/>
                <w:szCs w:val="19"/>
                <w:b w:val="1"/>
                <w:bCs w:val="1"/>
                <w:color w:val="auto"/>
                <w:vertAlign w:val="superscript"/>
              </w:rPr>
              <w:t>​</w:t>
            </w:r>
          </w:p>
        </w:tc>
        <w:tc>
          <w:tcPr>
            <w:tcW w:w="180" w:type="dxa"/>
            <w:vAlign w:val="bottom"/>
            <w:tcBorders>
              <w:right w:val="single" w:sz="8" w:color="CCEEFF"/>
            </w:tcBorders>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60" w:type="dxa"/>
            <w:vAlign w:val="bottom"/>
            <w:tcBorders>
              <w:right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1"/>
        </w:trPr>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60" w:type="dxa"/>
            <w:vAlign w:val="bottom"/>
          </w:tcPr>
          <w:p>
            <w:pPr>
              <w:ind w:left="300"/>
              <w:spacing w:after="0" w:line="102"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180" w:type="dxa"/>
            <w:vAlign w:val="bottom"/>
          </w:tcPr>
          <w:p>
            <w:pPr>
              <w:spacing w:after="0"/>
              <w:rPr>
                <w:sz w:val="20"/>
                <w:szCs w:val="20"/>
                <w:color w:val="auto"/>
              </w:rPr>
            </w:pPr>
            <w:r>
              <w:rPr>
                <w:rFonts w:ascii="Arial" w:cs="Arial" w:eastAsia="Arial" w:hAnsi="Arial"/>
                <w:sz w:val="8"/>
                <w:szCs w:val="8"/>
                <w:color w:val="auto"/>
              </w:rPr>
              <w:t>(10)</w:t>
            </w:r>
          </w:p>
        </w:tc>
        <w:tc>
          <w:tcPr>
            <w:tcW w:w="1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80" w:type="dxa"/>
            <w:vAlign w:val="bottom"/>
            <w:gridSpan w:val="2"/>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7/27/2027</w:t>
            </w:r>
          </w:p>
        </w:tc>
        <w:tc>
          <w:tcPr>
            <w:tcW w:w="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gridSpan w:val="2"/>
          </w:tcPr>
          <w:p>
            <w:pPr>
              <w:ind w:left="180"/>
              <w:spacing w:after="0" w:line="49" w:lineRule="exact"/>
              <w:rPr>
                <w:sz w:val="20"/>
                <w:szCs w:val="20"/>
                <w:color w:val="auto"/>
              </w:rPr>
            </w:pPr>
            <w:r>
              <w:rPr>
                <w:rFonts w:ascii="Arial" w:cs="Arial" w:eastAsia="Arial" w:hAnsi="Arial"/>
                <w:sz w:val="5"/>
                <w:szCs w:val="5"/>
                <w:color w:val="auto"/>
              </w:rPr>
              <w:t>​1,667</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5"/>
          </w:tcPr>
          <w:p>
            <w:pPr>
              <w:ind w:left="120"/>
              <w:spacing w:after="0" w:line="49" w:lineRule="exact"/>
              <w:rPr>
                <w:sz w:val="20"/>
                <w:szCs w:val="20"/>
                <w:color w:val="auto"/>
              </w:rPr>
            </w:pPr>
            <w:r>
              <w:rPr>
                <w:rFonts w:ascii="Arial" w:cs="Arial" w:eastAsia="Arial" w:hAnsi="Arial"/>
                <w:sz w:val="5"/>
                <w:szCs w:val="5"/>
                <w:color w:val="auto"/>
              </w:rPr>
              <w:t>$27.65</w:t>
            </w: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8"/>
                <w:szCs w:val="8"/>
                <w:color w:val="auto"/>
              </w:rPr>
              <w:t>(11)</w:t>
            </w: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7/27/2027</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CCEEFF"/>
            </w:tcBorders>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right w:val="single" w:sz="8" w:color="CCEEFF"/>
            </w:tcBorders>
            <w:gridSpan w:val="2"/>
            <w:shd w:val="clear" w:color="auto" w:fill="CCEEFF"/>
          </w:tcPr>
          <w:p>
            <w:pPr>
              <w:ind w:left="180"/>
              <w:spacing w:after="0" w:line="49" w:lineRule="exact"/>
              <w:rPr>
                <w:sz w:val="20"/>
                <w:szCs w:val="20"/>
                <w:color w:val="auto"/>
              </w:rPr>
            </w:pPr>
            <w:r>
              <w:rPr>
                <w:rFonts w:ascii="Arial" w:cs="Arial" w:eastAsia="Arial" w:hAnsi="Arial"/>
                <w:sz w:val="5"/>
                <w:szCs w:val="5"/>
                <w:color w:val="auto"/>
              </w:rPr>
              <w:t>​3,333</w:t>
            </w: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gridSpan w:val="5"/>
            <w:shd w:val="clear" w:color="auto" w:fill="CCEEFF"/>
          </w:tcPr>
          <w:p>
            <w:pPr>
              <w:ind w:left="120"/>
              <w:spacing w:after="0" w:line="49" w:lineRule="exact"/>
              <w:rPr>
                <w:sz w:val="20"/>
                <w:szCs w:val="20"/>
                <w:color w:val="auto"/>
              </w:rPr>
            </w:pPr>
            <w:r>
              <w:rPr>
                <w:rFonts w:ascii="Arial" w:cs="Arial" w:eastAsia="Arial" w:hAnsi="Arial"/>
                <w:sz w:val="5"/>
                <w:szCs w:val="5"/>
                <w:color w:val="auto"/>
              </w:rPr>
              <w:t>$27.65</w:t>
            </w: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40" w:type="dxa"/>
            <w:vAlign w:val="bottom"/>
            <w:tcBorders>
              <w:left w:val="single" w:sz="8" w:color="CCEEFF"/>
            </w:tcBorders>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460" w:type="dxa"/>
            <w:vAlign w:val="bottom"/>
            <w:tcBorders>
              <w:right w:val="single" w:sz="8" w:color="CCEEFF"/>
            </w:tcBorders>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14,842</w:t>
            </w: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2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$24.82</w:t>
            </w:r>
          </w:p>
        </w:tc>
        <w:tc>
          <w:tcPr>
            <w:tcW w:w="80" w:type="dxa"/>
            <w:vAlign w:val="bottom"/>
          </w:tcPr>
          <w:p>
            <w:pPr>
              <w:jc w:val="right"/>
              <w:spacing w:after="0" w:line="150" w:lineRule="exact"/>
              <w:rPr>
                <w:sz w:val="20"/>
                <w:szCs w:val="20"/>
                <w:color w:val="auto"/>
              </w:rPr>
            </w:pPr>
            <w:r>
              <w:rPr>
                <w:rFonts w:ascii="Arial" w:cs="Arial" w:eastAsia="Arial" w:hAnsi="Arial"/>
                <w:sz w:val="17"/>
                <w:szCs w:val="17"/>
                <w:b w:val="1"/>
                <w:bCs w:val="1"/>
                <w:color w:val="auto"/>
                <w:vertAlign w:val="superscript"/>
              </w:rPr>
              <w:t>​</w:t>
            </w:r>
            <w:r>
              <w:rPr>
                <w:rFonts w:ascii="Arial" w:cs="Arial" w:eastAsia="Arial" w:hAnsi="Arial"/>
                <w:sz w:val="10"/>
                <w:szCs w:val="10"/>
                <w:color w:val="auto"/>
              </w:rPr>
              <w:t>​</w:t>
            </w:r>
          </w:p>
        </w:tc>
        <w:tc>
          <w:tcPr>
            <w:tcW w:w="600" w:type="dxa"/>
            <w:vAlign w:val="bottom"/>
            <w:gridSpan w:val="2"/>
          </w:tcPr>
          <w:p>
            <w:pPr>
              <w:jc w:val="right"/>
              <w:spacing w:after="0" w:line="150" w:lineRule="exact"/>
              <w:rPr>
                <w:sz w:val="20"/>
                <w:szCs w:val="20"/>
                <w:color w:val="auto"/>
              </w:rPr>
            </w:pPr>
            <w:r>
              <w:rPr>
                <w:rFonts w:ascii="Arial" w:cs="Arial" w:eastAsia="Arial" w:hAnsi="Arial"/>
                <w:sz w:val="10"/>
                <w:szCs w:val="10"/>
                <w:color w:val="auto"/>
              </w:rPr>
              <w:t>2/12/2028</w:t>
            </w:r>
            <w:r>
              <w:rPr>
                <w:rFonts w:ascii="Arial" w:cs="Arial" w:eastAsia="Arial" w:hAnsi="Arial"/>
                <w:sz w:val="17"/>
                <w:szCs w:val="17"/>
                <w:b w:val="1"/>
                <w:bCs w:val="1"/>
                <w:color w:val="auto"/>
                <w:vertAlign w:val="superscript"/>
              </w:rPr>
              <w:t>​</w:t>
            </w:r>
          </w:p>
        </w:tc>
        <w:tc>
          <w:tcPr>
            <w:tcW w:w="180" w:type="dxa"/>
            <w:vAlign w:val="bottom"/>
          </w:tcPr>
          <w:p>
            <w:pPr>
              <w:ind w:left="10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8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 xml:space="preserve"> ​</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0" w:type="dxa"/>
            <w:vAlign w:val="bottom"/>
            <w:gridSpan w:val="2"/>
          </w:tcPr>
          <w:p>
            <w:pPr>
              <w:ind w:left="4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 xml:space="preserve"> ​</w:t>
            </w: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160" w:type="dxa"/>
            <w:vAlign w:val="bottom"/>
          </w:tcPr>
          <w:p>
            <w:pPr>
              <w:jc w:val="right"/>
              <w:ind w:right="22"/>
              <w:spacing w:after="0"/>
              <w:rPr>
                <w:sz w:val="20"/>
                <w:szCs w:val="20"/>
                <w:color w:val="auto"/>
              </w:rPr>
            </w:pPr>
            <w:r>
              <w:rPr>
                <w:rFonts w:ascii="Arial" w:cs="Arial" w:eastAsia="Arial" w:hAnsi="Arial"/>
                <w:sz w:val="8"/>
                <w:szCs w:val="8"/>
                <w:color w:val="auto"/>
                <w:w w:val="81"/>
              </w:rPr>
              <w:t>(6)</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gridSpan w:val="2"/>
          </w:tcPr>
          <w:p>
            <w:pPr>
              <w:ind w:left="80"/>
              <w:spacing w:after="0" w:line="49" w:lineRule="exact"/>
              <w:rPr>
                <w:sz w:val="20"/>
                <w:szCs w:val="20"/>
                <w:color w:val="auto"/>
              </w:rPr>
            </w:pPr>
            <w:r>
              <w:rPr>
                <w:rFonts w:ascii="Arial" w:cs="Arial" w:eastAsia="Arial" w:hAnsi="Arial"/>
                <w:sz w:val="5"/>
                <w:szCs w:val="5"/>
                <w:color w:val="auto"/>
              </w:rPr>
              <w:t>​ 19,000</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4"/>
          </w:tcPr>
          <w:p>
            <w:pPr>
              <w:ind w:left="120"/>
              <w:spacing w:after="0" w:line="49" w:lineRule="exact"/>
              <w:rPr>
                <w:sz w:val="20"/>
                <w:szCs w:val="20"/>
                <w:color w:val="auto"/>
              </w:rPr>
            </w:pPr>
            <w:r>
              <w:rPr>
                <w:rFonts w:ascii="Arial" w:cs="Arial" w:eastAsia="Arial" w:hAnsi="Arial"/>
                <w:sz w:val="5"/>
                <w:szCs w:val="5"/>
                <w:color w:val="auto"/>
              </w:rPr>
              <w:t>$12,491</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2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Borders>
              <w:right w:val="single" w:sz="8" w:color="CCEEFF"/>
            </w:tcBorders>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80" w:type="dxa"/>
            <w:vAlign w:val="bottom"/>
            <w:gridSpan w:val="3"/>
            <w:shd w:val="clear" w:color="auto" w:fill="CCEEFF"/>
          </w:tcPr>
          <w:p>
            <w:pPr>
              <w:ind w:left="10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b w:val="1"/>
                <w:bCs w:val="1"/>
                <w:color w:val="auto"/>
              </w:rPr>
              <w:t>​</w:t>
            </w:r>
          </w:p>
        </w:tc>
        <w:tc>
          <w:tcPr>
            <w:tcW w:w="180" w:type="dxa"/>
            <w:vAlign w:val="bottom"/>
            <w:tcBorders>
              <w:right w:val="single" w:sz="8" w:color="CCEEFF"/>
            </w:tcBorders>
            <w:shd w:val="clear" w:color="auto" w:fill="CCEEFF"/>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Borders>
              <w:right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shd w:val="clear" w:color="auto" w:fill="CCEEFF"/>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10,000</w:t>
            </w:r>
            <w:r>
              <w:rPr>
                <w:rFonts w:ascii="Arial" w:cs="Arial" w:eastAsia="Arial" w:hAnsi="Arial"/>
                <w:sz w:val="13"/>
                <w:szCs w:val="13"/>
                <w:color w:val="auto"/>
                <w:vertAlign w:val="superscript"/>
              </w:rPr>
              <w:t>(13)</w:t>
            </w: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line="169"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99"/>
              </w:rPr>
              <w:t>6,574</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1"/>
        </w:trPr>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60" w:type="dxa"/>
            <w:vAlign w:val="bottom"/>
          </w:tcPr>
          <w:p>
            <w:pPr>
              <w:ind w:left="300"/>
              <w:spacing w:after="0" w:line="102"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3,334</w:t>
            </w:r>
          </w:p>
        </w:tc>
        <w:tc>
          <w:tcPr>
            <w:tcW w:w="160" w:type="dxa"/>
            <w:vAlign w:val="bottom"/>
          </w:tcPr>
          <w:p>
            <w:pPr>
              <w:jc w:val="right"/>
              <w:spacing w:after="0"/>
              <w:rPr>
                <w:sz w:val="20"/>
                <w:szCs w:val="20"/>
                <w:color w:val="auto"/>
              </w:rPr>
            </w:pPr>
            <w:r>
              <w:rPr>
                <w:rFonts w:ascii="Arial" w:cs="Arial" w:eastAsia="Arial" w:hAnsi="Arial"/>
                <w:sz w:val="8"/>
                <w:szCs w:val="8"/>
                <w:color w:val="auto"/>
                <w:w w:val="84"/>
              </w:rPr>
              <w:t>(12)</w:t>
            </w: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tcPr>
          <w:p>
            <w:pPr>
              <w:ind w:left="80"/>
              <w:spacing w:after="0" w:line="49" w:lineRule="exact"/>
              <w:rPr>
                <w:sz w:val="20"/>
                <w:szCs w:val="20"/>
                <w:color w:val="auto"/>
              </w:rPr>
            </w:pPr>
            <w:r>
              <w:rPr>
                <w:rFonts w:ascii="Arial" w:cs="Arial" w:eastAsia="Arial" w:hAnsi="Arial"/>
                <w:sz w:val="5"/>
                <w:szCs w:val="5"/>
                <w:color w:val="auto"/>
              </w:rPr>
              <w:t>$ 2,192</w:t>
            </w:r>
          </w:p>
        </w:tc>
        <w:tc>
          <w:tcPr>
            <w:tcW w:w="40" w:type="dxa"/>
            <w:vAlign w:val="bottom"/>
          </w:tcPr>
          <w:p>
            <w:pPr>
              <w:spacing w:after="0"/>
              <w:rPr>
                <w:sz w:val="4"/>
                <w:szCs w:val="4"/>
                <w:color w:val="auto"/>
              </w:rPr>
            </w:pPr>
          </w:p>
        </w:tc>
        <w:tc>
          <w:tcPr>
            <w:tcW w:w="140" w:type="dxa"/>
            <w:vAlign w:val="bottom"/>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4,871</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4"/>
              </w:rPr>
              <w:t>(14)</w:t>
            </w: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40" w:type="dxa"/>
            <w:vAlign w:val="bottom"/>
            <w:tcBorders>
              <w:left w:val="single" w:sz="8" w:color="CCEEFF"/>
            </w:tcBorders>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tcBorders>
              <w:right w:val="single" w:sz="8" w:color="CCEEFF"/>
            </w:tcBorders>
            <w:gridSpan w:val="3"/>
            <w:shd w:val="clear" w:color="auto" w:fill="CCEEFF"/>
          </w:tcPr>
          <w:p>
            <w:pPr>
              <w:ind w:left="80"/>
              <w:spacing w:after="0" w:line="49" w:lineRule="exact"/>
              <w:rPr>
                <w:sz w:val="20"/>
                <w:szCs w:val="20"/>
                <w:color w:val="auto"/>
              </w:rPr>
            </w:pPr>
            <w:r>
              <w:rPr>
                <w:rFonts w:ascii="Arial" w:cs="Arial" w:eastAsia="Arial" w:hAnsi="Arial"/>
                <w:sz w:val="5"/>
                <w:szCs w:val="5"/>
                <w:color w:val="auto"/>
              </w:rPr>
              <w:t>$ 3,202</w:t>
            </w: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2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b w:val="1"/>
                <w:bCs w:val="1"/>
                <w:color w:val="auto"/>
              </w:rPr>
              <w:t>​</w:t>
            </w:r>
          </w:p>
        </w:tc>
        <w:tc>
          <w:tcPr>
            <w:tcW w:w="180" w:type="dxa"/>
            <w:vAlign w:val="bottom"/>
            <w:tcBorders>
              <w:right w:val="single" w:sz="8" w:color="CCEEFF"/>
            </w:tcBorders>
            <w:shd w:val="clear" w:color="auto" w:fill="CCEEFF"/>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Borders>
              <w:right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shd w:val="clear" w:color="auto" w:fill="CCEEFF"/>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12,500</w:t>
            </w:r>
            <w:r>
              <w:rPr>
                <w:rFonts w:ascii="Arial" w:cs="Arial" w:eastAsia="Arial" w:hAnsi="Arial"/>
                <w:sz w:val="13"/>
                <w:szCs w:val="13"/>
                <w:color w:val="auto"/>
                <w:vertAlign w:val="superscript"/>
              </w:rPr>
              <w:t>(16)</w:t>
            </w: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40"/>
              <w:spacing w:after="0" w:line="169"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99"/>
              </w:rPr>
              <w:t>8,218</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8,333</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4"/>
              </w:rPr>
              <w:t>(15)</w:t>
            </w: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40" w:type="dxa"/>
            <w:vAlign w:val="bottom"/>
            <w:tcBorders>
              <w:left w:val="single" w:sz="8" w:color="CCEEFF"/>
            </w:tcBorders>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tcBorders>
              <w:right w:val="single" w:sz="8" w:color="CCEEFF"/>
            </w:tcBorders>
            <w:gridSpan w:val="3"/>
            <w:shd w:val="clear" w:color="auto" w:fill="CCEEFF"/>
          </w:tcPr>
          <w:p>
            <w:pPr>
              <w:ind w:left="80"/>
              <w:spacing w:after="0" w:line="49" w:lineRule="exact"/>
              <w:rPr>
                <w:sz w:val="20"/>
                <w:szCs w:val="20"/>
                <w:color w:val="auto"/>
              </w:rPr>
            </w:pPr>
            <w:r>
              <w:rPr>
                <w:rFonts w:ascii="Arial" w:cs="Arial" w:eastAsia="Arial" w:hAnsi="Arial"/>
                <w:sz w:val="5"/>
                <w:szCs w:val="5"/>
                <w:color w:val="auto"/>
              </w:rPr>
              <w:t>$ 5,478</w:t>
            </w: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4"/>
              </w:rPr>
              <w:t>(17)</w:t>
            </w: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8"/>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80"/>
              <w:spacing w:after="0" w:line="49" w:lineRule="exact"/>
              <w:rPr>
                <w:sz w:val="20"/>
                <w:szCs w:val="20"/>
                <w:color w:val="auto"/>
              </w:rPr>
            </w:pPr>
            <w:r>
              <w:rPr>
                <w:rFonts w:ascii="Arial" w:cs="Arial" w:eastAsia="Arial" w:hAnsi="Arial"/>
                <w:sz w:val="5"/>
                <w:szCs w:val="5"/>
                <w:color w:val="auto"/>
              </w:rPr>
              <w:t>​</w:t>
            </w:r>
          </w:p>
        </w:tc>
        <w:tc>
          <w:tcPr>
            <w:tcW w:w="2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40" w:type="dxa"/>
            <w:vAlign w:val="bottom"/>
            <w:tcBorders>
              <w:left w:val="single" w:sz="8" w:color="CCEEFF"/>
            </w:tcBorders>
            <w:shd w:val="clear" w:color="auto" w:fill="CCEEFF"/>
          </w:tcPr>
          <w:p>
            <w:pPr>
              <w:spacing w:after="0"/>
              <w:rPr>
                <w:sz w:val="4"/>
                <w:szCs w:val="4"/>
                <w:color w:val="auto"/>
              </w:rPr>
            </w:pPr>
          </w:p>
        </w:tc>
        <w:tc>
          <w:tcPr>
            <w:tcW w:w="540" w:type="dxa"/>
            <w:vAlign w:val="bottom"/>
            <w:gridSpan w:val="2"/>
            <w:shd w:val="clear" w:color="auto" w:fill="CCEEFF"/>
          </w:tcPr>
          <w:p>
            <w:pPr>
              <w:ind w:left="100"/>
              <w:spacing w:after="0" w:line="49" w:lineRule="exact"/>
              <w:rPr>
                <w:sz w:val="20"/>
                <w:szCs w:val="20"/>
                <w:color w:val="auto"/>
              </w:rPr>
            </w:pPr>
            <w:r>
              <w:rPr>
                <w:rFonts w:ascii="Arial" w:cs="Arial" w:eastAsia="Arial" w:hAnsi="Arial"/>
                <w:sz w:val="5"/>
                <w:szCs w:val="5"/>
                <w:color w:val="auto"/>
              </w:rPr>
              <w:t>​ 46,854</w:t>
            </w: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tcBorders>
              <w:right w:val="single" w:sz="8" w:color="CCEEFF"/>
            </w:tcBorders>
            <w:gridSpan w:val="3"/>
            <w:shd w:val="clear" w:color="auto" w:fill="CCEEFF"/>
          </w:tcPr>
          <w:p>
            <w:pPr>
              <w:ind w:left="80"/>
              <w:spacing w:after="0" w:line="49" w:lineRule="exact"/>
              <w:rPr>
                <w:sz w:val="20"/>
                <w:szCs w:val="20"/>
                <w:color w:val="auto"/>
              </w:rPr>
            </w:pPr>
            <w:r>
              <w:rPr>
                <w:rFonts w:ascii="Arial" w:cs="Arial" w:eastAsia="Arial" w:hAnsi="Arial"/>
                <w:sz w:val="5"/>
                <w:szCs w:val="5"/>
                <w:color w:val="auto"/>
              </w:rPr>
              <w:t>$30,802</w:t>
            </w: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ind w:left="8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2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2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tcBorders>
              <w:right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shd w:val="clear" w:color="auto" w:fill="CCEEFF"/>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19,072</w:t>
            </w:r>
            <w:r>
              <w:rPr>
                <w:rFonts w:ascii="Arial" w:cs="Arial" w:eastAsia="Arial" w:hAnsi="Arial"/>
                <w:sz w:val="13"/>
                <w:szCs w:val="13"/>
                <w:color w:val="auto"/>
                <w:vertAlign w:val="superscript"/>
              </w:rPr>
              <w:t>(19)</w:t>
            </w: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$12,538</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00"/>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20" w:type="dxa"/>
            <w:vAlign w:val="bottom"/>
            <w:vMerge w:val="restart"/>
          </w:tcPr>
          <w:p>
            <w:pPr>
              <w:ind w:left="10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4"/>
              </w:rPr>
              <w:t>(18)</w:t>
            </w: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6"/>
        </w:trPr>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ind w:left="180"/>
              <w:spacing w:after="0"/>
              <w:rPr>
                <w:sz w:val="20"/>
                <w:szCs w:val="20"/>
                <w:color w:val="auto"/>
              </w:rPr>
            </w:pPr>
            <w:r>
              <w:rPr>
                <w:rFonts w:ascii="Arial" w:cs="Arial" w:eastAsia="Arial" w:hAnsi="Arial"/>
                <w:sz w:val="12"/>
                <w:szCs w:val="12"/>
                <w:color w:val="auto"/>
              </w:rPr>
              <w:t>​</w:t>
            </w:r>
          </w:p>
        </w:tc>
        <w:tc>
          <w:tcPr>
            <w:tcW w:w="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continue"/>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 19,072</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$12,538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380" w:type="dxa"/>
            <w:vAlign w:val="bottom"/>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-4127500</wp:posOffset>
            </wp:positionV>
            <wp:extent cx="3877945" cy="8585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7945" cy="858520"/>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-1444625</wp:posOffset>
            </wp:positionV>
            <wp:extent cx="3877945" cy="14452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7945" cy="144526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-4450080</wp:posOffset>
            </wp:positionV>
            <wp:extent cx="1460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 cy="698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-4450080</wp:posOffset>
            </wp:positionV>
            <wp:extent cx="1460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 cy="698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-4450080</wp:posOffset>
            </wp:positionV>
            <wp:extent cx="1460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05" cy="698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-4450080</wp:posOffset>
            </wp:positionV>
            <wp:extent cx="698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146" w:lineRule="exact"/>
        <w:rPr>
          <w:sz w:val="20"/>
          <w:szCs w:val="20"/>
          <w:color w:val="auto"/>
        </w:rPr>
      </w:pPr>
    </w:p>
    <w:p>
      <w:pPr>
        <w:ind w:left="1380" w:right="1559" w:hanging="301"/>
        <w:spacing w:after="0" w:line="207" w:lineRule="auto"/>
        <w:tabs>
          <w:tab w:leader="none" w:pos="13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Represents options for which performance hurdles have been achieved but remain subject to additional service-based criteria.</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8" w:name="page39"/>
    <w:bookmarkEnd w:id="38"/>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-181610</wp:posOffset>
            </wp:positionV>
            <wp:extent cx="1352550" cy="121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52550" cy="121920"/>
                    </a:xfrm>
                    <a:prstGeom prst="rect">
                      <a:avLst/>
                    </a:prstGeom>
                    <a:noFill/>
                  </pic:spPr>
                </pic:pic>
              </a:graphicData>
            </a:graphic>
          </wp:anchor>
        </w:drawing>
      </w:r>
    </w:p>
    <w:p>
      <w:pPr>
        <w:spacing w:after="0" w:line="29" w:lineRule="exact"/>
        <w:rPr>
          <w:sz w:val="20"/>
          <w:szCs w:val="20"/>
          <w:color w:val="auto"/>
        </w:rPr>
      </w:pPr>
    </w:p>
    <w:p>
      <w:pPr>
        <w:ind w:left="1380" w:hanging="301"/>
        <w:spacing w:after="0"/>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options for which performance hurdles have not been achieved.</w:t>
      </w:r>
    </w:p>
    <w:p>
      <w:pPr>
        <w:spacing w:after="0" w:line="41" w:lineRule="exact"/>
        <w:rPr>
          <w:rFonts w:ascii="Arial" w:cs="Arial" w:eastAsia="Arial" w:hAnsi="Arial"/>
          <w:sz w:val="23"/>
          <w:szCs w:val="23"/>
          <w:color w:val="auto"/>
          <w:vertAlign w:val="superscript"/>
        </w:rPr>
      </w:pPr>
    </w:p>
    <w:p>
      <w:pPr>
        <w:ind w:left="1380" w:right="1219" w:hanging="301"/>
        <w:spacing w:after="0" w:line="200"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restricted shares and RSUs that remain subject to additional service-based vesting criteria.</w:t>
      </w:r>
    </w:p>
    <w:p>
      <w:pPr>
        <w:spacing w:after="0" w:line="27" w:lineRule="exact"/>
        <w:rPr>
          <w:rFonts w:ascii="Arial" w:cs="Arial" w:eastAsia="Arial" w:hAnsi="Arial"/>
          <w:sz w:val="23"/>
          <w:szCs w:val="23"/>
          <w:color w:val="auto"/>
          <w:vertAlign w:val="superscript"/>
        </w:rPr>
      </w:pPr>
    </w:p>
    <w:p>
      <w:pPr>
        <w:ind w:left="1380" w:right="1339" w:hanging="301"/>
        <w:spacing w:after="0" w:line="207"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restricted shares and RSUs for which performance hurdles have not been achieved.</w:t>
      </w:r>
    </w:p>
    <w:p>
      <w:pPr>
        <w:spacing w:after="0" w:line="28" w:lineRule="exact"/>
        <w:rPr>
          <w:rFonts w:ascii="Arial" w:cs="Arial" w:eastAsia="Arial" w:hAnsi="Arial"/>
          <w:sz w:val="23"/>
          <w:szCs w:val="23"/>
          <w:color w:val="auto"/>
          <w:vertAlign w:val="superscript"/>
        </w:rPr>
      </w:pPr>
    </w:p>
    <w:p>
      <w:pPr>
        <w:ind w:left="1380" w:right="1219" w:hanging="301"/>
        <w:spacing w:after="0" w:line="207"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All award values set forth herein have been calculated using the closing common share price of $0.66 for Altisource as of December 31, 2024.</w:t>
      </w:r>
    </w:p>
    <w:p>
      <w:pPr>
        <w:spacing w:after="0" w:line="28" w:lineRule="exact"/>
        <w:rPr>
          <w:rFonts w:ascii="Arial" w:cs="Arial" w:eastAsia="Arial" w:hAnsi="Arial"/>
          <w:sz w:val="23"/>
          <w:szCs w:val="23"/>
          <w:color w:val="auto"/>
          <w:vertAlign w:val="superscript"/>
        </w:rPr>
      </w:pPr>
    </w:p>
    <w:p>
      <w:pPr>
        <w:ind w:left="1380" w:right="1199" w:hanging="301"/>
        <w:spacing w:after="0" w:line="226"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the performance-based portion of RSUs granted on October 1, 2020. The performance-based portion of the RSUs were scheduled to expire on October 1, 2030 if the performance metrics had not been achieved, but the performance-based portion of RSUs was canceled with the agreement of the participants as of January 29, 2025.</w:t>
      </w:r>
    </w:p>
    <w:p>
      <w:pPr>
        <w:spacing w:after="0" w:line="18" w:lineRule="exact"/>
        <w:rPr>
          <w:rFonts w:ascii="Arial" w:cs="Arial" w:eastAsia="Arial" w:hAnsi="Arial"/>
          <w:sz w:val="23"/>
          <w:szCs w:val="23"/>
          <w:color w:val="auto"/>
          <w:vertAlign w:val="superscript"/>
        </w:rPr>
      </w:pPr>
    </w:p>
    <w:p>
      <w:pPr>
        <w:ind w:left="1380" w:right="1279" w:hanging="301"/>
        <w:spacing w:after="0" w:line="207"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February 10, 2015. The performance metrics were not achieved and the options expired on February 10, 2025.</w:t>
      </w:r>
    </w:p>
    <w:p>
      <w:pPr>
        <w:spacing w:after="0" w:line="28" w:lineRule="exact"/>
        <w:rPr>
          <w:rFonts w:ascii="Arial" w:cs="Arial" w:eastAsia="Arial" w:hAnsi="Arial"/>
          <w:sz w:val="23"/>
          <w:szCs w:val="23"/>
          <w:color w:val="auto"/>
          <w:vertAlign w:val="superscript"/>
        </w:rPr>
      </w:pPr>
    </w:p>
    <w:p>
      <w:pPr>
        <w:ind w:left="1380" w:right="1239" w:hanging="301"/>
        <w:spacing w:after="0" w:line="231"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August 29, 2016. One-third of the options vest upon Altisource achieving a stock price of $97.92 and an annual rate of return of twenty-five percent (25%) over the exercise price with the balance vesting in equal one-third increments on each subsequent anniversary thereof. These options will expire on August 29, 2026 if the performance metrics have not been achieved.</w:t>
      </w:r>
    </w:p>
    <w:p>
      <w:pPr>
        <w:spacing w:after="0" w:line="27" w:lineRule="exact"/>
        <w:rPr>
          <w:rFonts w:ascii="Arial" w:cs="Arial" w:eastAsia="Arial" w:hAnsi="Arial"/>
          <w:sz w:val="23"/>
          <w:szCs w:val="23"/>
          <w:color w:val="auto"/>
          <w:vertAlign w:val="superscript"/>
        </w:rPr>
      </w:pPr>
    </w:p>
    <w:p>
      <w:pPr>
        <w:ind w:left="1380" w:right="1199" w:hanging="301"/>
        <w:spacing w:after="0" w:line="231"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August 29, 2016. One-third of the options vest upon Altisource achieving a stock price of $65.28 and an annual rate of return of twenty percent (20%) over the exercise price with the balance vesting in equal one-third increments on each subsequent anniversary thereof. These awards will expire on August 29, 2026 if the performance metrics have not been achieved.</w:t>
      </w:r>
    </w:p>
    <w:p>
      <w:pPr>
        <w:spacing w:after="0" w:line="16" w:lineRule="exact"/>
        <w:rPr>
          <w:rFonts w:ascii="Arial" w:cs="Arial" w:eastAsia="Arial" w:hAnsi="Arial"/>
          <w:sz w:val="23"/>
          <w:szCs w:val="23"/>
          <w:color w:val="auto"/>
          <w:vertAlign w:val="superscript"/>
        </w:rPr>
      </w:pPr>
    </w:p>
    <w:p>
      <w:pPr>
        <w:ind w:left="1380" w:right="1239" w:hanging="301"/>
        <w:spacing w:after="0" w:line="231"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July 27, 2017. One-third of the options vest upon Altisource achieving a stock price of $82.95 and an annual rate of return of twenty-five percent (25%) over the exercise price with the balance vesting in equal one-third increments on each subsequent anniversary thereof. These awards will expire on July 27, 2027 if the performance metrics have not been achieved.</w:t>
      </w:r>
    </w:p>
    <w:p>
      <w:pPr>
        <w:spacing w:after="0" w:line="27" w:lineRule="exact"/>
        <w:rPr>
          <w:rFonts w:ascii="Arial" w:cs="Arial" w:eastAsia="Arial" w:hAnsi="Arial"/>
          <w:sz w:val="23"/>
          <w:szCs w:val="23"/>
          <w:color w:val="auto"/>
          <w:vertAlign w:val="superscript"/>
        </w:rPr>
      </w:pPr>
    </w:p>
    <w:p>
      <w:pPr>
        <w:ind w:left="1380" w:right="1199" w:hanging="301"/>
        <w:spacing w:after="0" w:line="231"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July 27, 2017. One-third of the options vest upon Altisource achieving a stock price of $55.30 and an annual rate of return of twenty percent (20%) over the exercise price with the balance vesting in equal one-third increments on each subsequent anniversary thereof. These awards will expire on July 27, 2027 if the performance metrics have not been achieved.</w:t>
      </w:r>
    </w:p>
    <w:p>
      <w:pPr>
        <w:ind w:left="1380" w:hanging="301"/>
        <w:spacing w:after="0" w:line="204"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on March 01, 2025.</w:t>
      </w:r>
    </w:p>
    <w:p>
      <w:pPr>
        <w:spacing w:after="0" w:line="53" w:lineRule="exact"/>
        <w:rPr>
          <w:rFonts w:ascii="Arial" w:cs="Arial" w:eastAsia="Arial" w:hAnsi="Arial"/>
          <w:sz w:val="23"/>
          <w:szCs w:val="23"/>
          <w:color w:val="auto"/>
          <w:vertAlign w:val="superscript"/>
        </w:rPr>
      </w:pPr>
    </w:p>
    <w:p>
      <w:pPr>
        <w:ind w:left="1380" w:right="1139" w:hanging="301"/>
        <w:spacing w:after="0"/>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market and performance-based RSUs awarded on March 1, 2022, which cliff vest on the third anniversary of the grant date, based on the achievement of certain financial measures.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154" w:lineRule="exact"/>
        <w:rPr>
          <w:rFonts w:ascii="Arial" w:cs="Arial" w:eastAsia="Arial" w:hAnsi="Arial"/>
          <w:sz w:val="23"/>
          <w:szCs w:val="23"/>
          <w:color w:val="auto"/>
          <w:vertAlign w:val="superscript"/>
        </w:rPr>
      </w:pPr>
    </w:p>
    <w:p>
      <w:pPr>
        <w:ind w:left="1380" w:hanging="301"/>
        <w:spacing w:after="0" w:line="194"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on March 20, 2025.</w:t>
      </w:r>
    </w:p>
    <w:p>
      <w:pPr>
        <w:spacing w:after="0" w:line="41" w:lineRule="exact"/>
        <w:rPr>
          <w:rFonts w:ascii="Arial" w:cs="Arial" w:eastAsia="Arial" w:hAnsi="Arial"/>
          <w:sz w:val="23"/>
          <w:szCs w:val="23"/>
          <w:color w:val="auto"/>
          <w:vertAlign w:val="superscript"/>
        </w:rPr>
      </w:pPr>
    </w:p>
    <w:p>
      <w:pPr>
        <w:ind w:left="1380" w:right="1759" w:hanging="301"/>
        <w:spacing w:after="0" w:line="200"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in two (2) equal installments on March 20, 2025 and March 20, 2026.</w:t>
      </w:r>
    </w:p>
    <w:p>
      <w:pPr>
        <w:spacing w:after="0" w:line="27" w:lineRule="exact"/>
        <w:rPr>
          <w:rFonts w:ascii="Arial" w:cs="Arial" w:eastAsia="Arial" w:hAnsi="Arial"/>
          <w:sz w:val="23"/>
          <w:szCs w:val="23"/>
          <w:color w:val="auto"/>
          <w:vertAlign w:val="superscript"/>
        </w:rPr>
      </w:pPr>
    </w:p>
    <w:p>
      <w:pPr>
        <w:ind w:left="1380" w:right="1099" w:hanging="301"/>
        <w:spacing w:after="0"/>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market and performance-based RSUs granted on March 20, 2023, which cliff vest on the third anniversary of the grant date, based on the achievement of certain financial measures.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195" w:lineRule="exact"/>
        <w:rPr>
          <w:rFonts w:ascii="Arial" w:cs="Arial" w:eastAsia="Arial" w:hAnsi="Arial"/>
          <w:sz w:val="23"/>
          <w:szCs w:val="23"/>
          <w:color w:val="auto"/>
          <w:vertAlign w:val="superscript"/>
        </w:rPr>
      </w:pPr>
    </w:p>
    <w:p>
      <w:pPr>
        <w:ind w:left="1380" w:right="1759" w:hanging="301"/>
        <w:spacing w:after="0" w:line="207"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in two (2) equal installments on February 20, 2025 and February 20, 2026.</w:t>
      </w:r>
    </w:p>
    <w:p>
      <w:pPr>
        <w:spacing w:after="0" w:line="28" w:lineRule="exact"/>
        <w:rPr>
          <w:rFonts w:ascii="Arial" w:cs="Arial" w:eastAsia="Arial" w:hAnsi="Arial"/>
          <w:sz w:val="23"/>
          <w:szCs w:val="23"/>
          <w:color w:val="auto"/>
          <w:vertAlign w:val="superscript"/>
        </w:rPr>
      </w:pPr>
    </w:p>
    <w:p>
      <w:pPr>
        <w:ind w:left="1380" w:right="1639" w:hanging="301"/>
        <w:spacing w:after="0" w:line="207"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in three (3) equal installments on February 20, 2025, February 20, 2026 and February 20, 2027.</w:t>
      </w:r>
    </w:p>
    <w:p>
      <w:pPr>
        <w:spacing w:after="0" w:line="28" w:lineRule="exact"/>
        <w:rPr>
          <w:rFonts w:ascii="Arial" w:cs="Arial" w:eastAsia="Arial" w:hAnsi="Arial"/>
          <w:sz w:val="23"/>
          <w:szCs w:val="23"/>
          <w:color w:val="auto"/>
          <w:vertAlign w:val="superscript"/>
        </w:rPr>
      </w:pPr>
    </w:p>
    <w:p>
      <w:pPr>
        <w:ind w:left="1380" w:right="1219" w:hanging="301"/>
        <w:spacing w:after="0" w:line="219" w:lineRule="auto"/>
        <w:tabs>
          <w:tab w:leader="none" w:pos="13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market and performance-based RSUs granted on February 20, 2024, which cliff vest on the third anniversary of the grant date if certain financial measures are achieved. The number of market and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9" w:name="page40"/>
    <w:bookmarkEnd w:id="39"/>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-181610</wp:posOffset>
            </wp:positionV>
            <wp:extent cx="1352550" cy="1219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52550" cy="121920"/>
                    </a:xfrm>
                    <a:prstGeom prst="rect">
                      <a:avLst/>
                    </a:prstGeom>
                    <a:noFill/>
                  </pic:spPr>
                </pic:pic>
              </a:graphicData>
            </a:graphic>
          </wp:anchor>
        </w:drawing>
      </w:r>
    </w:p>
    <w:p>
      <w:pPr>
        <w:spacing w:after="0" w:line="95" w:lineRule="exact"/>
        <w:rPr>
          <w:sz w:val="20"/>
          <w:szCs w:val="20"/>
          <w:color w:val="auto"/>
        </w:rPr>
      </w:pPr>
    </w:p>
    <w:p>
      <w:pPr>
        <w:ind w:left="1380" w:right="1159"/>
        <w:spacing w:after="0" w:line="245" w:lineRule="auto"/>
        <w:rPr>
          <w:sz w:val="20"/>
          <w:szCs w:val="20"/>
          <w:color w:val="auto"/>
        </w:rPr>
      </w:pPr>
      <w:r>
        <w:rPr>
          <w:rFonts w:ascii="Arial" w:cs="Arial" w:eastAsia="Arial" w:hAnsi="Arial"/>
          <w:sz w:val="15"/>
          <w:szCs w:val="15"/>
          <w:color w:val="auto"/>
        </w:rPr>
        <w:t>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Employment Agreements</w:t>
      </w:r>
    </w:p>
    <w:p>
      <w:pPr>
        <w:spacing w:after="0" w:line="91" w:lineRule="exact"/>
        <w:rPr>
          <w:sz w:val="20"/>
          <w:szCs w:val="20"/>
          <w:color w:val="auto"/>
        </w:rPr>
      </w:pPr>
    </w:p>
    <w:p>
      <w:pPr>
        <w:ind w:left="1080" w:right="1199"/>
        <w:spacing w:after="0" w:line="244" w:lineRule="auto"/>
        <w:rPr>
          <w:sz w:val="20"/>
          <w:szCs w:val="20"/>
          <w:color w:val="auto"/>
        </w:rPr>
      </w:pPr>
      <w:r>
        <w:rPr>
          <w:rFonts w:ascii="Arial" w:cs="Arial" w:eastAsia="Arial" w:hAnsi="Arial"/>
          <w:sz w:val="15"/>
          <w:szCs w:val="15"/>
          <w:color w:val="auto"/>
        </w:rPr>
        <w:t>Altisource has entered into Luxembourg employment agreements with Messrs. Shepro and Ritts, our Luxembourg-based Named Executive Officers, as required by Luxembourg law. The employment agreements remain in effect indefinitely until the executive ceases to be employed by Altisource in Luxembourg. The agreements provide for a base salary and annual incentive compensation based on the satisfaction of relevant performance criteria. Additionally, the executives may receive relocation and foreign living allowances, as well as benefits such as health insurance. Please see the Summary Compensation Table under the “Executive Compensation” section above for additional details.</w:t>
      </w:r>
    </w:p>
    <w:p>
      <w:pPr>
        <w:spacing w:after="0" w:line="96" w:lineRule="exact"/>
        <w:rPr>
          <w:sz w:val="20"/>
          <w:szCs w:val="20"/>
          <w:color w:val="auto"/>
        </w:rPr>
      </w:pPr>
    </w:p>
    <w:p>
      <w:pPr>
        <w:ind w:left="1080" w:right="1219"/>
        <w:spacing w:after="0" w:line="244" w:lineRule="auto"/>
        <w:rPr>
          <w:sz w:val="20"/>
          <w:szCs w:val="20"/>
          <w:color w:val="auto"/>
        </w:rPr>
      </w:pPr>
      <w:r>
        <w:rPr>
          <w:rFonts w:ascii="Arial" w:cs="Arial" w:eastAsia="Arial" w:hAnsi="Arial"/>
          <w:sz w:val="15"/>
          <w:szCs w:val="15"/>
          <w:color w:val="auto"/>
        </w:rPr>
        <w:t>In order to terminate the employment agreement, each party must provide notice in accordance with the applicable time periods set forth in article L.124-1 of the Luxembourg Labor Code. However, if the Company terminates the executive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article L.124-10 of the Luxembourg Labor Code), no notice period is required. In addition, if the Company terminates the executive without “Cause” or if the executive resigns for “Good Reason,” the executive will receive severance benefits as described below. Furthermore, the executive may be entitled to receive additional payments in accordance with article L.124-7 of the Luxembourg Labor Code if they have been employed for more than five (5) years, which period has been satisfied by each of our Luxembourg-based Named Executive Officers.</w:t>
      </w:r>
    </w:p>
    <w:p>
      <w:pPr>
        <w:spacing w:after="0" w:line="270" w:lineRule="exact"/>
        <w:rPr>
          <w:sz w:val="20"/>
          <w:szCs w:val="20"/>
          <w:color w:val="auto"/>
        </w:rPr>
      </w:pPr>
    </w:p>
    <w:p>
      <w:pPr>
        <w:ind w:left="1080" w:right="1219"/>
        <w:spacing w:after="0" w:line="246" w:lineRule="auto"/>
        <w:rPr>
          <w:sz w:val="20"/>
          <w:szCs w:val="20"/>
          <w:color w:val="auto"/>
        </w:rPr>
      </w:pPr>
      <w:r>
        <w:rPr>
          <w:rFonts w:ascii="Arial" w:cs="Arial" w:eastAsia="Arial" w:hAnsi="Arial"/>
          <w:sz w:val="15"/>
          <w:szCs w:val="15"/>
          <w:color w:val="auto"/>
        </w:rPr>
        <w:t>The employment agreements also contain a covenant prohibiting the disclosure of the Company’s confidential information and requiring the signing of an intellectual property agreement. In addition, the agreements include non-competition covenants for a minimum period of one (1) year, and non- solicitation covenants for two (2) years, or one (1) year in the case of the Chief Executive Officer, following the termination of the agreement. These agreements are governed by, interpreted under, and subject to the limitations of the laws of the Grand Duchy of Luxembourg.</w:t>
      </w:r>
    </w:p>
    <w:p>
      <w:pPr>
        <w:spacing w:after="0" w:line="269" w:lineRule="exact"/>
        <w:rPr>
          <w:sz w:val="20"/>
          <w:szCs w:val="20"/>
          <w:color w:val="auto"/>
        </w:rPr>
      </w:pPr>
    </w:p>
    <w:p>
      <w:pPr>
        <w:ind w:left="1080" w:right="1279"/>
        <w:spacing w:after="0" w:line="260" w:lineRule="auto"/>
        <w:rPr>
          <w:sz w:val="20"/>
          <w:szCs w:val="20"/>
          <w:color w:val="auto"/>
        </w:rPr>
      </w:pPr>
      <w:r>
        <w:rPr>
          <w:rFonts w:ascii="Arial" w:cs="Arial" w:eastAsia="Arial" w:hAnsi="Arial"/>
          <w:sz w:val="15"/>
          <w:szCs w:val="15"/>
          <w:color w:val="auto"/>
        </w:rPr>
        <w:t>In 2021, our Board approved a severance arrangement for our Chief Financial Officer, who would receive a severance payment equal to one (1) year’s base compensation paid in twelve equal installments in case of termination without cause.</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91" w:lineRule="exact"/>
        <w:rPr>
          <w:sz w:val="20"/>
          <w:szCs w:val="20"/>
          <w:color w:val="auto"/>
        </w:rPr>
      </w:pPr>
    </w:p>
    <w:p>
      <w:pPr>
        <w:ind w:left="1080" w:right="1179"/>
        <w:spacing w:after="0" w:line="245" w:lineRule="auto"/>
        <w:rPr>
          <w:sz w:val="20"/>
          <w:szCs w:val="20"/>
          <w:color w:val="auto"/>
        </w:rPr>
      </w:pPr>
      <w:r>
        <w:rPr>
          <w:rFonts w:ascii="Arial" w:cs="Arial" w:eastAsia="Arial" w:hAnsi="Arial"/>
          <w:sz w:val="15"/>
          <w:szCs w:val="15"/>
          <w:color w:val="auto"/>
        </w:rPr>
        <w:t>As discussed above, Mr. Shepro and Mr. Ritts have entered into employment agreements with the Company. Under these agreements, Mr. Shepro and Mr. Ritts have specific terms regarding termination and compensation. For Mr. Shepro, if his employment is terminated due to retirement or disability or otherwise without cause, the Company will pay all standard relocation costs to relocate him to the United States. If the Company terminates his employment other than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L.124-10 of the Luxembourg Labor Code) or if he resigns for “Good Reason” (as​ defined in his employment agreement), the Company will pay Mr. Shepro twelve (12) months’ base salary and at least one (1) year of target incentive compensation.</w:t>
      </w:r>
    </w:p>
    <w:p>
      <w:pPr>
        <w:spacing w:after="0" w:line="270" w:lineRule="exact"/>
        <w:rPr>
          <w:sz w:val="20"/>
          <w:szCs w:val="20"/>
          <w:color w:val="auto"/>
        </w:rPr>
      </w:pPr>
    </w:p>
    <w:p>
      <w:pPr>
        <w:ind w:left="1080" w:right="1459"/>
        <w:spacing w:after="0" w:line="260" w:lineRule="auto"/>
        <w:rPr>
          <w:sz w:val="20"/>
          <w:szCs w:val="20"/>
          <w:color w:val="auto"/>
        </w:rPr>
      </w:pPr>
      <w:r>
        <w:rPr>
          <w:rFonts w:ascii="Arial" w:cs="Arial" w:eastAsia="Arial" w:hAnsi="Arial"/>
          <w:sz w:val="15"/>
          <w:szCs w:val="15"/>
          <w:color w:val="auto"/>
        </w:rPr>
        <w:t>Additionally, if the Company terminates Mr. Shepro’s employment other than for “Cause” after October 1 of a service year, and before incentives are paid for the service year, Mr. Shepro will be entitled to receive incentive compensation for the service year.</w:t>
      </w:r>
    </w:p>
    <w:p>
      <w:pPr>
        <w:spacing w:after="0" w:line="82" w:lineRule="exact"/>
        <w:rPr>
          <w:sz w:val="20"/>
          <w:szCs w:val="20"/>
          <w:color w:val="auto"/>
        </w:rPr>
      </w:pPr>
    </w:p>
    <w:p>
      <w:pPr>
        <w:ind w:left="1080" w:right="1159"/>
        <w:spacing w:after="0" w:line="244" w:lineRule="auto"/>
        <w:rPr>
          <w:sz w:val="20"/>
          <w:szCs w:val="20"/>
          <w:color w:val="auto"/>
        </w:rPr>
      </w:pPr>
      <w:r>
        <w:rPr>
          <w:rFonts w:ascii="Arial" w:cs="Arial" w:eastAsia="Arial" w:hAnsi="Arial"/>
          <w:sz w:val="15"/>
          <w:szCs w:val="15"/>
          <w:color w:val="auto"/>
        </w:rPr>
        <w:t>For Mr. Ritts, if his employment is terminated due to retirement or disability or otherwise without cause, the Company will also pay standard relocation costs to relocate him to the United States. If the Company terminates his employment other than for “Cause” or if he resigns for “Good Reason” ​(as defined in his employment agreement), the Company will pay Mr. Ritts four (4) months’ base salary in addition to certain notice and additional payments as may be required under articles L.124-1 and L.124-7 of the Luxembourg Labor Code. In the event of a Change of Control (as defined therein), the Company shall pay Mr. Ritts twelve (12) months’ base salary plus one (1) year’s target incentive compensation. If a Change of Control occurs after October 1 of a service year and before incentives are paid for the service year, Mr. Ritts will be entitled to receive incentive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0" w:name="page41"/>
    <w:bookmarkEnd w:id="40"/>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-181610</wp:posOffset>
            </wp:positionV>
            <wp:extent cx="1352550" cy="121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52550" cy="121920"/>
                    </a:xfrm>
                    <a:prstGeom prst="rect">
                      <a:avLst/>
                    </a:prstGeom>
                    <a:noFill/>
                  </pic:spPr>
                </pic:pic>
              </a:graphicData>
            </a:graphic>
          </wp:anchor>
        </w:drawing>
      </w:r>
    </w:p>
    <w:p>
      <w:pPr>
        <w:spacing w:after="0" w:line="95" w:lineRule="exact"/>
        <w:rPr>
          <w:sz w:val="20"/>
          <w:szCs w:val="20"/>
          <w:color w:val="auto"/>
        </w:rPr>
      </w:pPr>
    </w:p>
    <w:p>
      <w:pPr>
        <w:ind w:left="1080" w:right="1219"/>
        <w:spacing w:after="0" w:line="262" w:lineRule="auto"/>
        <w:rPr>
          <w:sz w:val="20"/>
          <w:szCs w:val="20"/>
          <w:color w:val="auto"/>
        </w:rPr>
      </w:pPr>
      <w:r>
        <w:rPr>
          <w:rFonts w:ascii="Arial" w:cs="Arial" w:eastAsia="Arial" w:hAnsi="Arial"/>
          <w:sz w:val="15"/>
          <w:szCs w:val="15"/>
          <w:color w:val="auto"/>
        </w:rPr>
        <w:t>compensation prorated to the date of the Change of Control if occurring between October 1 and December 31. If Mr. Ritts is terminated other than for Cause following a Change of Control, his severance payment would be limited to the statutory notice and such other required payments under articles L.124-1 and L.124-7 of the Luxembourg Labor Code.</w:t>
      </w:r>
    </w:p>
    <w:p>
      <w:pPr>
        <w:spacing w:after="0" w:line="81" w:lineRule="exact"/>
        <w:rPr>
          <w:sz w:val="20"/>
          <w:szCs w:val="20"/>
          <w:color w:val="auto"/>
        </w:rPr>
      </w:pPr>
    </w:p>
    <w:p>
      <w:pPr>
        <w:ind w:left="1080" w:right="1099"/>
        <w:spacing w:after="0" w:line="268" w:lineRule="auto"/>
        <w:rPr>
          <w:sz w:val="20"/>
          <w:szCs w:val="20"/>
          <w:color w:val="auto"/>
        </w:rPr>
      </w:pPr>
      <w:r>
        <w:rPr>
          <w:rFonts w:ascii="Arial" w:cs="Arial" w:eastAsia="Arial" w:hAnsi="Arial"/>
          <w:sz w:val="15"/>
          <w:szCs w:val="15"/>
          <w:color w:val="auto"/>
        </w:rPr>
        <w:t>If either Mr. Shepro or Mr. Ritts is terminated for “Cause,” the Company may do so without notice and with no obligation to make any further payments, other than amounts accrued and unpaid as of the date of termination.</w:t>
      </w:r>
    </w:p>
    <w:p>
      <w:pPr>
        <w:spacing w:after="0" w:line="87" w:lineRule="exact"/>
        <w:rPr>
          <w:sz w:val="20"/>
          <w:szCs w:val="20"/>
          <w:color w:val="auto"/>
        </w:rPr>
      </w:pPr>
    </w:p>
    <w:p>
      <w:pPr>
        <w:ind w:left="1080" w:right="1119"/>
        <w:spacing w:after="0" w:line="255" w:lineRule="auto"/>
        <w:rPr>
          <w:sz w:val="20"/>
          <w:szCs w:val="20"/>
          <w:color w:val="auto"/>
        </w:rPr>
      </w:pPr>
      <w:r>
        <w:rPr>
          <w:rFonts w:ascii="Arial" w:cs="Arial" w:eastAsia="Arial" w:hAnsi="Arial"/>
          <w:sz w:val="15"/>
          <w:szCs w:val="15"/>
          <w:color w:val="auto"/>
        </w:rPr>
        <w:t>With respect to stock options, upon termination of a Named Executive Officer’s employment other than for “Cause,” as defined by their stock option agreement, or by reason of resignation, the Named Executive Officer will typically be entitled to retain their vested options and any unvested market-based options for which the vesting hurdles have already been achieved. Typically, the Named Executive Officer’s right to retain any options following termination of employment is contingent upon having been employed with the Company for at least two (2) years, which period has been satisfied by each of our Named Executive Officers. Upon termination of employment for “Cause,” all vested and unvested stock options awarded pursuant to their stock option agreement(s) will be forfeited.</w:t>
      </w:r>
    </w:p>
    <w:p>
      <w:pPr>
        <w:spacing w:after="0" w:line="280" w:lineRule="exact"/>
        <w:rPr>
          <w:sz w:val="20"/>
          <w:szCs w:val="20"/>
          <w:color w:val="auto"/>
        </w:rPr>
      </w:pPr>
    </w:p>
    <w:p>
      <w:pPr>
        <w:ind w:left="1080" w:right="1139"/>
        <w:spacing w:after="0" w:line="253" w:lineRule="auto"/>
        <w:rPr>
          <w:sz w:val="20"/>
          <w:szCs w:val="20"/>
          <w:color w:val="auto"/>
        </w:rPr>
      </w:pPr>
      <w:r>
        <w:rPr>
          <w:rFonts w:ascii="Arial" w:cs="Arial" w:eastAsia="Arial" w:hAnsi="Arial"/>
          <w:sz w:val="15"/>
          <w:szCs w:val="15"/>
          <w:color w:val="auto"/>
        </w:rPr>
        <w:t xml:space="preserve">In addition, certain of the stock option agreements provide for accelerated vesting of service-based options. Typically, upon a Named Executive Officer’s death, disability or, in some instances, retirement (as defined in their stock option agreement), service-based options will vest immediately; provided, however, that the Named Executive Officer’s right to the acceleration of options following termination of employment is typically contingent upon having been employed with the Company for at least three (3) years in the case of retirement, and at least two (2) years in other instances, which periods have been satisfied by each of our Named Executive Officers. Additionally, pursuant to certain agreements, if there is a Change of Control, the Compensation Committee may, </w:t>
      </w:r>
      <w:r>
        <w:rPr>
          <w:rFonts w:ascii="Arial" w:cs="Arial" w:eastAsia="Arial" w:hAnsi="Arial"/>
          <w:sz w:val="15"/>
          <w:szCs w:val="15"/>
          <w:i w:val="1"/>
          <w:iCs w:val="1"/>
          <w:color w:val="auto"/>
        </w:rPr>
        <w:t>inter alia</w:t>
      </w:r>
      <w:r>
        <w:rPr>
          <w:rFonts w:ascii="Arial" w:cs="Arial" w:eastAsia="Arial" w:hAnsi="Arial"/>
          <w:sz w:val="15"/>
          <w:szCs w:val="15"/>
          <w:color w:val="auto"/>
        </w:rPr>
        <w:t>, adjust the vesting conditions of the options at its discretion, which could result in the immediate vesting of some or all of the options. Under the terms of the stock option awards granted to our Named Executive Officers on and after April 15, 2015, in the event of a Change of Control transaction, a buyer will have the option to cancel the stock options in exchange for their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200" w:lineRule="exact"/>
        <w:rPr>
          <w:sz w:val="20"/>
          <w:szCs w:val="20"/>
          <w:color w:val="auto"/>
        </w:rPr>
      </w:pPr>
    </w:p>
    <w:p>
      <w:pPr>
        <w:spacing w:after="0" w:line="252" w:lineRule="exact"/>
        <w:rPr>
          <w:sz w:val="20"/>
          <w:szCs w:val="20"/>
          <w:color w:val="auto"/>
        </w:rPr>
      </w:pPr>
    </w:p>
    <w:p>
      <w:pPr>
        <w:ind w:left="1080" w:right="1139"/>
        <w:spacing w:after="0" w:line="254" w:lineRule="auto"/>
        <w:rPr>
          <w:sz w:val="20"/>
          <w:szCs w:val="20"/>
          <w:color w:val="auto"/>
        </w:rPr>
      </w:pPr>
      <w:r>
        <w:rPr>
          <w:rFonts w:ascii="Arial" w:cs="Arial" w:eastAsia="Arial" w:hAnsi="Arial"/>
          <w:sz w:val="15"/>
          <w:szCs w:val="15"/>
          <w:color w:val="auto"/>
        </w:rPr>
        <w:t>With respect to restricted shares and RSUs granted to our Named Executive Officers, in some instances if an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w:t>
      </w:r>
    </w:p>
    <w:p>
      <w:pPr>
        <w:spacing w:after="0" w:line="172" w:lineRule="exact"/>
        <w:rPr>
          <w:sz w:val="20"/>
          <w:szCs w:val="20"/>
          <w:color w:val="auto"/>
        </w:rPr>
      </w:pPr>
    </w:p>
    <w:p>
      <w:pPr>
        <w:ind w:left="1080" w:right="1099"/>
        <w:spacing w:after="0" w:line="266" w:lineRule="auto"/>
        <w:rPr>
          <w:sz w:val="20"/>
          <w:szCs w:val="20"/>
          <w:color w:val="auto"/>
        </w:rPr>
      </w:pPr>
      <w:r>
        <w:rPr>
          <w:rFonts w:ascii="Arial" w:cs="Arial" w:eastAsia="Arial" w:hAnsi="Arial"/>
          <w:sz w:val="15"/>
          <w:szCs w:val="15"/>
          <w:color w:val="auto"/>
        </w:rPr>
        <w:t>30 days of such termination. In addition, certain restricted share and RSU awards provide for the vesting of unvested restricted shares and RSUs in the event of a Change of Control.</w:t>
      </w:r>
    </w:p>
    <w:p>
      <w:pPr>
        <w:spacing w:after="0" w:line="88" w:lineRule="exact"/>
        <w:rPr>
          <w:sz w:val="20"/>
          <w:szCs w:val="20"/>
          <w:color w:val="auto"/>
        </w:rPr>
      </w:pPr>
    </w:p>
    <w:p>
      <w:pPr>
        <w:ind w:left="1080" w:right="1479"/>
        <w:spacing w:after="0" w:line="278" w:lineRule="auto"/>
        <w:rPr>
          <w:sz w:val="20"/>
          <w:szCs w:val="20"/>
          <w:color w:val="auto"/>
        </w:rPr>
      </w:pPr>
      <w:r>
        <w:rPr>
          <w:rFonts w:ascii="Arial" w:cs="Arial" w:eastAsia="Arial" w:hAnsi="Arial"/>
          <w:sz w:val="15"/>
          <w:szCs w:val="15"/>
          <w:color w:val="auto"/>
        </w:rPr>
        <w:t>Except as specified above, any portion of an equity award not vested will generally be forfeited unless alternate arrangements are made at the discretion of the Compensation Committee.</w:t>
      </w:r>
    </w:p>
    <w:p>
      <w:pPr>
        <w:spacing w:after="0" w:line="317"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Equity Award Grant Practices</w:t>
      </w:r>
    </w:p>
    <w:p>
      <w:pPr>
        <w:spacing w:after="0" w:line="91" w:lineRule="exact"/>
        <w:rPr>
          <w:sz w:val="20"/>
          <w:szCs w:val="20"/>
          <w:color w:val="auto"/>
        </w:rPr>
      </w:pPr>
    </w:p>
    <w:p>
      <w:pPr>
        <w:ind w:left="1080" w:right="1119"/>
        <w:spacing w:after="0" w:line="255" w:lineRule="auto"/>
        <w:rPr>
          <w:sz w:val="20"/>
          <w:szCs w:val="20"/>
          <w:color w:val="auto"/>
        </w:rPr>
      </w:pPr>
      <w:r>
        <w:rPr>
          <w:rFonts w:ascii="Arial" w:cs="Arial" w:eastAsia="Arial" w:hAnsi="Arial"/>
          <w:sz w:val="15"/>
          <w:szCs w:val="15"/>
          <w:color w:val="auto"/>
        </w:rPr>
        <w:t>The Compensation Committee and executive management monitor the Company’s equity grant practices to evaluate whether such practices comply with governing regulations and are consistent with good corporate practices. Historically, equity grants have been made at Compensation Committee meetings held during the months of February, March and April in connection with issuing incentive plans or a performance review process. The Compensation Committee may make equity grants at any time during the year it deems appropriate, including with respect to new hires, promotions or retention efforts. The Compensation Committee does not time the disclosure of material non-public information for the purpose of affecting the value of compensation.</w:t>
      </w:r>
    </w:p>
    <w:p>
      <w:pPr>
        <w:spacing w:after="0" w:line="28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2024, we did not grant any stock options or stock appreciation rights.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1" w:name="page42"/>
    <w:bookmarkEnd w:id="41"/>
    <w:p>
      <w:pPr>
        <w:ind w:left="40"/>
        <w:spacing w:after="0"/>
        <w:rPr>
          <w:sz w:val="20"/>
          <w:szCs w:val="20"/>
          <w:color w:val="auto"/>
        </w:rPr>
      </w:pPr>
      <w:r>
        <w:rPr>
          <w:rFonts w:ascii="Calibri" w:cs="Calibri" w:eastAsia="Calibri" w:hAnsi="Calibri"/>
          <w:sz w:val="12"/>
          <w:szCs w:val="12"/>
          <w:color w:val="003366"/>
        </w:rPr>
        <w:t>TABLE OF CONTENTS</w:t>
      </w:r>
    </w:p>
    <w:p>
      <w:pPr>
        <w:spacing w:after="0" w:line="374"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-181610</wp:posOffset>
            </wp:positionV>
            <wp:extent cx="1352550" cy="1219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52550" cy="121920"/>
                    </a:xfrm>
                    <a:prstGeom prst="rect">
                      <a:avLst/>
                    </a:prstGeom>
                    <a:noFill/>
                  </pic:spPr>
                </pic:pic>
              </a:graphicData>
            </a:graphic>
          </wp:anchor>
        </w:drawing>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7"/>
          <w:szCs w:val="17"/>
          <w:b w:val="1"/>
          <w:bCs w:val="1"/>
          <w:u w:val="single" w:color="auto"/>
          <w:color w:val="auto"/>
        </w:rPr>
        <w:t>Pay Versus Performance</w:t>
      </w:r>
    </w:p>
    <w:p>
      <w:pPr>
        <w:spacing w:after="0" w:line="91" w:lineRule="exact"/>
        <w:rPr>
          <w:sz w:val="20"/>
          <w:szCs w:val="20"/>
          <w:color w:val="auto"/>
        </w:rPr>
      </w:pPr>
    </w:p>
    <w:p>
      <w:pPr>
        <w:ind w:left="1080" w:right="1259"/>
        <w:spacing w:after="0" w:line="268" w:lineRule="auto"/>
        <w:rPr>
          <w:sz w:val="20"/>
          <w:szCs w:val="20"/>
          <w:color w:val="auto"/>
        </w:rPr>
      </w:pPr>
      <w:r>
        <w:rPr>
          <w:rFonts w:ascii="Arial" w:cs="Arial" w:eastAsia="Arial" w:hAnsi="Arial"/>
          <w:sz w:val="15"/>
          <w:szCs w:val="15"/>
          <w:color w:val="auto"/>
        </w:rPr>
        <w:t>As required by Item 402(v) of Regulation S-K, the following table discloses the relationship between the financial performance of the Company and (i) the summary compensation actually paid to the Company’s Principal Executive Officer (“PEO”), and (ii) the average compensation actually paid to non-PEO Named Executive Officers. For further information about how we align executive compensation with the Company’s performance, see the Summary Compensation Table.</w:t>
      </w:r>
    </w:p>
    <w:p>
      <w:pPr>
        <w:spacing w:after="0" w:line="284"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7"/>
              </w:rPr>
              <w:t>Average</w:t>
            </w: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Average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9"/>
              </w:rPr>
              <w:t>Summary</w:t>
            </w: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Summary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Compensation</w:t>
            </w: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Compensation</w:t>
            </w:r>
          </w:p>
        </w:tc>
        <w:tc>
          <w:tcPr>
            <w:tcW w:w="14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8"/>
              </w:rPr>
              <w:t>Table Total for</w:t>
            </w: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Actually Paid to</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5640" w:type="dxa"/>
            <w:vAlign w:val="bottom"/>
            <w:gridSpan w:val="10"/>
          </w:tcPr>
          <w:p>
            <w:pPr>
              <w:jc w:val="center"/>
              <w:spacing w:after="0" w:line="158" w:lineRule="exact"/>
              <w:rPr>
                <w:sz w:val="20"/>
                <w:szCs w:val="20"/>
                <w:color w:val="auto"/>
              </w:rPr>
            </w:pPr>
            <w:r>
              <w:rPr>
                <w:rFonts w:ascii="Arial" w:cs="Arial" w:eastAsia="Arial" w:hAnsi="Arial"/>
                <w:sz w:val="15"/>
                <w:szCs w:val="15"/>
                <w:b w:val="1"/>
                <w:bCs w:val="1"/>
                <w:color w:val="auto"/>
              </w:rPr>
              <w:t>Compensation Compensation Non-PEO Named Non-PEO Named Shareholder</w:t>
            </w:r>
          </w:p>
        </w:tc>
        <w:tc>
          <w:tcPr>
            <w:tcW w:w="10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9"/>
              </w:rPr>
              <w:t>Net</w:t>
            </w:r>
          </w:p>
        </w:tc>
        <w:tc>
          <w:tcPr>
            <w:tcW w:w="0" w:type="dxa"/>
            <w:vAlign w:val="bottom"/>
          </w:tcPr>
          <w:p>
            <w:pPr>
              <w:spacing w:after="0"/>
              <w:rPr>
                <w:sz w:val="1"/>
                <w:szCs w:val="1"/>
                <w:color w:val="auto"/>
              </w:rPr>
            </w:pPr>
          </w:p>
        </w:tc>
      </w:tr>
      <w:tr>
        <w:trPr>
          <w:trHeight w:val="146"/>
        </w:trPr>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2"/>
              </w:rPr>
              <w:t>Year</w:t>
            </w:r>
          </w:p>
        </w:tc>
        <w:tc>
          <w:tcPr>
            <w:tcW w:w="10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Table Total for</w:t>
            </w:r>
          </w:p>
        </w:tc>
        <w:tc>
          <w:tcPr>
            <w:tcW w:w="80" w:type="dxa"/>
            <w:vAlign w:val="bottom"/>
          </w:tcPr>
          <w:p>
            <w:pPr>
              <w:spacing w:after="0"/>
              <w:rPr>
                <w:sz w:val="12"/>
                <w:szCs w:val="12"/>
                <w:color w:val="auto"/>
              </w:rPr>
            </w:pPr>
          </w:p>
        </w:tc>
        <w:tc>
          <w:tcPr>
            <w:tcW w:w="980" w:type="dxa"/>
            <w:vAlign w:val="bottom"/>
            <w:gridSpan w:val="2"/>
          </w:tcPr>
          <w:p>
            <w:pPr>
              <w:jc w:val="right"/>
              <w:spacing w:after="0" w:line="146" w:lineRule="exact"/>
              <w:rPr>
                <w:sz w:val="20"/>
                <w:szCs w:val="20"/>
                <w:color w:val="auto"/>
              </w:rPr>
            </w:pPr>
            <w:r>
              <w:rPr>
                <w:rFonts w:ascii="Arial" w:cs="Arial" w:eastAsia="Arial" w:hAnsi="Arial"/>
                <w:sz w:val="15"/>
                <w:szCs w:val="15"/>
                <w:b w:val="1"/>
                <w:bCs w:val="1"/>
                <w:color w:val="auto"/>
                <w:w w:val="97"/>
              </w:rPr>
              <w:t>Actually Paid</w:t>
            </w:r>
          </w:p>
        </w:tc>
        <w:tc>
          <w:tcPr>
            <w:tcW w:w="1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Executive</w:t>
            </w: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Executive</w:t>
            </w:r>
          </w:p>
        </w:tc>
        <w:tc>
          <w:tcPr>
            <w:tcW w:w="1100" w:type="dxa"/>
            <w:vAlign w:val="bottom"/>
            <w:gridSpan w:val="3"/>
          </w:tcPr>
          <w:p>
            <w:pPr>
              <w:ind w:left="40"/>
              <w:spacing w:after="0" w:line="146" w:lineRule="exact"/>
              <w:rPr>
                <w:sz w:val="20"/>
                <w:szCs w:val="20"/>
                <w:color w:val="auto"/>
              </w:rPr>
            </w:pPr>
            <w:r>
              <w:rPr>
                <w:rFonts w:ascii="Arial" w:cs="Arial" w:eastAsia="Arial" w:hAnsi="Arial"/>
                <w:sz w:val="15"/>
                <w:szCs w:val="15"/>
                <w:b w:val="1"/>
                <w:bCs w:val="1"/>
                <w:color w:val="auto"/>
              </w:rPr>
              <w:t>Return (Initial</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auto"/>
              </w:rPr>
              <w:t>PEO</w:t>
            </w:r>
            <w:r>
              <w:rPr>
                <w:rFonts w:ascii="Arial" w:cs="Arial" w:eastAsia="Arial" w:hAnsi="Arial"/>
                <w:sz w:val="9"/>
                <w:szCs w:val="9"/>
                <w:b w:val="1"/>
                <w:bCs w:val="1"/>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line="181" w:lineRule="exact"/>
              <w:rPr>
                <w:sz w:val="20"/>
                <w:szCs w:val="20"/>
                <w:color w:val="auto"/>
              </w:rPr>
            </w:pPr>
            <w:r>
              <w:rPr>
                <w:rFonts w:ascii="Arial" w:cs="Arial" w:eastAsia="Arial" w:hAnsi="Arial"/>
                <w:sz w:val="15"/>
                <w:szCs w:val="15"/>
                <w:b w:val="1"/>
                <w:bCs w:val="1"/>
                <w:color w:val="auto"/>
                <w:w w:val="91"/>
              </w:rPr>
              <w:t>to PEO</w:t>
            </w:r>
            <w:r>
              <w:rPr>
                <w:rFonts w:ascii="Arial" w:cs="Arial" w:eastAsia="Arial" w:hAnsi="Arial"/>
                <w:sz w:val="19"/>
                <w:szCs w:val="19"/>
                <w:b w:val="1"/>
                <w:bCs w:val="1"/>
                <w:color w:val="auto"/>
                <w:w w:val="91"/>
                <w:vertAlign w:val="superscript"/>
              </w:rPr>
              <w:t>(2)</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Officers</w:t>
            </w:r>
            <w:r>
              <w:rPr>
                <w:rFonts w:ascii="Arial" w:cs="Arial" w:eastAsia="Arial" w:hAnsi="Arial"/>
                <w:sz w:val="9"/>
                <w:szCs w:val="9"/>
                <w:b w:val="1"/>
                <w:bCs w:val="1"/>
                <w:color w:val="auto"/>
              </w:rPr>
              <w:t>(3)</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Officers</w:t>
            </w:r>
            <w:r>
              <w:rPr>
                <w:rFonts w:ascii="Arial" w:cs="Arial" w:eastAsia="Arial" w:hAnsi="Arial"/>
                <w:sz w:val="9"/>
                <w:szCs w:val="9"/>
                <w:b w:val="1"/>
                <w:bCs w:val="1"/>
                <w:color w:val="auto"/>
              </w:rPr>
              <w:t>(2)</w:t>
            </w: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w w:val="98"/>
              </w:rPr>
              <w:t>Value $100)</w:t>
            </w:r>
            <w:r>
              <w:rPr>
                <w:rFonts w:ascii="Arial" w:cs="Arial" w:eastAsia="Arial" w:hAnsi="Arial"/>
                <w:sz w:val="9"/>
                <w:szCs w:val="9"/>
                <w:b w:val="1"/>
                <w:bCs w:val="1"/>
                <w:color w:val="auto"/>
                <w:w w:val="98"/>
              </w:rPr>
              <w:t>(4)</w:t>
            </w: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Income</w:t>
            </w:r>
          </w:p>
        </w:tc>
        <w:tc>
          <w:tcPr>
            <w:tcW w:w="0" w:type="dxa"/>
            <w:vAlign w:val="bottom"/>
          </w:tcPr>
          <w:p>
            <w:pPr>
              <w:spacing w:after="0"/>
              <w:rPr>
                <w:sz w:val="1"/>
                <w:szCs w:val="1"/>
                <w:color w:val="auto"/>
              </w:rPr>
            </w:pPr>
          </w:p>
        </w:tc>
      </w:tr>
      <w:tr>
        <w:trPr>
          <w:trHeight w:val="160"/>
        </w:trPr>
        <w:tc>
          <w:tcPr>
            <w:tcW w:w="3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w w:val="95"/>
                <w:shd w:val="clear" w:color="auto" w:fill="CCEEFF"/>
              </w:rPr>
              <w:t>2022</w:t>
            </w:r>
          </w:p>
        </w:tc>
        <w:tc>
          <w:tcPr>
            <w:tcW w:w="106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shd w:val="clear" w:color="auto" w:fill="CCEEFF"/>
              </w:rPr>
              <w:t>​$ 2,671,439</w:t>
            </w:r>
          </w:p>
        </w:tc>
        <w:tc>
          <w:tcPr>
            <w:tcW w:w="8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5"/>
                <w:szCs w:val="15"/>
                <w:color w:val="auto"/>
                <w:shd w:val="clear" w:color="auto" w:fill="CCEEFF"/>
              </w:rPr>
              <w:t>​</w:t>
            </w:r>
          </w:p>
        </w:tc>
        <w:tc>
          <w:tcPr>
            <w:tcW w:w="980" w:type="dxa"/>
            <w:vAlign w:val="bottom"/>
            <w:tcBorders>
              <w:top w:val="single" w:sz="8" w:color="auto"/>
            </w:tcBorders>
            <w:gridSpan w:val="2"/>
            <w:shd w:val="clear" w:color="auto" w:fill="CCEEFF"/>
          </w:tcPr>
          <w:p>
            <w:pPr>
              <w:jc w:val="right"/>
              <w:ind w:right="5"/>
              <w:spacing w:after="0" w:line="161" w:lineRule="exact"/>
              <w:rPr>
                <w:sz w:val="20"/>
                <w:szCs w:val="20"/>
                <w:color w:val="auto"/>
              </w:rPr>
            </w:pPr>
            <w:r>
              <w:rPr>
                <w:rFonts w:ascii="Arial" w:cs="Arial" w:eastAsia="Arial" w:hAnsi="Arial"/>
                <w:sz w:val="15"/>
                <w:szCs w:val="15"/>
                <w:color w:val="auto"/>
                <w:shd w:val="clear" w:color="auto" w:fill="CCEEFF"/>
              </w:rPr>
              <w:t>​$ 1,982,879</w:t>
            </w:r>
          </w:p>
        </w:tc>
        <w:tc>
          <w:tcPr>
            <w:tcW w:w="120" w:type="dxa"/>
            <w:vAlign w:val="bottom"/>
            <w:tcBorders>
              <w:top w:val="single" w:sz="8" w:color="auto"/>
            </w:tcBorders>
            <w:shd w:val="clear" w:color="auto" w:fill="CCEEFF"/>
          </w:tcPr>
          <w:p>
            <w:pPr>
              <w:ind w:left="60"/>
              <w:spacing w:after="0" w:line="161" w:lineRule="exact"/>
              <w:rPr>
                <w:sz w:val="20"/>
                <w:szCs w:val="20"/>
                <w:color w:val="auto"/>
              </w:rPr>
            </w:pPr>
            <w:r>
              <w:rPr>
                <w:rFonts w:ascii="Arial" w:cs="Arial" w:eastAsia="Arial" w:hAnsi="Arial"/>
                <w:sz w:val="15"/>
                <w:szCs w:val="15"/>
                <w:color w:val="auto"/>
                <w:shd w:val="clear" w:color="auto" w:fill="CCEEFF"/>
              </w:rPr>
              <w:t>​</w:t>
            </w:r>
          </w:p>
        </w:tc>
        <w:tc>
          <w:tcPr>
            <w:tcW w:w="112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shd w:val="clear" w:color="auto" w:fill="CCEEFF"/>
              </w:rPr>
              <w:t>​$ 825,190</w:t>
            </w:r>
          </w:p>
        </w:tc>
        <w:tc>
          <w:tcPr>
            <w:tcW w:w="100" w:type="dxa"/>
            <w:vAlign w:val="bottom"/>
            <w:tcBorders>
              <w:top w:val="single" w:sz="8" w:color="auto"/>
            </w:tcBorders>
            <w:shd w:val="clear" w:color="auto" w:fill="CCEEFF"/>
          </w:tcPr>
          <w:p>
            <w:pPr>
              <w:ind w:left="60"/>
              <w:spacing w:after="0" w:line="161" w:lineRule="exact"/>
              <w:rPr>
                <w:sz w:val="20"/>
                <w:szCs w:val="20"/>
                <w:color w:val="auto"/>
              </w:rPr>
            </w:pPr>
            <w:r>
              <w:rPr>
                <w:rFonts w:ascii="Arial" w:cs="Arial" w:eastAsia="Arial" w:hAnsi="Arial"/>
                <w:sz w:val="15"/>
                <w:szCs w:val="15"/>
                <w:color w:val="auto"/>
                <w:shd w:val="clear" w:color="auto" w:fill="CCEEFF"/>
              </w:rPr>
              <w:t>​</w:t>
            </w:r>
          </w:p>
        </w:tc>
        <w:tc>
          <w:tcPr>
            <w:tcW w:w="118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shd w:val="clear" w:color="auto" w:fill="CCEEFF"/>
              </w:rPr>
              <w:t>​$ 638,930</w:t>
            </w:r>
          </w:p>
        </w:tc>
        <w:tc>
          <w:tcPr>
            <w:tcW w:w="14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5"/>
                <w:szCs w:val="15"/>
                <w:color w:val="auto"/>
                <w:shd w:val="clear" w:color="auto" w:fill="CCEEFF"/>
              </w:rPr>
              <w:t>​</w:t>
            </w:r>
          </w:p>
        </w:tc>
        <w:tc>
          <w:tcPr>
            <w:tcW w:w="860" w:type="dxa"/>
            <w:vAlign w:val="bottom"/>
            <w:tcBorders>
              <w:top w:val="single" w:sz="8" w:color="auto"/>
            </w:tcBorders>
            <w:shd w:val="clear" w:color="auto" w:fill="CCEEFF"/>
          </w:tcPr>
          <w:p>
            <w:pPr>
              <w:ind w:left="80"/>
              <w:spacing w:after="0" w:line="161" w:lineRule="exact"/>
              <w:rPr>
                <w:sz w:val="20"/>
                <w:szCs w:val="20"/>
                <w:color w:val="auto"/>
              </w:rPr>
            </w:pPr>
            <w:r>
              <w:rPr>
                <w:rFonts w:ascii="Arial" w:cs="Arial" w:eastAsia="Arial" w:hAnsi="Arial"/>
                <w:sz w:val="15"/>
                <w:szCs w:val="15"/>
                <w:color w:val="auto"/>
                <w:shd w:val="clear" w:color="auto" w:fill="CCEEFF"/>
              </w:rPr>
              <w:t>​$ (15.69)</w:t>
            </w:r>
          </w:p>
        </w:tc>
        <w:tc>
          <w:tcPr>
            <w:tcW w:w="920" w:type="dxa"/>
            <w:vAlign w:val="bottom"/>
            <w:tcBorders>
              <w:top w:val="single" w:sz="8" w:color="auto"/>
            </w:tcBorders>
            <w:gridSpan w:val="2"/>
            <w:shd w:val="clear" w:color="auto" w:fill="CCEEFF"/>
          </w:tcPr>
          <w:p>
            <w:pPr>
              <w:jc w:val="center"/>
              <w:spacing w:after="0" w:line="161" w:lineRule="exact"/>
              <w:rPr>
                <w:sz w:val="20"/>
                <w:szCs w:val="20"/>
                <w:color w:val="auto"/>
              </w:rPr>
            </w:pPr>
            <w:r>
              <w:rPr>
                <w:rFonts w:ascii="Arial" w:cs="Arial" w:eastAsia="Arial" w:hAnsi="Arial"/>
                <w:sz w:val="15"/>
                <w:szCs w:val="15"/>
                <w:color w:val="auto"/>
                <w:w w:val="98"/>
                <w:shd w:val="clear" w:color="auto" w:fill="CCEEFF"/>
              </w:rPr>
              <w:t>​​$(53,418,000)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0" w:type="dxa"/>
            <w:vAlign w:val="bottom"/>
          </w:tcPr>
          <w:p>
            <w:pPr>
              <w:jc w:val="right"/>
              <w:spacing w:after="0"/>
              <w:rPr>
                <w:sz w:val="20"/>
                <w:szCs w:val="20"/>
                <w:color w:val="auto"/>
              </w:rPr>
            </w:pPr>
            <w:r>
              <w:rPr>
                <w:rFonts w:ascii="Arial" w:cs="Arial" w:eastAsia="Arial" w:hAnsi="Arial"/>
                <w:sz w:val="15"/>
                <w:szCs w:val="15"/>
                <w:b w:val="1"/>
                <w:bCs w:val="1"/>
                <w:color w:val="auto"/>
                <w:w w:val="95"/>
              </w:rPr>
              <w:t>2023</w:t>
            </w:r>
          </w:p>
        </w:tc>
        <w:tc>
          <w:tcPr>
            <w:tcW w:w="1060" w:type="dxa"/>
            <w:vAlign w:val="bottom"/>
          </w:tcPr>
          <w:p>
            <w:pPr>
              <w:jc w:val="center"/>
              <w:spacing w:after="0"/>
              <w:rPr>
                <w:sz w:val="20"/>
                <w:szCs w:val="20"/>
                <w:color w:val="auto"/>
              </w:rPr>
            </w:pPr>
            <w:r>
              <w:rPr>
                <w:rFonts w:ascii="Arial" w:cs="Arial" w:eastAsia="Arial" w:hAnsi="Arial"/>
                <w:sz w:val="15"/>
                <w:szCs w:val="15"/>
                <w:color w:val="auto"/>
              </w:rPr>
              <w:t>​$ 2,401,649</w:t>
            </w:r>
          </w:p>
        </w:tc>
        <w:tc>
          <w:tcPr>
            <w:tcW w:w="80" w:type="dxa"/>
            <w:vAlign w:val="bottom"/>
          </w:tcPr>
          <w:p>
            <w:pPr>
              <w:ind w:left="20"/>
              <w:spacing w:after="0"/>
              <w:rPr>
                <w:sz w:val="20"/>
                <w:szCs w:val="20"/>
                <w:color w:val="auto"/>
              </w:rPr>
            </w:pPr>
            <w:r>
              <w:rPr>
                <w:rFonts w:ascii="Arial" w:cs="Arial" w:eastAsia="Arial" w:hAnsi="Arial"/>
                <w:sz w:val="15"/>
                <w:szCs w:val="15"/>
                <w:color w:val="auto"/>
              </w:rPr>
              <w:t>​</w:t>
            </w:r>
          </w:p>
        </w:tc>
        <w:tc>
          <w:tcPr>
            <w:tcW w:w="180" w:type="dxa"/>
            <w:vAlign w:val="bottom"/>
          </w:tcPr>
          <w:p>
            <w:pPr>
              <w:ind w:left="80"/>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644,841</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1120" w:type="dxa"/>
            <w:vAlign w:val="bottom"/>
          </w:tcPr>
          <w:p>
            <w:pPr>
              <w:jc w:val="center"/>
              <w:spacing w:after="0"/>
              <w:rPr>
                <w:sz w:val="20"/>
                <w:szCs w:val="20"/>
                <w:color w:val="auto"/>
              </w:rPr>
            </w:pPr>
            <w:r>
              <w:rPr>
                <w:rFonts w:ascii="Arial" w:cs="Arial" w:eastAsia="Arial" w:hAnsi="Arial"/>
                <w:sz w:val="15"/>
                <w:szCs w:val="15"/>
                <w:color w:val="auto"/>
              </w:rPr>
              <w:t>​$ 791,656</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c>
          <w:tcPr>
            <w:tcW w:w="1180" w:type="dxa"/>
            <w:vAlign w:val="bottom"/>
          </w:tcPr>
          <w:p>
            <w:pPr>
              <w:jc w:val="center"/>
              <w:spacing w:after="0"/>
              <w:rPr>
                <w:sz w:val="20"/>
                <w:szCs w:val="20"/>
                <w:color w:val="auto"/>
              </w:rPr>
            </w:pPr>
            <w:r>
              <w:rPr>
                <w:rFonts w:ascii="Arial" w:cs="Arial" w:eastAsia="Arial" w:hAnsi="Arial"/>
                <w:sz w:val="15"/>
                <w:szCs w:val="15"/>
                <w:color w:val="auto"/>
              </w:rPr>
              <w:t>​$ 271,421</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860" w:type="dxa"/>
            <w:vAlign w:val="bottom"/>
          </w:tcPr>
          <w:p>
            <w:pPr>
              <w:ind w:left="80"/>
              <w:spacing w:after="0"/>
              <w:rPr>
                <w:sz w:val="20"/>
                <w:szCs w:val="20"/>
                <w:color w:val="auto"/>
              </w:rPr>
            </w:pPr>
            <w:r>
              <w:rPr>
                <w:rFonts w:ascii="Arial" w:cs="Arial" w:eastAsia="Arial" w:hAnsi="Arial"/>
                <w:sz w:val="15"/>
                <w:szCs w:val="15"/>
                <w:color w:val="auto"/>
              </w:rPr>
              <w:t>​$ (62.37)</w:t>
            </w:r>
          </w:p>
        </w:tc>
        <w:tc>
          <w:tcPr>
            <w:tcW w:w="980" w:type="dxa"/>
            <w:vAlign w:val="bottom"/>
            <w:gridSpan w:val="3"/>
          </w:tcPr>
          <w:p>
            <w:pPr>
              <w:spacing w:after="0"/>
              <w:rPr>
                <w:sz w:val="20"/>
                <w:szCs w:val="20"/>
                <w:color w:val="auto"/>
              </w:rPr>
            </w:pPr>
            <w:r>
              <w:rPr>
                <w:rFonts w:ascii="Arial" w:cs="Arial" w:eastAsia="Arial" w:hAnsi="Arial"/>
                <w:sz w:val="15"/>
                <w:szCs w:val="15"/>
                <w:color w:val="auto"/>
              </w:rPr>
              <w:t>​​$(56,290,000)</w:t>
            </w:r>
          </w:p>
        </w:tc>
        <w:tc>
          <w:tcPr>
            <w:tcW w:w="0" w:type="dxa"/>
            <w:vAlign w:val="bottom"/>
          </w:tcPr>
          <w:p>
            <w:pPr>
              <w:spacing w:after="0"/>
              <w:rPr>
                <w:sz w:val="1"/>
                <w:szCs w:val="1"/>
                <w:color w:val="auto"/>
              </w:rPr>
            </w:pPr>
          </w:p>
        </w:tc>
      </w:tr>
      <w:tr>
        <w:trPr>
          <w:trHeight w:val="180"/>
        </w:trPr>
        <w:tc>
          <w:tcPr>
            <w:tcW w:w="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shd w:val="clear" w:color="auto" w:fill="CCEEFF"/>
              </w:rPr>
              <w:t>2024</w:t>
            </w: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shd w:val="clear" w:color="auto" w:fill="CCEEFF"/>
              </w:rPr>
              <w:t>​$ 1,874,138</w:t>
            </w:r>
          </w:p>
        </w:tc>
        <w:tc>
          <w:tcPr>
            <w:tcW w:w="80" w:type="dxa"/>
            <w:vAlign w:val="bottom"/>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w:t>
            </w:r>
          </w:p>
        </w:tc>
        <w:tc>
          <w:tcPr>
            <w:tcW w:w="180" w:type="dxa"/>
            <w:vAlign w:val="bottom"/>
            <w:shd w:val="clear" w:color="auto" w:fill="CCEEFF"/>
          </w:tcPr>
          <w:p>
            <w:pPr>
              <w:ind w:left="80"/>
              <w:spacing w:after="0"/>
              <w:rPr>
                <w:sz w:val="20"/>
                <w:szCs w:val="20"/>
                <w:color w:val="auto"/>
              </w:rPr>
            </w:pPr>
            <w:r>
              <w:rPr>
                <w:rFonts w:ascii="Arial" w:cs="Arial" w:eastAsia="Arial" w:hAnsi="Arial"/>
                <w:sz w:val="15"/>
                <w:szCs w:val="15"/>
                <w:color w:val="auto"/>
                <w:w w:val="95"/>
                <w:shd w:val="clear" w:color="auto" w:fill="CCEEFF"/>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shd w:val="clear" w:color="auto" w:fill="CCEEFF"/>
              </w:rPr>
              <w:t>604,355</w:t>
            </w:r>
          </w:p>
        </w:tc>
        <w:tc>
          <w:tcPr>
            <w:tcW w:w="120" w:type="dxa"/>
            <w:vAlign w:val="bottom"/>
            <w:shd w:val="clear" w:color="auto" w:fill="CCEEFF"/>
          </w:tcPr>
          <w:p>
            <w:pPr>
              <w:ind w:left="60"/>
              <w:spacing w:after="0"/>
              <w:rPr>
                <w:sz w:val="20"/>
                <w:szCs w:val="20"/>
                <w:color w:val="auto"/>
              </w:rPr>
            </w:pPr>
            <w:r>
              <w:rPr>
                <w:rFonts w:ascii="Arial" w:cs="Arial" w:eastAsia="Arial" w:hAnsi="Arial"/>
                <w:sz w:val="15"/>
                <w:szCs w:val="15"/>
                <w:color w:val="auto"/>
                <w:shd w:val="clear" w:color="auto" w:fill="CCEEFF"/>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shd w:val="clear" w:color="auto" w:fill="CCEEFF"/>
              </w:rPr>
              <w:t>​$ 706,371</w:t>
            </w:r>
          </w:p>
        </w:tc>
        <w:tc>
          <w:tcPr>
            <w:tcW w:w="100" w:type="dxa"/>
            <w:vAlign w:val="bottom"/>
            <w:shd w:val="clear" w:color="auto" w:fill="CCEEFF"/>
          </w:tcPr>
          <w:p>
            <w:pPr>
              <w:ind w:left="60"/>
              <w:spacing w:after="0"/>
              <w:rPr>
                <w:sz w:val="20"/>
                <w:szCs w:val="20"/>
                <w:color w:val="auto"/>
              </w:rPr>
            </w:pPr>
            <w:r>
              <w:rPr>
                <w:rFonts w:ascii="Arial" w:cs="Arial" w:eastAsia="Arial" w:hAnsi="Arial"/>
                <w:sz w:val="15"/>
                <w:szCs w:val="15"/>
                <w:color w:val="auto"/>
                <w:shd w:val="clear" w:color="auto" w:fill="CCEEFF"/>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5"/>
                <w:szCs w:val="15"/>
                <w:color w:val="auto"/>
                <w:shd w:val="clear" w:color="auto" w:fill="CCEEFF"/>
              </w:rPr>
              <w:t>​$ 299,337</w:t>
            </w: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w:t>
            </w:r>
          </w:p>
        </w:tc>
        <w:tc>
          <w:tcPr>
            <w:tcW w:w="860" w:type="dxa"/>
            <w:vAlign w:val="bottom"/>
            <w:shd w:val="clear" w:color="auto" w:fill="CCEEFF"/>
          </w:tcPr>
          <w:p>
            <w:pPr>
              <w:ind w:left="80"/>
              <w:spacing w:after="0"/>
              <w:rPr>
                <w:sz w:val="20"/>
                <w:szCs w:val="20"/>
                <w:color w:val="auto"/>
              </w:rPr>
            </w:pPr>
            <w:r>
              <w:rPr>
                <w:rFonts w:ascii="Arial" w:cs="Arial" w:eastAsia="Arial" w:hAnsi="Arial"/>
                <w:sz w:val="15"/>
                <w:szCs w:val="15"/>
                <w:color w:val="auto"/>
                <w:shd w:val="clear" w:color="auto" w:fill="CCEEFF"/>
              </w:rPr>
              <w:t>​$ (81.46)</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8"/>
                <w:shd w:val="clear" w:color="auto" w:fill="CCEEFF"/>
              </w:rPr>
              <w:t>​​$(35,636,000)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380" w:hanging="301"/>
        <w:spacing w:after="0" w:line="227" w:lineRule="auto"/>
        <w:tabs>
          <w:tab w:leader="none" w:pos="138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William B. Shepro was the PEO for each of 2022, 2023 and 2024.</w:t>
      </w:r>
    </w:p>
    <w:p>
      <w:pPr>
        <w:spacing w:after="0" w:line="64" w:lineRule="exact"/>
        <w:rPr>
          <w:rFonts w:ascii="Arial" w:cs="Arial" w:eastAsia="Arial" w:hAnsi="Arial"/>
          <w:sz w:val="23"/>
          <w:szCs w:val="23"/>
          <w:color w:val="auto"/>
          <w:vertAlign w:val="superscript"/>
        </w:rPr>
      </w:pPr>
    </w:p>
    <w:p>
      <w:pPr>
        <w:ind w:left="1380" w:right="1219" w:hanging="301"/>
        <w:spacing w:after="0"/>
        <w:tabs>
          <w:tab w:leader="none" w:pos="138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December 31 of the applicable year or, if earlier, the vesting date (rather than the grant date).</w:t>
      </w:r>
    </w:p>
    <w:p>
      <w:pPr>
        <w:spacing w:after="0" w:line="204" w:lineRule="exact"/>
        <w:rPr>
          <w:rFonts w:ascii="Arial" w:cs="Arial" w:eastAsia="Arial" w:hAnsi="Arial"/>
          <w:sz w:val="23"/>
          <w:szCs w:val="23"/>
          <w:color w:val="auto"/>
          <w:vertAlign w:val="superscript"/>
        </w:rPr>
      </w:pPr>
    </w:p>
    <w:p>
      <w:pPr>
        <w:ind w:left="1380" w:right="1559" w:hanging="301"/>
        <w:spacing w:after="0" w:line="207" w:lineRule="auto"/>
        <w:tabs>
          <w:tab w:leader="none" w:pos="138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Our non-PEO Named Executive Officers for 2022, 2023 and 2024 were Michelle D. Esterman and Gregory J. Ritts.</w:t>
      </w:r>
    </w:p>
    <w:p>
      <w:pPr>
        <w:spacing w:after="0" w:line="51" w:lineRule="exact"/>
        <w:rPr>
          <w:rFonts w:ascii="Arial" w:cs="Arial" w:eastAsia="Arial" w:hAnsi="Arial"/>
          <w:sz w:val="23"/>
          <w:szCs w:val="23"/>
          <w:color w:val="auto"/>
          <w:vertAlign w:val="superscript"/>
        </w:rPr>
      </w:pPr>
    </w:p>
    <w:p>
      <w:pPr>
        <w:ind w:left="1380" w:right="1319" w:hanging="301"/>
        <w:spacing w:after="0" w:line="219" w:lineRule="auto"/>
        <w:tabs>
          <w:tab w:leader="none" w:pos="138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Total Shareholder Return is calculated based on a fixed $100 investment as of December 31 of the previous year, with the return on such investment measured as of market close on the last trading day of the year being reported.</w:t>
      </w:r>
    </w:p>
    <w:p>
      <w:pPr>
        <w:spacing w:after="0" w:line="97" w:lineRule="exact"/>
        <w:rPr>
          <w:sz w:val="20"/>
          <w:szCs w:val="20"/>
          <w:color w:val="auto"/>
        </w:rPr>
      </w:pPr>
    </w:p>
    <w:p>
      <w:pPr>
        <w:ind w:left="1080" w:right="1119"/>
        <w:spacing w:after="0" w:line="284" w:lineRule="auto"/>
        <w:rPr>
          <w:sz w:val="20"/>
          <w:szCs w:val="20"/>
          <w:color w:val="auto"/>
        </w:rPr>
      </w:pPr>
      <w:r>
        <w:rPr>
          <w:rFonts w:ascii="Arial" w:cs="Arial" w:eastAsia="Arial" w:hAnsi="Arial"/>
          <w:sz w:val="15"/>
          <w:szCs w:val="15"/>
          <w:color w:val="auto"/>
        </w:rPr>
        <w:t>The following table outlines the adjustments made to the compensation earned by our PEO and non-PEO Named Executive Officers, as presented in the Summary Compensation Table, to derive the Compensation Actually Paid to them.</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040" w:type="dxa"/>
            <w:vAlign w:val="bottom"/>
          </w:tcPr>
          <w:p>
            <w:pPr>
              <w:spacing w:after="0"/>
              <w:rPr>
                <w:sz w:val="15"/>
                <w:szCs w:val="15"/>
                <w:color w:val="auto"/>
              </w:rPr>
            </w:pPr>
          </w:p>
        </w:tc>
        <w:tc>
          <w:tcPr>
            <w:tcW w:w="4960" w:type="dxa"/>
            <w:vAlign w:val="bottom"/>
            <w:tcBorders>
              <w:bottom w:val="single" w:sz="8" w:color="auto"/>
            </w:tcBorders>
          </w:tcPr>
          <w:p>
            <w:pPr>
              <w:ind w:left="1300"/>
              <w:spacing w:after="0"/>
              <w:rPr>
                <w:sz w:val="20"/>
                <w:szCs w:val="20"/>
                <w:color w:val="auto"/>
              </w:rPr>
            </w:pPr>
            <w:r>
              <w:rPr>
                <w:rFonts w:ascii="Arial" w:cs="Arial" w:eastAsia="Arial" w:hAnsi="Arial"/>
                <w:sz w:val="15"/>
                <w:szCs w:val="15"/>
                <w:b w:val="1"/>
                <w:bCs w:val="1"/>
                <w:color w:val="auto"/>
              </w:rPr>
              <w:t>Item and Value Added (Deducted)</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2022</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40" w:type="dxa"/>
            <w:vAlign w:val="bottom"/>
          </w:tcPr>
          <w:p>
            <w:pPr>
              <w:spacing w:after="0"/>
              <w:rPr>
                <w:sz w:val="13"/>
                <w:szCs w:val="13"/>
                <w:color w:val="auto"/>
              </w:rPr>
            </w:pPr>
          </w:p>
        </w:tc>
        <w:tc>
          <w:tcPr>
            <w:tcW w:w="496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For PEO:</w:t>
            </w:r>
          </w:p>
        </w:tc>
        <w:tc>
          <w:tcPr>
            <w:tcW w:w="18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6"/>
              <w:spacing w:after="0" w:line="161" w:lineRule="exact"/>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66"/>
              <w:spacing w:after="0" w:line="161"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960" w:type="dxa"/>
            <w:vAlign w:val="bottom"/>
          </w:tcPr>
          <w:p>
            <w:pPr>
              <w:spacing w:after="0" w:line="169" w:lineRule="exact"/>
              <w:rPr>
                <w:sz w:val="20"/>
                <w:szCs w:val="20"/>
                <w:color w:val="auto"/>
              </w:rPr>
            </w:pPr>
            <w:r>
              <w:rPr>
                <w:rFonts w:ascii="Arial" w:cs="Arial" w:eastAsia="Arial" w:hAnsi="Arial"/>
                <w:sz w:val="15"/>
                <w:szCs w:val="15"/>
                <w:color w:val="auto"/>
              </w:rPr>
              <w:t>Summary Compensation Table Total</w:t>
            </w:r>
          </w:p>
        </w:tc>
        <w:tc>
          <w:tcPr>
            <w:tcW w:w="2440" w:type="dxa"/>
            <w:vAlign w:val="bottom"/>
            <w:gridSpan w:val="9"/>
          </w:tcPr>
          <w:p>
            <w:pPr>
              <w:ind w:left="40"/>
              <w:spacing w:after="0" w:line="169" w:lineRule="exact"/>
              <w:rPr>
                <w:sz w:val="20"/>
                <w:szCs w:val="20"/>
                <w:color w:val="auto"/>
              </w:rPr>
            </w:pPr>
            <w:r>
              <w:rPr>
                <w:rFonts w:ascii="Arial" w:cs="Arial" w:eastAsia="Arial" w:hAnsi="Arial"/>
                <w:sz w:val="15"/>
                <w:szCs w:val="15"/>
                <w:color w:val="auto"/>
              </w:rPr>
              <w:t>​$1,874,138​$ 2,401,649​$ 2,671,439</w:t>
            </w:r>
          </w:p>
        </w:tc>
        <w:tc>
          <w:tcPr>
            <w:tcW w:w="500" w:type="dxa"/>
            <w:vAlign w:val="bottom"/>
            <w:vMerge w:val="restart"/>
          </w:tcPr>
          <w:p>
            <w:pPr>
              <w:jc w:val="right"/>
              <w:ind w:right="365"/>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Summary Compensation Table “Stock Awards” column value</w:t>
            </w:r>
          </w:p>
        </w:tc>
        <w:tc>
          <w:tcPr>
            <w:tcW w:w="2440" w:type="dxa"/>
            <w:vAlign w:val="bottom"/>
            <w:gridSpan w:val="9"/>
            <w:shd w:val="clear" w:color="auto" w:fill="CCEEFF"/>
          </w:tcPr>
          <w:p>
            <w:pPr>
              <w:ind w:left="40"/>
              <w:spacing w:after="0" w:line="169" w:lineRule="exact"/>
              <w:rPr>
                <w:sz w:val="20"/>
                <w:szCs w:val="20"/>
                <w:color w:val="auto"/>
              </w:rPr>
            </w:pPr>
            <w:r>
              <w:rPr>
                <w:rFonts w:ascii="Arial" w:cs="Arial" w:eastAsia="Arial" w:hAnsi="Arial"/>
                <w:sz w:val="15"/>
                <w:szCs w:val="15"/>
                <w:color w:val="auto"/>
                <w:w w:val="98"/>
              </w:rPr>
              <w:t>​$ (664,010​)$(1,185,575​)$(1,414,117</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4960" w:type="dxa"/>
            <w:vAlign w:val="bottom"/>
          </w:tcPr>
          <w:p>
            <w:pPr>
              <w:spacing w:after="0" w:line="166" w:lineRule="exact"/>
              <w:rPr>
                <w:sz w:val="20"/>
                <w:szCs w:val="20"/>
                <w:color w:val="auto"/>
              </w:rPr>
            </w:pPr>
            <w:r>
              <w:rPr>
                <w:rFonts w:ascii="Arial" w:cs="Arial" w:eastAsia="Arial" w:hAnsi="Arial"/>
                <w:sz w:val="15"/>
                <w:szCs w:val="15"/>
                <w:color w:val="auto"/>
              </w:rPr>
              <w:t>+ year-end fair value of outstanding and unvested equity awards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00" w:type="dxa"/>
            <w:vAlign w:val="bottom"/>
            <w:gridSpan w:val="2"/>
          </w:tcPr>
          <w:p>
            <w:pPr>
              <w:ind w:left="1040"/>
              <w:spacing w:after="0"/>
              <w:rPr>
                <w:sz w:val="20"/>
                <w:szCs w:val="20"/>
                <w:color w:val="auto"/>
              </w:rPr>
            </w:pPr>
            <w:r>
              <w:rPr>
                <w:rFonts w:ascii="Arial" w:cs="Arial" w:eastAsia="Arial" w:hAnsi="Arial"/>
                <w:sz w:val="15"/>
                <w:szCs w:val="15"/>
                <w:color w:val="auto"/>
              </w:rPr>
              <w:t>granted in the fiscal year</w:t>
            </w:r>
          </w:p>
        </w:tc>
        <w:tc>
          <w:tcPr>
            <w:tcW w:w="18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00" w:type="dxa"/>
            <w:vAlign w:val="bottom"/>
            <w:gridSpan w:val="3"/>
          </w:tcPr>
          <w:p>
            <w:pPr>
              <w:jc w:val="right"/>
              <w:ind w:right="26"/>
              <w:spacing w:after="0"/>
              <w:rPr>
                <w:sz w:val="20"/>
                <w:szCs w:val="20"/>
                <w:color w:val="auto"/>
              </w:rPr>
            </w:pPr>
            <w:r>
              <w:rPr>
                <w:rFonts w:ascii="Arial" w:cs="Arial" w:eastAsia="Arial" w:hAnsi="Arial"/>
                <w:sz w:val="15"/>
                <w:szCs w:val="15"/>
                <w:color w:val="auto"/>
              </w:rPr>
              <w:t>171,680​$</w:t>
            </w:r>
          </w:p>
        </w:tc>
        <w:tc>
          <w:tcPr>
            <w:tcW w:w="1960" w:type="dxa"/>
            <w:vAlign w:val="bottom"/>
            <w:gridSpan w:val="5"/>
          </w:tcPr>
          <w:p>
            <w:pPr>
              <w:jc w:val="right"/>
              <w:ind w:right="425"/>
              <w:spacing w:after="0"/>
              <w:rPr>
                <w:sz w:val="20"/>
                <w:szCs w:val="20"/>
                <w:color w:val="auto"/>
              </w:rPr>
            </w:pPr>
            <w:r>
              <w:rPr>
                <w:rFonts w:ascii="Arial" w:cs="Arial" w:eastAsia="Arial" w:hAnsi="Arial"/>
                <w:sz w:val="15"/>
                <w:szCs w:val="15"/>
                <w:color w:val="auto"/>
              </w:rPr>
              <w:t>825,767​$ 1,284,961</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49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 change in fair value of outstanding and unvested equity awards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color w:val="auto"/>
              </w:rPr>
              <w:t>granted in prior years</w:t>
            </w:r>
          </w:p>
        </w:tc>
        <w:tc>
          <w:tcPr>
            <w:tcW w:w="98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 (597,645​)$</w:t>
            </w:r>
          </w:p>
        </w:tc>
        <w:tc>
          <w:tcPr>
            <w:tcW w:w="820" w:type="dxa"/>
            <w:vAlign w:val="bottom"/>
            <w:gridSpan w:val="3"/>
            <w:shd w:val="clear" w:color="auto" w:fill="CCEEFF"/>
          </w:tcPr>
          <w:p>
            <w:pPr>
              <w:jc w:val="right"/>
              <w:ind w:right="6"/>
              <w:spacing w:after="0"/>
              <w:rPr>
                <w:sz w:val="20"/>
                <w:szCs w:val="20"/>
                <w:color w:val="auto"/>
              </w:rPr>
            </w:pPr>
            <w:r>
              <w:rPr>
                <w:rFonts w:ascii="Arial" w:cs="Arial" w:eastAsia="Arial" w:hAnsi="Arial"/>
                <w:sz w:val="15"/>
                <w:szCs w:val="15"/>
                <w:color w:val="auto"/>
              </w:rPr>
              <w:t>(865,194​)$</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(198,831)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960" w:type="dxa"/>
            <w:vAlign w:val="bottom"/>
          </w:tcPr>
          <w:p>
            <w:pPr>
              <w:spacing w:after="0" w:line="169" w:lineRule="exact"/>
              <w:rPr>
                <w:sz w:val="20"/>
                <w:szCs w:val="20"/>
                <w:color w:val="auto"/>
              </w:rPr>
            </w:pPr>
            <w:r>
              <w:rPr>
                <w:rFonts w:ascii="Arial" w:cs="Arial" w:eastAsia="Arial" w:hAnsi="Arial"/>
                <w:sz w:val="15"/>
                <w:szCs w:val="15"/>
                <w:color w:val="auto"/>
              </w:rPr>
              <w:t>+ vest date fair value of equity awards granted in the covered year</w:t>
            </w:r>
          </w:p>
        </w:tc>
        <w:tc>
          <w:tcPr>
            <w:tcW w:w="18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3"/>
          </w:tcPr>
          <w:p>
            <w:pPr>
              <w:jc w:val="right"/>
              <w:ind w:right="66"/>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66"/>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49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 change in fair value of prior-year equity awards vested in the</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color w:val="auto"/>
              </w:rPr>
              <w:t>fiscal year</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CCEEFF"/>
          </w:tcPr>
          <w:p>
            <w:pPr>
              <w:jc w:val="right"/>
              <w:ind w:right="26"/>
              <w:spacing w:after="0"/>
              <w:rPr>
                <w:sz w:val="20"/>
                <w:szCs w:val="20"/>
                <w:color w:val="auto"/>
              </w:rPr>
            </w:pPr>
            <w:r>
              <w:rPr>
                <w:rFonts w:ascii="Arial" w:cs="Arial" w:eastAsia="Arial" w:hAnsi="Arial"/>
                <w:sz w:val="15"/>
                <w:szCs w:val="15"/>
                <w:color w:val="auto"/>
                <w:w w:val="96"/>
              </w:rPr>
              <w:t>(151,192​)$</w:t>
            </w:r>
          </w:p>
        </w:tc>
        <w:tc>
          <w:tcPr>
            <w:tcW w:w="820" w:type="dxa"/>
            <w:vAlign w:val="bottom"/>
            <w:gridSpan w:val="3"/>
            <w:shd w:val="clear" w:color="auto" w:fill="CCEEFF"/>
          </w:tcPr>
          <w:p>
            <w:pPr>
              <w:jc w:val="right"/>
              <w:ind w:right="6"/>
              <w:spacing w:after="0"/>
              <w:rPr>
                <w:sz w:val="20"/>
                <w:szCs w:val="20"/>
                <w:color w:val="auto"/>
              </w:rPr>
            </w:pPr>
            <w:r>
              <w:rPr>
                <w:rFonts w:ascii="Arial" w:cs="Arial" w:eastAsia="Arial" w:hAnsi="Arial"/>
                <w:sz w:val="15"/>
                <w:szCs w:val="15"/>
                <w:color w:val="auto"/>
              </w:rPr>
              <w:t>(336,571​)$</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17,305</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4960" w:type="dxa"/>
            <w:vAlign w:val="bottom"/>
          </w:tcPr>
          <w:p>
            <w:pPr>
              <w:spacing w:after="0" w:line="166" w:lineRule="exact"/>
              <w:rPr>
                <w:sz w:val="20"/>
                <w:szCs w:val="20"/>
                <w:color w:val="auto"/>
              </w:rPr>
            </w:pPr>
            <w:r>
              <w:rPr>
                <w:rFonts w:ascii="Arial" w:cs="Arial" w:eastAsia="Arial" w:hAnsi="Arial"/>
                <w:sz w:val="15"/>
                <w:szCs w:val="15"/>
                <w:color w:val="auto"/>
              </w:rPr>
              <w:t>- fair value at the end of prior year of awards granted in prior years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00" w:type="dxa"/>
            <w:vAlign w:val="bottom"/>
            <w:gridSpan w:val="2"/>
          </w:tcPr>
          <w:p>
            <w:pPr>
              <w:ind w:left="1040"/>
              <w:spacing w:after="0"/>
              <w:rPr>
                <w:sz w:val="20"/>
                <w:szCs w:val="20"/>
                <w:color w:val="auto"/>
              </w:rPr>
            </w:pPr>
            <w:r>
              <w:rPr>
                <w:rFonts w:ascii="Arial" w:cs="Arial" w:eastAsia="Arial" w:hAnsi="Arial"/>
                <w:sz w:val="15"/>
                <w:szCs w:val="15"/>
                <w:color w:val="auto"/>
              </w:rPr>
              <w:t>that fail to meet vesting conditions</w:t>
            </w:r>
          </w:p>
        </w:tc>
        <w:tc>
          <w:tcPr>
            <w:tcW w:w="180" w:type="dxa"/>
            <w:vAlign w:val="bottom"/>
            <w:gridSpan w:val="2"/>
          </w:tcPr>
          <w:p>
            <w:pPr>
              <w:ind w:lef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w:t>
            </w:r>
          </w:p>
        </w:tc>
        <w:tc>
          <w:tcPr>
            <w:tcW w:w="800" w:type="dxa"/>
            <w:vAlign w:val="bottom"/>
            <w:gridSpan w:val="3"/>
          </w:tcPr>
          <w:p>
            <w:pPr>
              <w:jc w:val="right"/>
              <w:ind w:right="26"/>
              <w:spacing w:after="0"/>
              <w:rPr>
                <w:sz w:val="20"/>
                <w:szCs w:val="20"/>
                <w:color w:val="auto"/>
              </w:rPr>
            </w:pPr>
            <w:r>
              <w:rPr>
                <w:rFonts w:ascii="Arial" w:cs="Arial" w:eastAsia="Arial" w:hAnsi="Arial"/>
                <w:sz w:val="15"/>
                <w:szCs w:val="15"/>
                <w:color w:val="auto"/>
              </w:rPr>
              <w:t>(28,615​)$</w:t>
            </w:r>
          </w:p>
        </w:tc>
        <w:tc>
          <w:tcPr>
            <w:tcW w:w="820" w:type="dxa"/>
            <w:vAlign w:val="bottom"/>
            <w:gridSpan w:val="3"/>
          </w:tcPr>
          <w:p>
            <w:pPr>
              <w:jc w:val="right"/>
              <w:ind w:right="6"/>
              <w:spacing w:after="0"/>
              <w:rPr>
                <w:sz w:val="20"/>
                <w:szCs w:val="20"/>
                <w:color w:val="auto"/>
              </w:rPr>
            </w:pPr>
            <w:r>
              <w:rPr>
                <w:rFonts w:ascii="Arial" w:cs="Arial" w:eastAsia="Arial" w:hAnsi="Arial"/>
                <w:sz w:val="15"/>
                <w:szCs w:val="15"/>
                <w:color w:val="auto"/>
              </w:rPr>
              <w:t>(195,235​)$</w:t>
            </w:r>
          </w:p>
        </w:tc>
        <w:tc>
          <w:tcPr>
            <w:tcW w:w="1140" w:type="dxa"/>
            <w:vAlign w:val="bottom"/>
            <w:gridSpan w:val="2"/>
          </w:tcPr>
          <w:p>
            <w:pPr>
              <w:jc w:val="right"/>
              <w:ind w:right="365"/>
              <w:spacing w:after="0"/>
              <w:rPr>
                <w:sz w:val="20"/>
                <w:szCs w:val="20"/>
                <w:color w:val="auto"/>
              </w:rPr>
            </w:pPr>
            <w:r>
              <w:rPr>
                <w:rFonts w:ascii="Arial" w:cs="Arial" w:eastAsia="Arial" w:hAnsi="Arial"/>
                <w:sz w:val="15"/>
                <w:szCs w:val="15"/>
                <w:color w:val="auto"/>
              </w:rPr>
              <w:t>(377,878)</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6"/>
                <w:szCs w:val="16"/>
                <w:color w:val="auto"/>
              </w:rPr>
            </w:pPr>
          </w:p>
        </w:tc>
        <w:tc>
          <w:tcPr>
            <w:tcW w:w="496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Compensation Actually Paid</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line="160"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w:t>
            </w:r>
          </w:p>
        </w:tc>
        <w:tc>
          <w:tcPr>
            <w:tcW w:w="620" w:type="dxa"/>
            <w:vAlign w:val="bottom"/>
            <w:tcBorders>
              <w:top w:val="single" w:sz="8" w:color="auto"/>
              <w:bottom w:val="single" w:sz="8" w:color="auto"/>
            </w:tcBorders>
            <w:shd w:val="clear" w:color="auto" w:fill="CCEEFF"/>
          </w:tcPr>
          <w:p>
            <w:pPr>
              <w:ind w:left="80"/>
              <w:spacing w:after="0" w:line="161" w:lineRule="exact"/>
              <w:rPr>
                <w:sz w:val="20"/>
                <w:szCs w:val="20"/>
                <w:color w:val="auto"/>
              </w:rPr>
            </w:pPr>
            <w:r>
              <w:rPr>
                <w:rFonts w:ascii="Arial" w:cs="Arial" w:eastAsia="Arial" w:hAnsi="Arial"/>
                <w:sz w:val="15"/>
                <w:szCs w:val="15"/>
                <w:b w:val="1"/>
                <w:bCs w:val="1"/>
                <w:color w:val="auto"/>
                <w:w w:val="95"/>
              </w:rPr>
              <w:t>604,355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6"/>
              <w:spacing w:after="0" w:line="160" w:lineRule="exact"/>
              <w:rPr>
                <w:sz w:val="20"/>
                <w:szCs w:val="20"/>
                <w:color w:val="auto"/>
              </w:rPr>
            </w:pPr>
            <w:r>
              <w:rPr>
                <w:rFonts w:ascii="Arial" w:cs="Arial" w:eastAsia="Arial" w:hAnsi="Arial"/>
                <w:sz w:val="11"/>
                <w:szCs w:val="11"/>
                <w:b w:val="1"/>
                <w:bCs w:val="1"/>
                <w:color w:val="auto"/>
                <w:w w:val="89"/>
              </w:rPr>
              <w:t>​</w:t>
            </w:r>
            <w:r>
              <w:rPr>
                <w:rFonts w:ascii="Arial" w:cs="Arial" w:eastAsia="Arial" w:hAnsi="Arial"/>
                <w:sz w:val="18"/>
                <w:szCs w:val="18"/>
                <w:b w:val="1"/>
                <w:bCs w:val="1"/>
                <w:color w:val="auto"/>
                <w:w w:val="89"/>
                <w:vertAlign w:val="superscript"/>
              </w:rPr>
              <w:t>$</w:t>
            </w:r>
          </w:p>
        </w:tc>
        <w:tc>
          <w:tcPr>
            <w:tcW w:w="6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644,841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gridSpan w:val="2"/>
            <w:shd w:val="clear" w:color="auto" w:fill="CCEEFF"/>
          </w:tcPr>
          <w:p>
            <w:pPr>
              <w:jc w:val="right"/>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$ 1,982,879</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ind w:left="3340"/>
              <w:spacing w:after="0"/>
              <w:rPr>
                <w:sz w:val="20"/>
                <w:szCs w:val="20"/>
                <w:color w:val="auto"/>
              </w:rPr>
            </w:pPr>
            <w:r>
              <w:rPr>
                <w:rFonts w:ascii="Arial" w:cs="Arial" w:eastAsia="Arial" w:hAnsi="Arial"/>
                <w:sz w:val="15"/>
                <w:szCs w:val="15"/>
                <w:color w:val="auto"/>
              </w:rPr>
              <w:t>41</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1040" w:type="dxa"/>
            <w:vAlign w:val="bottom"/>
            <w:vMerge w:val="continue"/>
          </w:tcPr>
          <w:p>
            <w:pPr>
              <w:spacing w:after="0"/>
              <w:rPr>
                <w:sz w:val="24"/>
                <w:szCs w:val="24"/>
                <w:color w:val="auto"/>
              </w:rPr>
            </w:pPr>
          </w:p>
        </w:tc>
        <w:tc>
          <w:tcPr>
            <w:tcW w:w="49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0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-815340</wp:posOffset>
            </wp:positionV>
            <wp:extent cx="419290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92905" cy="698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-26670</wp:posOffset>
            </wp:positionV>
            <wp:extent cx="32385"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-26670</wp:posOffset>
            </wp:positionV>
            <wp:extent cx="32385"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2" w:name="page43"/>
    <w:bookmarkEnd w:id="42"/>
    <w:p>
      <w:pPr>
        <w:ind w:left="40"/>
        <w:spacing w:after="0"/>
        <w:rPr>
          <w:sz w:val="20"/>
          <w:szCs w:val="20"/>
          <w:color w:val="auto"/>
        </w:rPr>
      </w:pPr>
      <w:r>
        <w:rPr>
          <w:rFonts w:ascii="Calibri" w:cs="Calibri" w:eastAsia="Calibri" w:hAnsi="Calibri"/>
          <w:sz w:val="12"/>
          <w:szCs w:val="12"/>
          <w:color w:val="003366"/>
        </w:rPr>
        <w:t>TABLE OF CONTENTS</w:t>
      </w:r>
    </w:p>
    <w:p>
      <w:pPr>
        <w:spacing w:after="0" w:line="268" w:lineRule="exact"/>
        <w:rPr>
          <w:sz w:val="20"/>
          <w:szCs w:val="20"/>
          <w:color w:val="auto"/>
        </w:rPr>
      </w:pPr>
    </w:p>
    <w:tbl>
      <w:tblPr>
        <w:tblLayout w:type="fixed"/>
        <w:tblInd w:w="1080" w:type="dxa"/>
        <w:tblCellMar>
          <w:top w:w="0" w:type="dxa"/>
          <w:left w:w="0" w:type="dxa"/>
          <w:bottom w:w="0" w:type="dxa"/>
          <w:right w:w="0" w:type="dxa"/>
        </w:tblCellMar>
      </w:tblPr>
      <w:tr>
        <w:trPr>
          <w:trHeight w:val="130"/>
        </w:trPr>
        <w:tc>
          <w:tcPr>
            <w:tcW w:w="4720" w:type="dxa"/>
            <w:vAlign w:val="bottom"/>
          </w:tcPr>
          <w:p>
            <w:pPr>
              <w:spacing w:after="0"/>
              <w:rPr>
                <w:sz w:val="11"/>
                <w:szCs w:val="11"/>
                <w:color w:val="auto"/>
              </w:rPr>
            </w:pPr>
          </w:p>
        </w:tc>
        <w:tc>
          <w:tcPr>
            <w:tcW w:w="2220" w:type="dxa"/>
            <w:vAlign w:val="bottom"/>
            <w:gridSpan w:val="10"/>
            <w:vMerge w:val="restart"/>
          </w:tcPr>
          <w:p>
            <w:pPr>
              <w:jc w:val="right"/>
              <w:ind w:right="60"/>
              <w:spacing w:after="0"/>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  </w:t>
            </w:r>
            <w:r>
              <w:rPr>
                <w:rFonts w:ascii="Arial" w:cs="Arial" w:eastAsia="Arial" w:hAnsi="Arial"/>
                <w:sz w:val="27"/>
                <w:szCs w:val="27"/>
                <w:b w:val="1"/>
                <w:bCs w:val="1"/>
                <w:color w:val="314F60"/>
                <w:vertAlign w:val="superscript"/>
              </w:rPr>
              <w:t>​</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720" w:type="dxa"/>
            <w:vAlign w:val="bottom"/>
            <w:tcBorders>
              <w:right w:val="single" w:sz="8" w:color="75FF00"/>
            </w:tcBorders>
          </w:tcPr>
          <w:p>
            <w:pPr>
              <w:spacing w:after="0"/>
              <w:rPr>
                <w:sz w:val="15"/>
                <w:szCs w:val="15"/>
                <w:color w:val="auto"/>
              </w:rPr>
            </w:pPr>
          </w:p>
        </w:tc>
        <w:tc>
          <w:tcPr>
            <w:tcW w:w="2220" w:type="dxa"/>
            <w:vAlign w:val="bottom"/>
            <w:gridSpan w:val="10"/>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4"/>
        </w:trPr>
        <w:tc>
          <w:tcPr>
            <w:tcW w:w="4720" w:type="dxa"/>
            <w:vAlign w:val="bottom"/>
            <w:tcBorders>
              <w:bottom w:val="single" w:sz="8" w:color="auto"/>
            </w:tcBorders>
          </w:tcPr>
          <w:p>
            <w:pPr>
              <w:ind w:left="1500"/>
              <w:spacing w:after="0"/>
              <w:rPr>
                <w:sz w:val="20"/>
                <w:szCs w:val="20"/>
                <w:color w:val="auto"/>
              </w:rPr>
            </w:pPr>
            <w:r>
              <w:rPr>
                <w:rFonts w:ascii="Arial" w:cs="Arial" w:eastAsia="Arial" w:hAnsi="Arial"/>
                <w:sz w:val="15"/>
                <w:szCs w:val="15"/>
                <w:b w:val="1"/>
                <w:bCs w:val="1"/>
                <w:color w:val="auto"/>
              </w:rPr>
              <w:t>Item and Value Added (Deducted)</w:t>
            </w:r>
          </w:p>
        </w:tc>
        <w:tc>
          <w:tcPr>
            <w:tcW w:w="660" w:type="dxa"/>
            <w:vAlign w:val="bottom"/>
            <w:tcBorders>
              <w:top w:val="single" w:sz="8" w:color="75FF00"/>
              <w:bottom w:val="single" w:sz="8" w:color="auto"/>
            </w:tcBorders>
          </w:tcPr>
          <w:p>
            <w:pPr>
              <w:spacing w:after="0"/>
              <w:rPr>
                <w:sz w:val="24"/>
                <w:szCs w:val="24"/>
                <w:color w:val="auto"/>
              </w:rPr>
            </w:pPr>
          </w:p>
        </w:tc>
        <w:tc>
          <w:tcPr>
            <w:tcW w:w="40" w:type="dxa"/>
            <w:vAlign w:val="bottom"/>
            <w:tcBorders>
              <w:top w:val="single" w:sz="8" w:color="75FF00"/>
              <w:bottom w:val="single" w:sz="8" w:color="auto"/>
            </w:tcBorders>
          </w:tcPr>
          <w:p>
            <w:pPr>
              <w:spacing w:after="0"/>
              <w:rPr>
                <w:sz w:val="24"/>
                <w:szCs w:val="24"/>
                <w:color w:val="auto"/>
              </w:rPr>
            </w:pPr>
          </w:p>
        </w:tc>
        <w:tc>
          <w:tcPr>
            <w:tcW w:w="120" w:type="dxa"/>
            <w:vAlign w:val="bottom"/>
            <w:tcBorders>
              <w:top w:val="single" w:sz="8" w:color="75FF00"/>
              <w:bottom w:val="single" w:sz="8" w:color="auto"/>
            </w:tcBorders>
          </w:tcPr>
          <w:p>
            <w:pPr>
              <w:spacing w:after="0"/>
              <w:rPr>
                <w:sz w:val="24"/>
                <w:szCs w:val="24"/>
                <w:color w:val="auto"/>
              </w:rPr>
            </w:pPr>
          </w:p>
        </w:tc>
        <w:tc>
          <w:tcPr>
            <w:tcW w:w="560" w:type="dxa"/>
            <w:vAlign w:val="bottom"/>
            <w:tcBorders>
              <w:top w:val="single" w:sz="8" w:color="75FF00"/>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top w:val="single" w:sz="8" w:color="75FF00"/>
              <w:bottom w:val="single" w:sz="8" w:color="auto"/>
            </w:tcBorders>
          </w:tcPr>
          <w:p>
            <w:pPr>
              <w:spacing w:after="0"/>
              <w:rPr>
                <w:sz w:val="24"/>
                <w:szCs w:val="24"/>
                <w:color w:val="auto"/>
              </w:rPr>
            </w:pPr>
          </w:p>
        </w:tc>
        <w:tc>
          <w:tcPr>
            <w:tcW w:w="120" w:type="dxa"/>
            <w:vAlign w:val="bottom"/>
            <w:tcBorders>
              <w:top w:val="single" w:sz="8" w:color="75FF00"/>
              <w:bottom w:val="single" w:sz="8" w:color="auto"/>
            </w:tcBorders>
          </w:tcPr>
          <w:p>
            <w:pPr>
              <w:spacing w:after="0"/>
              <w:rPr>
                <w:sz w:val="24"/>
                <w:szCs w:val="24"/>
                <w:color w:val="auto"/>
              </w:rPr>
            </w:pPr>
          </w:p>
        </w:tc>
        <w:tc>
          <w:tcPr>
            <w:tcW w:w="560" w:type="dxa"/>
            <w:vAlign w:val="bottom"/>
            <w:tcBorders>
              <w:top w:val="single" w:sz="8" w:color="75FF00"/>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top w:val="single" w:sz="8" w:color="75FF00"/>
              <w:bottom w:val="single" w:sz="8" w:color="auto"/>
            </w:tcBorders>
          </w:tcPr>
          <w:p>
            <w:pPr>
              <w:spacing w:after="0"/>
              <w:rPr>
                <w:sz w:val="24"/>
                <w:szCs w:val="24"/>
                <w:color w:val="auto"/>
              </w:rPr>
            </w:pPr>
          </w:p>
        </w:tc>
        <w:tc>
          <w:tcPr>
            <w:tcW w:w="20" w:type="dxa"/>
            <w:vAlign w:val="bottom"/>
            <w:tcBorders>
              <w:top w:val="single" w:sz="8" w:color="75FF00"/>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38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For Non-PEO Named Executive Officers (Average):</w:t>
            </w:r>
          </w:p>
        </w:tc>
        <w:tc>
          <w:tcPr>
            <w:tcW w:w="1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6"/>
              <w:spacing w:after="0" w:line="161" w:lineRule="exact"/>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line="161" w:lineRule="exact"/>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380" w:type="dxa"/>
            <w:vAlign w:val="bottom"/>
            <w:gridSpan w:val="2"/>
          </w:tcPr>
          <w:p>
            <w:pPr>
              <w:spacing w:after="0" w:line="169" w:lineRule="exact"/>
              <w:rPr>
                <w:sz w:val="20"/>
                <w:szCs w:val="20"/>
                <w:color w:val="auto"/>
              </w:rPr>
            </w:pPr>
            <w:r>
              <w:rPr>
                <w:rFonts w:ascii="Arial" w:cs="Arial" w:eastAsia="Arial" w:hAnsi="Arial"/>
                <w:sz w:val="15"/>
                <w:szCs w:val="15"/>
                <w:color w:val="auto"/>
              </w:rPr>
              <w:t>Summary Compensation Table Total</w:t>
            </w:r>
          </w:p>
        </w:tc>
        <w:tc>
          <w:tcPr>
            <w:tcW w:w="2120" w:type="dxa"/>
            <w:vAlign w:val="bottom"/>
            <w:gridSpan w:val="10"/>
          </w:tcPr>
          <w:p>
            <w:pPr>
              <w:ind w:left="40"/>
              <w:spacing w:after="0" w:line="169" w:lineRule="exact"/>
              <w:rPr>
                <w:sz w:val="20"/>
                <w:szCs w:val="20"/>
                <w:color w:val="auto"/>
              </w:rPr>
            </w:pPr>
            <w:r>
              <w:rPr>
                <w:rFonts w:ascii="Arial" w:cs="Arial" w:eastAsia="Arial" w:hAnsi="Arial"/>
                <w:sz w:val="15"/>
                <w:szCs w:val="15"/>
                <w:color w:val="auto"/>
              </w:rPr>
              <w:t>​$ 706,372​$ 791,656​$ 825,190</w:t>
            </w:r>
          </w:p>
        </w:tc>
        <w:tc>
          <w:tcPr>
            <w:tcW w:w="60" w:type="dxa"/>
            <w:vAlign w:val="bottom"/>
            <w:vMerge w:val="restart"/>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9"/>
        </w:trPr>
        <w:tc>
          <w:tcPr>
            <w:tcW w:w="53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 Summary Compensation Table “Stock Awards” column value</w:t>
            </w:r>
          </w:p>
        </w:tc>
        <w:tc>
          <w:tcPr>
            <w:tcW w:w="2120" w:type="dxa"/>
            <w:vAlign w:val="bottom"/>
            <w:gridSpan w:val="10"/>
            <w:shd w:val="clear" w:color="auto" w:fill="CCEEFF"/>
          </w:tcPr>
          <w:p>
            <w:pPr>
              <w:ind w:left="40"/>
              <w:spacing w:after="0" w:line="169" w:lineRule="exact"/>
              <w:rPr>
                <w:sz w:val="20"/>
                <w:szCs w:val="20"/>
                <w:color w:val="auto"/>
              </w:rPr>
            </w:pPr>
            <w:r>
              <w:rPr>
                <w:rFonts w:ascii="Arial" w:cs="Arial" w:eastAsia="Arial" w:hAnsi="Arial"/>
                <w:sz w:val="15"/>
                <w:szCs w:val="15"/>
                <w:color w:val="auto"/>
                <w:w w:val="96"/>
              </w:rPr>
              <w:t>​$(241,008​)$(266,900​)$(324,945</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80" w:type="dxa"/>
            <w:vAlign w:val="bottom"/>
            <w:gridSpan w:val="2"/>
          </w:tcPr>
          <w:p>
            <w:pPr>
              <w:spacing w:after="0" w:line="166" w:lineRule="exact"/>
              <w:rPr>
                <w:sz w:val="20"/>
                <w:szCs w:val="20"/>
                <w:color w:val="auto"/>
              </w:rPr>
            </w:pPr>
            <w:r>
              <w:rPr>
                <w:rFonts w:ascii="Arial" w:cs="Arial" w:eastAsia="Arial" w:hAnsi="Arial"/>
                <w:sz w:val="15"/>
                <w:szCs w:val="15"/>
                <w:color w:val="auto"/>
              </w:rPr>
              <w:t>+ year-end fair value of outstanding and unvested equity awards granted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gridSpan w:val="2"/>
          </w:tcPr>
          <w:p>
            <w:pPr>
              <w:spacing w:after="0"/>
              <w:rPr>
                <w:sz w:val="20"/>
                <w:szCs w:val="20"/>
                <w:color w:val="auto"/>
              </w:rPr>
            </w:pPr>
            <w:r>
              <w:rPr>
                <w:rFonts w:ascii="Arial" w:cs="Arial" w:eastAsia="Arial" w:hAnsi="Arial"/>
                <w:sz w:val="15"/>
                <w:szCs w:val="15"/>
                <w:color w:val="auto"/>
              </w:rPr>
              <w:t>in the fiscal year</w:t>
            </w:r>
          </w:p>
        </w:tc>
        <w:tc>
          <w:tcPr>
            <w:tcW w:w="16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2020" w:type="dxa"/>
            <w:vAlign w:val="bottom"/>
            <w:gridSpan w:val="9"/>
          </w:tcPr>
          <w:p>
            <w:pPr>
              <w:jc w:val="right"/>
              <w:spacing w:after="0"/>
              <w:rPr>
                <w:sz w:val="20"/>
                <w:szCs w:val="20"/>
                <w:color w:val="auto"/>
              </w:rPr>
            </w:pPr>
            <w:r>
              <w:rPr>
                <w:rFonts w:ascii="Arial" w:cs="Arial" w:eastAsia="Arial" w:hAnsi="Arial"/>
                <w:sz w:val="15"/>
                <w:szCs w:val="15"/>
                <w:color w:val="auto"/>
              </w:rPr>
              <w:t>59,258​$ 183,970​$ 298,033</w:t>
            </w:r>
          </w:p>
        </w:tc>
        <w:tc>
          <w:tcPr>
            <w:tcW w:w="0" w:type="dxa"/>
            <w:vAlign w:val="bottom"/>
          </w:tcPr>
          <w:p>
            <w:pPr>
              <w:spacing w:after="0"/>
              <w:rPr>
                <w:sz w:val="1"/>
                <w:szCs w:val="1"/>
                <w:color w:val="auto"/>
              </w:rPr>
            </w:pPr>
          </w:p>
        </w:tc>
      </w:tr>
      <w:tr>
        <w:trPr>
          <w:trHeight w:val="166"/>
        </w:trPr>
        <w:tc>
          <w:tcPr>
            <w:tcW w:w="538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 change in fair value of outstanding and unvested equity awards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granted in prior years</w:t>
            </w:r>
          </w:p>
        </w:tc>
        <w:tc>
          <w:tcPr>
            <w:tcW w:w="2120" w:type="dxa"/>
            <w:vAlign w:val="bottom"/>
            <w:gridSpan w:val="10"/>
            <w:shd w:val="clear" w:color="auto" w:fill="CCEEFF"/>
          </w:tcPr>
          <w:p>
            <w:pPr>
              <w:ind w:left="40"/>
              <w:spacing w:after="0"/>
              <w:rPr>
                <w:sz w:val="20"/>
                <w:szCs w:val="20"/>
                <w:color w:val="auto"/>
              </w:rPr>
            </w:pPr>
            <w:r>
              <w:rPr>
                <w:rFonts w:ascii="Arial" w:cs="Arial" w:eastAsia="Arial" w:hAnsi="Arial"/>
                <w:sz w:val="15"/>
                <w:szCs w:val="15"/>
                <w:color w:val="auto"/>
                <w:w w:val="96"/>
              </w:rPr>
              <w:t>​$(169,808​)$(306,552​)$ (80,955)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80" w:type="dxa"/>
            <w:vAlign w:val="bottom"/>
            <w:gridSpan w:val="2"/>
          </w:tcPr>
          <w:p>
            <w:pPr>
              <w:spacing w:after="0" w:line="169" w:lineRule="exact"/>
              <w:rPr>
                <w:sz w:val="20"/>
                <w:szCs w:val="20"/>
                <w:color w:val="auto"/>
              </w:rPr>
            </w:pPr>
            <w:r>
              <w:rPr>
                <w:rFonts w:ascii="Arial" w:cs="Arial" w:eastAsia="Arial" w:hAnsi="Arial"/>
                <w:sz w:val="15"/>
                <w:szCs w:val="15"/>
                <w:color w:val="auto"/>
              </w:rPr>
              <w:t>+ vest date fair value of equity awards granted in the covered year</w:t>
            </w:r>
          </w:p>
        </w:tc>
        <w:tc>
          <w:tcPr>
            <w:tcW w:w="16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26"/>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4"/>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8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 change in fair value of prior-year equity awards vested in the fiscal</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year</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(35,566​)$</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w w:val="99"/>
              </w:rPr>
              <w:t>(90,127​)$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380" w:type="dxa"/>
            <w:vAlign w:val="bottom"/>
            <w:gridSpan w:val="2"/>
          </w:tcPr>
          <w:p>
            <w:pPr>
              <w:spacing w:after="0" w:line="166" w:lineRule="exact"/>
              <w:rPr>
                <w:sz w:val="20"/>
                <w:szCs w:val="20"/>
                <w:color w:val="auto"/>
              </w:rPr>
            </w:pPr>
            <w:r>
              <w:rPr>
                <w:rFonts w:ascii="Arial" w:cs="Arial" w:eastAsia="Arial" w:hAnsi="Arial"/>
                <w:sz w:val="15"/>
                <w:szCs w:val="15"/>
                <w:color w:val="auto"/>
              </w:rPr>
              <w:t>- fair value at the end of prior year of awards granted in prior years that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gridSpan w:val="2"/>
          </w:tcPr>
          <w:p>
            <w:pPr>
              <w:spacing w:after="0"/>
              <w:rPr>
                <w:sz w:val="20"/>
                <w:szCs w:val="20"/>
                <w:color w:val="auto"/>
              </w:rPr>
            </w:pPr>
            <w:r>
              <w:rPr>
                <w:rFonts w:ascii="Arial" w:cs="Arial" w:eastAsia="Arial" w:hAnsi="Arial"/>
                <w:sz w:val="15"/>
                <w:szCs w:val="15"/>
                <w:color w:val="auto"/>
              </w:rPr>
              <w:t>fail to meet vesting conditions</w:t>
            </w:r>
          </w:p>
        </w:tc>
        <w:tc>
          <w:tcPr>
            <w:tcW w:w="160" w:type="dxa"/>
            <w:vAlign w:val="bottom"/>
            <w:gridSpan w:val="2"/>
          </w:tcPr>
          <w:p>
            <w:pPr>
              <w:ind w:lef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w:t>
            </w:r>
          </w:p>
        </w:tc>
        <w:tc>
          <w:tcPr>
            <w:tcW w:w="2020" w:type="dxa"/>
            <w:vAlign w:val="bottom"/>
            <w:gridSpan w:val="9"/>
          </w:tcPr>
          <w:p>
            <w:pPr>
              <w:jc w:val="right"/>
              <w:spacing w:after="0"/>
              <w:rPr>
                <w:sz w:val="20"/>
                <w:szCs w:val="20"/>
                <w:color w:val="auto"/>
              </w:rPr>
            </w:pPr>
            <w:r>
              <w:rPr>
                <w:rFonts w:ascii="Arial" w:cs="Arial" w:eastAsia="Arial" w:hAnsi="Arial"/>
                <w:sz w:val="15"/>
                <w:szCs w:val="15"/>
                <w:color w:val="auto"/>
              </w:rPr>
              <w:t>(19,911​)$ (40,626​)$ (79,925)</w:t>
            </w:r>
          </w:p>
        </w:tc>
        <w:tc>
          <w:tcPr>
            <w:tcW w:w="0" w:type="dxa"/>
            <w:vAlign w:val="bottom"/>
          </w:tcPr>
          <w:p>
            <w:pPr>
              <w:spacing w:after="0"/>
              <w:rPr>
                <w:sz w:val="1"/>
                <w:szCs w:val="1"/>
                <w:color w:val="auto"/>
              </w:rPr>
            </w:pPr>
          </w:p>
        </w:tc>
      </w:tr>
      <w:tr>
        <w:trPr>
          <w:trHeight w:val="197"/>
        </w:trPr>
        <w:tc>
          <w:tcPr>
            <w:tcW w:w="5380" w:type="dxa"/>
            <w:vAlign w:val="bottom"/>
            <w:tcBorders>
              <w:top w:val="single" w:sz="8" w:color="CCEEFF"/>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Compensation Actually Paid</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center"/>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$ 299,337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center"/>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$ 271,421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3"/>
            <w:shd w:val="clear" w:color="auto" w:fill="CCEEFF"/>
          </w:tcPr>
          <w:p>
            <w:pPr>
              <w:jc w:val="right"/>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$ 638,930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-149860</wp:posOffset>
            </wp:positionV>
            <wp:extent cx="432879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28795" cy="6985"/>
                    </a:xfrm>
                    <a:prstGeom prst="rect">
                      <a:avLst/>
                    </a:prstGeom>
                    <a:noFill/>
                  </pic:spPr>
                </pic:pic>
              </a:graphicData>
            </a:graphic>
          </wp:anchor>
        </w:drawing>
      </w:r>
    </w:p>
    <w:p>
      <w:pPr>
        <w:spacing w:after="0" w:line="146" w:lineRule="exact"/>
        <w:rPr>
          <w:sz w:val="20"/>
          <w:szCs w:val="20"/>
          <w:color w:val="auto"/>
        </w:rPr>
      </w:pPr>
    </w:p>
    <w:p>
      <w:pPr>
        <w:jc w:val="both"/>
        <w:ind w:left="1080" w:right="1379"/>
        <w:spacing w:after="0" w:line="260" w:lineRule="auto"/>
        <w:rPr>
          <w:sz w:val="20"/>
          <w:szCs w:val="20"/>
          <w:color w:val="auto"/>
        </w:rPr>
      </w:pPr>
      <w:r>
        <w:rPr>
          <w:rFonts w:ascii="Arial" w:cs="Arial" w:eastAsia="Arial" w:hAnsi="Arial"/>
          <w:sz w:val="15"/>
          <w:szCs w:val="15"/>
          <w:color w:val="auto"/>
        </w:rPr>
        <w:t>The following graphs denote the relationships between net income and Total Shareholder Return with actual compensation paid to the PEO and the average compensation actually paid to Non-PEO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68580</wp:posOffset>
            </wp:positionV>
            <wp:extent cx="3720465" cy="27476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20465" cy="274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Total Shareholder Return and net loss for the following periods was:</w:t>
      </w:r>
    </w:p>
    <w:p>
      <w:pPr>
        <w:spacing w:after="0" w:line="120" w:lineRule="exact"/>
        <w:rPr>
          <w:sz w:val="20"/>
          <w:szCs w:val="20"/>
          <w:color w:val="auto"/>
        </w:rPr>
      </w:pPr>
    </w:p>
    <w:p>
      <w:pPr>
        <w:ind w:left="1680" w:right="1639" w:hanging="301"/>
        <w:spacing w:after="0" w:line="286" w:lineRule="auto"/>
        <w:tabs>
          <w:tab w:leader="none" w:pos="16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December 31, 2021 to December 31, 2022, negative $26.55 with a net loss of approximately $53.4 million;</w:t>
      </w:r>
    </w:p>
    <w:p>
      <w:pPr>
        <w:spacing w:after="0" w:line="50" w:lineRule="exact"/>
        <w:rPr>
          <w:rFonts w:ascii="Arial" w:cs="Arial" w:eastAsia="Arial" w:hAnsi="Arial"/>
          <w:sz w:val="15"/>
          <w:szCs w:val="15"/>
          <w:color w:val="auto"/>
        </w:rPr>
      </w:pPr>
    </w:p>
    <w:p>
      <w:pPr>
        <w:ind w:left="1680" w:right="1639" w:hanging="301"/>
        <w:spacing w:after="0" w:line="286" w:lineRule="auto"/>
        <w:tabs>
          <w:tab w:leader="none" w:pos="16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December 31, 2022 to December 30, 2023, negative $62.37 with a net loss of approximately $56.3 million; and</w:t>
      </w:r>
    </w:p>
    <w:p>
      <w:pPr>
        <w:spacing w:after="0" w:line="50" w:lineRule="exact"/>
        <w:rPr>
          <w:rFonts w:ascii="Arial" w:cs="Arial" w:eastAsia="Arial" w:hAnsi="Arial"/>
          <w:sz w:val="15"/>
          <w:szCs w:val="15"/>
          <w:color w:val="auto"/>
        </w:rPr>
      </w:pPr>
    </w:p>
    <w:p>
      <w:pPr>
        <w:ind w:left="1680" w:right="1639" w:hanging="301"/>
        <w:spacing w:after="0" w:line="286" w:lineRule="auto"/>
        <w:tabs>
          <w:tab w:leader="none" w:pos="16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December 31, 2023 to December 30, 2024, negative $81.46 with a net loss of approximately $35.6 million.</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Named Executive Officer Compensation</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table summarizes the year-on-year change in compensation for the PEO:</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3" w:name="page44"/>
    <w:bookmarkEnd w:id="43"/>
    <w:p>
      <w:pPr>
        <w:ind w:left="40"/>
        <w:spacing w:after="0"/>
        <w:rPr>
          <w:sz w:val="20"/>
          <w:szCs w:val="20"/>
          <w:color w:val="auto"/>
        </w:rPr>
      </w:pPr>
      <w:r>
        <w:rPr>
          <w:rFonts w:ascii="Calibri" w:cs="Calibri" w:eastAsia="Calibri" w:hAnsi="Calibri"/>
          <w:sz w:val="12"/>
          <w:szCs w:val="12"/>
          <w:color w:val="003366"/>
        </w:rPr>
        <w:t>TABLE OF CONTENTS</w:t>
      </w:r>
    </w:p>
    <w:p>
      <w:pPr>
        <w:spacing w:after="0" w:line="268" w:lineRule="exact"/>
        <w:rPr>
          <w:sz w:val="20"/>
          <w:szCs w:val="20"/>
          <w:color w:val="auto"/>
        </w:rPr>
      </w:pPr>
    </w:p>
    <w:tbl>
      <w:tblPr>
        <w:tblLayout w:type="fixed"/>
        <w:tblInd w:w="1080" w:type="dxa"/>
        <w:tblCellMar>
          <w:top w:w="0" w:type="dxa"/>
          <w:left w:w="0" w:type="dxa"/>
          <w:bottom w:w="0" w:type="dxa"/>
          <w:right w:w="0" w:type="dxa"/>
        </w:tblCellMar>
      </w:tblPr>
      <w:tr>
        <w:trPr>
          <w:trHeight w:val="130"/>
        </w:trPr>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00" w:type="dxa"/>
            <w:vAlign w:val="bottom"/>
            <w:gridSpan w:val="6"/>
            <w:vMerge w:val="restart"/>
          </w:tcPr>
          <w:p>
            <w:pPr>
              <w:jc w:val="right"/>
              <w:ind w:right="45"/>
              <w:spacing w:after="0"/>
              <w:rPr>
                <w:sz w:val="20"/>
                <w:szCs w:val="20"/>
                <w:color w:val="auto"/>
              </w:rPr>
            </w:pPr>
            <w:r>
              <w:rPr>
                <w:rFonts w:ascii="Arial" w:cs="Arial" w:eastAsia="Arial" w:hAnsi="Arial"/>
                <w:sz w:val="27"/>
                <w:szCs w:val="27"/>
                <w:b w:val="1"/>
                <w:bCs w:val="1"/>
                <w:color w:val="314F60"/>
                <w:w w:val="97"/>
                <w:vertAlign w:val="superscript"/>
              </w:rPr>
              <w:t>​</w:t>
            </w:r>
            <w:r>
              <w:rPr>
                <w:rFonts w:ascii="Arial" w:cs="Arial" w:eastAsia="Arial" w:hAnsi="Arial"/>
                <w:sz w:val="14"/>
                <w:szCs w:val="14"/>
                <w:b w:val="1"/>
                <w:bCs w:val="1"/>
                <w:color w:val="314F60"/>
                <w:w w:val="97"/>
              </w:rPr>
              <w:t xml:space="preserve"> EXECUTIVE COMPENSATION</w:t>
            </w:r>
          </w:p>
        </w:tc>
        <w:tc>
          <w:tcPr>
            <w:tcW w:w="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314F60"/>
              </w:rPr>
              <w:t>​</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Borders>
              <w:right w:val="single" w:sz="8" w:color="75FF00"/>
            </w:tcBorders>
          </w:tcPr>
          <w:p>
            <w:pPr>
              <w:spacing w:after="0"/>
              <w:rPr>
                <w:sz w:val="15"/>
                <w:szCs w:val="15"/>
                <w:color w:val="auto"/>
              </w:rPr>
            </w:pPr>
          </w:p>
        </w:tc>
        <w:tc>
          <w:tcPr>
            <w:tcW w:w="2100" w:type="dxa"/>
            <w:vAlign w:val="bottom"/>
            <w:tcBorders>
              <w:bottom w:val="single" w:sz="8" w:color="75FF00"/>
            </w:tcBorders>
            <w:gridSpan w:val="6"/>
            <w:vMerge w:val="continue"/>
          </w:tcPr>
          <w:p>
            <w:pPr>
              <w:spacing w:after="0"/>
              <w:rPr>
                <w:sz w:val="15"/>
                <w:szCs w:val="15"/>
                <w:color w:val="auto"/>
              </w:rPr>
            </w:pPr>
          </w:p>
        </w:tc>
        <w:tc>
          <w:tcPr>
            <w:tcW w:w="20" w:type="dxa"/>
            <w:vAlign w:val="bottom"/>
            <w:tcBorders>
              <w:bottom w:val="single" w:sz="8" w:color="75FF00"/>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5"/>
                <w:szCs w:val="15"/>
                <w:b w:val="1"/>
                <w:bCs w:val="1"/>
                <w:color w:val="auto"/>
              </w:rPr>
              <w:t>% Change from</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 Change from</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0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PEO</w:t>
            </w:r>
          </w:p>
        </w:tc>
        <w:tc>
          <w:tcPr>
            <w:tcW w:w="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2022 to 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b w:val="1"/>
                <w:bCs w:val="1"/>
                <w:color w:val="auto"/>
              </w:rPr>
              <w:t>2023 to 2024</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Salary</w:t>
            </w:r>
            <w:r>
              <w:rPr>
                <w:rFonts w:ascii="Arial" w:cs="Arial" w:eastAsia="Arial" w:hAnsi="Arial"/>
                <w:sz w:val="19"/>
                <w:szCs w:val="19"/>
                <w:color w:val="auto"/>
                <w:vertAlign w:val="superscript"/>
              </w:rPr>
              <w:t>(1)</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877,119​</w:t>
            </w:r>
          </w:p>
        </w:tc>
        <w:tc>
          <w:tcPr>
            <w:tcW w:w="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​$ 927,412</w:t>
            </w:r>
          </w:p>
        </w:tc>
        <w:tc>
          <w:tcPr>
            <w:tcW w:w="4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​$ 950,357</w:t>
            </w:r>
          </w:p>
        </w:tc>
        <w:tc>
          <w:tcPr>
            <w:tcW w:w="4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2.5%</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line="169" w:lineRule="exact"/>
              <w:rPr>
                <w:sz w:val="20"/>
                <w:szCs w:val="20"/>
                <w:color w:val="auto"/>
              </w:rPr>
            </w:pPr>
            <w:r>
              <w:rPr>
                <w:rFonts w:ascii="Arial" w:cs="Arial" w:eastAsia="Arial" w:hAnsi="Arial"/>
                <w:sz w:val="15"/>
                <w:szCs w:val="15"/>
                <w:color w:val="auto"/>
              </w:rPr>
              <w:t>Value of Stock Awards</w:t>
            </w:r>
          </w:p>
        </w:tc>
        <w:tc>
          <w:tcPr>
            <w:tcW w:w="260" w:type="dxa"/>
            <w:vAlign w:val="bottom"/>
            <w:gridSpan w:val="2"/>
          </w:tcPr>
          <w:p>
            <w:pPr>
              <w:ind w:left="20"/>
              <w:spacing w:after="0" w:line="169" w:lineRule="exact"/>
              <w:rPr>
                <w:sz w:val="20"/>
                <w:szCs w:val="20"/>
                <w:color w:val="auto"/>
              </w:rPr>
            </w:pPr>
            <w:r>
              <w:rPr>
                <w:rFonts w:ascii="Arial" w:cs="Arial" w:eastAsia="Arial" w:hAnsi="Arial"/>
                <w:sz w:val="15"/>
                <w:szCs w:val="15"/>
                <w:color w:val="auto"/>
              </w:rPr>
              <w:t>​ ​$</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725,557​</w:t>
            </w:r>
          </w:p>
        </w:tc>
        <w:tc>
          <w:tcPr>
            <w:tcW w:w="800" w:type="dxa"/>
            <w:vAlign w:val="bottom"/>
            <w:gridSpan w:val="2"/>
          </w:tcPr>
          <w:p>
            <w:pPr>
              <w:spacing w:after="0" w:line="169" w:lineRule="exact"/>
              <w:rPr>
                <w:sz w:val="20"/>
                <w:szCs w:val="20"/>
                <w:color w:val="auto"/>
              </w:rPr>
            </w:pPr>
            <w:r>
              <w:rPr>
                <w:rFonts w:ascii="Arial" w:cs="Arial" w:eastAsia="Arial" w:hAnsi="Arial"/>
                <w:sz w:val="15"/>
                <w:szCs w:val="15"/>
                <w:color w:val="auto"/>
              </w:rPr>
              <w:t>​$(571,233)</w:t>
            </w:r>
          </w:p>
        </w:tc>
        <w:tc>
          <w:tcPr>
            <w:tcW w:w="1040" w:type="dxa"/>
            <w:vAlign w:val="bottom"/>
            <w:gridSpan w:val="2"/>
          </w:tcPr>
          <w:p>
            <w:pPr>
              <w:jc w:val="right"/>
              <w:ind w:right="25"/>
              <w:spacing w:after="0" w:line="169" w:lineRule="exact"/>
              <w:rPr>
                <w:sz w:val="20"/>
                <w:szCs w:val="20"/>
                <w:color w:val="auto"/>
              </w:rPr>
            </w:pPr>
            <w:r>
              <w:rPr>
                <w:rFonts w:ascii="Arial" w:cs="Arial" w:eastAsia="Arial" w:hAnsi="Arial"/>
                <w:sz w:val="15"/>
                <w:szCs w:val="15"/>
                <w:color w:val="auto"/>
              </w:rPr>
              <w:t>​ -178.7%</w:t>
            </w:r>
          </w:p>
        </w:tc>
        <w:tc>
          <w:tcPr>
            <w:tcW w:w="20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tcPr>
          <w:p>
            <w:pPr>
              <w:spacing w:after="0" w:line="169" w:lineRule="exact"/>
              <w:rPr>
                <w:sz w:val="20"/>
                <w:szCs w:val="20"/>
                <w:color w:val="auto"/>
              </w:rPr>
            </w:pPr>
            <w:r>
              <w:rPr>
                <w:rFonts w:ascii="Arial" w:cs="Arial" w:eastAsia="Arial" w:hAnsi="Arial"/>
                <w:sz w:val="15"/>
                <w:szCs w:val="15"/>
                <w:color w:val="auto"/>
              </w:rPr>
              <w:t>​$(605,773)</w:t>
            </w:r>
          </w:p>
        </w:tc>
        <w:tc>
          <w:tcPr>
            <w:tcW w:w="440" w:type="dxa"/>
            <w:vAlign w:val="bottom"/>
          </w:tcPr>
          <w:p>
            <w:pPr>
              <w:ind w:left="340"/>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145"/>
              <w:spacing w:after="0" w:line="169" w:lineRule="exact"/>
              <w:rPr>
                <w:sz w:val="20"/>
                <w:szCs w:val="20"/>
                <w:color w:val="auto"/>
              </w:rPr>
            </w:pPr>
            <w:r>
              <w:rPr>
                <w:rFonts w:ascii="Arial" w:cs="Arial" w:eastAsia="Arial" w:hAnsi="Arial"/>
                <w:sz w:val="15"/>
                <w:szCs w:val="15"/>
                <w:color w:val="auto"/>
              </w:rPr>
              <w:t>-6.0%</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All Other Compensation</w:t>
            </w:r>
          </w:p>
        </w:tc>
        <w:tc>
          <w:tcPr>
            <w:tcW w:w="2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5"/>
                <w:szCs w:val="15"/>
                <w:color w:val="auto"/>
              </w:rPr>
              <w:t>​ ​$</w:t>
            </w:r>
          </w:p>
        </w:tc>
        <w:tc>
          <w:tcPr>
            <w:tcW w:w="7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380,203​</w:t>
            </w:r>
          </w:p>
        </w:tc>
        <w:tc>
          <w:tcPr>
            <w:tcW w:w="8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​$ 288,662</w:t>
            </w:r>
          </w:p>
        </w:tc>
        <w:tc>
          <w:tcPr>
            <w:tcW w:w="40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rPr>
              <w:t>-24.1%</w:t>
            </w:r>
          </w:p>
        </w:tc>
        <w:tc>
          <w:tcPr>
            <w:tcW w:w="20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​$ 259,771</w:t>
            </w:r>
          </w:p>
        </w:tc>
        <w:tc>
          <w:tcPr>
            <w:tcW w:w="1120" w:type="dxa"/>
            <w:vAlign w:val="bottom"/>
            <w:gridSpan w:val="2"/>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rPr>
              <w:t>​ -10.0%</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980" w:type="dxa"/>
            <w:vAlign w:val="bottom"/>
            <w:gridSpan w:val="4"/>
          </w:tcPr>
          <w:p>
            <w:pPr>
              <w:ind w:left="20"/>
              <w:spacing w:after="0"/>
              <w:rPr>
                <w:sz w:val="20"/>
                <w:szCs w:val="20"/>
                <w:color w:val="auto"/>
              </w:rPr>
            </w:pPr>
            <w:r>
              <w:rPr>
                <w:rFonts w:ascii="Arial" w:cs="Arial" w:eastAsia="Arial" w:hAnsi="Arial"/>
                <w:sz w:val="15"/>
                <w:szCs w:val="15"/>
                <w:b w:val="1"/>
                <w:bCs w:val="1"/>
                <w:color w:val="auto"/>
              </w:rPr>
              <w:t>​ ​$1,982,879​</w:t>
            </w:r>
          </w:p>
        </w:tc>
        <w:tc>
          <w:tcPr>
            <w:tcW w:w="800" w:type="dxa"/>
            <w:vAlign w:val="bottom"/>
            <w:gridSpan w:val="2"/>
          </w:tcPr>
          <w:p>
            <w:pPr>
              <w:spacing w:after="0"/>
              <w:rPr>
                <w:sz w:val="20"/>
                <w:szCs w:val="20"/>
                <w:color w:val="auto"/>
              </w:rPr>
            </w:pPr>
            <w:r>
              <w:rPr>
                <w:rFonts w:ascii="Arial" w:cs="Arial" w:eastAsia="Arial" w:hAnsi="Arial"/>
                <w:sz w:val="15"/>
                <w:szCs w:val="15"/>
                <w:b w:val="1"/>
                <w:bCs w:val="1"/>
                <w:color w:val="auto"/>
              </w:rPr>
              <w:t>​$ 644,841</w:t>
            </w:r>
          </w:p>
        </w:tc>
        <w:tc>
          <w:tcPr>
            <w:tcW w:w="400" w:type="dxa"/>
            <w:vAlign w:val="bottom"/>
          </w:tcPr>
          <w:p>
            <w:pPr>
              <w:ind w:left="28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25"/>
              <w:spacing w:after="0"/>
              <w:rPr>
                <w:sz w:val="20"/>
                <w:szCs w:val="20"/>
                <w:color w:val="auto"/>
              </w:rPr>
            </w:pPr>
            <w:r>
              <w:rPr>
                <w:rFonts w:ascii="Arial" w:cs="Arial" w:eastAsia="Arial" w:hAnsi="Arial"/>
                <w:sz w:val="15"/>
                <w:szCs w:val="15"/>
                <w:b w:val="1"/>
                <w:bCs w:val="1"/>
                <w:color w:val="auto"/>
              </w:rPr>
              <w:t>-67.5%</w:t>
            </w:r>
          </w:p>
        </w:tc>
        <w:tc>
          <w:tcPr>
            <w:tcW w:w="2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spacing w:after="0"/>
              <w:rPr>
                <w:sz w:val="20"/>
                <w:szCs w:val="20"/>
                <w:color w:val="auto"/>
              </w:rPr>
            </w:pPr>
            <w:r>
              <w:rPr>
                <w:rFonts w:ascii="Arial" w:cs="Arial" w:eastAsia="Arial" w:hAnsi="Arial"/>
                <w:sz w:val="15"/>
                <w:szCs w:val="15"/>
                <w:b w:val="1"/>
                <w:bCs w:val="1"/>
                <w:color w:val="auto"/>
              </w:rPr>
              <w:t>​$ 604,356</w:t>
            </w:r>
          </w:p>
        </w:tc>
        <w:tc>
          <w:tcPr>
            <w:tcW w:w="440" w:type="dxa"/>
            <w:vAlign w:val="bottom"/>
          </w:tcPr>
          <w:p>
            <w:pPr>
              <w:ind w:left="340"/>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145"/>
              <w:spacing w:after="0"/>
              <w:rPr>
                <w:sz w:val="20"/>
                <w:szCs w:val="20"/>
                <w:color w:val="auto"/>
              </w:rPr>
            </w:pPr>
            <w:r>
              <w:rPr>
                <w:rFonts w:ascii="Arial" w:cs="Arial" w:eastAsia="Arial" w:hAnsi="Arial"/>
                <w:sz w:val="15"/>
                <w:szCs w:val="15"/>
                <w:b w:val="1"/>
                <w:bCs w:val="1"/>
                <w:color w:val="auto"/>
              </w:rPr>
              <w:t>-6.3%</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-457200</wp:posOffset>
            </wp:positionV>
            <wp:extent cx="5715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-457200</wp:posOffset>
            </wp:positionV>
            <wp:extent cx="5715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-457200</wp:posOffset>
            </wp:positionV>
            <wp:extent cx="5715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2459355</wp:posOffset>
            </wp:positionH>
            <wp:positionV relativeFrom="paragraph">
              <wp:posOffset>-457200</wp:posOffset>
            </wp:positionV>
            <wp:extent cx="5715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-457200</wp:posOffset>
            </wp:positionV>
            <wp:extent cx="5016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165" cy="6985"/>
                    </a:xfrm>
                    <a:prstGeom prst="rect">
                      <a:avLst/>
                    </a:prstGeom>
                    <a:noFill/>
                  </pic:spPr>
                </pic:pic>
              </a:graphicData>
            </a:graphic>
          </wp:anchor>
        </w:drawing>
      </w:r>
    </w:p>
    <w:p>
      <w:pPr>
        <w:ind w:left="1380" w:hanging="301"/>
        <w:spacing w:after="0" w:line="197" w:lineRule="auto"/>
        <w:tabs>
          <w:tab w:leader="none" w:pos="1380" w:val="left"/>
        </w:tabs>
        <w:numPr>
          <w:ilvl w:val="0"/>
          <w:numId w:val="43"/>
        </w:numPr>
        <w:rPr>
          <w:rFonts w:ascii="Arial" w:cs="Arial" w:eastAsia="Arial" w:hAnsi="Arial"/>
          <w:sz w:val="23"/>
          <w:szCs w:val="23"/>
          <w:color w:val="auto"/>
          <w:vertAlign w:val="superscript"/>
        </w:rPr>
      </w:pPr>
      <w:r>
        <w:rPr>
          <w:rFonts w:ascii="Arial" w:cs="Arial" w:eastAsia="Arial" w:hAnsi="Arial"/>
          <w:sz w:val="15"/>
          <w:szCs w:val="15"/>
          <w:color w:val="auto"/>
        </w:rPr>
        <w:t>Increase in salary is due to the legally required Luxembourg salary indexation</w:t>
      </w:r>
    </w:p>
    <w:p>
      <w:pPr>
        <w:spacing w:after="0" w:line="107" w:lineRule="exact"/>
        <w:rPr>
          <w:sz w:val="20"/>
          <w:szCs w:val="20"/>
          <w:color w:val="auto"/>
        </w:rPr>
      </w:pPr>
    </w:p>
    <w:p>
      <w:pPr>
        <w:ind w:left="1080" w:right="1239"/>
        <w:spacing w:after="0" w:line="286" w:lineRule="auto"/>
        <w:rPr>
          <w:sz w:val="20"/>
          <w:szCs w:val="20"/>
          <w:color w:val="auto"/>
        </w:rPr>
      </w:pPr>
      <w:r>
        <w:rPr>
          <w:rFonts w:ascii="Arial" w:cs="Arial" w:eastAsia="Arial" w:hAnsi="Arial"/>
          <w:sz w:val="15"/>
          <w:szCs w:val="15"/>
          <w:color w:val="auto"/>
        </w:rPr>
        <w:t>The following table summarizes the year-on-year change in compensation for the Non-PEO Named Executive Officers:</w:t>
      </w:r>
    </w:p>
    <w:p>
      <w:pPr>
        <w:spacing w:after="0" w:line="73"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2560" w:type="dxa"/>
            <w:vAlign w:val="bottom"/>
            <w:vMerge w:val="restart"/>
          </w:tcPr>
          <w:p>
            <w:pPr>
              <w:spacing w:after="0"/>
              <w:rPr>
                <w:sz w:val="20"/>
                <w:szCs w:val="20"/>
                <w:color w:val="auto"/>
              </w:rPr>
            </w:pPr>
            <w:r>
              <w:rPr>
                <w:rFonts w:ascii="Arial" w:cs="Arial" w:eastAsia="Arial" w:hAnsi="Arial"/>
                <w:sz w:val="15"/>
                <w:szCs w:val="15"/>
                <w:b w:val="1"/>
                <w:bCs w:val="1"/>
                <w:color w:val="auto"/>
                <w:w w:val="99"/>
              </w:rPr>
              <w:t>Non-PEO Named Executive Officers</w:t>
            </w:r>
          </w:p>
        </w:tc>
        <w:tc>
          <w:tcPr>
            <w:tcW w:w="6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2022</w:t>
            </w:r>
          </w:p>
        </w:tc>
        <w:tc>
          <w:tcPr>
            <w:tcW w:w="1820" w:type="dxa"/>
            <w:vAlign w:val="bottom"/>
            <w:gridSpan w:val="3"/>
          </w:tcPr>
          <w:p>
            <w:pPr>
              <w:jc w:val="right"/>
              <w:spacing w:after="0"/>
              <w:rPr>
                <w:sz w:val="20"/>
                <w:szCs w:val="20"/>
                <w:color w:val="auto"/>
              </w:rPr>
            </w:pPr>
            <w:r>
              <w:rPr>
                <w:rFonts w:ascii="Arial" w:cs="Arial" w:eastAsia="Arial" w:hAnsi="Arial"/>
                <w:sz w:val="15"/>
                <w:szCs w:val="15"/>
                <w:b w:val="1"/>
                <w:bCs w:val="1"/>
                <w:color w:val="auto"/>
              </w:rPr>
              <w:t>% Change from</w:t>
            </w:r>
          </w:p>
        </w:tc>
        <w:tc>
          <w:tcPr>
            <w:tcW w:w="1840" w:type="dxa"/>
            <w:vAlign w:val="bottom"/>
            <w:gridSpan w:val="3"/>
          </w:tcPr>
          <w:p>
            <w:pPr>
              <w:jc w:val="right"/>
              <w:spacing w:after="0"/>
              <w:rPr>
                <w:sz w:val="20"/>
                <w:szCs w:val="20"/>
                <w:color w:val="auto"/>
              </w:rPr>
            </w:pPr>
            <w:r>
              <w:rPr>
                <w:rFonts w:ascii="Arial" w:cs="Arial" w:eastAsia="Arial" w:hAnsi="Arial"/>
                <w:sz w:val="15"/>
                <w:szCs w:val="15"/>
                <w:b w:val="1"/>
                <w:bCs w:val="1"/>
                <w:color w:val="auto"/>
              </w:rPr>
              <w:t>% Change from</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2023</w:t>
            </w:r>
          </w:p>
        </w:tc>
        <w:tc>
          <w:tcPr>
            <w:tcW w:w="10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b w:val="1"/>
                <w:bCs w:val="1"/>
                <w:color w:val="auto"/>
              </w:rPr>
              <w:t>2022 to 2023</w:t>
            </w: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2024</w:t>
            </w:r>
          </w:p>
        </w:tc>
        <w:tc>
          <w:tcPr>
            <w:tcW w:w="10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b w:val="1"/>
                <w:bCs w:val="1"/>
                <w:color w:val="auto"/>
              </w:rPr>
              <w:t>2023 to 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6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Salary</w:t>
            </w:r>
            <w:r>
              <w:rPr>
                <w:rFonts w:ascii="Arial" w:cs="Arial" w:eastAsia="Arial" w:hAnsi="Arial"/>
                <w:sz w:val="19"/>
                <w:szCs w:val="19"/>
                <w:color w:val="auto"/>
                <w:vertAlign w:val="superscript"/>
              </w:rPr>
              <w:t>(1)</w:t>
            </w:r>
          </w:p>
        </w:tc>
        <w:tc>
          <w:tcPr>
            <w:tcW w:w="6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​$454,208</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$ 469,233</w:t>
            </w:r>
          </w:p>
        </w:tc>
        <w:tc>
          <w:tcPr>
            <w:tcW w:w="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3.3%</w:t>
            </w:r>
          </w:p>
        </w:tc>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​​$ 447,733</w:t>
            </w:r>
          </w:p>
        </w:tc>
        <w:tc>
          <w:tcPr>
            <w:tcW w:w="3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-4.6%</w:t>
            </w:r>
          </w:p>
        </w:tc>
        <w:tc>
          <w:tcPr>
            <w:tcW w:w="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560" w:type="dxa"/>
            <w:vAlign w:val="bottom"/>
          </w:tcPr>
          <w:p>
            <w:pPr>
              <w:spacing w:after="0" w:line="169" w:lineRule="exact"/>
              <w:rPr>
                <w:sz w:val="20"/>
                <w:szCs w:val="20"/>
                <w:color w:val="auto"/>
              </w:rPr>
            </w:pPr>
            <w:r>
              <w:rPr>
                <w:rFonts w:ascii="Arial" w:cs="Arial" w:eastAsia="Arial" w:hAnsi="Arial"/>
                <w:sz w:val="15"/>
                <w:szCs w:val="15"/>
                <w:color w:val="auto"/>
              </w:rPr>
              <w:t>Stock Awards</w:t>
            </w:r>
          </w:p>
        </w:tc>
        <w:tc>
          <w:tcPr>
            <w:tcW w:w="660" w:type="dxa"/>
            <w:vAlign w:val="bottom"/>
          </w:tcPr>
          <w:p>
            <w:pPr>
              <w:jc w:val="center"/>
              <w:spacing w:after="0" w:line="169" w:lineRule="exact"/>
              <w:rPr>
                <w:sz w:val="20"/>
                <w:szCs w:val="20"/>
                <w:color w:val="auto"/>
              </w:rPr>
            </w:pPr>
            <w:r>
              <w:rPr>
                <w:rFonts w:ascii="Arial" w:cs="Arial" w:eastAsia="Arial" w:hAnsi="Arial"/>
                <w:sz w:val="15"/>
                <w:szCs w:val="15"/>
                <w:color w:val="auto"/>
              </w:rPr>
              <w:t>​$138,685</w:t>
            </w:r>
          </w:p>
        </w:tc>
        <w:tc>
          <w:tcPr>
            <w:tcW w:w="7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$(253,335)</w:t>
            </w:r>
          </w:p>
        </w:tc>
        <w:tc>
          <w:tcPr>
            <w:tcW w:w="1040" w:type="dxa"/>
            <w:vAlign w:val="bottom"/>
            <w:gridSpan w:val="2"/>
          </w:tcPr>
          <w:p>
            <w:pPr>
              <w:jc w:val="right"/>
              <w:ind w:right="105"/>
              <w:spacing w:after="0" w:line="169" w:lineRule="exact"/>
              <w:rPr>
                <w:sz w:val="20"/>
                <w:szCs w:val="20"/>
                <w:color w:val="auto"/>
              </w:rPr>
            </w:pPr>
            <w:r>
              <w:rPr>
                <w:rFonts w:ascii="Arial" w:cs="Arial" w:eastAsia="Arial" w:hAnsi="Arial"/>
                <w:sz w:val="15"/>
                <w:szCs w:val="15"/>
                <w:color w:val="auto"/>
              </w:rPr>
              <w:t>​ -282.7%</w:t>
            </w:r>
          </w:p>
        </w:tc>
        <w:tc>
          <w:tcPr>
            <w:tcW w:w="820" w:type="dxa"/>
            <w:vAlign w:val="bottom"/>
          </w:tcPr>
          <w:p>
            <w:pPr>
              <w:spacing w:after="0" w:line="169" w:lineRule="exact"/>
              <w:rPr>
                <w:sz w:val="20"/>
                <w:szCs w:val="20"/>
                <w:color w:val="auto"/>
              </w:rPr>
            </w:pPr>
            <w:r>
              <w:rPr>
                <w:rFonts w:ascii="Arial" w:cs="Arial" w:eastAsia="Arial" w:hAnsi="Arial"/>
                <w:sz w:val="15"/>
                <w:szCs w:val="15"/>
                <w:color w:val="auto"/>
              </w:rPr>
              <w:t>​​$(166,027)</w:t>
            </w:r>
          </w:p>
        </w:tc>
        <w:tc>
          <w:tcPr>
            <w:tcW w:w="34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145"/>
              <w:spacing w:after="0" w:line="169" w:lineRule="exact"/>
              <w:rPr>
                <w:sz w:val="20"/>
                <w:szCs w:val="20"/>
                <w:color w:val="auto"/>
              </w:rPr>
            </w:pPr>
            <w:r>
              <w:rPr>
                <w:rFonts w:ascii="Arial" w:cs="Arial" w:eastAsia="Arial" w:hAnsi="Arial"/>
                <w:sz w:val="15"/>
                <w:szCs w:val="15"/>
                <w:color w:val="auto"/>
              </w:rPr>
              <w:t>34.5%</w:t>
            </w:r>
          </w:p>
        </w:tc>
        <w:tc>
          <w:tcPr>
            <w:tcW w:w="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All Other Compensation</w:t>
            </w:r>
          </w:p>
        </w:tc>
        <w:tc>
          <w:tcPr>
            <w:tcW w:w="66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rPr>
              <w:t>​$ 46,038</w:t>
            </w:r>
          </w:p>
        </w:tc>
        <w:tc>
          <w:tcPr>
            <w:tcW w:w="78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55,523</w:t>
            </w:r>
          </w:p>
        </w:tc>
        <w:tc>
          <w:tcPr>
            <w:tcW w:w="320" w:type="dxa"/>
            <w:vAlign w:val="bottom"/>
            <w:shd w:val="clear" w:color="auto" w:fill="CCEEFF"/>
          </w:tcPr>
          <w:p>
            <w:pPr>
              <w:ind w:left="220"/>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20.6%</w:t>
            </w:r>
          </w:p>
        </w:tc>
        <w:tc>
          <w:tcPr>
            <w:tcW w:w="8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17,631</w:t>
            </w:r>
          </w:p>
        </w:tc>
        <w:tc>
          <w:tcPr>
            <w:tcW w:w="1020" w:type="dxa"/>
            <w:vAlign w:val="bottom"/>
            <w:gridSpan w:val="2"/>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rPr>
              <w:t>​ -68.2%</w:t>
            </w:r>
          </w:p>
        </w:tc>
        <w:tc>
          <w:tcPr>
            <w:tcW w:w="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40" w:type="dxa"/>
            <w:vAlign w:val="bottom"/>
            <w:gridSpan w:val="2"/>
          </w:tcPr>
          <w:p>
            <w:pPr>
              <w:jc w:val="right"/>
              <w:ind w:right="5"/>
              <w:spacing w:after="0"/>
              <w:rPr>
                <w:sz w:val="20"/>
                <w:szCs w:val="20"/>
                <w:color w:val="auto"/>
              </w:rPr>
            </w:pPr>
            <w:r>
              <w:rPr>
                <w:rFonts w:ascii="Arial" w:cs="Arial" w:eastAsia="Arial" w:hAnsi="Arial"/>
                <w:sz w:val="15"/>
                <w:szCs w:val="15"/>
                <w:b w:val="1"/>
                <w:bCs w:val="1"/>
                <w:color w:val="auto"/>
              </w:rPr>
              <w:t>​$638,930​$ 271,421</w:t>
            </w:r>
          </w:p>
        </w:tc>
        <w:tc>
          <w:tcPr>
            <w:tcW w:w="32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105"/>
              <w:spacing w:after="0"/>
              <w:rPr>
                <w:sz w:val="20"/>
                <w:szCs w:val="20"/>
                <w:color w:val="auto"/>
              </w:rPr>
            </w:pPr>
            <w:r>
              <w:rPr>
                <w:rFonts w:ascii="Arial" w:cs="Arial" w:eastAsia="Arial" w:hAnsi="Arial"/>
                <w:sz w:val="15"/>
                <w:szCs w:val="15"/>
                <w:b w:val="1"/>
                <w:bCs w:val="1"/>
                <w:color w:val="auto"/>
              </w:rPr>
              <w:t>-57.5%</w:t>
            </w:r>
          </w:p>
        </w:tc>
        <w:tc>
          <w:tcPr>
            <w:tcW w:w="820" w:type="dxa"/>
            <w:vAlign w:val="bottom"/>
          </w:tcPr>
          <w:p>
            <w:pPr>
              <w:spacing w:after="0"/>
              <w:rPr>
                <w:sz w:val="20"/>
                <w:szCs w:val="20"/>
                <w:color w:val="auto"/>
              </w:rPr>
            </w:pPr>
            <w:r>
              <w:rPr>
                <w:rFonts w:ascii="Arial" w:cs="Arial" w:eastAsia="Arial" w:hAnsi="Arial"/>
                <w:sz w:val="15"/>
                <w:szCs w:val="15"/>
                <w:b w:val="1"/>
                <w:bCs w:val="1"/>
                <w:color w:val="auto"/>
              </w:rPr>
              <w:t>​​$ 299,338</w:t>
            </w:r>
          </w:p>
        </w:tc>
        <w:tc>
          <w:tcPr>
            <w:tcW w:w="34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145"/>
              <w:spacing w:after="0"/>
              <w:rPr>
                <w:sz w:val="20"/>
                <w:szCs w:val="20"/>
                <w:color w:val="auto"/>
              </w:rPr>
            </w:pPr>
            <w:r>
              <w:rPr>
                <w:rFonts w:ascii="Arial" w:cs="Arial" w:eastAsia="Arial" w:hAnsi="Arial"/>
                <w:sz w:val="15"/>
                <w:szCs w:val="15"/>
                <w:b w:val="1"/>
                <w:bCs w:val="1"/>
                <w:color w:val="auto"/>
              </w:rPr>
              <w:t>10.3%</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380" w:right="1459" w:hanging="301"/>
        <w:spacing w:after="0" w:line="207" w:lineRule="auto"/>
        <w:tabs>
          <w:tab w:leader="none" w:pos="1380" w:val="left"/>
        </w:tabs>
        <w:numPr>
          <w:ilvl w:val="0"/>
          <w:numId w:val="44"/>
        </w:numPr>
        <w:rPr>
          <w:rFonts w:ascii="Arial" w:cs="Arial" w:eastAsia="Arial" w:hAnsi="Arial"/>
          <w:sz w:val="23"/>
          <w:szCs w:val="23"/>
          <w:color w:val="auto"/>
          <w:vertAlign w:val="superscript"/>
        </w:rPr>
      </w:pPr>
      <w:r>
        <w:rPr>
          <w:rFonts w:ascii="Arial" w:cs="Arial" w:eastAsia="Arial" w:hAnsi="Arial"/>
          <w:sz w:val="15"/>
          <w:szCs w:val="15"/>
          <w:color w:val="auto"/>
        </w:rPr>
        <w:t>Change in salary is due to (i) the legally required Luxembourg salary indexation and (ii) Euro to U.S. dollar exchange rate fluctuation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Summary of actual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114300</wp:posOffset>
            </wp:positionV>
            <wp:extent cx="4335780" cy="1530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35780" cy="153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Note: The actual value of equity awards in 2023 and 2024 is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4" w:name="page45"/>
    <w:bookmarkEnd w:id="44"/>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660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TWO</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-181610</wp:posOffset>
            </wp:positionV>
            <wp:extent cx="851535" cy="1219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1535" cy="121920"/>
                    </a:xfrm>
                    <a:prstGeom prst="rect">
                      <a:avLst/>
                    </a:prstGeom>
                    <a:noFill/>
                  </pic:spPr>
                </pic:pic>
              </a:graphicData>
            </a:graphic>
          </wp:anchor>
        </w:drawing>
      </w:r>
    </w:p>
    <w:p>
      <w:pPr>
        <w:spacing w:after="0" w:line="87" w:lineRule="exact"/>
        <w:rPr>
          <w:sz w:val="20"/>
          <w:szCs w:val="20"/>
          <w:color w:val="auto"/>
        </w:rPr>
      </w:pPr>
    </w:p>
    <w:p>
      <w:pPr>
        <w:ind w:left="1080" w:right="1139"/>
        <w:spacing w:after="0" w:line="281" w:lineRule="auto"/>
        <w:rPr>
          <w:sz w:val="20"/>
          <w:szCs w:val="20"/>
          <w:color w:val="auto"/>
        </w:rPr>
      </w:pPr>
      <w:r>
        <w:rPr>
          <w:rFonts w:ascii="Arial" w:cs="Arial" w:eastAsia="Arial" w:hAnsi="Arial"/>
          <w:sz w:val="18"/>
          <w:szCs w:val="18"/>
          <w:b w:val="1"/>
          <w:bCs w:val="1"/>
          <w:color w:val="auto"/>
        </w:rPr>
        <w:t>Proposal Two: Approval of Appointment of Independent Registered Accounting Firm and Certified Auditor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-6350</wp:posOffset>
            </wp:positionV>
            <wp:extent cx="435038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01" w:lineRule="exact"/>
        <w:rPr>
          <w:sz w:val="20"/>
          <w:szCs w:val="20"/>
          <w:color w:val="auto"/>
        </w:rPr>
      </w:pPr>
    </w:p>
    <w:p>
      <w:pPr>
        <w:ind w:left="1080" w:right="1119"/>
        <w:spacing w:after="0" w:line="259" w:lineRule="auto"/>
        <w:rPr>
          <w:sz w:val="20"/>
          <w:szCs w:val="20"/>
          <w:color w:val="auto"/>
        </w:rPr>
      </w:pPr>
      <w:r>
        <w:rPr>
          <w:rFonts w:ascii="Arial" w:cs="Arial" w:eastAsia="Arial" w:hAnsi="Arial"/>
          <w:sz w:val="15"/>
          <w:szCs w:val="15"/>
          <w:color w:val="auto"/>
        </w:rPr>
        <w:t xml:space="preserve">The Audit Committee of our Board has approved the appointment of RSM US LLP (“RSM”) as our independent registered public accounting firm for the year ending December 31, 2025 and until the Company’s 2026 annual general meeting of shareholders, and the appointment of Atwell S.à r.l. (“Atwell”) as our certified auditor </w:t>
      </w:r>
      <w:r>
        <w:rPr>
          <w:rFonts w:ascii="Arial" w:cs="Arial" w:eastAsia="Arial" w:hAnsi="Arial"/>
          <w:sz w:val="15"/>
          <w:szCs w:val="15"/>
          <w:i w:val="1"/>
          <w:iCs w:val="1"/>
          <w:color w:val="auto"/>
        </w:rPr>
        <w:t>(Réviseur d’Entreprises)</w:t>
      </w:r>
      <w:r>
        <w:rPr>
          <w:rFonts w:ascii="Arial" w:cs="Arial" w:eastAsia="Arial" w:hAnsi="Arial"/>
          <w:sz w:val="15"/>
          <w:szCs w:val="15"/>
          <w:color w:val="auto"/>
        </w:rPr>
        <w:t xml:space="preserve"> for statutory accounts as required by Luxembourg law for the same period.</w:t>
      </w:r>
    </w:p>
    <w:p>
      <w:pPr>
        <w:spacing w:after="0" w:line="83" w:lineRule="exact"/>
        <w:rPr>
          <w:sz w:val="20"/>
          <w:szCs w:val="20"/>
          <w:color w:val="auto"/>
        </w:rPr>
      </w:pPr>
    </w:p>
    <w:p>
      <w:pPr>
        <w:ind w:left="1080" w:right="1759"/>
        <w:spacing w:after="0" w:line="286" w:lineRule="auto"/>
        <w:rPr>
          <w:sz w:val="20"/>
          <w:szCs w:val="20"/>
          <w:color w:val="auto"/>
        </w:rPr>
      </w:pPr>
      <w:r>
        <w:rPr>
          <w:rFonts w:ascii="Arial" w:cs="Arial" w:eastAsia="Arial" w:hAnsi="Arial"/>
          <w:sz w:val="15"/>
          <w:szCs w:val="15"/>
          <w:color w:val="auto"/>
        </w:rPr>
        <w:t>The Audit Committee further recommended that such appointments be submitted for approval by our shareholders at our Annual Meeting.</w:t>
      </w:r>
    </w:p>
    <w:p>
      <w:pPr>
        <w:spacing w:after="0" w:line="73" w:lineRule="exact"/>
        <w:rPr>
          <w:sz w:val="20"/>
          <w:szCs w:val="20"/>
          <w:color w:val="auto"/>
        </w:rPr>
      </w:pPr>
    </w:p>
    <w:p>
      <w:pPr>
        <w:ind w:left="1080" w:right="1219"/>
        <w:spacing w:after="0" w:line="268" w:lineRule="auto"/>
        <w:rPr>
          <w:sz w:val="20"/>
          <w:szCs w:val="20"/>
          <w:color w:val="auto"/>
        </w:rPr>
      </w:pPr>
      <w:r>
        <w:rPr>
          <w:rFonts w:ascii="Arial" w:cs="Arial" w:eastAsia="Arial" w:hAnsi="Arial"/>
          <w:sz w:val="15"/>
          <w:szCs w:val="15"/>
          <w:color w:val="auto"/>
        </w:rPr>
        <w:t>Representatives of RSM and Atwell will be offered the opportunity to be present at the Annual Meeting and to make any statements they deem appropriate. At this time, we do not expect such firms’ representatives to attend or join the Annual Meeting.</w:t>
      </w:r>
    </w:p>
    <w:p>
      <w:pPr>
        <w:spacing w:after="0" w:line="233" w:lineRule="exact"/>
        <w:rPr>
          <w:sz w:val="20"/>
          <w:szCs w:val="20"/>
          <w:color w:val="auto"/>
        </w:rPr>
      </w:pPr>
    </w:p>
    <w:p>
      <w:pPr>
        <w:jc w:val="center"/>
        <w:ind w:left="2480" w:right="220"/>
        <w:spacing w:after="0" w:line="274" w:lineRule="auto"/>
        <w:rPr>
          <w:sz w:val="20"/>
          <w:szCs w:val="20"/>
          <w:color w:val="auto"/>
        </w:rPr>
      </w:pPr>
      <w:r>
        <w:rPr>
          <w:rFonts w:ascii="Arial" w:cs="Arial" w:eastAsia="Arial" w:hAnsi="Arial"/>
          <w:sz w:val="15"/>
          <w:szCs w:val="15"/>
          <w:b w:val="1"/>
          <w:bCs w:val="1"/>
          <w:color w:val="auto"/>
        </w:rPr>
        <w:t>OUR BOARD OF DIRECTORS UNANIMOUSLY RECOMMENDS THAT YOU VOTE “FOR” THE APPROVAL OF APPOINTMENT OF INDEPENDENT REGISTERED ACCOUNTING FIRM AND CERTIFIED AUDITOR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5" w:name="page46"/>
    <w:bookmarkEnd w:id="45"/>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40640</wp:posOffset>
            </wp:positionV>
            <wp:extent cx="435038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76" w:lineRule="exact"/>
        <w:rPr>
          <w:sz w:val="20"/>
          <w:szCs w:val="20"/>
          <w:color w:val="auto"/>
        </w:rPr>
      </w:pPr>
    </w:p>
    <w:p>
      <w:pPr>
        <w:ind w:left="1080" w:right="1159"/>
        <w:spacing w:after="0" w:line="254" w:lineRule="auto"/>
        <w:rPr>
          <w:sz w:val="20"/>
          <w:szCs w:val="20"/>
          <w:color w:val="auto"/>
        </w:rPr>
      </w:pPr>
      <w:r>
        <w:rPr>
          <w:rFonts w:ascii="Arial" w:cs="Arial" w:eastAsia="Arial" w:hAnsi="Arial"/>
          <w:sz w:val="15"/>
          <w:szCs w:val="15"/>
          <w:color w:val="auto"/>
        </w:rPr>
        <w:t>As described more fully in our charter, the Audit Committee reports to and acts on behalf of our Board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Our independent registered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273" w:lineRule="exact"/>
        <w:rPr>
          <w:sz w:val="20"/>
          <w:szCs w:val="20"/>
          <w:color w:val="auto"/>
        </w:rPr>
      </w:pPr>
    </w:p>
    <w:p>
      <w:pPr>
        <w:ind w:left="1080" w:right="1099"/>
        <w:spacing w:after="0" w:line="256" w:lineRule="auto"/>
        <w:rPr>
          <w:sz w:val="20"/>
          <w:szCs w:val="20"/>
          <w:color w:val="auto"/>
        </w:rPr>
      </w:pPr>
      <w:r>
        <w:rPr>
          <w:rFonts w:ascii="Arial" w:cs="Arial" w:eastAsia="Arial" w:hAnsi="Arial"/>
          <w:sz w:val="15"/>
          <w:szCs w:val="15"/>
          <w:color w:val="auto"/>
        </w:rPr>
        <w:t xml:space="preserve">In connection with these responsibilities, the Audit Committee met with management and our independent registered public accounting firm to review and discuss the December 31, 2024 audited consolidated financial statements. The Audit Committee has discussed with the independent registered public accounting firm the matters required to be discussed by the PCAOB Auditing Standard No. 1301, </w:t>
      </w:r>
      <w:r>
        <w:rPr>
          <w:rFonts w:ascii="Arial" w:cs="Arial" w:eastAsia="Arial" w:hAnsi="Arial"/>
          <w:sz w:val="15"/>
          <w:szCs w:val="15"/>
          <w:i w:val="1"/>
          <w:iCs w:val="1"/>
          <w:color w:val="auto"/>
        </w:rPr>
        <w:t>Communications with Audit Committees</w:t>
      </w:r>
      <w:r>
        <w:rPr>
          <w:rFonts w:ascii="Arial" w:cs="Arial" w:eastAsia="Arial" w:hAnsi="Arial"/>
          <w:sz w:val="15"/>
          <w:szCs w:val="15"/>
          <w:color w:val="auto"/>
        </w:rPr>
        <w:t>. The Audit Committee has also received written disclosures from the Company’s independent registered public accounting firm, as required by the PCAOB’s applicable requirements, and has discussed the firm’s independence with them.</w:t>
      </w:r>
    </w:p>
    <w:p>
      <w:pPr>
        <w:spacing w:after="0" w:line="278" w:lineRule="exact"/>
        <w:rPr>
          <w:sz w:val="20"/>
          <w:szCs w:val="20"/>
          <w:color w:val="auto"/>
        </w:rPr>
      </w:pPr>
    </w:p>
    <w:p>
      <w:pPr>
        <w:ind w:left="1080" w:right="1159"/>
        <w:spacing w:after="0" w:line="259" w:lineRule="auto"/>
        <w:rPr>
          <w:sz w:val="20"/>
          <w:szCs w:val="20"/>
          <w:color w:val="auto"/>
        </w:rPr>
      </w:pPr>
      <w:r>
        <w:rPr>
          <w:rFonts w:ascii="Arial" w:cs="Arial" w:eastAsia="Arial" w:hAnsi="Arial"/>
          <w:sz w:val="15"/>
          <w:szCs w:val="15"/>
          <w:color w:val="auto"/>
        </w:rPr>
        <w:t>Based upon the Audit Committee’s discussions with management and our independent registered public accounting firm referred to above, and the Audit Committee’s review of the representations of management, the Audit Committee recommended that our Board include the December 31, 2024 audited consolidated financial statements in our 2024 Form 10-K for the year ended December 31, 2024.</w:t>
      </w:r>
    </w:p>
    <w:p>
      <w:pPr>
        <w:spacing w:after="0" w:line="95" w:lineRule="exact"/>
        <w:rPr>
          <w:sz w:val="20"/>
          <w:szCs w:val="20"/>
          <w:color w:val="auto"/>
        </w:rPr>
      </w:pPr>
    </w:p>
    <w:p>
      <w:pPr>
        <w:ind w:left="4680"/>
        <w:spacing w:after="0"/>
        <w:rPr>
          <w:sz w:val="20"/>
          <w:szCs w:val="20"/>
          <w:color w:val="auto"/>
        </w:rPr>
      </w:pPr>
      <w:r>
        <w:rPr>
          <w:rFonts w:ascii="Arial" w:cs="Arial" w:eastAsia="Arial" w:hAnsi="Arial"/>
          <w:sz w:val="15"/>
          <w:szCs w:val="15"/>
          <w:b w:val="1"/>
          <w:bCs w:val="1"/>
          <w:color w:val="auto"/>
        </w:rPr>
        <w:t>Audit Committee:</w:t>
      </w:r>
    </w:p>
    <w:p>
      <w:pPr>
        <w:spacing w:after="0" w:line="22"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Roland Müller-Ineichen, Chair</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Mary C. Hickok, Director</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Joseph L. Morettini, Director</w:t>
      </w:r>
    </w:p>
    <w:p>
      <w:pPr>
        <w:spacing w:after="0" w:line="10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6" w:name="page47"/>
    <w:bookmarkEnd w:id="46"/>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40640</wp:posOffset>
            </wp:positionV>
            <wp:extent cx="435038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76" w:lineRule="exact"/>
        <w:rPr>
          <w:sz w:val="20"/>
          <w:szCs w:val="20"/>
          <w:color w:val="auto"/>
        </w:rPr>
      </w:pPr>
    </w:p>
    <w:p>
      <w:pPr>
        <w:ind w:left="1080" w:right="1099"/>
        <w:spacing w:after="0" w:line="268" w:lineRule="auto"/>
        <w:rPr>
          <w:sz w:val="20"/>
          <w:szCs w:val="20"/>
          <w:color w:val="auto"/>
        </w:rPr>
      </w:pPr>
      <w:r>
        <w:rPr>
          <w:rFonts w:ascii="Arial" w:cs="Arial" w:eastAsia="Arial" w:hAnsi="Arial"/>
          <w:sz w:val="15"/>
          <w:szCs w:val="15"/>
          <w:color w:val="auto"/>
        </w:rPr>
        <w:t>The following table shows the aggregate fees billed to Altisource for professional services by Mayer Hoffman McCann P.C. (“MHM”), RSM US LLP (“RSM”) and Atwell S.à r.l. (“Atwell”) in fiscal years 2023 and 2024.</w:t>
      </w:r>
    </w:p>
    <w:p>
      <w:pPr>
        <w:spacing w:after="0" w:line="98"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3340" w:type="dxa"/>
            <w:vAlign w:val="bottom"/>
          </w:tcPr>
          <w:p>
            <w:pPr>
              <w:ind w:left="1160"/>
              <w:spacing w:after="0"/>
              <w:rPr>
                <w:sz w:val="20"/>
                <w:szCs w:val="20"/>
                <w:color w:val="auto"/>
              </w:rPr>
            </w:pPr>
            <w:r>
              <w:rPr>
                <w:rFonts w:ascii="Arial" w:cs="Arial" w:eastAsia="Arial" w:hAnsi="Arial"/>
                <w:sz w:val="15"/>
                <w:szCs w:val="15"/>
                <w:b w:val="1"/>
                <w:bCs w:val="1"/>
                <w:color w:val="auto"/>
              </w:rPr>
              <w:t>Category</w:t>
            </w:r>
          </w:p>
        </w:tc>
        <w:tc>
          <w:tcPr>
            <w:tcW w:w="380" w:type="dxa"/>
            <w:vAlign w:val="bottom"/>
            <w:gridSpan w:val="2"/>
          </w:tcPr>
          <w:p>
            <w:pPr>
              <w:ind w:left="60"/>
              <w:spacing w:after="0"/>
              <w:rPr>
                <w:sz w:val="20"/>
                <w:szCs w:val="20"/>
                <w:color w:val="auto"/>
              </w:rPr>
            </w:pPr>
            <w:r>
              <w:rPr>
                <w:rFonts w:ascii="Arial" w:cs="Arial" w:eastAsia="Arial" w:hAnsi="Arial"/>
                <w:sz w:val="15"/>
                <w:szCs w:val="15"/>
                <w:b w:val="1"/>
                <w:bCs w:val="1"/>
                <w:color w:val="auto"/>
              </w:rPr>
              <w:t>​ ​</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0"/>
                <w:szCs w:val="20"/>
                <w:color w:val="auto"/>
              </w:rPr>
            </w:pPr>
            <w:r>
              <w:rPr>
                <w:rFonts w:ascii="Arial" w:cs="Arial" w:eastAsia="Arial" w:hAnsi="Arial"/>
                <w:sz w:val="15"/>
                <w:szCs w:val="15"/>
                <w:b w:val="1"/>
                <w:bCs w:val="1"/>
                <w:color w:val="auto"/>
              </w:rPr>
              <w:t>​</w:t>
            </w:r>
          </w:p>
        </w:tc>
        <w:tc>
          <w:tcPr>
            <w:tcW w:w="720" w:type="dxa"/>
            <w:vAlign w:val="bottom"/>
            <w:gridSpan w:val="2"/>
          </w:tcPr>
          <w:p>
            <w:pPr>
              <w:jc w:val="right"/>
              <w:ind w:right="14"/>
              <w:spacing w:after="0"/>
              <w:rPr>
                <w:sz w:val="20"/>
                <w:szCs w:val="20"/>
                <w:color w:val="auto"/>
              </w:rPr>
            </w:pPr>
            <w:r>
              <w:rPr>
                <w:rFonts w:ascii="Arial" w:cs="Arial" w:eastAsia="Arial" w:hAnsi="Arial"/>
                <w:sz w:val="15"/>
                <w:szCs w:val="15"/>
                <w:b w:val="1"/>
                <w:bCs w:val="1"/>
                <w:color w:val="auto"/>
              </w:rPr>
              <w:t>2024   ​</w:t>
            </w: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Audit​</w:t>
            </w:r>
          </w:p>
        </w:tc>
        <w:tc>
          <w:tcPr>
            <w:tcW w:w="3340" w:type="dxa"/>
            <w:vAlign w:val="bottom"/>
            <w:shd w:val="clear" w:color="auto" w:fill="CCEEFF"/>
          </w:tcPr>
          <w:p>
            <w:pPr>
              <w:ind w:left="40"/>
              <w:spacing w:after="0" w:line="161" w:lineRule="exact"/>
              <w:rPr>
                <w:sz w:val="20"/>
                <w:szCs w:val="20"/>
                <w:color w:val="auto"/>
              </w:rPr>
            </w:pPr>
            <w:r>
              <w:rPr>
                <w:rFonts w:ascii="Arial" w:cs="Arial" w:eastAsia="Arial" w:hAnsi="Arial"/>
                <w:sz w:val="15"/>
                <w:szCs w:val="15"/>
                <w:color w:val="auto"/>
              </w:rPr>
              <w:t>Fees</w:t>
            </w:r>
          </w:p>
        </w:tc>
        <w:tc>
          <w:tcPr>
            <w:tcW w:w="960" w:type="dxa"/>
            <w:vAlign w:val="bottom"/>
            <w:gridSpan w:val="3"/>
            <w:shd w:val="clear" w:color="auto" w:fill="CCEEFF"/>
          </w:tcPr>
          <w:p>
            <w:pPr>
              <w:ind w:left="60"/>
              <w:spacing w:after="0" w:line="161" w:lineRule="exact"/>
              <w:rPr>
                <w:sz w:val="20"/>
                <w:szCs w:val="20"/>
                <w:color w:val="auto"/>
              </w:rPr>
            </w:pPr>
            <w:r>
              <w:rPr>
                <w:rFonts w:ascii="Arial" w:cs="Arial" w:eastAsia="Arial" w:hAnsi="Arial"/>
                <w:sz w:val="15"/>
                <w:szCs w:val="15"/>
                <w:color w:val="auto"/>
              </w:rPr>
              <w:t>​ ​​$1,825,616​​</w:t>
            </w:r>
          </w:p>
        </w:tc>
        <w:tc>
          <w:tcPr>
            <w:tcW w:w="140" w:type="dxa"/>
            <w:vAlign w:val="bottom"/>
            <w:vMerge w:val="continue"/>
            <w:shd w:val="clear" w:color="auto" w:fill="CCEEFF"/>
          </w:tcPr>
          <w:p>
            <w:pPr>
              <w:spacing w:after="0"/>
              <w:rPr>
                <w:sz w:val="13"/>
                <w:szCs w:val="13"/>
                <w:color w:val="auto"/>
              </w:rPr>
            </w:pPr>
          </w:p>
        </w:tc>
        <w:tc>
          <w:tcPr>
            <w:tcW w:w="820" w:type="dxa"/>
            <w:vAlign w:val="bottom"/>
            <w:tcBorders>
              <w:left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​​$1,682,030​</w:t>
            </w:r>
          </w:p>
        </w:tc>
        <w:tc>
          <w:tcPr>
            <w:tcW w:w="120" w:type="dxa"/>
            <w:vAlign w:val="bottom"/>
            <w:vMerge w:val="restart"/>
          </w:tcPr>
          <w:p>
            <w:pPr>
              <w:jc w:val="right"/>
              <w:ind w:right="1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80" w:type="dxa"/>
            <w:vAlign w:val="bottom"/>
            <w:gridSpan w:val="2"/>
          </w:tcPr>
          <w:p>
            <w:pPr>
              <w:spacing w:after="0" w:line="169" w:lineRule="exact"/>
              <w:rPr>
                <w:sz w:val="20"/>
                <w:szCs w:val="20"/>
                <w:color w:val="auto"/>
              </w:rPr>
            </w:pPr>
            <w:r>
              <w:rPr>
                <w:rFonts w:ascii="Arial" w:cs="Arial" w:eastAsia="Arial" w:hAnsi="Arial"/>
                <w:sz w:val="15"/>
                <w:szCs w:val="15"/>
                <w:color w:val="auto"/>
              </w:rPr>
              <w:t>Audit​</w:t>
            </w:r>
          </w:p>
        </w:tc>
        <w:tc>
          <w:tcPr>
            <w:tcW w:w="3340" w:type="dxa"/>
            <w:vAlign w:val="bottom"/>
          </w:tcPr>
          <w:p>
            <w:pPr>
              <w:spacing w:after="0" w:line="169" w:lineRule="exact"/>
              <w:rPr>
                <w:sz w:val="20"/>
                <w:szCs w:val="20"/>
                <w:color w:val="auto"/>
              </w:rPr>
            </w:pPr>
            <w:r>
              <w:rPr>
                <w:rFonts w:ascii="Arial" w:cs="Arial" w:eastAsia="Arial" w:hAnsi="Arial"/>
                <w:sz w:val="15"/>
                <w:szCs w:val="15"/>
                <w:color w:val="auto"/>
              </w:rPr>
              <w:t>-Related Fees</w:t>
            </w:r>
          </w:p>
        </w:tc>
        <w:tc>
          <w:tcPr>
            <w:tcW w:w="38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 ​​ ​</w:t>
            </w:r>
          </w:p>
        </w:tc>
        <w:tc>
          <w:tcPr>
            <w:tcW w:w="58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line="169" w:lineRule="exact"/>
              <w:rPr>
                <w:sz w:val="20"/>
                <w:szCs w:val="20"/>
                <w:color w:val="auto"/>
              </w:rPr>
            </w:pPr>
            <w:r>
              <w:rPr>
                <w:rFonts w:ascii="Arial" w:cs="Arial" w:eastAsia="Arial" w:hAnsi="Arial"/>
                <w:sz w:val="15"/>
                <w:szCs w:val="15"/>
                <w:color w:val="auto"/>
              </w:rPr>
              <w:t>​​ ​</w:t>
            </w:r>
          </w:p>
        </w:tc>
        <w:tc>
          <w:tcPr>
            <w:tcW w:w="6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Tax​</w:t>
            </w:r>
          </w:p>
        </w:tc>
        <w:tc>
          <w:tcPr>
            <w:tcW w:w="34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5"/>
                <w:szCs w:val="15"/>
                <w:color w:val="auto"/>
              </w:rPr>
              <w:t>Fees</w:t>
            </w:r>
          </w:p>
        </w:tc>
        <w:tc>
          <w:tcPr>
            <w:tcW w:w="38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 ​​ ​</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Borders>
              <w:left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 ​</w:t>
            </w:r>
          </w:p>
        </w:tc>
        <w:tc>
          <w:tcPr>
            <w:tcW w:w="600" w:type="dxa"/>
            <w:vAlign w:val="bottom"/>
            <w:shd w:val="clear" w:color="auto" w:fill="CCEEFF"/>
          </w:tcPr>
          <w:p>
            <w:pPr>
              <w:spacing w:after="0"/>
              <w:rPr>
                <w:sz w:val="14"/>
                <w:szCs w:val="14"/>
                <w:color w:val="auto"/>
              </w:rPr>
            </w:pPr>
          </w:p>
        </w:tc>
        <w:tc>
          <w:tcPr>
            <w:tcW w:w="120" w:type="dxa"/>
            <w:vAlign w:val="bottom"/>
          </w:tcPr>
          <w:p>
            <w:pPr>
              <w:jc w:val="right"/>
              <w:ind w:right="14"/>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Arial" w:cs="Arial" w:eastAsia="Arial" w:hAnsi="Arial"/>
                <w:sz w:val="15"/>
                <w:szCs w:val="15"/>
                <w:color w:val="auto"/>
              </w:rPr>
              <w:t>​All Other Fees Total</w:t>
            </w: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26,250​​</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42,000</w:t>
            </w:r>
          </w:p>
        </w:tc>
        <w:tc>
          <w:tcPr>
            <w:tcW w:w="120" w:type="dxa"/>
            <w:vAlign w:val="bottom"/>
          </w:tcPr>
          <w:p>
            <w:pPr>
              <w:jc w:val="right"/>
              <w:ind w:right="1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line="102" w:lineRule="exact"/>
              <w:rPr>
                <w:sz w:val="20"/>
                <w:szCs w:val="20"/>
                <w:color w:val="auto"/>
              </w:rPr>
            </w:pPr>
            <w:r>
              <w:rPr>
                <w:rFonts w:ascii="Arial" w:cs="Arial" w:eastAsia="Arial" w:hAnsi="Arial"/>
                <w:sz w:val="10"/>
                <w:szCs w:val="10"/>
                <w:color w:val="auto"/>
                <w:w w:val="81"/>
              </w:rPr>
              <w:t>(1)</w:t>
            </w:r>
          </w:p>
        </w:tc>
        <w:tc>
          <w:tcPr>
            <w:tcW w:w="22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line="102" w:lineRule="exact"/>
              <w:rPr>
                <w:sz w:val="20"/>
                <w:szCs w:val="20"/>
                <w:color w:val="auto"/>
              </w:rPr>
            </w:pPr>
            <w:r>
              <w:rPr>
                <w:rFonts w:ascii="Arial" w:cs="Arial" w:eastAsia="Arial" w:hAnsi="Arial"/>
                <w:sz w:val="10"/>
                <w:szCs w:val="10"/>
                <w:color w:val="auto"/>
                <w:w w:val="81"/>
              </w:rPr>
              <w:t>(2)</w:t>
            </w:r>
          </w:p>
        </w:tc>
        <w:tc>
          <w:tcPr>
            <w:tcW w:w="0" w:type="dxa"/>
            <w:vAlign w:val="bottom"/>
          </w:tcPr>
          <w:p>
            <w:pPr>
              <w:spacing w:after="0" w:line="20" w:lineRule="exact"/>
              <w:rPr>
                <w:sz w:val="1"/>
                <w:szCs w:val="1"/>
                <w:color w:val="auto"/>
              </w:rPr>
            </w:pPr>
          </w:p>
        </w:tc>
      </w:tr>
      <w:tr>
        <w:trPr>
          <w:trHeight w:val="81"/>
        </w:trPr>
        <w:tc>
          <w:tcPr>
            <w:tcW w:w="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820" w:type="dxa"/>
            <w:vAlign w:val="bottom"/>
            <w:tcBorders>
              <w:left w:val="single" w:sz="8" w:color="CCEEFF"/>
            </w:tcBorders>
            <w:gridSpan w:val="2"/>
            <w:vMerge w:val="restart"/>
            <w:shd w:val="clear" w:color="auto" w:fill="CCEEFF"/>
          </w:tcPr>
          <w:p>
            <w:pPr>
              <w:spacing w:after="0"/>
              <w:rPr>
                <w:sz w:val="20"/>
                <w:szCs w:val="20"/>
                <w:color w:val="auto"/>
              </w:rPr>
            </w:pPr>
            <w:r>
              <w:rPr>
                <w:rFonts w:ascii="Arial" w:cs="Arial" w:eastAsia="Arial" w:hAnsi="Arial"/>
                <w:sz w:val="15"/>
                <w:szCs w:val="15"/>
                <w:color w:val="auto"/>
              </w:rPr>
              <w:t>​​$1,724,030</w:t>
            </w: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c>
          <w:tcPr>
            <w:tcW w:w="1100" w:type="dxa"/>
            <w:vAlign w:val="bottom"/>
            <w:gridSpan w:val="4"/>
            <w:shd w:val="clear" w:color="auto" w:fill="CCEEFF"/>
          </w:tcPr>
          <w:p>
            <w:pPr>
              <w:jc w:val="right"/>
              <w:spacing w:after="0" w:line="102" w:lineRule="exact"/>
              <w:rPr>
                <w:sz w:val="20"/>
                <w:szCs w:val="20"/>
                <w:color w:val="auto"/>
              </w:rPr>
            </w:pPr>
            <w:r>
              <w:rPr>
                <w:rFonts w:ascii="Arial" w:cs="Arial" w:eastAsia="Arial" w:hAnsi="Arial"/>
                <w:sz w:val="11"/>
                <w:szCs w:val="11"/>
                <w:color w:val="auto"/>
              </w:rPr>
              <w:t>​ ​​$1,851,866​​</w:t>
            </w:r>
          </w:p>
        </w:tc>
        <w:tc>
          <w:tcPr>
            <w:tcW w:w="820" w:type="dxa"/>
            <w:vAlign w:val="bottom"/>
            <w:tcBorders>
              <w:left w:val="single" w:sz="8" w:color="CCEEFF"/>
            </w:tcBorders>
            <w:gridSpan w:val="2"/>
            <w:vMerge w:val="continue"/>
            <w:shd w:val="clear" w:color="auto" w:fill="CCEEFF"/>
          </w:tcPr>
          <w:p>
            <w:pPr>
              <w:spacing w:after="0"/>
              <w:rPr>
                <w:sz w:val="8"/>
                <w:szCs w:val="8"/>
                <w:color w:val="auto"/>
              </w:rPr>
            </w:pPr>
          </w:p>
        </w:tc>
        <w:tc>
          <w:tcPr>
            <w:tcW w:w="120" w:type="dxa"/>
            <w:vAlign w:val="bottom"/>
          </w:tcPr>
          <w:p>
            <w:pPr>
              <w:jc w:val="right"/>
              <w:ind w:right="14"/>
              <w:spacing w:after="0" w:line="10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-128270</wp:posOffset>
            </wp:positionV>
            <wp:extent cx="309816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098165" cy="698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-571500</wp:posOffset>
            </wp:positionV>
            <wp:extent cx="1143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-571500</wp:posOffset>
            </wp:positionV>
            <wp:extent cx="1143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1064260</wp:posOffset>
            </wp:positionH>
            <wp:positionV relativeFrom="paragraph">
              <wp:posOffset>114300</wp:posOffset>
            </wp:positionV>
            <wp:extent cx="103060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30605" cy="6985"/>
                    </a:xfrm>
                    <a:prstGeom prst="rect">
                      <a:avLst/>
                    </a:prstGeom>
                    <a:noFill/>
                  </pic:spPr>
                </pic:pic>
              </a:graphicData>
            </a:graphic>
          </wp:anchor>
        </w:drawing>
      </w:r>
    </w:p>
    <w:p>
      <w:pPr>
        <w:spacing w:after="0" w:line="270" w:lineRule="exact"/>
        <w:rPr>
          <w:sz w:val="20"/>
          <w:szCs w:val="20"/>
          <w:color w:val="auto"/>
        </w:rPr>
      </w:pPr>
    </w:p>
    <w:p>
      <w:pPr>
        <w:ind w:left="1980" w:right="1119" w:hanging="300"/>
        <w:spacing w:after="0" w:line="226" w:lineRule="auto"/>
        <w:tabs>
          <w:tab w:leader="none" w:pos="198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color w:val="auto"/>
        </w:rPr>
        <w:t>Represents $53,550 billed by MHM ($27,300 for audit fees and $26,250 for other fees); $296,866 billed by Atwell (for audit fees), which includes $20,000 paid to RSM; and $1,501,450 billed by RSM (for audit fees). Fees billed by MHM and Atwell include statutory audits required for regulatory compliance purposes.</w:t>
      </w:r>
    </w:p>
    <w:p>
      <w:pPr>
        <w:spacing w:after="0" w:line="29" w:lineRule="exact"/>
        <w:rPr>
          <w:rFonts w:ascii="Arial" w:cs="Arial" w:eastAsia="Arial" w:hAnsi="Arial"/>
          <w:sz w:val="23"/>
          <w:szCs w:val="23"/>
          <w:color w:val="auto"/>
          <w:vertAlign w:val="superscript"/>
        </w:rPr>
      </w:pPr>
    </w:p>
    <w:p>
      <w:pPr>
        <w:ind w:left="1980" w:right="1299" w:hanging="300"/>
        <w:spacing w:after="0" w:line="226" w:lineRule="auto"/>
        <w:tabs>
          <w:tab w:leader="none" w:pos="198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color w:val="auto"/>
        </w:rPr>
        <w:t>Represents $398,192 billed by Atwell (for audit fees), which includes $20,000 paid to RSM; and $1,325,838 billed by RSM ($1,283,838 for audit fees and $42,000 for other fees). Fees billed by Atwell include statutory audits required for regulatory compliance purposes.</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Audit Fees</w:t>
      </w:r>
    </w:p>
    <w:p>
      <w:pPr>
        <w:spacing w:after="0" w:line="91" w:lineRule="exact"/>
        <w:rPr>
          <w:sz w:val="20"/>
          <w:szCs w:val="20"/>
          <w:color w:val="auto"/>
        </w:rPr>
      </w:pPr>
    </w:p>
    <w:p>
      <w:pPr>
        <w:ind w:left="1080" w:right="1119"/>
        <w:spacing w:after="0" w:line="256" w:lineRule="auto"/>
        <w:rPr>
          <w:sz w:val="20"/>
          <w:szCs w:val="20"/>
          <w:color w:val="auto"/>
        </w:rPr>
      </w:pPr>
      <w:r>
        <w:rPr>
          <w:rFonts w:ascii="Arial" w:cs="Arial" w:eastAsia="Arial" w:hAnsi="Arial"/>
          <w:sz w:val="15"/>
          <w:szCs w:val="15"/>
          <w:color w:val="auto"/>
        </w:rPr>
        <w:t>This category includes the aggregate fees and expenses billed for professional services rendered for the audits of Altisource’s consolidated financial statements for fiscal years 2023 and 2024, for the reviews of the financial statements included in Altisource’s quarterly reports on Form 10-Q during fiscal years 2023 and 2024 and reviews of registration statements and issuances of consents, comfort letters and services that are normally provided by our independent registered public accounting firm and affiliates in connection with statutory and regulatory filings or engagements for the relevant fiscal year.</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Audit-Related Fees</w:t>
      </w:r>
    </w:p>
    <w:p>
      <w:pPr>
        <w:spacing w:after="0" w:line="102" w:lineRule="exact"/>
        <w:rPr>
          <w:sz w:val="20"/>
          <w:szCs w:val="20"/>
          <w:color w:val="auto"/>
        </w:rPr>
      </w:pPr>
    </w:p>
    <w:p>
      <w:pPr>
        <w:ind w:left="1080" w:right="1159"/>
        <w:spacing w:after="0" w:line="258" w:lineRule="auto"/>
        <w:rPr>
          <w:sz w:val="20"/>
          <w:szCs w:val="20"/>
          <w:color w:val="auto"/>
        </w:rPr>
      </w:pPr>
      <w:r>
        <w:rPr>
          <w:rFonts w:ascii="Arial" w:cs="Arial" w:eastAsia="Arial" w:hAnsi="Arial"/>
          <w:sz w:val="15"/>
          <w:szCs w:val="15"/>
          <w:color w:val="auto"/>
        </w:rPr>
        <w:t>This category includes the aggregate fees billed by our independent registered public accounting firm for fiscal years 2023 and 2024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33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Tax Fees</w:t>
      </w:r>
    </w:p>
    <w:p>
      <w:pPr>
        <w:spacing w:after="0" w:line="91" w:lineRule="exact"/>
        <w:rPr>
          <w:sz w:val="20"/>
          <w:szCs w:val="20"/>
          <w:color w:val="auto"/>
        </w:rPr>
      </w:pPr>
    </w:p>
    <w:p>
      <w:pPr>
        <w:ind w:left="1080" w:right="1219"/>
        <w:spacing w:after="0" w:line="268" w:lineRule="auto"/>
        <w:rPr>
          <w:sz w:val="20"/>
          <w:szCs w:val="20"/>
          <w:color w:val="auto"/>
        </w:rPr>
      </w:pPr>
      <w:r>
        <w:rPr>
          <w:rFonts w:ascii="Arial" w:cs="Arial" w:eastAsia="Arial" w:hAnsi="Arial"/>
          <w:sz w:val="15"/>
          <w:szCs w:val="15"/>
          <w:color w:val="auto"/>
        </w:rPr>
        <w:t>This category includes the aggregate fees billed for fiscal years 2023 and 2024 for professional services rendered by our independent registered public accounting firm for tax compliance, tax planning and tax advice.</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Other Fees</w:t>
      </w:r>
    </w:p>
    <w:p>
      <w:pPr>
        <w:spacing w:after="0" w:line="91" w:lineRule="exact"/>
        <w:rPr>
          <w:sz w:val="20"/>
          <w:szCs w:val="20"/>
          <w:color w:val="auto"/>
        </w:rPr>
      </w:pPr>
    </w:p>
    <w:p>
      <w:pPr>
        <w:ind w:left="1080" w:right="1179"/>
        <w:spacing w:after="0" w:line="262" w:lineRule="auto"/>
        <w:rPr>
          <w:sz w:val="20"/>
          <w:szCs w:val="20"/>
          <w:color w:val="auto"/>
        </w:rPr>
      </w:pPr>
      <w:r>
        <w:rPr>
          <w:rFonts w:ascii="Arial" w:cs="Arial" w:eastAsia="Arial" w:hAnsi="Arial"/>
          <w:sz w:val="15"/>
          <w:szCs w:val="15"/>
          <w:color w:val="auto"/>
        </w:rPr>
        <w:t>This category includes the aggregate fees billed for fiscal years 2023 and 2024 for products and services related to consents provided by our independent registered public accounting firm in connection with securities registration statements Altisource filed and that are not reported above under “Audit Fees,” “Audit-Related Fees” or “Tax Fees.”</w:t>
      </w:r>
    </w:p>
    <w:p>
      <w:pPr>
        <w:spacing w:after="0" w:line="92" w:lineRule="exact"/>
        <w:rPr>
          <w:sz w:val="20"/>
          <w:szCs w:val="20"/>
          <w:color w:val="auto"/>
        </w:rPr>
      </w:pPr>
    </w:p>
    <w:p>
      <w:pPr>
        <w:ind w:left="1080" w:right="1139"/>
        <w:spacing w:after="0" w:line="265" w:lineRule="auto"/>
        <w:rPr>
          <w:sz w:val="20"/>
          <w:szCs w:val="20"/>
          <w:color w:val="auto"/>
        </w:rPr>
      </w:pPr>
      <w:r>
        <w:rPr>
          <w:rFonts w:ascii="Arial" w:cs="Arial" w:eastAsia="Arial" w:hAnsi="Arial"/>
          <w:sz w:val="15"/>
          <w:szCs w:val="15"/>
          <w:color w:val="auto"/>
        </w:rPr>
        <w:t>The Audit Committee considered the compatibility of the non-audit-related services provided by, and fees paid to, RSM in fiscal years 2023 and 2024, as applicable, and to MHM in fiscal year 2023 and determined that such services and fees were compatible with the independence of each auditor.</w:t>
      </w:r>
    </w:p>
    <w:p>
      <w:pPr>
        <w:spacing w:after="0" w:line="274" w:lineRule="exact"/>
        <w:rPr>
          <w:sz w:val="20"/>
          <w:szCs w:val="20"/>
          <w:color w:val="auto"/>
        </w:rPr>
      </w:pPr>
    </w:p>
    <w:p>
      <w:pPr>
        <w:ind w:left="1080" w:right="1199"/>
        <w:spacing w:after="0" w:line="262" w:lineRule="auto"/>
        <w:rPr>
          <w:sz w:val="20"/>
          <w:szCs w:val="20"/>
          <w:color w:val="auto"/>
        </w:rPr>
      </w:pPr>
      <w:r>
        <w:rPr>
          <w:rFonts w:ascii="Arial" w:cs="Arial" w:eastAsia="Arial" w:hAnsi="Arial"/>
          <w:sz w:val="15"/>
          <w:szCs w:val="15"/>
          <w:color w:val="auto"/>
        </w:rPr>
        <w:t>The Audit Committee is required to pre-approve the audit and non-audit services performed by our independent registered public accounting firm in order to assure that the provision of such services does not impair our independent registered public accounting firm’s independence. In fiscal years 2023 and 2024, all services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7" w:name="page48"/>
    <w:bookmarkEnd w:id="47"/>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594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EXTERNAL AUDITOR FEES</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-181610</wp:posOffset>
            </wp:positionV>
            <wp:extent cx="1259205" cy="121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59205" cy="121920"/>
                    </a:xfrm>
                    <a:prstGeom prst="rect">
                      <a:avLst/>
                    </a:prstGeom>
                    <a:noFill/>
                  </pic:spPr>
                </pic:pic>
              </a:graphicData>
            </a:graphic>
          </wp:anchor>
        </w:drawing>
      </w:r>
    </w:p>
    <w:p>
      <w:pPr>
        <w:spacing w:after="0" w:line="95" w:lineRule="exact"/>
        <w:rPr>
          <w:sz w:val="20"/>
          <w:szCs w:val="20"/>
          <w:color w:val="auto"/>
        </w:rPr>
      </w:pPr>
    </w:p>
    <w:p>
      <w:pPr>
        <w:ind w:left="1080" w:right="1179"/>
        <w:spacing w:after="0" w:line="268" w:lineRule="auto"/>
        <w:rPr>
          <w:sz w:val="20"/>
          <w:szCs w:val="20"/>
          <w:color w:val="auto"/>
        </w:rPr>
      </w:pPr>
      <w:r>
        <w:rPr>
          <w:rFonts w:ascii="Arial" w:cs="Arial" w:eastAsia="Arial" w:hAnsi="Arial"/>
          <w:sz w:val="15"/>
          <w:szCs w:val="15"/>
          <w:color w:val="auto"/>
        </w:rPr>
        <w:t>associated with our independent registered public accounting firms were pre-approved by the Audit Committee or by the Audit Committee Chair pursuant to authority delegated to him as described below.</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Audit Committee Pre-Approval Policy</w:t>
      </w:r>
    </w:p>
    <w:p>
      <w:pPr>
        <w:spacing w:after="0" w:line="91" w:lineRule="exact"/>
        <w:rPr>
          <w:sz w:val="20"/>
          <w:szCs w:val="20"/>
          <w:color w:val="auto"/>
        </w:rPr>
      </w:pPr>
    </w:p>
    <w:p>
      <w:pPr>
        <w:ind w:left="1080" w:right="1159"/>
        <w:spacing w:after="0" w:line="254" w:lineRule="auto"/>
        <w:rPr>
          <w:sz w:val="20"/>
          <w:szCs w:val="20"/>
          <w:color w:val="auto"/>
        </w:rPr>
      </w:pPr>
      <w:r>
        <w:rPr>
          <w:rFonts w:ascii="Arial" w:cs="Arial" w:eastAsia="Arial" w:hAnsi="Arial"/>
          <w:sz w:val="15"/>
          <w:szCs w:val="15"/>
          <w:color w:val="auto"/>
        </w:rPr>
        <w:t>The Audit Committee has pre-approved certain audit services, audit- related services and non-audit services to be performed by our independent auditor in its Pre-Approval Policy. Except for the services pre-approved pursuant to this policy, all permissible audit services, audit-related services, tax services and non-audit services must be separately pre-approved by the Audit Committee or any member of the Audit Committee to whom such authority is delegated. The Audit Committee has delegated authority to the Audit Committee Chair to pre-approve all such services, except services related to our independent auditor’s annual audit of the Company, which is subject to the specific pre-approval of the Audit Committee. The Audit Committee Chair reports any pre-approval decisions to the Audit Committee for their ratification.</w:t>
      </w:r>
    </w:p>
    <w:p>
      <w:pPr>
        <w:spacing w:after="0" w:line="284" w:lineRule="exact"/>
        <w:rPr>
          <w:sz w:val="20"/>
          <w:szCs w:val="20"/>
          <w:color w:val="auto"/>
        </w:rPr>
      </w:pPr>
    </w:p>
    <w:p>
      <w:pPr>
        <w:ind w:left="1080" w:right="1319"/>
        <w:spacing w:after="0" w:line="286" w:lineRule="auto"/>
        <w:rPr>
          <w:sz w:val="20"/>
          <w:szCs w:val="20"/>
          <w:color w:val="auto"/>
        </w:rPr>
      </w:pPr>
      <w:r>
        <w:rPr>
          <w:rFonts w:ascii="Arial" w:cs="Arial" w:eastAsia="Arial" w:hAnsi="Arial"/>
          <w:sz w:val="15"/>
          <w:szCs w:val="15"/>
          <w:color w:val="auto"/>
        </w:rPr>
        <w:t>The Audit Committee does not delegate to management its responsibilities to pre-approve services performed by our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8" w:name="page49"/>
    <w:bookmarkEnd w:id="48"/>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THREE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-181610</wp:posOffset>
            </wp:positionV>
            <wp:extent cx="937260" cy="1219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7260" cy="121920"/>
                    </a:xfrm>
                    <a:prstGeom prst="rect">
                      <a:avLst/>
                    </a:prstGeom>
                    <a:noFill/>
                  </pic:spPr>
                </pic:pic>
              </a:graphicData>
            </a:graphic>
          </wp:anchor>
        </w:drawing>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Three: Luxembourg Statutory Accounts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33655</wp:posOffset>
            </wp:positionV>
            <wp:extent cx="435038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65" w:lineRule="exact"/>
        <w:rPr>
          <w:sz w:val="20"/>
          <w:szCs w:val="20"/>
          <w:color w:val="auto"/>
        </w:rPr>
      </w:pPr>
    </w:p>
    <w:p>
      <w:pPr>
        <w:ind w:left="1080" w:right="1239"/>
        <w:spacing w:after="0" w:line="286" w:lineRule="auto"/>
        <w:rPr>
          <w:sz w:val="20"/>
          <w:szCs w:val="20"/>
          <w:color w:val="auto"/>
        </w:rPr>
      </w:pPr>
      <w:r>
        <w:rPr>
          <w:rFonts w:ascii="Arial" w:cs="Arial" w:eastAsia="Arial" w:hAnsi="Arial"/>
          <w:sz w:val="15"/>
          <w:szCs w:val="15"/>
          <w:color w:val="auto"/>
        </w:rPr>
        <w:t>Pursuant to Luxembourg law, the Luxembourg Annual Accounts and the Consolidated Accounts must be submitted each year to shareholders for approval at the Annual Meeting.</w:t>
      </w:r>
    </w:p>
    <w:p>
      <w:pPr>
        <w:spacing w:after="0" w:line="73" w:lineRule="exact"/>
        <w:rPr>
          <w:sz w:val="20"/>
          <w:szCs w:val="20"/>
          <w:color w:val="auto"/>
        </w:rPr>
      </w:pPr>
    </w:p>
    <w:p>
      <w:pPr>
        <w:ind w:left="1080" w:right="1099"/>
        <w:spacing w:after="0" w:line="255" w:lineRule="auto"/>
        <w:rPr>
          <w:sz w:val="20"/>
          <w:szCs w:val="20"/>
          <w:color w:val="auto"/>
        </w:rPr>
      </w:pPr>
      <w:r>
        <w:rPr>
          <w:rFonts w:ascii="Arial" w:cs="Arial" w:eastAsia="Arial" w:hAnsi="Arial"/>
          <w:sz w:val="15"/>
          <w:szCs w:val="15"/>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2024 reflect total assets of $126.9 million and a loss for the year then ended of $283.7 million.</w:t>
      </w:r>
    </w:p>
    <w:p>
      <w:pPr>
        <w:spacing w:after="0" w:line="200" w:lineRule="exact"/>
        <w:rPr>
          <w:sz w:val="20"/>
          <w:szCs w:val="20"/>
          <w:color w:val="auto"/>
        </w:rPr>
      </w:pPr>
    </w:p>
    <w:p>
      <w:pPr>
        <w:spacing w:after="0" w:line="249"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its subsidiaries as if the individual entities were a single company. As of December 31, 2024, the Consolidated Accounts reflect a total deficit of $159.8 million and net loss for the year then ended of $34.3 million.</w:t>
      </w:r>
    </w:p>
    <w:p>
      <w:pPr>
        <w:spacing w:after="0" w:line="97" w:lineRule="exact"/>
        <w:rPr>
          <w:sz w:val="20"/>
          <w:szCs w:val="20"/>
          <w:color w:val="auto"/>
        </w:rPr>
      </w:pPr>
    </w:p>
    <w:p>
      <w:pPr>
        <w:ind w:left="1080" w:right="1139"/>
        <w:spacing w:after="0" w:line="262" w:lineRule="auto"/>
        <w:rPr>
          <w:sz w:val="20"/>
          <w:szCs w:val="20"/>
          <w:color w:val="auto"/>
        </w:rPr>
      </w:pPr>
      <w:r>
        <w:rPr>
          <w:rFonts w:ascii="Arial" w:cs="Arial" w:eastAsia="Arial" w:hAnsi="Arial"/>
          <w:sz w:val="15"/>
          <w:szCs w:val="15"/>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92" w:lineRule="exact"/>
        <w:rPr>
          <w:sz w:val="20"/>
          <w:szCs w:val="20"/>
          <w:color w:val="auto"/>
        </w:rPr>
      </w:pPr>
    </w:p>
    <w:p>
      <w:pPr>
        <w:ind w:left="1080" w:right="1359"/>
        <w:spacing w:after="0" w:line="262" w:lineRule="auto"/>
        <w:rPr>
          <w:sz w:val="20"/>
          <w:szCs w:val="20"/>
          <w:color w:val="auto"/>
        </w:rPr>
      </w:pPr>
      <w:r>
        <w:rPr>
          <w:rFonts w:ascii="Arial" w:cs="Arial" w:eastAsia="Arial" w:hAnsi="Arial"/>
          <w:sz w:val="15"/>
          <w:szCs w:val="15"/>
          <w:color w:val="auto"/>
        </w:rPr>
        <w:t>Altisource’s Luxembourg Statutory Accounts will be available to shareholders at our registered office, during business hours, by appointment, subject to location limitations, if any, that may be imposed by the Luxembourg government, from May 3, 2025 until the conclusion of the Annual Meeting.</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LUXEMBOURG STATUTORY ACCOUNTS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9" w:name="page50"/>
    <w:bookmarkEnd w:id="49"/>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FOUR</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-181610</wp:posOffset>
            </wp:positionV>
            <wp:extent cx="894080" cy="1219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94080" cy="121920"/>
                    </a:xfrm>
                    <a:prstGeom prst="rect">
                      <a:avLst/>
                    </a:prstGeom>
                    <a:noFill/>
                  </pic:spPr>
                </pic:pic>
              </a:graphicData>
            </a:graphic>
          </wp:anchor>
        </w:drawing>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Four: Receipt of Directors’ Report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33655</wp:posOffset>
            </wp:positionV>
            <wp:extent cx="435038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65" w:lineRule="exact"/>
        <w:rPr>
          <w:sz w:val="20"/>
          <w:szCs w:val="20"/>
          <w:color w:val="auto"/>
        </w:rPr>
      </w:pPr>
    </w:p>
    <w:p>
      <w:pPr>
        <w:ind w:left="1080" w:right="1139"/>
        <w:spacing w:after="0" w:line="259" w:lineRule="auto"/>
        <w:rPr>
          <w:sz w:val="20"/>
          <w:szCs w:val="20"/>
          <w:color w:val="auto"/>
        </w:rPr>
      </w:pPr>
      <w:r>
        <w:rPr>
          <w:rFonts w:ascii="Arial" w:cs="Arial" w:eastAsia="Arial" w:hAnsi="Arial"/>
          <w:sz w:val="15"/>
          <w:szCs w:val="15"/>
          <w:color w:val="auto"/>
        </w:rPr>
        <w:t>Under Luxembourg law, our Board is required to prepare an annual Directors’ report for our Luxembourg Statutory Accounts (the “Directors’ Report”). The Directors’ Report presents the Luxembourg Statutory Accounts for the relevant fiscal year, provides an explanation as to the results and certain other required Company matters and proposes the allocation of such results to the shareholders.</w:t>
      </w:r>
    </w:p>
    <w:p>
      <w:pPr>
        <w:spacing w:after="0" w:line="95" w:lineRule="exact"/>
        <w:rPr>
          <w:sz w:val="20"/>
          <w:szCs w:val="20"/>
          <w:color w:val="auto"/>
        </w:rPr>
      </w:pPr>
    </w:p>
    <w:p>
      <w:pPr>
        <w:ind w:left="1080" w:right="1239"/>
        <w:spacing w:after="0" w:line="268" w:lineRule="auto"/>
        <w:rPr>
          <w:sz w:val="20"/>
          <w:szCs w:val="20"/>
          <w:color w:val="auto"/>
        </w:rPr>
      </w:pPr>
      <w:r>
        <w:rPr>
          <w:rFonts w:ascii="Arial" w:cs="Arial" w:eastAsia="Arial" w:hAnsi="Arial"/>
          <w:sz w:val="15"/>
          <w:szCs w:val="15"/>
          <w:color w:val="auto"/>
        </w:rPr>
        <w:t xml:space="preserve">Luxembourg law also requires our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xml:space="preserve"> to provide an annual report confirming that the Company’s Luxembourg Annual Accounts agree with the Company’s accounting records and documents.</w:t>
      </w:r>
    </w:p>
    <w:p>
      <w:pPr>
        <w:spacing w:after="0" w:line="76" w:lineRule="exact"/>
        <w:rPr>
          <w:sz w:val="20"/>
          <w:szCs w:val="20"/>
          <w:color w:val="auto"/>
        </w:rPr>
      </w:pPr>
    </w:p>
    <w:p>
      <w:pPr>
        <w:ind w:left="1080" w:right="1239"/>
        <w:spacing w:after="0" w:line="257" w:lineRule="auto"/>
        <w:rPr>
          <w:sz w:val="20"/>
          <w:szCs w:val="20"/>
          <w:color w:val="auto"/>
        </w:rPr>
      </w:pPr>
      <w:r>
        <w:rPr>
          <w:rFonts w:ascii="Arial" w:cs="Arial" w:eastAsia="Arial" w:hAnsi="Arial"/>
          <w:sz w:val="15"/>
          <w:szCs w:val="15"/>
          <w:color w:val="auto"/>
        </w:rPr>
        <w:t>The Directors’ Report for the year ended December 31, 2024 and the Supervisory Auditor’s Report for the Luxembourg Annual Accounts for the same period will be available to shareholders at our registered office, during business hours, by appointment, subject to location limitations, if any, that may be imposed by the Luxembourg government, from May 3, 2025 until the conclusion of the Annual Meeting. Following shareholder approval of the Luxembourg Statutory Accounts, these reports will be filed with the Luxembourg trade registry as public documents.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RECEIPT OF DIRECTOR’S REPORT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0" w:name="page51"/>
    <w:bookmarkEnd w:id="50"/>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ind w:left="6620"/>
        <w:spacing w:after="0"/>
        <w:tabs>
          <w:tab w:leader="none" w:pos="790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FIVE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-181610</wp:posOffset>
            </wp:positionV>
            <wp:extent cx="836930" cy="1219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36930" cy="121920"/>
                    </a:xfrm>
                    <a:prstGeom prst="rect">
                      <a:avLst/>
                    </a:prstGeom>
                    <a:noFill/>
                  </pic:spPr>
                </pic:pic>
              </a:graphicData>
            </a:graphic>
          </wp:anchor>
        </w:drawing>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Five: Luxembourg Annual Accounts Allocation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33655</wp:posOffset>
            </wp:positionV>
            <wp:extent cx="435038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65" w:lineRule="exact"/>
        <w:rPr>
          <w:sz w:val="20"/>
          <w:szCs w:val="20"/>
          <w:color w:val="auto"/>
        </w:rPr>
      </w:pPr>
    </w:p>
    <w:p>
      <w:pPr>
        <w:ind w:left="1080" w:right="1179"/>
        <w:spacing w:after="0" w:line="268" w:lineRule="auto"/>
        <w:rPr>
          <w:sz w:val="20"/>
          <w:szCs w:val="20"/>
          <w:color w:val="auto"/>
        </w:rPr>
      </w:pPr>
      <w:r>
        <w:rPr>
          <w:rFonts w:ascii="Arial" w:cs="Arial" w:eastAsia="Arial" w:hAnsi="Arial"/>
          <w:sz w:val="15"/>
          <w:szCs w:val="15"/>
          <w:color w:val="auto"/>
        </w:rPr>
        <w:t>Each year, the shareholders of Altisource are required to approve the allocation of the results of the unconsolidated Altisource Portfolio Solutions S.A. entity, as determined by the Luxembourg Annual Accounts.</w:t>
      </w:r>
    </w:p>
    <w:p>
      <w:pPr>
        <w:spacing w:after="0" w:line="87" w:lineRule="exact"/>
        <w:rPr>
          <w:sz w:val="20"/>
          <w:szCs w:val="20"/>
          <w:color w:val="auto"/>
        </w:rPr>
      </w:pPr>
    </w:p>
    <w:p>
      <w:pPr>
        <w:ind w:left="1080" w:right="1159"/>
        <w:spacing w:after="0" w:line="257" w:lineRule="auto"/>
        <w:rPr>
          <w:sz w:val="20"/>
          <w:szCs w:val="20"/>
          <w:color w:val="auto"/>
        </w:rPr>
      </w:pPr>
      <w:r>
        <w:rPr>
          <w:rFonts w:ascii="Arial" w:cs="Arial" w:eastAsia="Arial" w:hAnsi="Arial"/>
          <w:sz w:val="15"/>
          <w:szCs w:val="15"/>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2024, no such allocation is required.</w:t>
      </w:r>
    </w:p>
    <w:p>
      <w:pPr>
        <w:spacing w:after="0" w:line="86" w:lineRule="exact"/>
        <w:rPr>
          <w:sz w:val="20"/>
          <w:szCs w:val="20"/>
          <w:color w:val="auto"/>
        </w:rPr>
      </w:pPr>
    </w:p>
    <w:p>
      <w:pPr>
        <w:ind w:left="1080" w:right="1339"/>
        <w:spacing w:after="0" w:line="259" w:lineRule="auto"/>
        <w:rPr>
          <w:sz w:val="20"/>
          <w:szCs w:val="20"/>
          <w:color w:val="auto"/>
        </w:rPr>
      </w:pPr>
      <w:r>
        <w:rPr>
          <w:rFonts w:ascii="Arial" w:cs="Arial" w:eastAsia="Arial" w:hAnsi="Arial"/>
          <w:sz w:val="15"/>
          <w:szCs w:val="15"/>
          <w:color w:val="auto"/>
        </w:rPr>
        <w:t>As of December 31, 2024, the Luxembourg Annual Accounts for Altisource reflect total assets of $126.9 million and a loss for the year then ended of $283.7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95" w:lineRule="exact"/>
        <w:rPr>
          <w:sz w:val="20"/>
          <w:szCs w:val="20"/>
          <w:color w:val="auto"/>
        </w:rPr>
      </w:pPr>
    </w:p>
    <w:p>
      <w:pPr>
        <w:ind w:left="1080" w:right="1639"/>
        <w:spacing w:after="0" w:line="286" w:lineRule="auto"/>
        <w:rPr>
          <w:sz w:val="20"/>
          <w:szCs w:val="20"/>
          <w:color w:val="auto"/>
        </w:rPr>
      </w:pPr>
      <w:r>
        <w:rPr>
          <w:rFonts w:ascii="Arial" w:cs="Arial" w:eastAsia="Arial" w:hAnsi="Arial"/>
          <w:sz w:val="15"/>
          <w:szCs w:val="15"/>
          <w:color w:val="auto"/>
        </w:rPr>
        <w:t>Our Board proposes to allocate the loss of $283.7 million reflected in the Luxembourg Annual Accounts to reduce profit brought forward.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LUXEMBOURG ANNUAL ACCOUNTS ALLOCATION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1" w:name="page52"/>
    <w:bookmarkEnd w:id="51"/>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SIX</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-181610</wp:posOffset>
            </wp:positionV>
            <wp:extent cx="786765" cy="1219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86765" cy="121920"/>
                    </a:xfrm>
                    <a:prstGeom prst="rect">
                      <a:avLst/>
                    </a:prstGeom>
                    <a:noFill/>
                  </pic:spPr>
                </pic:pic>
              </a:graphicData>
            </a:graphic>
          </wp:anchor>
        </w:drawing>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Six: Discharge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33655</wp:posOffset>
            </wp:positionV>
            <wp:extent cx="435038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65" w:lineRule="exact"/>
        <w:rPr>
          <w:sz w:val="20"/>
          <w:szCs w:val="20"/>
          <w:color w:val="auto"/>
        </w:rPr>
      </w:pPr>
    </w:p>
    <w:p>
      <w:pPr>
        <w:ind w:left="1080" w:right="1139"/>
        <w:spacing w:after="0" w:line="254" w:lineRule="auto"/>
        <w:rPr>
          <w:sz w:val="20"/>
          <w:szCs w:val="20"/>
          <w:color w:val="auto"/>
        </w:rPr>
      </w:pPr>
      <w:r>
        <w:rPr>
          <w:rFonts w:ascii="Arial" w:cs="Arial" w:eastAsia="Arial" w:hAnsi="Arial"/>
          <w:sz w:val="15"/>
          <w:szCs w:val="15"/>
          <w:color w:val="auto"/>
        </w:rPr>
        <w:t xml:space="preserve">Pursuant to Luxembourg law, after the approval of the Luxembourg Statutory Accounts (as discussed in Proposal Three above), shareholders must vote on whether to discharge each of our Directors for the performance of their mandate for the year ended December 31, 2024 and our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2024, we believe no such instances have occurred.</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DISCHARGE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2" w:name="page53"/>
    <w:bookmarkEnd w:id="52"/>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4"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SEVEN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-181610</wp:posOffset>
            </wp:positionV>
            <wp:extent cx="937260" cy="1219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7260" cy="121920"/>
                    </a:xfrm>
                    <a:prstGeom prst="rect">
                      <a:avLst/>
                    </a:prstGeom>
                    <a:noFill/>
                  </pic:spPr>
                </pic:pic>
              </a:graphicData>
            </a:graphic>
          </wp:anchor>
        </w:drawing>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Seven: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33655</wp:posOffset>
            </wp:positionV>
            <wp:extent cx="435038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65" w:lineRule="exact"/>
        <w:rPr>
          <w:sz w:val="20"/>
          <w:szCs w:val="20"/>
          <w:color w:val="auto"/>
        </w:rPr>
      </w:pPr>
    </w:p>
    <w:p>
      <w:pPr>
        <w:ind w:left="1080" w:right="1279"/>
        <w:spacing w:after="0" w:line="286" w:lineRule="auto"/>
        <w:rPr>
          <w:sz w:val="20"/>
          <w:szCs w:val="20"/>
          <w:color w:val="auto"/>
        </w:rPr>
      </w:pPr>
      <w:r>
        <w:rPr>
          <w:rFonts w:ascii="Arial" w:cs="Arial" w:eastAsia="Arial" w:hAnsi="Arial"/>
          <w:sz w:val="15"/>
          <w:szCs w:val="15"/>
          <w:color w:val="auto"/>
        </w:rPr>
        <w:t>At our 2024 annual general meeting of shareholders, our shareholders voted in favor of an annual frequency for advisory votes with respect to our executive compensation.</w:t>
      </w:r>
    </w:p>
    <w:p>
      <w:pPr>
        <w:spacing w:after="0" w:line="73" w:lineRule="exact"/>
        <w:rPr>
          <w:sz w:val="20"/>
          <w:szCs w:val="20"/>
          <w:color w:val="auto"/>
        </w:rPr>
      </w:pPr>
    </w:p>
    <w:p>
      <w:pPr>
        <w:ind w:left="1080" w:right="1179"/>
        <w:spacing w:after="0" w:line="265" w:lineRule="auto"/>
        <w:rPr>
          <w:sz w:val="20"/>
          <w:szCs w:val="20"/>
          <w:color w:val="auto"/>
        </w:rPr>
      </w:pPr>
      <w:r>
        <w:rPr>
          <w:rFonts w:ascii="Arial" w:cs="Arial" w:eastAsia="Arial" w:hAnsi="Arial"/>
          <w:sz w:val="15"/>
          <w:szCs w:val="15"/>
          <w:color w:val="auto"/>
        </w:rPr>
        <w:t>In light of this vote, and pursuant to Section 14A of the Securities Exchange Act of 1934, as amended, we are presenting this proposal, which gives shareholders the opportunity to approve or not approve, on a non-binding advisory basis, our pay program for our Named Executive Officers.</w:t>
      </w:r>
    </w:p>
    <w:p>
      <w:pPr>
        <w:spacing w:after="0" w:line="262" w:lineRule="exact"/>
        <w:rPr>
          <w:sz w:val="20"/>
          <w:szCs w:val="20"/>
          <w:color w:val="auto"/>
        </w:rPr>
      </w:pPr>
    </w:p>
    <w:p>
      <w:pPr>
        <w:ind w:left="1080" w:right="1179"/>
        <w:spacing w:after="0" w:line="258" w:lineRule="auto"/>
        <w:rPr>
          <w:sz w:val="20"/>
          <w:szCs w:val="20"/>
          <w:color w:val="auto"/>
        </w:rPr>
      </w:pPr>
      <w:r>
        <w:rPr>
          <w:rFonts w:ascii="Arial" w:cs="Arial" w:eastAsia="Arial" w:hAnsi="Arial"/>
          <w:sz w:val="15"/>
          <w:szCs w:val="15"/>
          <w:color w:val="auto"/>
        </w:rPr>
        <w:t>Our executive compensation program is designed to attract, incent and retain our Named Executive Officers, who are critical to our success. Pursuant to these programs, we seek to reward our Named Executive Officers for achieving strategic business goals designed to deliver long-term shareholder value. Shareholders should read the Executive Compensation section of this proxy statement, which discusses our compensation programs and the 2024 compensation for our Named Executive Officers.</w:t>
      </w:r>
    </w:p>
    <w:p>
      <w:pPr>
        <w:spacing w:after="0" w:line="279" w:lineRule="exact"/>
        <w:rPr>
          <w:sz w:val="20"/>
          <w:szCs w:val="20"/>
          <w:color w:val="auto"/>
        </w:rPr>
      </w:pPr>
    </w:p>
    <w:p>
      <w:pPr>
        <w:ind w:left="1080" w:right="1679"/>
        <w:spacing w:after="0" w:line="286" w:lineRule="auto"/>
        <w:rPr>
          <w:sz w:val="20"/>
          <w:szCs w:val="20"/>
          <w:color w:val="auto"/>
        </w:rPr>
      </w:pPr>
      <w:r>
        <w:rPr>
          <w:rFonts w:ascii="Arial" w:cs="Arial" w:eastAsia="Arial" w:hAnsi="Arial"/>
          <w:sz w:val="15"/>
          <w:szCs w:val="15"/>
          <w:color w:val="auto"/>
        </w:rPr>
        <w:t>While our Board intends to carefully consider the shareholder vote resulting from this proposal, the final vote will not be binding on us and is advisory in nature.</w:t>
      </w:r>
    </w:p>
    <w:p>
      <w:pPr>
        <w:spacing w:after="0" w:line="73" w:lineRule="exact"/>
        <w:rPr>
          <w:sz w:val="20"/>
          <w:szCs w:val="20"/>
          <w:color w:val="auto"/>
        </w:rPr>
      </w:pPr>
    </w:p>
    <w:p>
      <w:pPr>
        <w:jc w:val="both"/>
        <w:ind w:left="1080" w:right="1119"/>
        <w:spacing w:after="0" w:line="268" w:lineRule="auto"/>
        <w:rPr>
          <w:sz w:val="20"/>
          <w:szCs w:val="20"/>
          <w:color w:val="auto"/>
        </w:rPr>
      </w:pPr>
      <w:r>
        <w:rPr>
          <w:rFonts w:ascii="Arial" w:cs="Arial" w:eastAsia="Arial" w:hAnsi="Arial"/>
          <w:sz w:val="15"/>
          <w:szCs w:val="15"/>
          <w:color w:val="auto"/>
        </w:rPr>
        <w:t>You may vote for or against the approval of our Named Executive Officers’ compensation, as disclosed in the Summary Compensation Table and accompanying compensation tables and related information contained in this proxy statement.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SAY-ON-PAY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3" w:name="page54"/>
    <w:bookmarkEnd w:id="53"/>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right="2119"/>
        <w:spacing w:after="0" w:line="294" w:lineRule="auto"/>
        <w:rPr>
          <w:sz w:val="20"/>
          <w:szCs w:val="20"/>
          <w:color w:val="auto"/>
        </w:rPr>
      </w:pPr>
      <w:r>
        <w:rPr>
          <w:rFonts w:ascii="Arial" w:cs="Arial" w:eastAsia="Arial" w:hAnsi="Arial"/>
          <w:sz w:val="18"/>
          <w:szCs w:val="18"/>
          <w:b w:val="1"/>
          <w:bCs w:val="1"/>
          <w:color w:val="auto"/>
        </w:rPr>
        <w:t>Proposals to be Considered at the Extraordinary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-20320</wp:posOffset>
            </wp:positionV>
            <wp:extent cx="435038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Proposal One: Share Consolidation Proposal</w:t>
      </w:r>
    </w:p>
    <w:p>
      <w:pPr>
        <w:spacing w:after="0" w:line="102" w:lineRule="exact"/>
        <w:rPr>
          <w:sz w:val="20"/>
          <w:szCs w:val="20"/>
          <w:color w:val="auto"/>
        </w:rPr>
      </w:pPr>
    </w:p>
    <w:p>
      <w:pPr>
        <w:ind w:left="1080" w:right="1099"/>
        <w:spacing w:after="0" w:line="255" w:lineRule="auto"/>
        <w:rPr>
          <w:sz w:val="20"/>
          <w:szCs w:val="20"/>
          <w:color w:val="auto"/>
        </w:rPr>
      </w:pPr>
      <w:r>
        <w:rPr>
          <w:rFonts w:ascii="Arial" w:cs="Arial" w:eastAsia="Arial" w:hAnsi="Arial"/>
          <w:sz w:val="15"/>
          <w:szCs w:val="15"/>
          <w:color w:val="auto"/>
        </w:rPr>
        <w:t>On March 16, 2025 our Board approved, subject to shareholder approval, an amendment to Article 5 of the Articles to consolidate eighty-eight million nine hundred and fifty-one thousand nine hundred and twenty-five (88,951,925) shares of the Company’s common stock without designation of nominal value into eleven million one hundred eighteen thousand nine hundred ninety (11,118,990) shares of the Company’s common stock without designation of nominal value, on the basis of a ratio of one (1) post-consolidation share of the Company’s common stock for every eight (8) outstanding pre- consolidation shares of the Company’s common stock (the “Share Consolidation”), and to authorize our Board to proceed with all formalities to effect the Share Consolidation.</w:t>
      </w:r>
    </w:p>
    <w:p>
      <w:pPr>
        <w:spacing w:after="0" w:line="33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Rationale</w:t>
      </w:r>
    </w:p>
    <w:p>
      <w:pPr>
        <w:spacing w:after="0" w:line="91" w:lineRule="exact"/>
        <w:rPr>
          <w:sz w:val="20"/>
          <w:szCs w:val="20"/>
          <w:color w:val="auto"/>
        </w:rPr>
      </w:pPr>
    </w:p>
    <w:p>
      <w:pPr>
        <w:ind w:left="1080" w:right="1179"/>
        <w:spacing w:after="0" w:line="253" w:lineRule="auto"/>
        <w:rPr>
          <w:sz w:val="20"/>
          <w:szCs w:val="20"/>
          <w:color w:val="auto"/>
        </w:rPr>
      </w:pPr>
      <w:r>
        <w:rPr>
          <w:rFonts w:ascii="Arial" w:cs="Arial" w:eastAsia="Arial" w:hAnsi="Arial"/>
          <w:sz w:val="15"/>
          <w:szCs w:val="15"/>
          <w:color w:val="auto"/>
        </w:rPr>
        <w:t>On December 19, 2024, the Company received a letter (the “Bid Price Notice”) from Nasdaq notifying the Company that, because the closing bid price for its common stock has been below $1.00 per share for 30 consecutive business days, it no longer complies with the minimum bid price requirement for continued listing on The Nasdaq Global Select Market. Nasdaq Listing Rule 5450(a)(1) requires listed securities to maintain a minimum bid price of $1.00 per share (the “Minimum Bid Price Rule”), and Nasdaq Listing Rule 5810(c)(3)(A) provides that a failure to meet the Minimum Bid Price Rule exists if the deficiency continues for a period of 30 consecutive business days. Pursuant to Nasdaq Listing Rule 5810(c)(3) (A), the Company has been provided an initial compliance period of 180 calendar days, or until June 17, 2025, to regain compliance with the Minimum Bid Price Rule. The Bid Price Notice states that the Nasdaq staff will provide written confirmation that the Company has achieved compliance with the Minimum Bid Price Rule if at any time before June 17, 2025, the bid price of the Company’s common stock closes at $1.00 per share or more for a minimum of ten consecutive business days.</w:t>
      </w:r>
    </w:p>
    <w:p>
      <w:pPr>
        <w:spacing w:after="0" w:line="284" w:lineRule="exact"/>
        <w:rPr>
          <w:sz w:val="20"/>
          <w:szCs w:val="20"/>
          <w:color w:val="auto"/>
        </w:rPr>
      </w:pPr>
    </w:p>
    <w:p>
      <w:pPr>
        <w:ind w:left="1080" w:right="1139"/>
        <w:spacing w:after="0" w:line="256" w:lineRule="auto"/>
        <w:rPr>
          <w:sz w:val="20"/>
          <w:szCs w:val="20"/>
          <w:color w:val="auto"/>
        </w:rPr>
      </w:pPr>
      <w:r>
        <w:rPr>
          <w:rFonts w:ascii="Arial" w:cs="Arial" w:eastAsia="Arial" w:hAnsi="Arial"/>
          <w:sz w:val="15"/>
          <w:szCs w:val="15"/>
          <w:color w:val="auto"/>
        </w:rPr>
        <w:t>We expect that the Share Consolidation will increase the bid price per share of our common stock above the $1.00 per share set forth in the Minimum Bid Price Rule, thereby satisfying this Nasdaq listing requirement, to the extent necessary. However, there can be no assurance that the Share Consolidation would have that effect, initially or in the future, or that it would enable us to maintain the listing of our common stock on the Nasdaq Global Select Market or any other tier of Nasdaq. We are not aware of any present efforts by anyone to accumulate shares of our common stock, and the proposed Reverse Stock Split is not intended to be an anti-takeover device.</w:t>
      </w:r>
    </w:p>
    <w:p>
      <w:pPr>
        <w:spacing w:after="0" w:line="267" w:lineRule="exact"/>
        <w:rPr>
          <w:sz w:val="20"/>
          <w:szCs w:val="20"/>
          <w:color w:val="auto"/>
        </w:rPr>
      </w:pPr>
    </w:p>
    <w:p>
      <w:pPr>
        <w:ind w:left="1080" w:right="1119"/>
        <w:spacing w:after="0" w:line="254" w:lineRule="auto"/>
        <w:rPr>
          <w:sz w:val="20"/>
          <w:szCs w:val="20"/>
          <w:color w:val="auto"/>
        </w:rPr>
      </w:pPr>
      <w:r>
        <w:rPr>
          <w:rFonts w:ascii="Arial" w:cs="Arial" w:eastAsia="Arial" w:hAnsi="Arial"/>
          <w:sz w:val="15"/>
          <w:szCs w:val="15"/>
          <w:color w:val="auto"/>
        </w:rPr>
        <w:t>In addition, we believe that the low market price of our common stock impairs its marketability to, and acceptance by, institutional investors and other members of the investing public and creates a negative impression of the Company.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price of our common stock but also its trading liquidity. In addition, these factors may affect our ability to raise additional capital through the sale of our common stock.</w:t>
      </w:r>
    </w:p>
    <w:p>
      <w:pPr>
        <w:spacing w:after="0" w:line="284" w:lineRule="exact"/>
        <w:rPr>
          <w:sz w:val="20"/>
          <w:szCs w:val="20"/>
          <w:color w:val="auto"/>
        </w:rPr>
      </w:pPr>
    </w:p>
    <w:p>
      <w:pPr>
        <w:ind w:left="1080" w:right="1119"/>
        <w:spacing w:after="0" w:line="258" w:lineRule="auto"/>
        <w:rPr>
          <w:sz w:val="20"/>
          <w:szCs w:val="20"/>
          <w:color w:val="auto"/>
        </w:rPr>
      </w:pPr>
      <w:r>
        <w:rPr>
          <w:rFonts w:ascii="Arial" w:cs="Arial" w:eastAsia="Arial" w:hAnsi="Arial"/>
          <w:sz w:val="15"/>
          <w:szCs w:val="15"/>
          <w:color w:val="auto"/>
        </w:rPr>
        <w:t>We also believe that a higher share price could help us attract and retain employees and other service providers. We believe that some potential employees and service providers are less likely to work for a company with a low share price, regardless of the size of the company’s market capitalization. If the Share Consolidation successfully increases the per-share price of our common stock, we believe this increase would enhance our ability to attract and retain employees and service providers.</w:t>
      </w:r>
    </w:p>
    <w:p>
      <w:pPr>
        <w:spacing w:after="0" w:line="33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Effectiveness of the Share Consolidation</w:t>
      </w:r>
    </w:p>
    <w:p>
      <w:pPr>
        <w:spacing w:after="0" w:line="91" w:lineRule="exact"/>
        <w:rPr>
          <w:sz w:val="20"/>
          <w:szCs w:val="20"/>
          <w:color w:val="auto"/>
        </w:rPr>
      </w:pPr>
    </w:p>
    <w:p>
      <w:pPr>
        <w:ind w:left="1080" w:right="1119"/>
        <w:spacing w:after="0" w:line="286" w:lineRule="auto"/>
        <w:rPr>
          <w:sz w:val="20"/>
          <w:szCs w:val="20"/>
          <w:color w:val="auto"/>
        </w:rPr>
      </w:pPr>
      <w:r>
        <w:rPr>
          <w:rFonts w:ascii="Arial" w:cs="Arial" w:eastAsia="Arial" w:hAnsi="Arial"/>
          <w:sz w:val="15"/>
          <w:szCs w:val="15"/>
          <w:color w:val="auto"/>
        </w:rPr>
        <w:t>Assuming the Share Consolidation Proposal is approved by shareholders, the Share Consolidation will become effective May 28, 2025 (the “Share Consolidation Effective Date”).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4" w:name="page55"/>
    <w:bookmarkEnd w:id="54"/>
    <w:p>
      <w:pPr>
        <w:ind w:left="40"/>
        <w:spacing w:after="0"/>
        <w:rPr>
          <w:sz w:val="20"/>
          <w:szCs w:val="20"/>
          <w:color w:val="auto"/>
        </w:rPr>
      </w:pPr>
      <w:r>
        <w:rPr>
          <w:rFonts w:ascii="Calibri" w:cs="Calibri" w:eastAsia="Calibri" w:hAnsi="Calibri"/>
          <w:sz w:val="12"/>
          <w:szCs w:val="12"/>
          <w:color w:val="003366"/>
        </w:rPr>
        <w:t>TABLE OF CONTENTS</w:t>
      </w:r>
    </w:p>
    <w:p>
      <w:pPr>
        <w:spacing w:after="0" w:line="228" w:lineRule="exact"/>
        <w:rPr>
          <w:sz w:val="20"/>
          <w:szCs w:val="20"/>
          <w:color w:val="auto"/>
        </w:rPr>
      </w:pPr>
    </w:p>
    <w:p>
      <w:pPr>
        <w:ind w:left="2340" w:right="1059" w:hanging="10"/>
        <w:spacing w:after="0" w:line="272"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-215900</wp:posOffset>
            </wp:positionV>
            <wp:extent cx="3562985" cy="2076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62985" cy="207645"/>
                    </a:xfrm>
                    <a:prstGeom prst="rect">
                      <a:avLst/>
                    </a:prstGeom>
                    <a:noFill/>
                  </pic:spPr>
                </pic:pic>
              </a:graphicData>
            </a:graphic>
          </wp:anchor>
        </w:drawing>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Principal Effects of the Share Consolidation</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Effects of the Share Consolidation on Issued and Outstanding Shares</w:t>
      </w:r>
    </w:p>
    <w:p>
      <w:pPr>
        <w:spacing w:after="0" w:line="132" w:lineRule="exact"/>
        <w:rPr>
          <w:sz w:val="20"/>
          <w:szCs w:val="20"/>
          <w:color w:val="auto"/>
        </w:rPr>
      </w:pPr>
    </w:p>
    <w:p>
      <w:pPr>
        <w:ind w:left="1080" w:right="1119"/>
        <w:spacing w:after="0" w:line="242" w:lineRule="auto"/>
        <w:rPr>
          <w:sz w:val="20"/>
          <w:szCs w:val="20"/>
          <w:color w:val="auto"/>
        </w:rPr>
      </w:pPr>
      <w:r>
        <w:rPr>
          <w:rFonts w:ascii="Arial" w:cs="Arial" w:eastAsia="Arial" w:hAnsi="Arial"/>
          <w:sz w:val="15"/>
          <w:szCs w:val="15"/>
          <w:color w:val="auto"/>
        </w:rPr>
        <w:t>If the Share Consolidation is effected, it will reduce the total number of issued and outstanding shares of our common stock, including any shares held by us as treasury shares, by a Share Consolidation ratio of 1-for-8. Accordingly, each of our shareholders will own fewer shares of the common stock as a result of the Share Consolidation. However, the Share Consolidation will affect all stockholders uniformly and will not affect any shareholder’s percentage ownership interest in the Company, except to the extent that the Share Consolidation would result in an adjustment to a shareholder’s ownership of the common stock due to the treatment of fractional shares in the Share Consolidation. Therefore, voting rights and other rights and preferences of the holders of the common stock will not be affected by the Share Consolidation (other than as a result of the treatment of fractional shares). The common stock issued pursuant to the Share Consolidation will remain fully paid and nonassessable.</w:t>
      </w:r>
    </w:p>
    <w:p>
      <w:pPr>
        <w:spacing w:after="0" w:line="200" w:lineRule="exact"/>
        <w:rPr>
          <w:sz w:val="20"/>
          <w:szCs w:val="20"/>
          <w:color w:val="auto"/>
        </w:rPr>
      </w:pPr>
    </w:p>
    <w:p>
      <w:pPr>
        <w:spacing w:after="0" w:line="247" w:lineRule="exact"/>
        <w:rPr>
          <w:sz w:val="20"/>
          <w:szCs w:val="20"/>
          <w:color w:val="auto"/>
        </w:rPr>
      </w:pPr>
    </w:p>
    <w:p>
      <w:pPr>
        <w:ind w:left="1080" w:right="1119"/>
        <w:spacing w:after="0" w:line="248" w:lineRule="auto"/>
        <w:rPr>
          <w:sz w:val="20"/>
          <w:szCs w:val="20"/>
          <w:color w:val="auto"/>
        </w:rPr>
      </w:pPr>
      <w:r>
        <w:rPr>
          <w:rFonts w:ascii="Arial" w:cs="Arial" w:eastAsia="Arial" w:hAnsi="Arial"/>
          <w:sz w:val="15"/>
          <w:szCs w:val="15"/>
          <w:color w:val="auto"/>
        </w:rPr>
        <w:t>As of the Record Date, approximately eighty-seven million five hundred eleven thousand four hundred seventy-nine (87,511,479) shares of our common stock were outstanding. If the Share Consolidation is effected at a ratio of 1-for-8, the number of issued and outstanding shares of the common stock after the Share Consolidation would be approximately ten million nine hundred thirty-eight thousand nine hundred thirty-four (10,938,934) shares (not taking into account the treatment of fractional shares).</w:t>
      </w:r>
    </w:p>
    <w:p>
      <w:pPr>
        <w:spacing w:after="0" w:line="269"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Effects of the Share Consolidation Convertible Securities</w:t>
      </w:r>
    </w:p>
    <w:p>
      <w:pPr>
        <w:spacing w:after="0" w:line="132" w:lineRule="exact"/>
        <w:rPr>
          <w:sz w:val="20"/>
          <w:szCs w:val="20"/>
          <w:color w:val="auto"/>
        </w:rPr>
      </w:pPr>
    </w:p>
    <w:p>
      <w:pPr>
        <w:ind w:left="1080" w:right="1139"/>
        <w:spacing w:after="0" w:line="248" w:lineRule="auto"/>
        <w:rPr>
          <w:sz w:val="20"/>
          <w:szCs w:val="20"/>
          <w:color w:val="auto"/>
        </w:rPr>
      </w:pPr>
      <w:r>
        <w:rPr>
          <w:rFonts w:ascii="Arial" w:cs="Arial" w:eastAsia="Arial" w:hAnsi="Arial"/>
          <w:sz w:val="15"/>
          <w:szCs w:val="15"/>
          <w:color w:val="auto"/>
        </w:rPr>
        <w:t>The exercise or conversion price and/or the number of shares issuable under any of the Company’s outstanding convertible securities, including under outstanding stock options, and any other similar securities will be proportionately adjusted upon the implementation of the Share Consolidation, in accordance with the terms of such securities, based on a 1-for-8 Share Consolidation ratio.</w:t>
      </w:r>
    </w:p>
    <w:p>
      <w:pPr>
        <w:spacing w:after="0" w:line="26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Effects of the Share Consolidation on Voting Rights</w:t>
      </w:r>
    </w:p>
    <w:p>
      <w:pPr>
        <w:spacing w:after="0" w:line="132" w:lineRule="exact"/>
        <w:rPr>
          <w:sz w:val="20"/>
          <w:szCs w:val="20"/>
          <w:color w:val="auto"/>
        </w:rPr>
      </w:pPr>
    </w:p>
    <w:p>
      <w:pPr>
        <w:ind w:left="1080" w:right="1119"/>
        <w:spacing w:after="0" w:line="245" w:lineRule="auto"/>
        <w:rPr>
          <w:sz w:val="20"/>
          <w:szCs w:val="20"/>
          <w:color w:val="auto"/>
        </w:rPr>
      </w:pPr>
      <w:r>
        <w:rPr>
          <w:rFonts w:ascii="Arial" w:cs="Arial" w:eastAsia="Arial" w:hAnsi="Arial"/>
          <w:sz w:val="15"/>
          <w:szCs w:val="15"/>
          <w:color w:val="auto"/>
        </w:rPr>
        <w:t>Voting rights and other rights of the holders of the common stock would not be affected by the Share Consolidation (other than as a result of the treatment of fractional shares). For example, a holder of 1% of the voting power of the outstanding common stock immediately prior to the effective time of the Share Consolidation would continue to hold 1% of the voting power of the outstanding common stock after the Share Consolidation (other than as a result of the treatment of fractional shares).</w:t>
      </w:r>
    </w:p>
    <w:p>
      <w:pPr>
        <w:spacing w:after="0" w:line="269" w:lineRule="exact"/>
        <w:rPr>
          <w:sz w:val="20"/>
          <w:szCs w:val="20"/>
          <w:color w:val="auto"/>
        </w:rPr>
      </w:pPr>
    </w:p>
    <w:p>
      <w:pPr>
        <w:ind w:left="1080" w:right="1199"/>
        <w:spacing w:after="0" w:line="286" w:lineRule="auto"/>
        <w:rPr>
          <w:sz w:val="20"/>
          <w:szCs w:val="20"/>
          <w:color w:val="auto"/>
        </w:rPr>
      </w:pPr>
      <w:r>
        <w:rPr>
          <w:rFonts w:ascii="Arial" w:cs="Arial" w:eastAsia="Arial" w:hAnsi="Arial"/>
          <w:sz w:val="15"/>
          <w:szCs w:val="15"/>
          <w:u w:val="single" w:color="auto"/>
          <w:color w:val="auto"/>
        </w:rPr>
        <w:t>Effects of the Share Consolidation on the Number of Shares of Common Stock Available for Future Issuance</w:t>
      </w:r>
    </w:p>
    <w:p>
      <w:pPr>
        <w:spacing w:after="0" w:line="73" w:lineRule="exact"/>
        <w:rPr>
          <w:sz w:val="20"/>
          <w:szCs w:val="20"/>
          <w:color w:val="auto"/>
        </w:rPr>
      </w:pPr>
    </w:p>
    <w:p>
      <w:pPr>
        <w:ind w:left="1080" w:right="1179"/>
        <w:spacing w:after="0" w:line="242" w:lineRule="auto"/>
        <w:rPr>
          <w:sz w:val="20"/>
          <w:szCs w:val="20"/>
          <w:color w:val="auto"/>
        </w:rPr>
      </w:pPr>
      <w:r>
        <w:rPr>
          <w:rFonts w:ascii="Arial" w:cs="Arial" w:eastAsia="Arial" w:hAnsi="Arial"/>
          <w:sz w:val="15"/>
          <w:szCs w:val="15"/>
          <w:color w:val="auto"/>
        </w:rPr>
        <w:t>As noted above, if the Share Consolidation Proposal is approved, the number of shares of our common stock outstanding would decrease from approximately eighty-seven million five hundred eleven thousand four hundred seventy-nine (87,511,479) to approximately ten million nine hundred thirty- eight thousand nine hundred thirty- four (10,938,934) (not taking into account the treatment of fractional shares). However, the number of shares of our common stock our Board is authorized to issue will remain at 191,832,982, which effectively increases the number of shares of common stock our Board is authorized to issue without shareholder approval until the current shareholder authorization expires on February 28, 2030. Our Board may issue the additional shares of common stock, options, or other similar instruments exercisable into shares, or rights to subscribe for shares, and set the terms of these instruments, in its discretion, for capital-raising or any other purpose, subject to compliance with Nasdaq rules and other applicable laws or regulations, without further approval of the Company’s shareholders. The Board of Directors does not intend to seek shareholder approval prior to any issuance of the shares of common stock, except as required by Nasdaq rules and other applicable laws or regulations.</w:t>
      </w:r>
    </w:p>
    <w:p>
      <w:pPr>
        <w:spacing w:after="0" w:line="269"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No Fractional Shares Will be Issued to Shareholders</w:t>
      </w:r>
    </w:p>
    <w:p>
      <w:pPr>
        <w:spacing w:after="0" w:line="132" w:lineRule="exact"/>
        <w:rPr>
          <w:sz w:val="20"/>
          <w:szCs w:val="20"/>
          <w:color w:val="auto"/>
        </w:rPr>
      </w:pPr>
    </w:p>
    <w:p>
      <w:pPr>
        <w:ind w:left="1080" w:right="1199"/>
        <w:spacing w:after="0" w:line="246" w:lineRule="auto"/>
        <w:rPr>
          <w:sz w:val="20"/>
          <w:szCs w:val="20"/>
          <w:color w:val="auto"/>
        </w:rPr>
      </w:pPr>
      <w:r>
        <w:rPr>
          <w:rFonts w:ascii="Arial" w:cs="Arial" w:eastAsia="Arial" w:hAnsi="Arial"/>
          <w:sz w:val="15"/>
          <w:szCs w:val="15"/>
          <w:color w:val="auto"/>
        </w:rPr>
        <w:t>No fractional shares will be issued to holders of our common stock in connection with the Share Consolidation. If the Share Consolidation Proposal is approved, shareholders will have until Share Consolidation Effective Date of May 28, 2025 to buy or sell shares of common to ensure they hold shares of our common stock in an amount that is divisible by 8 to ensure they would not otherwise be entitled a fractional share of our common stock as a result of the Share Consolidation. At the end of this period, any remaining fractional shares will be aggregated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5" w:name="page56"/>
    <w:bookmarkEnd w:id="55"/>
    <w:p>
      <w:pPr>
        <w:ind w:left="40"/>
        <w:spacing w:after="0"/>
        <w:rPr>
          <w:sz w:val="20"/>
          <w:szCs w:val="20"/>
          <w:color w:val="auto"/>
        </w:rPr>
      </w:pPr>
      <w:r>
        <w:rPr>
          <w:rFonts w:ascii="Calibri" w:cs="Calibri" w:eastAsia="Calibri" w:hAnsi="Calibri"/>
          <w:sz w:val="12"/>
          <w:szCs w:val="12"/>
          <w:color w:val="003366"/>
        </w:rPr>
        <w:t>TABLE OF CONTENTS</w:t>
      </w:r>
    </w:p>
    <w:p>
      <w:pPr>
        <w:spacing w:after="0" w:line="228" w:lineRule="exact"/>
        <w:rPr>
          <w:sz w:val="20"/>
          <w:szCs w:val="20"/>
          <w:color w:val="auto"/>
        </w:rPr>
      </w:pPr>
    </w:p>
    <w:p>
      <w:pPr>
        <w:ind w:left="2340" w:right="1059" w:hanging="10"/>
        <w:spacing w:after="0" w:line="272"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-215900</wp:posOffset>
            </wp:positionV>
            <wp:extent cx="3562985" cy="2076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62985" cy="207645"/>
                    </a:xfrm>
                    <a:prstGeom prst="rect">
                      <a:avLst/>
                    </a:prstGeom>
                    <a:noFill/>
                  </pic:spPr>
                </pic:pic>
              </a:graphicData>
            </a:graphic>
          </wp:anchor>
        </w:drawing>
      </w:r>
    </w:p>
    <w:p>
      <w:pPr>
        <w:spacing w:after="0" w:line="210" w:lineRule="exact"/>
        <w:rPr>
          <w:sz w:val="20"/>
          <w:szCs w:val="20"/>
          <w:color w:val="auto"/>
        </w:rPr>
      </w:pPr>
    </w:p>
    <w:p>
      <w:pPr>
        <w:jc w:val="both"/>
        <w:ind w:left="1080" w:right="1219"/>
        <w:spacing w:after="0" w:line="252" w:lineRule="auto"/>
        <w:rPr>
          <w:sz w:val="20"/>
          <w:szCs w:val="20"/>
          <w:color w:val="auto"/>
        </w:rPr>
      </w:pPr>
      <w:r>
        <w:rPr>
          <w:rFonts w:ascii="Arial" w:cs="Arial" w:eastAsia="Arial" w:hAnsi="Arial"/>
          <w:sz w:val="15"/>
          <w:szCs w:val="15"/>
          <w:color w:val="auto"/>
        </w:rPr>
        <w:t>with other fractional shares into whole shares and sold in the open market or purchased by the Company at the closing price of our common stock on the Nasdaq Global Select Market on the last trading day immediately preceding the Share Consolidation Effective Date.</w:t>
      </w:r>
    </w:p>
    <w:p>
      <w:pPr>
        <w:spacing w:after="0" w:line="88" w:lineRule="exact"/>
        <w:rPr>
          <w:sz w:val="20"/>
          <w:szCs w:val="20"/>
          <w:color w:val="auto"/>
        </w:rPr>
      </w:pPr>
    </w:p>
    <w:p>
      <w:pPr>
        <w:ind w:left="1080" w:right="1139"/>
        <w:spacing w:after="0" w:line="253" w:lineRule="auto"/>
        <w:rPr>
          <w:sz w:val="20"/>
          <w:szCs w:val="20"/>
          <w:color w:val="auto"/>
        </w:rPr>
      </w:pPr>
      <w:r>
        <w:rPr>
          <w:rFonts w:ascii="Arial" w:cs="Arial" w:eastAsia="Arial" w:hAnsi="Arial"/>
          <w:sz w:val="15"/>
          <w:szCs w:val="15"/>
          <w:color w:val="auto"/>
        </w:rPr>
        <w:t>Net proceeds from the sale of the aggregated fractional shares on the open market or purchased by the Company will be distributed to affected shareholders on a pro-rata basis based on their fractional holdings. No Interest will be earned or paid on the fractional shares or on the proceeds from their sale.</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Accounting Consequences</w:t>
      </w:r>
    </w:p>
    <w:p>
      <w:pPr>
        <w:spacing w:after="0" w:line="132" w:lineRule="exact"/>
        <w:rPr>
          <w:sz w:val="20"/>
          <w:szCs w:val="20"/>
          <w:color w:val="auto"/>
        </w:rPr>
      </w:pPr>
    </w:p>
    <w:p>
      <w:pPr>
        <w:ind w:left="1080" w:right="1099"/>
        <w:spacing w:after="0" w:line="248" w:lineRule="auto"/>
        <w:rPr>
          <w:sz w:val="20"/>
          <w:szCs w:val="20"/>
          <w:color w:val="auto"/>
        </w:rPr>
      </w:pPr>
      <w:r>
        <w:rPr>
          <w:rFonts w:ascii="Arial" w:cs="Arial" w:eastAsia="Arial" w:hAnsi="Arial"/>
          <w:sz w:val="15"/>
          <w:szCs w:val="15"/>
          <w:color w:val="auto"/>
        </w:rPr>
        <w:t>If the Share Consolidation is implemented, net income or loss per share, and other per share amounts, will be increased because there will be fewer shares issued and outstanding. In future financial statements, net income or loss per share and other per share amounts for periods ending before the Share Consolidation takes effect will be recast to give retroactive effect to such Share Consolidation.</w:t>
      </w:r>
    </w:p>
    <w:p>
      <w:pPr>
        <w:spacing w:after="0" w:line="26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Effect on Non-Registered Shareholders</w:t>
      </w:r>
    </w:p>
    <w:p>
      <w:pPr>
        <w:spacing w:after="0" w:line="132" w:lineRule="exact"/>
        <w:rPr>
          <w:sz w:val="20"/>
          <w:szCs w:val="20"/>
          <w:color w:val="auto"/>
        </w:rPr>
      </w:pPr>
    </w:p>
    <w:p>
      <w:pPr>
        <w:ind w:left="1080" w:right="1179"/>
        <w:spacing w:after="0" w:line="247" w:lineRule="auto"/>
        <w:rPr>
          <w:sz w:val="20"/>
          <w:szCs w:val="20"/>
          <w:color w:val="auto"/>
        </w:rPr>
      </w:pPr>
      <w:r>
        <w:rPr>
          <w:rFonts w:ascii="Arial" w:cs="Arial" w:eastAsia="Arial" w:hAnsi="Arial"/>
          <w:sz w:val="15"/>
          <w:szCs w:val="15"/>
          <w:color w:val="auto"/>
        </w:rPr>
        <w:t>Non-registered shareholders holding shares of our common stock through a bank or broker should be aware that their bank or broker may have different procedures for processing a Share Consolidation than those that will be put in place by us for registered shareholders. If Shareholders hold their shares through a bank or broker and they have questions in this regard, they are encouraged to contact their bank or broker.</w:t>
      </w:r>
    </w:p>
    <w:p>
      <w:pPr>
        <w:spacing w:after="0" w:line="156" w:lineRule="exact"/>
        <w:rPr>
          <w:sz w:val="20"/>
          <w:szCs w:val="20"/>
          <w:color w:val="auto"/>
        </w:rPr>
      </w:pPr>
    </w:p>
    <w:p>
      <w:pPr>
        <w:ind w:left="1080" w:right="1599"/>
        <w:spacing w:after="0" w:line="324" w:lineRule="auto"/>
        <w:rPr>
          <w:sz w:val="20"/>
          <w:szCs w:val="20"/>
          <w:color w:val="auto"/>
        </w:rPr>
      </w:pPr>
      <w:r>
        <w:rPr>
          <w:rFonts w:ascii="Arial" w:cs="Arial" w:eastAsia="Arial" w:hAnsi="Arial"/>
          <w:sz w:val="15"/>
          <w:szCs w:val="15"/>
          <w:b w:val="1"/>
          <w:bCs w:val="1"/>
          <w:color w:val="auto"/>
        </w:rPr>
        <w:t>REGISTERED SHAREHOLDERS SHOULD NEITHER DESTROY NOR SUBMIT ANY SHARE CERTIFICATE UNTIL HAVING RECEIVED A LETTER OF TRANSMITTAL.</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Risks Associated with the Share Consolidation</w:t>
      </w:r>
    </w:p>
    <w:p>
      <w:pPr>
        <w:spacing w:after="0" w:line="91" w:lineRule="exact"/>
        <w:rPr>
          <w:sz w:val="20"/>
          <w:szCs w:val="20"/>
          <w:color w:val="auto"/>
        </w:rPr>
      </w:pPr>
    </w:p>
    <w:p>
      <w:pPr>
        <w:ind w:left="1080" w:right="1119"/>
        <w:spacing w:after="0" w:line="243" w:lineRule="auto"/>
        <w:rPr>
          <w:sz w:val="20"/>
          <w:szCs w:val="20"/>
          <w:color w:val="auto"/>
        </w:rPr>
      </w:pPr>
      <w:r>
        <w:rPr>
          <w:rFonts w:ascii="Arial" w:cs="Arial" w:eastAsia="Arial" w:hAnsi="Arial"/>
          <w:sz w:val="15"/>
          <w:szCs w:val="15"/>
          <w:color w:val="auto"/>
        </w:rPr>
        <w:t>Reducing the number of issued and outstanding shares of common stock through the Share Consolidation is intended, absent other factors, to increase the per share market price of the shares. However, the market price of our common stock after the Share Consolidation will also be affected by our financial and operational results, our financial position, including our liquidity and capital resources, the development of the Company’s operations, industry conditions, the market’s perception of the Company’s business and other factors, which are unrelated to the number of shares outstanding. Accordingly, there can be no assurance that the market price of the shares will increase following the implementation of the Share Consolidation or that we will be in compliance with the Minimum Bid Price Rule, or that the market price of the shares will not decrease in the future resulting in noncompliance with the Minimum Bid Price Rule. There can also be no assurance that the implementation of the Share Consolidation will, in and of itself, guarantee the continued listing of the shares on the Nasdaq Global Select Market or that the shares will not be delisted from the Nasdaq Global Select Market because of our failure to meet other Nasdaq continued listing requirements.</w:t>
      </w:r>
    </w:p>
    <w:p>
      <w:pPr>
        <w:spacing w:after="0" w:line="276" w:lineRule="exact"/>
        <w:rPr>
          <w:sz w:val="20"/>
          <w:szCs w:val="20"/>
          <w:color w:val="auto"/>
        </w:rPr>
      </w:pPr>
    </w:p>
    <w:p>
      <w:pPr>
        <w:ind w:left="1080" w:right="1159"/>
        <w:spacing w:after="0" w:line="243" w:lineRule="auto"/>
        <w:rPr>
          <w:sz w:val="20"/>
          <w:szCs w:val="20"/>
          <w:color w:val="auto"/>
        </w:rPr>
      </w:pPr>
      <w:r>
        <w:rPr>
          <w:rFonts w:ascii="Arial" w:cs="Arial" w:eastAsia="Arial" w:hAnsi="Arial"/>
          <w:sz w:val="15"/>
          <w:szCs w:val="15"/>
          <w:color w:val="auto"/>
        </w:rPr>
        <w:t>The market price of our common stock immediately following the implementation of the Share Consolidation is expected to be approximately equal to the market price of the shares prior to the implementation of such consolidation multiplied by 8 but there is no assurance that the anticipated market price immediately following the implementation of the Share Consolidation will be realized or, if realized, will be sustained. There is a risk that the total market capitalization of the shares (the market price of the shares multiplied by the number of shares outstanding) after the implementation of the Share Consolidation may be lower than the total market capitalization of the shares prior to the implementation of the Share Consolidation.</w:t>
      </w:r>
    </w:p>
    <w:p>
      <w:pPr>
        <w:spacing w:after="0" w:line="271" w:lineRule="exact"/>
        <w:rPr>
          <w:sz w:val="20"/>
          <w:szCs w:val="20"/>
          <w:color w:val="auto"/>
        </w:rPr>
      </w:pPr>
    </w:p>
    <w:p>
      <w:pPr>
        <w:ind w:left="1080" w:right="1239"/>
        <w:spacing w:after="0" w:line="248" w:lineRule="auto"/>
        <w:rPr>
          <w:sz w:val="20"/>
          <w:szCs w:val="20"/>
          <w:color w:val="auto"/>
        </w:rPr>
      </w:pPr>
      <w:r>
        <w:rPr>
          <w:rFonts w:ascii="Arial" w:cs="Arial" w:eastAsia="Arial" w:hAnsi="Arial"/>
          <w:sz w:val="15"/>
          <w:szCs w:val="15"/>
          <w:color w:val="auto"/>
        </w:rPr>
        <w:t>Although we believe that establishing a higher market price for the shares could also enhance the marketability of the shares by potentially broadening the pool of investors that may consider investing in us, including institutional and other investors whose internal investment policies prohibit or discourage them from purchasing shares trading below a certain minimum price, and reduce volatility, there is no assurance that implementing the Share Consolidation will achieve any of these results.</w:t>
      </w:r>
    </w:p>
    <w:p>
      <w:pPr>
        <w:spacing w:after="0" w:line="91" w:lineRule="exact"/>
        <w:rPr>
          <w:sz w:val="20"/>
          <w:szCs w:val="20"/>
          <w:color w:val="auto"/>
        </w:rPr>
      </w:pPr>
    </w:p>
    <w:p>
      <w:pPr>
        <w:ind w:left="1080" w:right="1219"/>
        <w:spacing w:after="0" w:line="247" w:lineRule="auto"/>
        <w:rPr>
          <w:sz w:val="20"/>
          <w:szCs w:val="20"/>
          <w:color w:val="auto"/>
        </w:rPr>
      </w:pPr>
      <w:r>
        <w:rPr>
          <w:rFonts w:ascii="Arial" w:cs="Arial" w:eastAsia="Arial" w:hAnsi="Arial"/>
          <w:sz w:val="15"/>
          <w:szCs w:val="15"/>
          <w:color w:val="auto"/>
        </w:rPr>
        <w:t>If the Share Consolidation is implemented and the market price of the shares (adjusted to reflect the Share Consolidation ratio) declines, the percentage decline as an absolute number and as a percentage of our overall market capitalization may be greater than would have occurred if the Share Consolidation had not been implemented. Both our total market capitalization and the adjusted market price of our shares following the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6" w:name="page57"/>
    <w:bookmarkEnd w:id="56"/>
    <w:p>
      <w:pPr>
        <w:ind w:left="40"/>
        <w:spacing w:after="0"/>
        <w:rPr>
          <w:sz w:val="20"/>
          <w:szCs w:val="20"/>
          <w:color w:val="auto"/>
        </w:rPr>
      </w:pPr>
      <w:r>
        <w:rPr>
          <w:rFonts w:ascii="Calibri" w:cs="Calibri" w:eastAsia="Calibri" w:hAnsi="Calibri"/>
          <w:sz w:val="12"/>
          <w:szCs w:val="12"/>
          <w:color w:val="003366"/>
        </w:rPr>
        <w:t>TABLE OF CONTENTS</w:t>
      </w:r>
    </w:p>
    <w:p>
      <w:pPr>
        <w:spacing w:after="0" w:line="228" w:lineRule="exact"/>
        <w:rPr>
          <w:sz w:val="20"/>
          <w:szCs w:val="20"/>
          <w:color w:val="auto"/>
        </w:rPr>
      </w:pPr>
    </w:p>
    <w:p>
      <w:pPr>
        <w:ind w:left="2340" w:right="1059" w:hanging="10"/>
        <w:spacing w:after="0" w:line="272"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-215900</wp:posOffset>
            </wp:positionV>
            <wp:extent cx="3562985" cy="2076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62985" cy="207645"/>
                    </a:xfrm>
                    <a:prstGeom prst="rect">
                      <a:avLst/>
                    </a:prstGeom>
                    <a:noFill/>
                  </pic:spPr>
                </pic:pic>
              </a:graphicData>
            </a:graphic>
          </wp:anchor>
        </w:drawing>
      </w:r>
    </w:p>
    <w:p>
      <w:pPr>
        <w:spacing w:after="0" w:line="210" w:lineRule="exact"/>
        <w:rPr>
          <w:sz w:val="20"/>
          <w:szCs w:val="20"/>
          <w:color w:val="auto"/>
        </w:rPr>
      </w:pPr>
    </w:p>
    <w:p>
      <w:pPr>
        <w:ind w:left="1080" w:right="1579"/>
        <w:spacing w:after="0" w:line="268" w:lineRule="auto"/>
        <w:rPr>
          <w:sz w:val="20"/>
          <w:szCs w:val="20"/>
          <w:color w:val="auto"/>
        </w:rPr>
      </w:pPr>
      <w:r>
        <w:rPr>
          <w:rFonts w:ascii="Arial" w:cs="Arial" w:eastAsia="Arial" w:hAnsi="Arial"/>
          <w:sz w:val="15"/>
          <w:szCs w:val="15"/>
          <w:color w:val="auto"/>
        </w:rPr>
        <w:t>Share Consolidation may be lower than they were before the Share Consolidation took effect. The reduced number of shares that would be outstanding after the Share Consolidation is implemented could adversely affect the liquidity of the shares.</w:t>
      </w:r>
    </w:p>
    <w:p>
      <w:pPr>
        <w:spacing w:after="0" w:line="76"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color w:val="auto"/>
        </w:rPr>
        <w:t>The Share Consolidation may result in some shareholders owning “odd lots” on a post-consolidation basis. Generally, an “odd lot” is an order amount for a security that is less than the normal unit of trading, which is typically 100 shares for stocks. Odd lot shares may be more difficult to sell or may attract greater transaction costs per share to sell, and brokerage commissions and other costs of transactions in odd lots may be higher than the costs of transactions in “round lots,” which are order amounts for a stock that can be divided by 100.</w:t>
      </w:r>
    </w:p>
    <w:p>
      <w:pPr>
        <w:spacing w:after="0" w:line="97" w:lineRule="exact"/>
        <w:rPr>
          <w:sz w:val="20"/>
          <w:szCs w:val="20"/>
          <w:color w:val="auto"/>
        </w:rPr>
      </w:pPr>
    </w:p>
    <w:p>
      <w:pPr>
        <w:ind w:left="1080" w:right="1099"/>
        <w:spacing w:after="0" w:line="255" w:lineRule="auto"/>
        <w:rPr>
          <w:sz w:val="20"/>
          <w:szCs w:val="20"/>
          <w:color w:val="auto"/>
        </w:rPr>
      </w:pPr>
      <w:r>
        <w:rPr>
          <w:rFonts w:ascii="Arial" w:cs="Arial" w:eastAsia="Arial" w:hAnsi="Arial"/>
          <w:sz w:val="15"/>
          <w:szCs w:val="15"/>
          <w:color w:val="auto"/>
        </w:rPr>
        <w:t>Shareholders who do not adjust their holdings during the trading window prior to the Share Consolidation Effective Date to a number divisible by 8 will receive proceeds from the sale of the fractional shares to which they otherwise would be entitled based on the market price at the time of sale or, if the fractional shares are purchased by the Company, the closing price of our common stock on the Nasdaq Global Select Market on the last trading day immediately preceding the Share Consolidation Effective Date, which could be lower than anticipated. Holders of fractional shares bear the risk of stock price volatility and will not receive interest on fractional shares to which they would otherwise be entitled or the proceeds from the sale of those fractional shares.</w:t>
      </w:r>
    </w:p>
    <w:p>
      <w:pPr>
        <w:spacing w:after="0" w:line="280" w:lineRule="exact"/>
        <w:rPr>
          <w:sz w:val="20"/>
          <w:szCs w:val="20"/>
          <w:color w:val="auto"/>
        </w:rPr>
      </w:pPr>
    </w:p>
    <w:p>
      <w:pPr>
        <w:ind w:left="1080" w:right="1219"/>
        <w:spacing w:after="0" w:line="268" w:lineRule="auto"/>
        <w:rPr>
          <w:sz w:val="20"/>
          <w:szCs w:val="20"/>
          <w:color w:val="auto"/>
        </w:rPr>
      </w:pPr>
      <w:r>
        <w:rPr>
          <w:rFonts w:ascii="Arial" w:cs="Arial" w:eastAsia="Arial" w:hAnsi="Arial"/>
          <w:sz w:val="15"/>
          <w:szCs w:val="15"/>
          <w:color w:val="auto"/>
        </w:rPr>
        <w:t>As noted above, if the Share Consolidation Proposal is approved, it will effectively increase the number of shares of our common stock our Board may issue without shareholder approval, and you may not agree with any such issuance of common stock.</w:t>
      </w:r>
    </w:p>
    <w:p>
      <w:pPr>
        <w:spacing w:after="0" w:line="76" w:lineRule="exact"/>
        <w:rPr>
          <w:sz w:val="20"/>
          <w:szCs w:val="20"/>
          <w:color w:val="auto"/>
        </w:rPr>
      </w:pPr>
    </w:p>
    <w:p>
      <w:pPr>
        <w:jc w:val="both"/>
        <w:ind w:left="1080" w:right="1359"/>
        <w:spacing w:after="0" w:line="268" w:lineRule="auto"/>
        <w:rPr>
          <w:sz w:val="20"/>
          <w:szCs w:val="20"/>
          <w:color w:val="auto"/>
        </w:rPr>
      </w:pPr>
      <w:r>
        <w:rPr>
          <w:rFonts w:ascii="Arial" w:cs="Arial" w:eastAsia="Arial" w:hAnsi="Arial"/>
          <w:sz w:val="15"/>
          <w:szCs w:val="15"/>
          <w:color w:val="auto"/>
        </w:rPr>
        <w:t>The risks outlined above are not exhaustive. Additional risks and uncertainties, including those not currently known to us or considered immaterial, could also impact the Company the price of our common stock.</w:t>
      </w:r>
    </w:p>
    <w:p>
      <w:pPr>
        <w:spacing w:after="0" w:line="87" w:lineRule="exact"/>
        <w:rPr>
          <w:sz w:val="20"/>
          <w:szCs w:val="20"/>
          <w:color w:val="auto"/>
        </w:rPr>
      </w:pPr>
    </w:p>
    <w:p>
      <w:pPr>
        <w:ind w:left="1080" w:right="1119"/>
        <w:spacing w:after="0" w:line="268" w:lineRule="auto"/>
        <w:rPr>
          <w:sz w:val="20"/>
          <w:szCs w:val="20"/>
          <w:color w:val="auto"/>
        </w:rPr>
      </w:pPr>
      <w:r>
        <w:rPr>
          <w:rFonts w:ascii="Arial" w:cs="Arial" w:eastAsia="Arial" w:hAnsi="Arial"/>
          <w:sz w:val="15"/>
          <w:szCs w:val="15"/>
          <w:color w:val="auto"/>
        </w:rPr>
        <w:t>The foregoing description of the proposed amendment is qualified in its entirety by reference to the full text of the amendment to Article 5 of the Articles of Incorporation, which is attached hereto as Appendix A and incorporated herein by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 CONSOLIDATION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7" w:name="page58"/>
    <w:bookmarkEnd w:id="57"/>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28" w:lineRule="exact"/>
        <w:rPr>
          <w:sz w:val="20"/>
          <w:szCs w:val="20"/>
          <w:color w:val="auto"/>
        </w:rPr>
      </w:pPr>
    </w:p>
    <w:p>
      <w:pPr>
        <w:ind w:left="2340" w:right="1059" w:hanging="10"/>
        <w:spacing w:after="0" w:line="272"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-215900</wp:posOffset>
            </wp:positionV>
            <wp:extent cx="3562985" cy="2076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62985" cy="207645"/>
                    </a:xfrm>
                    <a:prstGeom prst="rect">
                      <a:avLst/>
                    </a:prstGeom>
                    <a:noFill/>
                  </pic:spPr>
                </pic:pic>
              </a:graphicData>
            </a:graphic>
          </wp:anchor>
        </w:drawing>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Proposal Two: Share Capital Decrease Proposal</w:t>
      </w:r>
    </w:p>
    <w:p>
      <w:pPr>
        <w:spacing w:after="0" w:line="91" w:lineRule="exact"/>
        <w:rPr>
          <w:sz w:val="20"/>
          <w:szCs w:val="20"/>
          <w:color w:val="auto"/>
        </w:rPr>
      </w:pPr>
    </w:p>
    <w:p>
      <w:pPr>
        <w:ind w:left="1080" w:right="1159"/>
        <w:spacing w:after="0" w:line="254" w:lineRule="auto"/>
        <w:rPr>
          <w:sz w:val="20"/>
          <w:szCs w:val="20"/>
          <w:color w:val="auto"/>
        </w:rPr>
      </w:pPr>
      <w:r>
        <w:rPr>
          <w:rFonts w:ascii="Arial" w:cs="Arial" w:eastAsia="Arial" w:hAnsi="Arial"/>
          <w:sz w:val="15"/>
          <w:szCs w:val="15"/>
          <w:color w:val="auto"/>
        </w:rPr>
        <w:t>On February 25, 2025, our Board approved, subject to shareholder approval, an amendment to Article 5 of the Articles of Incorporation to decrease the share capital of the Company by an amount of seven hundred seventy-eight thousand three hundred twenty-nine dollars and thirty-five cents (USD 778,329.35) without cancellation of the outstanding Company’s common stock post-Consolidation, by decreasing the par value of the existing shares of the Company’s common stock, in order to bring the share capital of the Company from its current amount of eight hundred eighty-nine thousand five hundred nineteen dollars and twenty-five cents (USD 889,519.25) to an amount of one hundred eleven thousand one hundred eighty-nine dollars and ninety cents (USD 111,189.90) represented by eleven million one hundred eighteen thousand nine hundred ninety (11,118,990) shares of the Company’s common stock without designation of nominal value, and by allocating such amount deriving from the share capital decrease to the share premium account of the Company.</w:t>
      </w:r>
    </w:p>
    <w:p>
      <w:pPr>
        <w:spacing w:after="0" w:line="200" w:lineRule="exact"/>
        <w:rPr>
          <w:sz w:val="20"/>
          <w:szCs w:val="20"/>
          <w:color w:val="auto"/>
        </w:rPr>
      </w:pPr>
    </w:p>
    <w:p>
      <w:pPr>
        <w:spacing w:after="0" w:line="260" w:lineRule="exact"/>
        <w:rPr>
          <w:sz w:val="20"/>
          <w:szCs w:val="20"/>
          <w:color w:val="auto"/>
        </w:rPr>
      </w:pPr>
    </w:p>
    <w:p>
      <w:pPr>
        <w:ind w:left="1080" w:right="1539"/>
        <w:spacing w:after="0" w:line="286" w:lineRule="auto"/>
        <w:rPr>
          <w:sz w:val="20"/>
          <w:szCs w:val="20"/>
          <w:color w:val="auto"/>
        </w:rPr>
      </w:pPr>
      <w:r>
        <w:rPr>
          <w:rFonts w:ascii="Arial" w:cs="Arial" w:eastAsia="Arial" w:hAnsi="Arial"/>
          <w:sz w:val="15"/>
          <w:szCs w:val="15"/>
          <w:color w:val="auto"/>
        </w:rPr>
        <w:t>This capital decrease aims to reduce the par value per share at USD 0.01 following the Share Consolidation (which will have the effect to increase the par value per share).</w:t>
      </w:r>
    </w:p>
    <w:p>
      <w:pPr>
        <w:spacing w:after="0" w:line="62" w:lineRule="exact"/>
        <w:rPr>
          <w:sz w:val="20"/>
          <w:szCs w:val="20"/>
          <w:color w:val="auto"/>
        </w:rPr>
      </w:pPr>
    </w:p>
    <w:p>
      <w:pPr>
        <w:ind w:left="1080" w:right="1119"/>
        <w:spacing w:after="0" w:line="278" w:lineRule="auto"/>
        <w:rPr>
          <w:sz w:val="20"/>
          <w:szCs w:val="20"/>
          <w:color w:val="auto"/>
        </w:rPr>
      </w:pPr>
      <w:r>
        <w:rPr>
          <w:rFonts w:ascii="Arial" w:cs="Arial" w:eastAsia="Arial" w:hAnsi="Arial"/>
          <w:sz w:val="15"/>
          <w:szCs w:val="15"/>
          <w:color w:val="auto"/>
        </w:rPr>
        <w:t>The foregoing description of the proposed amendment is qualified in its entirety by reference to the proposed amendment, which is attached hereto as Appendix A and incorporated herein by reference.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 CAPITAL DECREASE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8" w:name="page59"/>
    <w:bookmarkEnd w:id="58"/>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28" w:lineRule="exact"/>
        <w:rPr>
          <w:sz w:val="20"/>
          <w:szCs w:val="20"/>
          <w:color w:val="auto"/>
        </w:rPr>
      </w:pPr>
    </w:p>
    <w:p>
      <w:pPr>
        <w:ind w:left="2340" w:right="1059" w:hanging="10"/>
        <w:spacing w:after="0" w:line="272"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-215900</wp:posOffset>
            </wp:positionV>
            <wp:extent cx="3562985" cy="2076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62985" cy="207645"/>
                    </a:xfrm>
                    <a:prstGeom prst="rect">
                      <a:avLst/>
                    </a:prstGeom>
                    <a:noFill/>
                  </pic:spPr>
                </pic:pic>
              </a:graphicData>
            </a:graphic>
          </wp:anchor>
        </w:drawing>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Proposal Three: Quorum Proposal</w:t>
      </w:r>
    </w:p>
    <w:p>
      <w:pPr>
        <w:spacing w:after="0" w:line="91" w:lineRule="exact"/>
        <w:rPr>
          <w:sz w:val="20"/>
          <w:szCs w:val="20"/>
          <w:color w:val="auto"/>
        </w:rPr>
      </w:pPr>
    </w:p>
    <w:p>
      <w:pPr>
        <w:ind w:left="1080" w:right="1099"/>
        <w:spacing w:after="0" w:line="261" w:lineRule="auto"/>
        <w:rPr>
          <w:sz w:val="20"/>
          <w:szCs w:val="20"/>
          <w:color w:val="auto"/>
        </w:rPr>
      </w:pPr>
      <w:r>
        <w:rPr>
          <w:rFonts w:ascii="Arial" w:cs="Arial" w:eastAsia="Arial" w:hAnsi="Arial"/>
          <w:sz w:val="15"/>
          <w:szCs w:val="15"/>
          <w:color w:val="auto"/>
        </w:rPr>
        <w:t>On March 16, 2025, the Board approved, subject to shareholder approval, amendments to Articles 20 and 23 of the Company’s Articles of Incorporation to establish a minimum quorum requirement of at least thirty-three and one-third percent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for all general meetings of shareholders (“Meetings of Shareholders”) and for all extraordinary meetings of shareholders at which no quorum requirement applies per Nasdaq Stock Market Rule 5620(c).</w:t>
      </w:r>
    </w:p>
    <w:p>
      <w:pPr>
        <w:spacing w:after="0" w:line="33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Purpose of the Amendments</w:t>
      </w:r>
    </w:p>
    <w:p>
      <w:pPr>
        <w:spacing w:after="0" w:line="91" w:lineRule="exact"/>
        <w:rPr>
          <w:sz w:val="20"/>
          <w:szCs w:val="20"/>
          <w:color w:val="auto"/>
        </w:rPr>
      </w:pPr>
    </w:p>
    <w:p>
      <w:pPr>
        <w:ind w:left="1520" w:right="1419" w:hanging="141"/>
        <w:spacing w:after="0" w:line="276" w:lineRule="auto"/>
        <w:tabs>
          <w:tab w:leader="none" w:pos="1520"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 xml:space="preserve">Nasdaq Quorum Requirement: </w:t>
      </w:r>
      <w:r>
        <w:rPr>
          <w:rFonts w:ascii="Arial" w:cs="Arial" w:eastAsia="Arial" w:hAnsi="Arial"/>
          <w:sz w:val="15"/>
          <w:szCs w:val="15"/>
          <w:color w:val="auto"/>
        </w:rPr>
        <w:t>Nasdaq requires that the presence, in person or by</w:t>
      </w:r>
      <w:r>
        <w:rPr>
          <w:rFonts w:ascii="Arial" w:cs="Arial" w:eastAsia="Arial" w:hAnsi="Arial"/>
          <w:sz w:val="15"/>
          <w:szCs w:val="15"/>
          <w:b w:val="1"/>
          <w:bCs w:val="1"/>
          <w:color w:val="auto"/>
        </w:rPr>
        <w:t xml:space="preserve"> </w:t>
      </w:r>
      <w:r>
        <w:rPr>
          <w:rFonts w:ascii="Arial" w:cs="Arial" w:eastAsia="Arial" w:hAnsi="Arial"/>
          <w:sz w:val="15"/>
          <w:szCs w:val="15"/>
          <w:color w:val="auto"/>
        </w:rPr>
        <w:t>proxy, of at least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outstanding common stock constitutes a quorum at Meetings of Shareholders (the “Minimum Quorum”).</w:t>
      </w:r>
    </w:p>
    <w:p>
      <w:pPr>
        <w:spacing w:after="0" w:line="47" w:lineRule="exact"/>
        <w:rPr>
          <w:rFonts w:ascii="Arial" w:cs="Arial" w:eastAsia="Arial" w:hAnsi="Arial"/>
          <w:sz w:val="15"/>
          <w:szCs w:val="15"/>
          <w:color w:val="auto"/>
        </w:rPr>
      </w:pPr>
    </w:p>
    <w:p>
      <w:pPr>
        <w:ind w:left="1520" w:right="1239" w:hanging="141"/>
        <w:spacing w:after="0" w:line="259" w:lineRule="auto"/>
        <w:tabs>
          <w:tab w:leader="none" w:pos="1520"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 xml:space="preserve">Codification of Existing Practice: </w:t>
      </w:r>
      <w:r>
        <w:rPr>
          <w:rFonts w:ascii="Arial" w:cs="Arial" w:eastAsia="Arial" w:hAnsi="Arial"/>
          <w:sz w:val="15"/>
          <w:szCs w:val="15"/>
          <w:color w:val="auto"/>
        </w:rPr>
        <w:t>The Company has historically required a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quorum for Meetings of Shareholders in its proxies and has consistently met this requirement, except in the case of extraordinary Meetings of Shareholders where the 50% statutory quorum requirement was applied. However, the Company’s current Articles of Incorporation do not specify a quorum requirement. This amendment formalizes the existing practice to enhance clarity, align with Nasdaq rules, and reinforce corporate governance best practices.</w:t>
      </w:r>
    </w:p>
    <w:p>
      <w:pPr>
        <w:spacing w:after="0" w:line="246" w:lineRule="exact"/>
        <w:rPr>
          <w:rFonts w:ascii="Arial" w:cs="Arial" w:eastAsia="Arial" w:hAnsi="Arial"/>
          <w:sz w:val="15"/>
          <w:szCs w:val="15"/>
          <w:color w:val="auto"/>
        </w:rPr>
      </w:pPr>
    </w:p>
    <w:p>
      <w:pPr>
        <w:ind w:left="1520" w:right="1199" w:hanging="141"/>
        <w:spacing w:after="0" w:line="259" w:lineRule="auto"/>
        <w:tabs>
          <w:tab w:leader="none" w:pos="1520"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 xml:space="preserve">Alignment with Luxembourg Law for Extraordinary General Meetings: </w:t>
      </w:r>
      <w:r>
        <w:rPr>
          <w:rFonts w:ascii="Arial" w:cs="Arial" w:eastAsia="Arial" w:hAnsi="Arial"/>
          <w:sz w:val="15"/>
          <w:szCs w:val="15"/>
          <w:color w:val="auto"/>
        </w:rPr>
        <w:t>Under</w:t>
      </w:r>
      <w:r>
        <w:rPr>
          <w:rFonts w:ascii="Arial" w:cs="Arial" w:eastAsia="Arial" w:hAnsi="Arial"/>
          <w:sz w:val="15"/>
          <w:szCs w:val="15"/>
          <w:b w:val="1"/>
          <w:bCs w:val="1"/>
          <w:color w:val="auto"/>
        </w:rPr>
        <w:t xml:space="preserve"> </w:t>
      </w:r>
      <w:r>
        <w:rPr>
          <w:rFonts w:ascii="Arial" w:cs="Arial" w:eastAsia="Arial" w:hAnsi="Arial"/>
          <w:sz w:val="15"/>
          <w:szCs w:val="15"/>
          <w:color w:val="auto"/>
        </w:rPr>
        <w:t>Luxembourg law, extraordinary Meetings of Shareholders require a 50% quorum for the transaction of business. If the quorum is not met, a second extraordinary meeting may be held with no quorum requirement. The amendment modifies this framework to require the Minimum Quorum for these second extraordinary meetings.</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Proposed Amendments</w:t>
      </w:r>
    </w:p>
    <w:p>
      <w:pPr>
        <w:spacing w:after="0" w:line="102" w:lineRule="exact"/>
        <w:rPr>
          <w:sz w:val="20"/>
          <w:szCs w:val="20"/>
          <w:color w:val="auto"/>
        </w:rPr>
      </w:pPr>
    </w:p>
    <w:p>
      <w:pPr>
        <w:ind w:left="1080" w:right="1099"/>
        <w:spacing w:after="0" w:line="268" w:lineRule="auto"/>
        <w:rPr>
          <w:sz w:val="20"/>
          <w:szCs w:val="20"/>
          <w:color w:val="auto"/>
        </w:rPr>
      </w:pPr>
      <w:r>
        <w:rPr>
          <w:rFonts w:ascii="Arial" w:cs="Arial" w:eastAsia="Arial" w:hAnsi="Arial"/>
          <w:sz w:val="15"/>
          <w:szCs w:val="15"/>
          <w:color w:val="auto"/>
        </w:rPr>
        <w:t>The above descriptions of the proposed amendments are qualified in their entirety by reference to the actual proposed amendments, which are attached hereto as Appendix A and incorporated herein by reference.</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Applicability and Effective Date</w:t>
      </w:r>
    </w:p>
    <w:p>
      <w:pPr>
        <w:spacing w:after="0" w:line="91" w:lineRule="exact"/>
        <w:rPr>
          <w:sz w:val="20"/>
          <w:szCs w:val="20"/>
          <w:color w:val="auto"/>
        </w:rPr>
      </w:pPr>
    </w:p>
    <w:p>
      <w:pPr>
        <w:ind w:left="1080" w:right="1559"/>
        <w:spacing w:after="0" w:line="286" w:lineRule="auto"/>
        <w:rPr>
          <w:sz w:val="20"/>
          <w:szCs w:val="20"/>
          <w:color w:val="auto"/>
        </w:rPr>
      </w:pPr>
      <w:r>
        <w:rPr>
          <w:rFonts w:ascii="Arial" w:cs="Arial" w:eastAsia="Arial" w:hAnsi="Arial"/>
          <w:sz w:val="15"/>
          <w:szCs w:val="15"/>
          <w:color w:val="auto"/>
        </w:rPr>
        <w:t>The amendments apply to all Meetings of Shareholders and will become effective upon shareholder approval at the Extraordinary General Meeting.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QUORUM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9" w:name="page60"/>
    <w:bookmarkEnd w:id="59"/>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28" w:lineRule="exact"/>
        <w:rPr>
          <w:sz w:val="20"/>
          <w:szCs w:val="20"/>
          <w:color w:val="auto"/>
        </w:rPr>
      </w:pPr>
    </w:p>
    <w:p>
      <w:pPr>
        <w:ind w:left="2340" w:right="1059" w:hanging="10"/>
        <w:spacing w:after="0" w:line="272"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-215900</wp:posOffset>
            </wp:positionV>
            <wp:extent cx="3562985" cy="2076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562985" cy="207645"/>
                    </a:xfrm>
                    <a:prstGeom prst="rect">
                      <a:avLst/>
                    </a:prstGeom>
                    <a:noFill/>
                  </pic:spPr>
                </pic:pic>
              </a:graphicData>
            </a:graphic>
          </wp:anchor>
        </w:drawing>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Proposal Four: Amendments to the Articles of Incorporation Proposal</w:t>
      </w:r>
    </w:p>
    <w:p>
      <w:pPr>
        <w:spacing w:after="0" w:line="91" w:lineRule="exact"/>
        <w:rPr>
          <w:sz w:val="20"/>
          <w:szCs w:val="20"/>
          <w:color w:val="auto"/>
        </w:rPr>
      </w:pPr>
    </w:p>
    <w:p>
      <w:pPr>
        <w:ind w:left="1080" w:right="1259"/>
        <w:spacing w:after="0" w:line="265" w:lineRule="auto"/>
        <w:rPr>
          <w:sz w:val="20"/>
          <w:szCs w:val="20"/>
          <w:color w:val="auto"/>
        </w:rPr>
      </w:pPr>
      <w:r>
        <w:rPr>
          <w:rFonts w:ascii="Arial" w:cs="Arial" w:eastAsia="Arial" w:hAnsi="Arial"/>
          <w:sz w:val="15"/>
          <w:szCs w:val="15"/>
          <w:color w:val="auto"/>
        </w:rPr>
        <w:t>Our Board of Directors has approved certain amendments to the Articles to update and streamline internal governance processes. These amendments are primarily administrative in nature and do not materially alter shareholder rights or the corporate governance structure.</w:t>
      </w:r>
    </w:p>
    <w:p>
      <w:pPr>
        <w:spacing w:after="0" w:line="27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key amendments include:</w:t>
      </w:r>
    </w:p>
    <w:p>
      <w:pPr>
        <w:spacing w:after="0" w:line="98" w:lineRule="exact"/>
        <w:rPr>
          <w:sz w:val="20"/>
          <w:szCs w:val="20"/>
          <w:color w:val="auto"/>
        </w:rPr>
      </w:pPr>
    </w:p>
    <w:p>
      <w:pPr>
        <w:ind w:left="1520" w:right="1159" w:hanging="141"/>
        <w:spacing w:after="0" w:line="286" w:lineRule="auto"/>
        <w:tabs>
          <w:tab w:leader="none" w:pos="15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Terminology Updates</w:t>
      </w:r>
      <w:r>
        <w:rPr>
          <w:rFonts w:ascii="Arial" w:cs="Arial" w:eastAsia="Arial" w:hAnsi="Arial"/>
          <w:sz w:val="15"/>
          <w:szCs w:val="15"/>
          <w:color w:val="auto"/>
        </w:rPr>
        <w:t>: Replacing outdated terms for consistency and clarity,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changing “Chairman” to “Chair” throughout the document.</w:t>
      </w:r>
    </w:p>
    <w:p>
      <w:pPr>
        <w:spacing w:after="0" w:line="39" w:lineRule="exact"/>
        <w:rPr>
          <w:rFonts w:ascii="Arial" w:cs="Arial" w:eastAsia="Arial" w:hAnsi="Arial"/>
          <w:sz w:val="15"/>
          <w:szCs w:val="15"/>
          <w:color w:val="auto"/>
        </w:rPr>
      </w:pPr>
    </w:p>
    <w:p>
      <w:pPr>
        <w:jc w:val="both"/>
        <w:ind w:left="1520" w:right="1199" w:hanging="141"/>
        <w:spacing w:after="0" w:line="286" w:lineRule="auto"/>
        <w:tabs>
          <w:tab w:leader="none" w:pos="15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Clarification of Board Meeting Procedures</w:t>
      </w:r>
      <w:r>
        <w:rPr>
          <w:rFonts w:ascii="Arial" w:cs="Arial" w:eastAsia="Arial" w:hAnsi="Arial"/>
          <w:sz w:val="15"/>
          <w:szCs w:val="15"/>
          <w:color w:val="auto"/>
        </w:rPr>
        <w:t>: Refining procedural aspects related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Chair’s role in presiding over meetings and casting the deciding vote in case of a tie.</w:t>
      </w:r>
    </w:p>
    <w:p>
      <w:pPr>
        <w:spacing w:after="0" w:line="39" w:lineRule="exact"/>
        <w:rPr>
          <w:rFonts w:ascii="Arial" w:cs="Arial" w:eastAsia="Arial" w:hAnsi="Arial"/>
          <w:sz w:val="15"/>
          <w:szCs w:val="15"/>
          <w:color w:val="auto"/>
        </w:rPr>
      </w:pPr>
    </w:p>
    <w:p>
      <w:pPr>
        <w:ind w:left="1520" w:right="1239" w:hanging="141"/>
        <w:spacing w:after="0" w:line="286" w:lineRule="auto"/>
        <w:tabs>
          <w:tab w:leader="none" w:pos="15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Written resolutions of the Board</w:t>
      </w:r>
      <w:r>
        <w:rPr>
          <w:rFonts w:ascii="Arial" w:cs="Arial" w:eastAsia="Arial" w:hAnsi="Arial"/>
          <w:sz w:val="15"/>
          <w:szCs w:val="15"/>
          <w:color w:val="auto"/>
        </w:rPr>
        <w:t>: Ease the process by removing the requirement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decisions can only be passed “where time is of the essence.”</w:t>
      </w:r>
    </w:p>
    <w:p>
      <w:pPr>
        <w:spacing w:after="0" w:line="39" w:lineRule="exact"/>
        <w:rPr>
          <w:rFonts w:ascii="Arial" w:cs="Arial" w:eastAsia="Arial" w:hAnsi="Arial"/>
          <w:sz w:val="15"/>
          <w:szCs w:val="15"/>
          <w:color w:val="auto"/>
        </w:rPr>
      </w:pPr>
    </w:p>
    <w:p>
      <w:pPr>
        <w:ind w:left="1520" w:right="1619" w:hanging="141"/>
        <w:spacing w:after="0" w:line="286" w:lineRule="auto"/>
        <w:tabs>
          <w:tab w:leader="none" w:pos="15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Delegation of Management Authority</w:t>
      </w:r>
      <w:r>
        <w:rPr>
          <w:rFonts w:ascii="Arial" w:cs="Arial" w:eastAsia="Arial" w:hAnsi="Arial"/>
          <w:sz w:val="15"/>
          <w:szCs w:val="15"/>
          <w:color w:val="auto"/>
        </w:rPr>
        <w:t>: Enhancing clarity on the Board’s ability to</w:t>
      </w:r>
      <w:r>
        <w:rPr>
          <w:rFonts w:ascii="Arial" w:cs="Arial" w:eastAsia="Arial" w:hAnsi="Arial"/>
          <w:sz w:val="15"/>
          <w:szCs w:val="15"/>
          <w:b w:val="1"/>
          <w:bCs w:val="1"/>
          <w:color w:val="auto"/>
        </w:rPr>
        <w:t xml:space="preserve"> </w:t>
      </w:r>
      <w:r>
        <w:rPr>
          <w:rFonts w:ascii="Arial" w:cs="Arial" w:eastAsia="Arial" w:hAnsi="Arial"/>
          <w:sz w:val="15"/>
          <w:szCs w:val="15"/>
          <w:color w:val="auto"/>
        </w:rPr>
        <w:t>delegate responsibilities to committees or executives.</w:t>
      </w:r>
    </w:p>
    <w:p>
      <w:pPr>
        <w:spacing w:after="0" w:line="39" w:lineRule="exact"/>
        <w:rPr>
          <w:rFonts w:ascii="Arial" w:cs="Arial" w:eastAsia="Arial" w:hAnsi="Arial"/>
          <w:sz w:val="15"/>
          <w:szCs w:val="15"/>
          <w:color w:val="auto"/>
        </w:rPr>
      </w:pPr>
    </w:p>
    <w:p>
      <w:pPr>
        <w:ind w:left="1520" w:right="1319" w:hanging="141"/>
        <w:spacing w:after="0" w:line="286" w:lineRule="auto"/>
        <w:tabs>
          <w:tab w:leader="none" w:pos="15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Company Representation</w:t>
      </w:r>
      <w:r>
        <w:rPr>
          <w:rFonts w:ascii="Arial" w:cs="Arial" w:eastAsia="Arial" w:hAnsi="Arial"/>
          <w:sz w:val="15"/>
          <w:szCs w:val="15"/>
          <w:color w:val="auto"/>
        </w:rPr>
        <w:t>: Updating the list of authorized signatories empowered to</w:t>
      </w:r>
      <w:r>
        <w:rPr>
          <w:rFonts w:ascii="Arial" w:cs="Arial" w:eastAsia="Arial" w:hAnsi="Arial"/>
          <w:sz w:val="15"/>
          <w:szCs w:val="15"/>
          <w:b w:val="1"/>
          <w:bCs w:val="1"/>
          <w:color w:val="auto"/>
        </w:rPr>
        <w:t xml:space="preserve"> </w:t>
      </w:r>
      <w:r>
        <w:rPr>
          <w:rFonts w:ascii="Arial" w:cs="Arial" w:eastAsia="Arial" w:hAnsi="Arial"/>
          <w:sz w:val="15"/>
          <w:szCs w:val="15"/>
          <w:color w:val="auto"/>
        </w:rPr>
        <w:t>act on behalf of the Company.</w:t>
      </w:r>
    </w:p>
    <w:p>
      <w:pPr>
        <w:spacing w:after="0" w:line="39" w:lineRule="exact"/>
        <w:rPr>
          <w:rFonts w:ascii="Arial" w:cs="Arial" w:eastAsia="Arial" w:hAnsi="Arial"/>
          <w:sz w:val="15"/>
          <w:szCs w:val="15"/>
          <w:color w:val="auto"/>
        </w:rPr>
      </w:pPr>
    </w:p>
    <w:p>
      <w:pPr>
        <w:ind w:left="1520" w:right="1239" w:hanging="141"/>
        <w:spacing w:after="0" w:line="286" w:lineRule="auto"/>
        <w:tabs>
          <w:tab w:leader="none" w:pos="15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Corrections and Formatting Adjustments</w:t>
      </w:r>
      <w:r>
        <w:rPr>
          <w:rFonts w:ascii="Arial" w:cs="Arial" w:eastAsia="Arial" w:hAnsi="Arial"/>
          <w:sz w:val="15"/>
          <w:szCs w:val="15"/>
          <w:color w:val="auto"/>
        </w:rPr>
        <w:t>: Addressing minor typographical errors and</w:t>
      </w:r>
      <w:r>
        <w:rPr>
          <w:rFonts w:ascii="Arial" w:cs="Arial" w:eastAsia="Arial" w:hAnsi="Arial"/>
          <w:sz w:val="15"/>
          <w:szCs w:val="15"/>
          <w:b w:val="1"/>
          <w:bCs w:val="1"/>
          <w:color w:val="auto"/>
        </w:rPr>
        <w:t xml:space="preserve"> </w:t>
      </w:r>
      <w:r>
        <w:rPr>
          <w:rFonts w:ascii="Arial" w:cs="Arial" w:eastAsia="Arial" w:hAnsi="Arial"/>
          <w:sz w:val="15"/>
          <w:szCs w:val="15"/>
          <w:color w:val="auto"/>
        </w:rPr>
        <w:t>refining language for consistency and clarity.</w:t>
      </w:r>
    </w:p>
    <w:p>
      <w:pPr>
        <w:spacing w:after="0" w:line="62" w:lineRule="exact"/>
        <w:rPr>
          <w:sz w:val="20"/>
          <w:szCs w:val="20"/>
          <w:color w:val="auto"/>
        </w:rPr>
      </w:pPr>
    </w:p>
    <w:p>
      <w:pPr>
        <w:ind w:left="1080" w:right="1659"/>
        <w:spacing w:after="0" w:line="286" w:lineRule="auto"/>
        <w:rPr>
          <w:sz w:val="20"/>
          <w:szCs w:val="20"/>
          <w:color w:val="auto"/>
        </w:rPr>
      </w:pPr>
      <w:r>
        <w:rPr>
          <w:rFonts w:ascii="Arial" w:cs="Arial" w:eastAsia="Arial" w:hAnsi="Arial"/>
          <w:sz w:val="15"/>
          <w:szCs w:val="15"/>
          <w:color w:val="auto"/>
        </w:rPr>
        <w:t xml:space="preserve">The specific </w:t>
      </w:r>
      <w:r>
        <w:rPr>
          <w:rFonts w:ascii="Arial" w:cs="Arial" w:eastAsia="Arial" w:hAnsi="Arial"/>
          <w:sz w:val="15"/>
          <w:szCs w:val="15"/>
          <w:b w:val="1"/>
          <w:bCs w:val="1"/>
          <w:color w:val="auto"/>
        </w:rPr>
        <w:t>Articles of Incorporation</w:t>
      </w:r>
      <w:r>
        <w:rPr>
          <w:rFonts w:ascii="Arial" w:cs="Arial" w:eastAsia="Arial" w:hAnsi="Arial"/>
          <w:sz w:val="15"/>
          <w:szCs w:val="15"/>
          <w:color w:val="auto"/>
        </w:rPr>
        <w:t xml:space="preserve"> amendments covered under this proposal are as follows:</w:t>
      </w:r>
    </w:p>
    <w:p>
      <w:pPr>
        <w:spacing w:after="0" w:line="40" w:lineRule="exact"/>
        <w:rPr>
          <w:sz w:val="20"/>
          <w:szCs w:val="20"/>
          <w:color w:val="auto"/>
        </w:rPr>
      </w:pPr>
    </w:p>
    <w:p>
      <w:pPr>
        <w:ind w:left="1520" w:right="1359" w:hanging="141"/>
        <w:spacing w:after="0" w:line="268" w:lineRule="auto"/>
        <w:tabs>
          <w:tab w:leader="none" w:pos="152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Article 12</w:t>
      </w:r>
      <w:r>
        <w:rPr>
          <w:rFonts w:ascii="Arial" w:cs="Arial" w:eastAsia="Arial" w:hAnsi="Arial"/>
          <w:sz w:val="15"/>
          <w:szCs w:val="15"/>
          <w:color w:val="auto"/>
        </w:rPr>
        <w:t>: Replaces “Chairman” with “Chair” and clarifies the appointment of a pro</w:t>
      </w:r>
      <w:r>
        <w:rPr>
          <w:rFonts w:ascii="Arial" w:cs="Arial" w:eastAsia="Arial" w:hAnsi="Arial"/>
          <w:sz w:val="15"/>
          <w:szCs w:val="15"/>
          <w:b w:val="1"/>
          <w:bCs w:val="1"/>
          <w:color w:val="auto"/>
        </w:rPr>
        <w:t xml:space="preserve"> </w:t>
      </w:r>
      <w:r>
        <w:rPr>
          <w:rFonts w:ascii="Arial" w:cs="Arial" w:eastAsia="Arial" w:hAnsi="Arial"/>
          <w:sz w:val="15"/>
          <w:szCs w:val="15"/>
          <w:color w:val="auto"/>
        </w:rPr>
        <w:t>tempore chair in the Chair’s absence. Ease the process to proceed with written decisions of the Board.</w:t>
      </w:r>
    </w:p>
    <w:p>
      <w:pPr>
        <w:spacing w:after="0" w:line="53" w:lineRule="exact"/>
        <w:rPr>
          <w:rFonts w:ascii="Arial" w:cs="Arial" w:eastAsia="Arial" w:hAnsi="Arial"/>
          <w:sz w:val="15"/>
          <w:szCs w:val="15"/>
          <w:color w:val="auto"/>
        </w:rPr>
      </w:pPr>
    </w:p>
    <w:p>
      <w:pPr>
        <w:ind w:left="1520" w:hanging="141"/>
        <w:spacing w:after="0"/>
        <w:tabs>
          <w:tab w:leader="none" w:pos="152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Article 13</w:t>
      </w:r>
      <w:r>
        <w:rPr>
          <w:rFonts w:ascii="Arial" w:cs="Arial" w:eastAsia="Arial" w:hAnsi="Arial"/>
          <w:sz w:val="15"/>
          <w:szCs w:val="15"/>
          <w:color w:val="auto"/>
        </w:rPr>
        <w:t>:  Specifies that the Chair or Secretary may sign Board meeting minutes.</w:t>
      </w:r>
    </w:p>
    <w:p>
      <w:pPr>
        <w:spacing w:after="0" w:line="97" w:lineRule="exact"/>
        <w:rPr>
          <w:rFonts w:ascii="Arial" w:cs="Arial" w:eastAsia="Arial" w:hAnsi="Arial"/>
          <w:sz w:val="15"/>
          <w:szCs w:val="15"/>
          <w:color w:val="auto"/>
        </w:rPr>
      </w:pPr>
    </w:p>
    <w:p>
      <w:pPr>
        <w:jc w:val="both"/>
        <w:ind w:left="1520" w:right="1119" w:hanging="141"/>
        <w:spacing w:after="0" w:line="286" w:lineRule="auto"/>
        <w:tabs>
          <w:tab w:leader="none" w:pos="152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Various Articles (including Articles 1, 2, 3, 7, 10, 11, 14, 15, 16, 17, 18, 22)</w:t>
      </w:r>
      <w:r>
        <w:rPr>
          <w:rFonts w:ascii="Arial" w:cs="Arial" w:eastAsia="Arial" w:hAnsi="Arial"/>
          <w:sz w:val="15"/>
          <w:szCs w:val="15"/>
          <w:color w:val="auto"/>
        </w:rPr>
        <w:t>: Standardizes</w:t>
      </w:r>
      <w:r>
        <w:rPr>
          <w:rFonts w:ascii="Arial" w:cs="Arial" w:eastAsia="Arial" w:hAnsi="Arial"/>
          <w:sz w:val="15"/>
          <w:szCs w:val="15"/>
          <w:b w:val="1"/>
          <w:bCs w:val="1"/>
          <w:color w:val="auto"/>
        </w:rPr>
        <w:t xml:space="preserve"> </w:t>
      </w:r>
      <w:r>
        <w:rPr>
          <w:rFonts w:ascii="Arial" w:cs="Arial" w:eastAsia="Arial" w:hAnsi="Arial"/>
          <w:sz w:val="15"/>
          <w:szCs w:val="15"/>
          <w:color w:val="auto"/>
        </w:rPr>
        <w:t>references to corporate governance procedures and refines formatting for consistency.</w:t>
      </w:r>
    </w:p>
    <w:p>
      <w:pPr>
        <w:spacing w:after="0" w:line="73" w:lineRule="exact"/>
        <w:rPr>
          <w:sz w:val="20"/>
          <w:szCs w:val="20"/>
          <w:color w:val="auto"/>
        </w:rPr>
      </w:pPr>
    </w:p>
    <w:p>
      <w:pPr>
        <w:ind w:left="1080" w:right="1099"/>
        <w:spacing w:after="0" w:line="268" w:lineRule="auto"/>
        <w:rPr>
          <w:sz w:val="20"/>
          <w:szCs w:val="20"/>
          <w:color w:val="auto"/>
        </w:rPr>
      </w:pPr>
      <w:r>
        <w:rPr>
          <w:rFonts w:ascii="Arial" w:cs="Arial" w:eastAsia="Arial" w:hAnsi="Arial"/>
          <w:sz w:val="15"/>
          <w:szCs w:val="15"/>
          <w:color w:val="auto"/>
        </w:rPr>
        <w:t>The above descriptions of the proposed amendments are qualified in their entirety by reference to the actual proposed amendments, which are attached hereto as Appendix A and incorporated herein by reference.</w:t>
      </w:r>
    </w:p>
    <w:p>
      <w:pPr>
        <w:spacing w:after="0" w:line="143" w:lineRule="exact"/>
        <w:rPr>
          <w:sz w:val="20"/>
          <w:szCs w:val="20"/>
          <w:color w:val="auto"/>
        </w:rPr>
      </w:pPr>
    </w:p>
    <w:p>
      <w:pPr>
        <w:ind w:left="1500" w:right="1299" w:hanging="256"/>
        <w:spacing w:after="0" w:line="335" w:lineRule="auto"/>
        <w:rPr>
          <w:sz w:val="20"/>
          <w:szCs w:val="20"/>
          <w:color w:val="auto"/>
        </w:rPr>
      </w:pPr>
      <w:r>
        <w:rPr>
          <w:rFonts w:ascii="Arial" w:cs="Arial" w:eastAsia="Arial" w:hAnsi="Arial"/>
          <w:sz w:val="14"/>
          <w:szCs w:val="14"/>
          <w:b w:val="1"/>
          <w:bCs w:val="1"/>
          <w:color w:val="auto"/>
        </w:rPr>
        <w:t>OUR BOARD OF DIRECTORS UNANIMOUSLY RECOMMENDS THAT YOU VOTE “FOR” THE APPROVAL OF AMENDMENTS TO THE ARTICLES OF INCORPORATION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0" w:name="page61"/>
    <w:bookmarkEnd w:id="60"/>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40640</wp:posOffset>
            </wp:positionV>
            <wp:extent cx="435038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76" w:lineRule="exact"/>
        <w:rPr>
          <w:sz w:val="20"/>
          <w:szCs w:val="20"/>
          <w:color w:val="auto"/>
        </w:rPr>
      </w:pPr>
    </w:p>
    <w:p>
      <w:pPr>
        <w:ind w:left="1080" w:right="1099"/>
        <w:spacing w:after="0" w:line="255" w:lineRule="auto"/>
        <w:rPr>
          <w:sz w:val="20"/>
          <w:szCs w:val="20"/>
          <w:color w:val="auto"/>
        </w:rPr>
      </w:pPr>
      <w:r>
        <w:rPr>
          <w:rFonts w:ascii="Arial" w:cs="Arial" w:eastAsia="Arial" w:hAnsi="Arial"/>
          <w:sz w:val="15"/>
          <w:szCs w:val="15"/>
          <w:color w:val="auto"/>
        </w:rPr>
        <w:t xml:space="preserve">Our Board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Any situation that potentially qualifies as a conflict of interest is to be disclosed to the Chief Legal and Compliance Officer to assess the nature and extent of any concern as well as the appropriate next steps. If any such situation requires our Board’s or Audit Committee’s review, the Chief Legal and Compliance Officer will notify the Chairman of our Board or the Audit Committee Chair, as appropriate.</w:t>
      </w:r>
    </w:p>
    <w:p>
      <w:pPr>
        <w:spacing w:after="0" w:line="89" w:lineRule="exact"/>
        <w:rPr>
          <w:sz w:val="20"/>
          <w:szCs w:val="20"/>
          <w:color w:val="auto"/>
        </w:rPr>
      </w:pPr>
    </w:p>
    <w:p>
      <w:pPr>
        <w:ind w:left="1080" w:right="1379"/>
        <w:spacing w:after="0" w:line="268" w:lineRule="auto"/>
        <w:rPr>
          <w:sz w:val="20"/>
          <w:szCs w:val="20"/>
          <w:color w:val="auto"/>
        </w:rPr>
      </w:pPr>
      <w:r>
        <w:rPr>
          <w:rFonts w:ascii="Arial" w:cs="Arial" w:eastAsia="Arial" w:hAnsi="Arial"/>
          <w:sz w:val="15"/>
          <w:szCs w:val="15"/>
          <w:color w:val="auto"/>
        </w:rPr>
        <w:t>The Audit Committee of our Board has adopted written policies and procedures to govern the review and approval of transactions involving Altisource and a Related Person (as defined by SEC Regulation S-K).</w:t>
      </w:r>
    </w:p>
    <w:p>
      <w:pPr>
        <w:spacing w:after="0" w:line="87" w:lineRule="exact"/>
        <w:rPr>
          <w:sz w:val="20"/>
          <w:szCs w:val="20"/>
          <w:color w:val="auto"/>
        </w:rPr>
      </w:pPr>
    </w:p>
    <w:p>
      <w:pPr>
        <w:ind w:left="1080" w:right="1159"/>
        <w:spacing w:after="0" w:line="278" w:lineRule="auto"/>
        <w:rPr>
          <w:sz w:val="20"/>
          <w:szCs w:val="20"/>
          <w:color w:val="auto"/>
        </w:rPr>
      </w:pPr>
      <w:r>
        <w:rPr>
          <w:rFonts w:ascii="Arial" w:cs="Arial" w:eastAsia="Arial" w:hAnsi="Arial"/>
          <w:sz w:val="15"/>
          <w:szCs w:val="15"/>
          <w:color w:val="auto"/>
        </w:rPr>
        <w:t>We received certain services from Aldridge|Pite, LLP (“Aldridge Pite”); John G. Aldridge, Jr., the founder and managing partner of Aldridge Pite, was appointed to our Board on May 17, 2022.</w:t>
      </w:r>
    </w:p>
    <w:p>
      <w:pPr>
        <w:spacing w:after="0" w:line="317"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ALDRIDGE|PITE, LLP</w:t>
      </w:r>
    </w:p>
    <w:p>
      <w:pPr>
        <w:spacing w:after="0" w:line="91" w:lineRule="exact"/>
        <w:rPr>
          <w:sz w:val="20"/>
          <w:szCs w:val="20"/>
          <w:color w:val="auto"/>
        </w:rPr>
      </w:pPr>
    </w:p>
    <w:p>
      <w:pPr>
        <w:ind w:left="1080" w:right="1159"/>
        <w:spacing w:after="0" w:line="255" w:lineRule="auto"/>
        <w:rPr>
          <w:sz w:val="20"/>
          <w:szCs w:val="20"/>
          <w:color w:val="auto"/>
        </w:rPr>
      </w:pPr>
      <w:r>
        <w:rPr>
          <w:rFonts w:ascii="Arial" w:cs="Arial" w:eastAsia="Arial" w:hAnsi="Arial"/>
          <w:sz w:val="15"/>
          <w:szCs w:val="15"/>
          <w:color w:val="auto"/>
        </w:rPr>
        <w:t>We engage Aldridge Pite, LLP (“Aldridge Pite”), a law firm, for legal services, including eviction services. John G. Aldridge, Jr., its founder and managing partner, currently serves on our Board. In 2024, Aldridge Pite received $932,875.57 from the Company for these services. Aldridge Pite informed us that it recorded $334,324 in revenue on these services, with the remainder constituting reimbursed third-party costs paid by the firm. As managing partner, Mr. Aldridge has a material interest in this transaction through his ownership and leadership role in the firm. The Audit Committee reviewed and approved this arrangement in accordance with our policies, determining it to be at arm’s length and consistent with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5706745"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1" w:name="page62"/>
    <w:bookmarkEnd w:id="61"/>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40640</wp:posOffset>
            </wp:positionV>
            <wp:extent cx="435038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76" w:lineRule="exact"/>
        <w:rPr>
          <w:sz w:val="20"/>
          <w:szCs w:val="20"/>
          <w:color w:val="auto"/>
        </w:rPr>
      </w:pPr>
    </w:p>
    <w:p>
      <w:pPr>
        <w:ind w:left="1080" w:right="1239"/>
        <w:spacing w:after="0" w:line="253" w:lineRule="auto"/>
        <w:rPr>
          <w:sz w:val="20"/>
          <w:szCs w:val="20"/>
          <w:color w:val="auto"/>
        </w:rPr>
      </w:pPr>
      <w:r>
        <w:rPr>
          <w:rFonts w:ascii="Arial" w:cs="Arial" w:eastAsia="Arial" w:hAnsi="Arial"/>
          <w:sz w:val="15"/>
          <w:szCs w:val="15"/>
          <w:color w:val="auto"/>
        </w:rPr>
        <w:t>Pursuant to SEC rules, any proposal that a shareholder desires to have included in our proxy materials relating to our 2026 annual general meeting of shareholders must be received at our registered office no later than December 1, 2025. In addition to any shareholders’ rights under the Luxembourg Company Law and the Company’s Articles of Incorporation, for any proposal that is not submitted for inclusion in the proxy statement for the 2026 annual general meeting of shareholders, but is instead sought to be presented directly at the 2026 annual general meeting of shareholders, SEC rules permit the persons appointed as proxies to vote shares represented by valid proxies in their discretion if we:</w:t>
      </w:r>
    </w:p>
    <w:p>
      <w:pPr>
        <w:spacing w:after="0" w:line="2" w:lineRule="exact"/>
        <w:rPr>
          <w:sz w:val="20"/>
          <w:szCs w:val="20"/>
          <w:color w:val="auto"/>
        </w:rPr>
      </w:pPr>
    </w:p>
    <w:p>
      <w:pPr>
        <w:ind w:left="1080" w:right="1119" w:hanging="1"/>
        <w:spacing w:after="0" w:line="258" w:lineRule="auto"/>
        <w:tabs>
          <w:tab w:leader="none" w:pos="1285"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receive the proposal no later than February 14, 2026 and advise shareholders in the 2026 proxy statement about the nature of the matter and how the persons appointed as proxies intend to vote on such matter; or (ii) receive notice of the proposal after February 14, 2026.</w:t>
      </w:r>
    </w:p>
    <w:p>
      <w:pPr>
        <w:spacing w:after="0" w:line="83" w:lineRule="exact"/>
        <w:rPr>
          <w:sz w:val="20"/>
          <w:szCs w:val="20"/>
          <w:color w:val="auto"/>
        </w:rPr>
      </w:pPr>
    </w:p>
    <w:p>
      <w:pPr>
        <w:ind w:left="1080" w:right="1339"/>
        <w:spacing w:after="0" w:line="262" w:lineRule="auto"/>
        <w:rPr>
          <w:sz w:val="20"/>
          <w:szCs w:val="20"/>
          <w:color w:val="auto"/>
        </w:rPr>
      </w:pPr>
      <w:r>
        <w:rPr>
          <w:rFonts w:ascii="Arial" w:cs="Arial" w:eastAsia="Arial" w:hAnsi="Arial"/>
          <w:sz w:val="15"/>
          <w:szCs w:val="15"/>
          <w:color w:val="auto"/>
        </w:rPr>
        <w:t>Notice of intent to present a proposal at the 2026 annual general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40640</wp:posOffset>
            </wp:positionV>
            <wp:extent cx="435038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76" w:lineRule="exact"/>
        <w:rPr>
          <w:sz w:val="20"/>
          <w:szCs w:val="20"/>
          <w:color w:val="auto"/>
        </w:rPr>
      </w:pPr>
    </w:p>
    <w:p>
      <w:pPr>
        <w:ind w:left="1080" w:right="1139"/>
        <w:spacing w:after="0" w:line="258" w:lineRule="auto"/>
        <w:rPr>
          <w:sz w:val="20"/>
          <w:szCs w:val="20"/>
          <w:color w:val="auto"/>
        </w:rPr>
      </w:pPr>
      <w:r>
        <w:rPr>
          <w:rFonts w:ascii="Arial" w:cs="Arial" w:eastAsia="Arial" w:hAnsi="Arial"/>
          <w:sz w:val="15"/>
          <w:szCs w:val="15"/>
          <w:color w:val="auto"/>
        </w:rPr>
        <w:t xml:space="preserve">A copy of our 2024 Form 10-K will be made available to shareholders on or around March 31, 2025. The 2024 Form 10-K can be found on our website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under Investor Relations. </w:t>
      </w:r>
      <w:r>
        <w:rPr>
          <w:rFonts w:ascii="Arial" w:cs="Arial" w:eastAsia="Arial" w:hAnsi="Arial"/>
          <w:sz w:val="15"/>
          <w:szCs w:val="15"/>
          <w:b w:val="1"/>
          <w:bCs w:val="1"/>
          <w:color w:val="auto"/>
        </w:rPr>
        <w:t>We will furnish without charge to each person whose proxy is solicited and</w:t>
      </w:r>
      <w:r>
        <w:rPr>
          <w:rFonts w:ascii="Arial" w:cs="Arial" w:eastAsia="Arial" w:hAnsi="Arial"/>
          <w:sz w:val="15"/>
          <w:szCs w:val="15"/>
          <w:color w:val="auto"/>
        </w:rPr>
        <w:t xml:space="preserve"> </w:t>
      </w:r>
      <w:r>
        <w:rPr>
          <w:rFonts w:ascii="Arial" w:cs="Arial" w:eastAsia="Arial" w:hAnsi="Arial"/>
          <w:sz w:val="15"/>
          <w:szCs w:val="15"/>
          <w:b w:val="1"/>
          <w:bCs w:val="1"/>
          <w:color w:val="auto"/>
        </w:rPr>
        <w:t>to any beneficial owner entitled to vote at the Annual Meeting, on written request, a copy of our 2024 Form 10-K, that we are required to file with the SEC under the Exchange Act. Such requests should be directed to Investor Relations, Altisource Portfolio Solutions S.A., 33, Boulevard Prince Henri, L-1724 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5706745"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2" w:name="page63"/>
    <w:bookmarkEnd w:id="62"/>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40640</wp:posOffset>
            </wp:positionV>
            <wp:extent cx="435038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176" w:lineRule="exact"/>
        <w:rPr>
          <w:sz w:val="20"/>
          <w:szCs w:val="20"/>
          <w:color w:val="auto"/>
        </w:rPr>
      </w:pPr>
    </w:p>
    <w:p>
      <w:pPr>
        <w:ind w:left="1080" w:right="1199"/>
        <w:spacing w:after="0" w:line="259" w:lineRule="auto"/>
        <w:rPr>
          <w:sz w:val="20"/>
          <w:szCs w:val="20"/>
          <w:color w:val="auto"/>
        </w:rPr>
      </w:pPr>
      <w:r>
        <w:rPr>
          <w:rFonts w:ascii="Arial" w:cs="Arial" w:eastAsia="Arial" w:hAnsi="Arial"/>
          <w:sz w:val="15"/>
          <w:szCs w:val="15"/>
          <w:color w:val="auto"/>
        </w:rPr>
        <w:t>Proxies will be solicited on behalf of our Board by mail or electronic means, and we will pay the solicitation costs. Copies of the annual report for 2024 and this proxy statement will be made available to banks or brokers, for the purpose of soliciting proxies from beneficial owners. In addition to solicitations by mail or electronic means, our Directors, officers and other employees may solicit proxies personally or by telephone without additional cost.</w:t>
      </w:r>
    </w:p>
    <w:p>
      <w:pPr>
        <w:spacing w:after="0" w:line="83" w:lineRule="exact"/>
        <w:rPr>
          <w:sz w:val="20"/>
          <w:szCs w:val="20"/>
          <w:color w:val="auto"/>
        </w:rPr>
      </w:pPr>
    </w:p>
    <w:p>
      <w:pPr>
        <w:ind w:left="1080" w:right="1159"/>
        <w:spacing w:after="0" w:line="255" w:lineRule="auto"/>
        <w:rPr>
          <w:sz w:val="20"/>
          <w:szCs w:val="20"/>
          <w:color w:val="auto"/>
        </w:rPr>
      </w:pPr>
      <w:r>
        <w:rPr>
          <w:rFonts w:ascii="Arial" w:cs="Arial" w:eastAsia="Arial" w:hAnsi="Arial"/>
          <w:sz w:val="15"/>
          <w:szCs w:val="15"/>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Seven, inclusive; and each proxy received for the Extraordinary Meeting will be voted “FOR” the proposals identified in the agenda for the Extraordinary Meeting. Should any matter or other business not described above properly come before the Annual Meeting or Extraordinary Meeting, the persons appointed as proxies will vote according to their discretion.</w:t>
      </w:r>
    </w:p>
    <w:p>
      <w:pPr>
        <w:spacing w:after="0" w:line="100" w:lineRule="exact"/>
        <w:rPr>
          <w:sz w:val="20"/>
          <w:szCs w:val="20"/>
          <w:color w:val="auto"/>
        </w:rPr>
      </w:pPr>
    </w:p>
    <w:p>
      <w:pPr>
        <w:ind w:left="1080" w:right="1159"/>
        <w:spacing w:after="0" w:line="260" w:lineRule="auto"/>
        <w:rPr>
          <w:sz w:val="20"/>
          <w:szCs w:val="20"/>
          <w:color w:val="auto"/>
        </w:rPr>
      </w:pPr>
      <w:r>
        <w:rPr>
          <w:rFonts w:ascii="Arial" w:cs="Arial" w:eastAsia="Arial" w:hAnsi="Arial"/>
          <w:sz w:val="15"/>
          <w:szCs w:val="15"/>
          <w:color w:val="auto"/>
        </w:rPr>
        <w:t>If you are the beneficial owner, but not the record holder of shares of our common stock and have requested a copy of this proxy statement, your bank or broker may only deliver one</w:t>
      </w:r>
    </w:p>
    <w:p>
      <w:pPr>
        <w:spacing w:after="0" w:line="1" w:lineRule="exact"/>
        <w:rPr>
          <w:sz w:val="20"/>
          <w:szCs w:val="20"/>
          <w:color w:val="auto"/>
        </w:rPr>
      </w:pPr>
    </w:p>
    <w:p>
      <w:pPr>
        <w:ind w:left="1080" w:right="1379" w:hanging="1"/>
        <w:spacing w:after="0" w:line="250" w:lineRule="auto"/>
        <w:tabs>
          <w:tab w:leader="none" w:pos="1335"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copy of this proxy statement and our 2024 annual report to multiple shareholders who share an address unless the bank or broker has received contrary instructions from one</w:t>
      </w:r>
    </w:p>
    <w:p>
      <w:pPr>
        <w:spacing w:after="0" w:line="1" w:lineRule="exact"/>
        <w:rPr>
          <w:rFonts w:ascii="Arial" w:cs="Arial" w:eastAsia="Arial" w:hAnsi="Arial"/>
          <w:sz w:val="15"/>
          <w:szCs w:val="15"/>
          <w:color w:val="auto"/>
        </w:rPr>
      </w:pPr>
    </w:p>
    <w:p>
      <w:pPr>
        <w:ind w:left="1080" w:right="1179" w:hanging="1"/>
        <w:spacing w:after="0" w:line="253" w:lineRule="auto"/>
        <w:tabs>
          <w:tab w:leader="none" w:pos="1335"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or more of the shareholders. Shareholders at an address to which a single copy of this proxy statement and our 2024 annual report was sent may request a separate copy by contacting the Office of the Corporate Secretary by mail at Altisource Portfolio Solutions S.A., 33, Boulevard Prince Henri, L-1724 Luxembourg City, Grand Duchy of Luxembourg, or by email at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98" w:lineRule="exact"/>
        <w:rPr>
          <w:sz w:val="20"/>
          <w:szCs w:val="20"/>
          <w:color w:val="auto"/>
        </w:rPr>
      </w:pPr>
    </w:p>
    <w:p>
      <w:pPr>
        <w:ind w:left="1080" w:right="1139"/>
        <w:spacing w:after="0" w:line="254" w:lineRule="auto"/>
        <w:rPr>
          <w:sz w:val="20"/>
          <w:szCs w:val="20"/>
          <w:color w:val="auto"/>
        </w:rPr>
      </w:pPr>
      <w:r>
        <w:rPr>
          <w:rFonts w:ascii="Arial" w:cs="Arial" w:eastAsia="Arial" w:hAnsi="Arial"/>
          <w:sz w:val="15"/>
          <w:szCs w:val="15"/>
          <w:color w:val="auto"/>
        </w:rPr>
        <w:t xml:space="preserve">This proxy statement and our 2024 annual report will be available on our website under Investor Relations-Financial Information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addition, this proxy statement and our 2024 annual report will be available at </w:t>
      </w:r>
      <w:r>
        <w:rPr>
          <w:rFonts w:ascii="Arial" w:cs="Arial" w:eastAsia="Arial" w:hAnsi="Arial"/>
          <w:sz w:val="15"/>
          <w:szCs w:val="15"/>
          <w:u w:val="single" w:color="auto"/>
          <w:color w:val="auto"/>
        </w:rPr>
        <w:t>www.proxyvote.com</w:t>
      </w:r>
      <w:r>
        <w:rPr>
          <w:rFonts w:ascii="Arial" w:cs="Arial" w:eastAsia="Arial" w:hAnsi="Arial"/>
          <w:sz w:val="15"/>
          <w:szCs w:val="15"/>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them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5706745"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3" w:name="page64"/>
    <w:bookmarkEnd w:id="63"/>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1039"/>
        <w:spacing w:after="0"/>
        <w:rPr>
          <w:sz w:val="20"/>
          <w:szCs w:val="20"/>
          <w:color w:val="auto"/>
        </w:rPr>
      </w:pPr>
      <w:r>
        <w:rPr>
          <w:rFonts w:ascii="Arial" w:cs="Arial" w:eastAsia="Arial" w:hAnsi="Arial"/>
          <w:sz w:val="15"/>
          <w:szCs w:val="15"/>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114300</wp:posOffset>
            </wp:positionV>
            <wp:extent cx="4350385" cy="5651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50385" cy="565150"/>
                    </a:xfrm>
                    <a:prstGeom prst="rect">
                      <a:avLst/>
                    </a:prstGeom>
                    <a:noFill/>
                  </pic:spPr>
                </pic:pic>
              </a:graphicData>
            </a:graphic>
          </wp:anchor>
        </w:drawing>
      </w:r>
    </w:p>
    <w:p>
      <w:pPr>
        <w:spacing w:after="0" w:line="46" w:lineRule="exact"/>
        <w:rPr>
          <w:sz w:val="20"/>
          <w:szCs w:val="20"/>
          <w:color w:val="auto"/>
        </w:rPr>
      </w:pPr>
    </w:p>
    <w:p>
      <w:pPr>
        <w:ind w:left="1120"/>
        <w:spacing w:after="0"/>
        <w:tabs>
          <w:tab w:leader="none" w:pos="3360" w:val="left"/>
        </w:tabs>
        <w:rPr>
          <w:sz w:val="20"/>
          <w:szCs w:val="20"/>
          <w:color w:val="auto"/>
        </w:rPr>
      </w:pPr>
      <w:r>
        <w:rPr>
          <w:rFonts w:ascii="Arial" w:cs="Arial" w:eastAsia="Arial" w:hAnsi="Arial"/>
          <w:sz w:val="27"/>
          <w:szCs w:val="27"/>
          <w:b w:val="1"/>
          <w:bCs w:val="1"/>
          <w:color w:val="auto"/>
          <w:vertAlign w:val="superscript"/>
        </w:rPr>
        <w:t>​</w:t>
      </w:r>
      <w:r>
        <w:rPr>
          <w:sz w:val="20"/>
          <w:szCs w:val="20"/>
          <w:color w:val="auto"/>
        </w:rPr>
        <w:tab/>
      </w:r>
      <w:r>
        <w:rPr>
          <w:rFonts w:ascii="Arial" w:cs="Arial" w:eastAsia="Arial" w:hAnsi="Arial"/>
          <w:sz w:val="14"/>
          <w:szCs w:val="14"/>
          <w:b w:val="1"/>
          <w:bCs w:val="1"/>
          <w:color w:val="auto"/>
        </w:rPr>
        <w:t>Altisource Portfolio Solutions S.A.</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Société anonyme</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Siège social: 33, Boulevard Prince Henri, L-1724 Luxembourg</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R.C.S. Luxembourg: B 72 391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Chapter I. Form, Corporate Name, Registered Office, Object, Duration</w:t>
      </w:r>
    </w:p>
    <w:p>
      <w:pPr>
        <w:spacing w:after="0" w:line="132" w:lineRule="exact"/>
        <w:rPr>
          <w:sz w:val="20"/>
          <w:szCs w:val="20"/>
          <w:color w:val="auto"/>
        </w:rPr>
      </w:pPr>
    </w:p>
    <w:p>
      <w:pPr>
        <w:ind w:left="1080" w:right="1139"/>
        <w:spacing w:after="0" w:line="250" w:lineRule="auto"/>
        <w:rPr>
          <w:sz w:val="20"/>
          <w:szCs w:val="20"/>
          <w:color w:val="auto"/>
        </w:rPr>
      </w:pPr>
      <w:r>
        <w:rPr>
          <w:rFonts w:ascii="Arial" w:cs="Arial" w:eastAsia="Arial" w:hAnsi="Arial"/>
          <w:sz w:val="15"/>
          <w:szCs w:val="15"/>
          <w:b w:val="1"/>
          <w:bCs w:val="1"/>
          <w:i w:val="1"/>
          <w:iCs w:val="1"/>
          <w:color w:val="auto"/>
        </w:rPr>
        <w:t xml:space="preserve">Art. 1. Form, Corporate Name. </w:t>
      </w:r>
      <w:r>
        <w:rPr>
          <w:rFonts w:ascii="Arial" w:cs="Arial" w:eastAsia="Arial" w:hAnsi="Arial"/>
          <w:sz w:val="15"/>
          <w:szCs w:val="15"/>
          <w:i w:val="1"/>
          <w:iCs w:val="1"/>
          <w:color w:val="auto"/>
        </w:rPr>
        <w:t>There is established among the subscriber(s), and all those who may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become owners of the shares of the company hereafter issued, a company in the form of a public limited liability company (société anonyme) (the “</w:t>
      </w:r>
      <w:r>
        <w:rPr>
          <w:rFonts w:ascii="Arial" w:cs="Arial" w:eastAsia="Arial" w:hAnsi="Arial"/>
          <w:sz w:val="15"/>
          <w:szCs w:val="15"/>
          <w:b w:val="1"/>
          <w:bCs w:val="1"/>
          <w:i w:val="1"/>
          <w:iCs w:val="1"/>
          <w:color w:val="auto"/>
        </w:rPr>
        <w:t>Company</w:t>
      </w:r>
      <w:r>
        <w:rPr>
          <w:rFonts w:ascii="Arial" w:cs="Arial" w:eastAsia="Arial" w:hAnsi="Arial"/>
          <w:sz w:val="15"/>
          <w:szCs w:val="15"/>
          <w:i w:val="1"/>
          <w:iCs w:val="1"/>
          <w:color w:val="auto"/>
        </w:rPr>
        <w:t>”) which will be governed by the laws of the Grand Duchy of Luxembourg, in particular the law of 10 August 1915 on commercial companies, as amended (the “</w:t>
      </w:r>
      <w:r>
        <w:rPr>
          <w:rFonts w:ascii="Arial" w:cs="Arial" w:eastAsia="Arial" w:hAnsi="Arial"/>
          <w:sz w:val="15"/>
          <w:szCs w:val="15"/>
          <w:b w:val="1"/>
          <w:bCs w:val="1"/>
          <w:i w:val="1"/>
          <w:iCs w:val="1"/>
          <w:color w:val="auto"/>
        </w:rPr>
        <w:t>Law</w:t>
      </w:r>
      <w:r>
        <w:rPr>
          <w:rFonts w:ascii="Arial" w:cs="Arial" w:eastAsia="Arial" w:hAnsi="Arial"/>
          <w:sz w:val="15"/>
          <w:szCs w:val="15"/>
          <w:i w:val="1"/>
          <w:iCs w:val="1"/>
          <w:color w:val="auto"/>
        </w:rPr>
        <w:t xml:space="preserve">”), Article 1832 of the Luxembourg Civil Code, as amended (the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Civil Code</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and by the present articles of incorporation (the “</w:t>
      </w:r>
      <w:r>
        <w:rPr>
          <w:rFonts w:ascii="Arial" w:cs="Arial" w:eastAsia="Arial" w:hAnsi="Arial"/>
          <w:sz w:val="15"/>
          <w:szCs w:val="15"/>
          <w:b w:val="1"/>
          <w:bCs w:val="1"/>
          <w:i w:val="1"/>
          <w:iCs w:val="1"/>
          <w:color w:val="auto"/>
        </w:rPr>
        <w:t>Articles</w:t>
      </w:r>
      <w:r>
        <w:rPr>
          <w:rFonts w:ascii="Arial" w:cs="Arial" w:eastAsia="Arial" w:hAnsi="Arial"/>
          <w:sz w:val="15"/>
          <w:szCs w:val="15"/>
          <w:i w:val="1"/>
          <w:iCs w:val="1"/>
          <w:color w:val="auto"/>
        </w:rPr>
        <w:t>”).</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The Company will exist under the name of  “</w:t>
      </w:r>
      <w:r>
        <w:rPr>
          <w:rFonts w:ascii="Arial" w:cs="Arial" w:eastAsia="Arial" w:hAnsi="Arial"/>
          <w:sz w:val="15"/>
          <w:szCs w:val="15"/>
          <w:b w:val="1"/>
          <w:bCs w:val="1"/>
          <w:i w:val="1"/>
          <w:iCs w:val="1"/>
          <w:color w:val="auto"/>
        </w:rPr>
        <w:t>Altisource Portfolio Solutions S.A</w:t>
      </w:r>
      <w:r>
        <w:rPr>
          <w:rFonts w:ascii="Arial" w:cs="Arial" w:eastAsia="Arial" w:hAnsi="Arial"/>
          <w:sz w:val="15"/>
          <w:szCs w:val="15"/>
          <w:b w:val="1"/>
          <w:bCs w:val="1"/>
          <w:color w:val="FF0000"/>
          <w:strike w:val="1"/>
        </w:rPr>
        <w:t>.</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FF0000"/>
          <w:strike w:val="1"/>
        </w:rPr>
        <w:t>.</w:t>
      </w:r>
    </w:p>
    <w:p>
      <w:pPr>
        <w:spacing w:after="0" w:line="120" w:lineRule="exact"/>
        <w:rPr>
          <w:sz w:val="20"/>
          <w:szCs w:val="20"/>
          <w:color w:val="auto"/>
        </w:rPr>
      </w:pPr>
    </w:p>
    <w:p>
      <w:pPr>
        <w:jc w:val="both"/>
        <w:ind w:left="1080" w:right="1459"/>
        <w:spacing w:after="0" w:line="252" w:lineRule="auto"/>
        <w:rPr>
          <w:sz w:val="20"/>
          <w:szCs w:val="20"/>
          <w:color w:val="auto"/>
        </w:rPr>
      </w:pPr>
      <w:r>
        <w:rPr>
          <w:rFonts w:ascii="Arial" w:cs="Arial" w:eastAsia="Arial" w:hAnsi="Arial"/>
          <w:sz w:val="15"/>
          <w:szCs w:val="15"/>
          <w:b w:val="1"/>
          <w:bCs w:val="1"/>
          <w:i w:val="1"/>
          <w:iCs w:val="1"/>
          <w:color w:val="auto"/>
        </w:rPr>
        <w:t xml:space="preserve">Art. 2. Registered Office. </w:t>
      </w:r>
      <w:r>
        <w:rPr>
          <w:rFonts w:ascii="Arial" w:cs="Arial" w:eastAsia="Arial" w:hAnsi="Arial"/>
          <w:sz w:val="15"/>
          <w:szCs w:val="15"/>
          <w:i w:val="1"/>
          <w:iCs w:val="1"/>
          <w:color w:val="auto"/>
        </w:rPr>
        <w:t>The Company has its registered office in the city of Luxembourg.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Board of Directors (as defined in Article 11) is authorized to change the address of the Company’s registered office within the </w:t>
      </w:r>
      <w:r>
        <w:rPr>
          <w:rFonts w:ascii="Arial" w:cs="Arial" w:eastAsia="Arial" w:hAnsi="Arial"/>
          <w:sz w:val="15"/>
          <w:szCs w:val="15"/>
          <w:i w:val="1"/>
          <w:iCs w:val="1"/>
          <w:color w:val="FF0000"/>
          <w:strike w:val="1"/>
        </w:rPr>
        <w:t>Grand</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FF0000"/>
          <w:strike w:val="1"/>
        </w:rPr>
        <w:t>Duchy</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Grand Duchy</w:t>
      </w:r>
      <w:r>
        <w:rPr>
          <w:rFonts w:ascii="Arial" w:cs="Arial" w:eastAsia="Arial" w:hAnsi="Arial"/>
          <w:sz w:val="15"/>
          <w:szCs w:val="15"/>
          <w:i w:val="1"/>
          <w:iCs w:val="1"/>
          <w:color w:val="auto"/>
        </w:rPr>
        <w:t xml:space="preserve"> of Luxembourg and amend these Articles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-178435</wp:posOffset>
            </wp:positionV>
            <wp:extent cx="2667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67" w:lineRule="exact"/>
        <w:rPr>
          <w:sz w:val="20"/>
          <w:szCs w:val="20"/>
          <w:color w:val="auto"/>
        </w:rPr>
      </w:pPr>
    </w:p>
    <w:p>
      <w:pPr>
        <w:ind w:left="1080" w:right="1099"/>
        <w:spacing w:after="0" w:line="244" w:lineRule="auto"/>
        <w:rPr>
          <w:sz w:val="20"/>
          <w:szCs w:val="20"/>
          <w:color w:val="auto"/>
        </w:rPr>
      </w:pPr>
      <w:r>
        <w:rPr>
          <w:rFonts w:ascii="Arial" w:cs="Arial" w:eastAsia="Arial" w:hAnsi="Arial"/>
          <w:sz w:val="15"/>
          <w:szCs w:val="15"/>
          <w:i w:val="1"/>
          <w:iCs w:val="1"/>
          <w:color w:val="auto"/>
        </w:rPr>
        <w:t xml:space="preserve">Branches or other offices may be established either in the </w:t>
      </w:r>
      <w:r>
        <w:rPr>
          <w:rFonts w:ascii="Arial" w:cs="Arial" w:eastAsia="Arial" w:hAnsi="Arial"/>
          <w:sz w:val="15"/>
          <w:szCs w:val="15"/>
          <w:i w:val="1"/>
          <w:iCs w:val="1"/>
          <w:color w:val="FF0000"/>
          <w:strike w:val="1"/>
        </w:rPr>
        <w:t>Grand</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FF0000"/>
          <w:strike w:val="1"/>
        </w:rPr>
        <w:t>Duchy</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Grand Duchy</w:t>
      </w:r>
      <w:r>
        <w:rPr>
          <w:rFonts w:ascii="Arial" w:cs="Arial" w:eastAsia="Arial" w:hAnsi="Arial"/>
          <w:sz w:val="15"/>
          <w:szCs w:val="15"/>
          <w:i w:val="1"/>
          <w:iCs w:val="1"/>
          <w:color w:val="auto"/>
        </w:rPr>
        <w:t xml:space="preserve">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 notwithstanding the temporary transfer of the registered office, will remain a company governed by the laws of the </w:t>
      </w:r>
      <w:r>
        <w:rPr>
          <w:rFonts w:ascii="Arial" w:cs="Arial" w:eastAsia="Arial" w:hAnsi="Arial"/>
          <w:sz w:val="15"/>
          <w:szCs w:val="15"/>
          <w:i w:val="1"/>
          <w:iCs w:val="1"/>
          <w:color w:val="FF0000"/>
          <w:strike w:val="1"/>
        </w:rPr>
        <w:t>Grand-Duchy</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Grand Duchy</w:t>
      </w:r>
      <w:r>
        <w:rPr>
          <w:rFonts w:ascii="Arial" w:cs="Arial" w:eastAsia="Arial" w:hAnsi="Arial"/>
          <w:sz w:val="15"/>
          <w:szCs w:val="15"/>
          <w:i w:val="1"/>
          <w:iCs w:val="1"/>
          <w:color w:val="auto"/>
        </w:rPr>
        <w:t xml:space="preserve"> of Luxembourg. Such temporary measures will be taken and notified to any interested parties by one of the bodies or persons entrusted with the daily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-1053465</wp:posOffset>
            </wp:positionV>
            <wp:extent cx="2667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74" w:lineRule="exact"/>
        <w:rPr>
          <w:sz w:val="20"/>
          <w:szCs w:val="20"/>
          <w:color w:val="auto"/>
        </w:rPr>
      </w:pPr>
    </w:p>
    <w:p>
      <w:pPr>
        <w:ind w:left="1080" w:right="1179"/>
        <w:spacing w:after="0" w:line="248" w:lineRule="auto"/>
        <w:rPr>
          <w:sz w:val="20"/>
          <w:szCs w:val="20"/>
          <w:color w:val="auto"/>
        </w:rPr>
      </w:pPr>
      <w:r>
        <w:rPr>
          <w:rFonts w:ascii="Arial" w:cs="Arial" w:eastAsia="Arial" w:hAnsi="Arial"/>
          <w:sz w:val="15"/>
          <w:szCs w:val="15"/>
          <w:b w:val="1"/>
          <w:bCs w:val="1"/>
          <w:i w:val="1"/>
          <w:iCs w:val="1"/>
          <w:color w:val="auto"/>
        </w:rPr>
        <w:t xml:space="preserve">Art. 3. Corporate Object. </w:t>
      </w:r>
      <w:r>
        <w:rPr>
          <w:rFonts w:ascii="Arial" w:cs="Arial" w:eastAsia="Arial" w:hAnsi="Arial"/>
          <w:sz w:val="15"/>
          <w:szCs w:val="15"/>
          <w:i w:val="1"/>
          <w:iCs w:val="1"/>
          <w:color w:val="auto"/>
        </w:rPr>
        <w:t>The object of the Company is the acquisition, the continuing management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and the sale of participating interests, in any form whatsoever, in Luxembourg and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w:t>
      </w:r>
    </w:p>
    <w:p>
      <w:pPr>
        <w:spacing w:after="0" w:line="93" w:lineRule="exact"/>
        <w:rPr>
          <w:sz w:val="20"/>
          <w:szCs w:val="20"/>
          <w:color w:val="auto"/>
        </w:rPr>
      </w:pPr>
    </w:p>
    <w:p>
      <w:pPr>
        <w:ind w:left="1080" w:right="1099"/>
        <w:spacing w:after="0" w:line="243" w:lineRule="auto"/>
        <w:rPr>
          <w:sz w:val="20"/>
          <w:szCs w:val="20"/>
          <w:color w:val="auto"/>
        </w:rPr>
      </w:pPr>
      <w:r>
        <w:rPr>
          <w:rFonts w:ascii="Arial" w:cs="Arial" w:eastAsia="Arial" w:hAnsi="Arial"/>
          <w:sz w:val="15"/>
          <w:szCs w:val="15"/>
          <w:i w:val="1"/>
          <w:iCs w:val="1"/>
          <w:color w:val="auto"/>
        </w:rPr>
        <w:t>The Company may (i) invest in and acquire, dispose of, grant or retain, loans, bonds and other debt instruments, shares, warrants and other equity instruments or rights, including</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but not limited to</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spacing w:after="0" w:line="96" w:lineRule="exact"/>
        <w:rPr>
          <w:sz w:val="20"/>
          <w:szCs w:val="20"/>
          <w:color w:val="auto"/>
        </w:rPr>
      </w:pPr>
    </w:p>
    <w:p>
      <w:pPr>
        <w:ind w:left="1080" w:right="1179"/>
        <w:spacing w:after="0" w:line="259" w:lineRule="auto"/>
        <w:rPr>
          <w:sz w:val="20"/>
          <w:szCs w:val="20"/>
          <w:color w:val="auto"/>
        </w:rPr>
      </w:pPr>
      <w:r>
        <w:rPr>
          <w:rFonts w:ascii="Arial" w:cs="Arial" w:eastAsia="Arial" w:hAnsi="Arial"/>
          <w:sz w:val="15"/>
          <w:szCs w:val="15"/>
          <w:i w:val="1"/>
          <w:iCs w:val="1"/>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84" w:lineRule="exact"/>
        <w:rPr>
          <w:sz w:val="20"/>
          <w:szCs w:val="20"/>
          <w:color w:val="auto"/>
        </w:rPr>
      </w:pPr>
    </w:p>
    <w:p>
      <w:pPr>
        <w:ind w:left="1080" w:right="1099"/>
        <w:spacing w:after="0" w:line="247" w:lineRule="auto"/>
        <w:rPr>
          <w:sz w:val="20"/>
          <w:szCs w:val="20"/>
          <w:color w:val="auto"/>
        </w:rPr>
      </w:pPr>
      <w:r>
        <w:rPr>
          <w:rFonts w:ascii="Arial" w:cs="Arial" w:eastAsia="Arial" w:hAnsi="Arial"/>
          <w:sz w:val="15"/>
          <w:szCs w:val="15"/>
          <w:i w:val="1"/>
          <w:iCs w:val="1"/>
          <w:color w:val="auto"/>
        </w:rPr>
        <w:t>The Company may also provide any financial assistance to the undertakings in which the Company has a participating interest or which form a part of the group of companies to which the Company belongs, including, but not limited to, the granting of loans and the providing of guarantees or securities in any form. The Company may pledge, transfer, encumber or otherwise create security over some or all of its assets.</w:t>
      </w:r>
    </w:p>
    <w:p>
      <w:pPr>
        <w:spacing w:after="0" w:line="93" w:lineRule="exact"/>
        <w:rPr>
          <w:sz w:val="20"/>
          <w:szCs w:val="20"/>
          <w:color w:val="auto"/>
        </w:rPr>
      </w:pPr>
    </w:p>
    <w:p>
      <w:pPr>
        <w:ind w:left="1080" w:right="1139"/>
        <w:spacing w:after="0" w:line="259" w:lineRule="auto"/>
        <w:rPr>
          <w:sz w:val="20"/>
          <w:szCs w:val="20"/>
          <w:color w:val="auto"/>
        </w:rPr>
      </w:pPr>
      <w:r>
        <w:rPr>
          <w:rFonts w:ascii="Arial" w:cs="Arial" w:eastAsia="Arial" w:hAnsi="Arial"/>
          <w:sz w:val="15"/>
          <w:szCs w:val="15"/>
          <w:i w:val="1"/>
          <w:iCs w:val="1"/>
          <w:color w:val="auto"/>
        </w:rPr>
        <w:t>In addition, the Company may render on an occasional basis assistance in any form (including, but not limited to, advances, loans, credits, guarantees or grants of security) to third parties other than the group of companies to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4" w:name="page65"/>
    <w:bookmarkEnd w:id="64"/>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1159"/>
        <w:spacing w:after="0" w:line="259" w:lineRule="auto"/>
        <w:rPr>
          <w:sz w:val="20"/>
          <w:szCs w:val="20"/>
          <w:color w:val="auto"/>
        </w:rPr>
      </w:pPr>
      <w:r>
        <w:rPr>
          <w:rFonts w:ascii="Arial" w:cs="Arial" w:eastAsia="Arial" w:hAnsi="Arial"/>
          <w:sz w:val="15"/>
          <w:szCs w:val="15"/>
          <w:i w:val="1"/>
          <w:iCs w:val="1"/>
          <w:color w:val="auto"/>
        </w:rPr>
        <w:t>which the Company belongs, subject to the condition that such assistance falls within the Company’s best interest and subject to the condition that such assistance would not trigger any license requirements on the part of the Company. The Company may participate in the creation, development, management and control of any companies or enterprises, either directly or indirectly, which have similar objects or whose objects are closely related to its own.</w:t>
      </w:r>
    </w:p>
    <w:p>
      <w:pPr>
        <w:spacing w:after="0" w:line="95" w:lineRule="exact"/>
        <w:rPr>
          <w:sz w:val="20"/>
          <w:szCs w:val="20"/>
          <w:color w:val="auto"/>
        </w:rPr>
      </w:pPr>
    </w:p>
    <w:p>
      <w:pPr>
        <w:jc w:val="both"/>
        <w:ind w:left="1080" w:right="1119"/>
        <w:spacing w:after="0" w:line="267" w:lineRule="auto"/>
        <w:rPr>
          <w:sz w:val="20"/>
          <w:szCs w:val="20"/>
          <w:color w:val="auto"/>
        </w:rPr>
      </w:pPr>
      <w:r>
        <w:rPr>
          <w:rFonts w:ascii="Arial" w:cs="Arial" w:eastAsia="Arial" w:hAnsi="Arial"/>
          <w:sz w:val="15"/>
          <w:szCs w:val="15"/>
          <w:i w:val="1"/>
          <w:iCs w:val="1"/>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b w:val="1"/>
          <w:bCs w:val="1"/>
          <w:i w:val="1"/>
          <w:iCs w:val="1"/>
          <w:color w:val="auto"/>
        </w:rPr>
        <w:t>Art. 4. Duration</w:t>
      </w:r>
      <w:r>
        <w:rPr>
          <w:rFonts w:ascii="Arial" w:cs="Arial" w:eastAsia="Arial" w:hAnsi="Arial"/>
          <w:sz w:val="15"/>
          <w:szCs w:val="15"/>
          <w:i w:val="1"/>
          <w:iCs w:val="1"/>
          <w:color w:val="auto"/>
        </w:rPr>
        <w:t>. The Company is formed for an unlimited duration.</w:t>
      </w:r>
    </w:p>
    <w:p>
      <w:pPr>
        <w:spacing w:after="0" w:line="120" w:lineRule="exact"/>
        <w:rPr>
          <w:sz w:val="20"/>
          <w:szCs w:val="20"/>
          <w:color w:val="auto"/>
        </w:rPr>
      </w:pPr>
    </w:p>
    <w:p>
      <w:pPr>
        <w:ind w:left="3340"/>
        <w:spacing w:after="0"/>
        <w:rPr>
          <w:sz w:val="20"/>
          <w:szCs w:val="20"/>
          <w:color w:val="auto"/>
        </w:rPr>
      </w:pPr>
      <w:r>
        <w:rPr>
          <w:rFonts w:ascii="Arial" w:cs="Arial" w:eastAsia="Arial" w:hAnsi="Arial"/>
          <w:sz w:val="15"/>
          <w:szCs w:val="15"/>
          <w:b w:val="1"/>
          <w:bCs w:val="1"/>
          <w:i w:val="1"/>
          <w:iCs w:val="1"/>
          <w:color w:val="auto"/>
        </w:rPr>
        <w:t>Chapter II. Share Capital, Shares</w:t>
      </w:r>
    </w:p>
    <w:p>
      <w:pPr>
        <w:spacing w:after="0" w:line="132" w:lineRule="exact"/>
        <w:rPr>
          <w:sz w:val="20"/>
          <w:szCs w:val="20"/>
          <w:color w:val="auto"/>
        </w:rPr>
      </w:pPr>
    </w:p>
    <w:p>
      <w:pPr>
        <w:ind w:left="1080" w:right="1139"/>
        <w:spacing w:after="0" w:line="257" w:lineRule="auto"/>
        <w:rPr>
          <w:sz w:val="20"/>
          <w:szCs w:val="20"/>
          <w:color w:val="auto"/>
        </w:rPr>
      </w:pPr>
      <w:r>
        <w:rPr>
          <w:rFonts w:ascii="Arial" w:cs="Arial" w:eastAsia="Arial" w:hAnsi="Arial"/>
          <w:sz w:val="15"/>
          <w:szCs w:val="15"/>
          <w:b w:val="1"/>
          <w:bCs w:val="1"/>
          <w:i w:val="1"/>
          <w:iCs w:val="1"/>
          <w:color w:val="auto"/>
        </w:rPr>
        <w:t xml:space="preserve">Art. 5. Share Capital. </w:t>
      </w:r>
      <w:r>
        <w:rPr>
          <w:rFonts w:ascii="Arial" w:cs="Arial" w:eastAsia="Arial" w:hAnsi="Arial"/>
          <w:sz w:val="15"/>
          <w:szCs w:val="15"/>
          <w:i w:val="1"/>
          <w:iCs w:val="1"/>
          <w:color w:val="auto"/>
        </w:rPr>
        <w:t>The share capital of the Company is set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FF0000"/>
          <w:strike w:val="1"/>
        </w:rPr>
        <w:t>eight</w:t>
      </w:r>
      <w:r>
        <w:rPr>
          <w:rFonts w:ascii="Arial" w:cs="Arial" w:eastAsia="Arial" w:hAnsi="Arial"/>
          <w:sz w:val="15"/>
          <w:szCs w:val="15"/>
          <w:i w:val="1"/>
          <w:iCs w:val="1"/>
          <w:u w:val="single" w:color="auto"/>
          <w:color w:val="0000FF"/>
        </w:rPr>
        <w:t>one hundred eleven thousand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u w:val="single" w:color="auto"/>
          <w:color w:val="0000FF"/>
        </w:rPr>
        <w:t>one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hundred and eighty-nine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FF0000"/>
          <w:strike w:val="1"/>
        </w:rPr>
        <w:t>thousand five hundred and nineteen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United States Dollars and</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FF0000"/>
          <w:strike w:val="1"/>
        </w:rPr>
        <w:t>twenty-five</w:t>
      </w:r>
      <w:r>
        <w:rPr>
          <w:rFonts w:ascii="Arial" w:cs="Arial" w:eastAsia="Arial" w:hAnsi="Arial"/>
          <w:sz w:val="15"/>
          <w:szCs w:val="15"/>
          <w:i w:val="1"/>
          <w:iCs w:val="1"/>
          <w:u w:val="single" w:color="auto"/>
          <w:color w:val="0000FF"/>
        </w:rPr>
        <w:t>ninety</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cents (USD</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889,519.25 )</w:t>
      </w:r>
      <w:r>
        <w:rPr>
          <w:rFonts w:ascii="Arial" w:cs="Arial" w:eastAsia="Arial" w:hAnsi="Arial"/>
          <w:sz w:val="15"/>
          <w:szCs w:val="15"/>
          <w:i w:val="1"/>
          <w:iCs w:val="1"/>
          <w:u w:val="single" w:color="auto"/>
          <w:color w:val="0000FF"/>
        </w:rPr>
        <w:t>111,189.90),</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represented by</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eighty-eight</w:t>
      </w:r>
      <w:r>
        <w:rPr>
          <w:rFonts w:ascii="Arial" w:cs="Arial" w:eastAsia="Arial" w:hAnsi="Arial"/>
          <w:sz w:val="15"/>
          <w:szCs w:val="15"/>
          <w:i w:val="1"/>
          <w:iCs w:val="1"/>
          <w:u w:val="single" w:color="auto"/>
          <w:color w:val="0000FF"/>
        </w:rPr>
        <w:t>eleven</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million</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nine</w:t>
      </w:r>
      <w:r>
        <w:rPr>
          <w:rFonts w:ascii="Arial" w:cs="Arial" w:eastAsia="Arial" w:hAnsi="Arial"/>
          <w:sz w:val="15"/>
          <w:szCs w:val="15"/>
          <w:i w:val="1"/>
          <w:iCs w:val="1"/>
          <w:u w:val="single" w:color="auto"/>
          <w:color w:val="0000FF"/>
        </w:rPr>
        <w:t>one</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 xml:space="preserve">hundred and </w:t>
      </w:r>
      <w:r>
        <w:rPr>
          <w:rFonts w:ascii="Arial" w:cs="Arial" w:eastAsia="Arial" w:hAnsi="Arial"/>
          <w:sz w:val="15"/>
          <w:szCs w:val="15"/>
          <w:color w:val="FF0000"/>
          <w:strike w:val="1"/>
        </w:rPr>
        <w:t>fifty-one</w:t>
      </w:r>
      <w:r>
        <w:rPr>
          <w:rFonts w:ascii="Arial" w:cs="Arial" w:eastAsia="Arial" w:hAnsi="Arial"/>
          <w:sz w:val="15"/>
          <w:szCs w:val="15"/>
          <w:i w:val="1"/>
          <w:iCs w:val="1"/>
          <w:u w:val="single" w:color="auto"/>
          <w:color w:val="0000FF"/>
        </w:rPr>
        <w:t>eighteen</w:t>
      </w:r>
      <w:r>
        <w:rPr>
          <w:rFonts w:ascii="Arial" w:cs="Arial" w:eastAsia="Arial" w:hAnsi="Arial"/>
          <w:sz w:val="15"/>
          <w:szCs w:val="15"/>
          <w:i w:val="1"/>
          <w:iCs w:val="1"/>
          <w:color w:val="000000"/>
        </w:rPr>
        <w:t xml:space="preserve"> thousand nine hundred and </w:t>
      </w:r>
      <w:r>
        <w:rPr>
          <w:rFonts w:ascii="Arial" w:cs="Arial" w:eastAsia="Arial" w:hAnsi="Arial"/>
          <w:sz w:val="15"/>
          <w:szCs w:val="15"/>
          <w:color w:val="FF0000"/>
          <w:strike w:val="1"/>
        </w:rPr>
        <w:t>twenty-five (88,951,925</w:t>
      </w:r>
      <w:r>
        <w:rPr>
          <w:rFonts w:ascii="Arial" w:cs="Arial" w:eastAsia="Arial" w:hAnsi="Arial"/>
          <w:sz w:val="15"/>
          <w:szCs w:val="15"/>
          <w:i w:val="1"/>
          <w:iCs w:val="1"/>
          <w:u w:val="single" w:color="auto"/>
          <w:color w:val="0000FF"/>
        </w:rPr>
        <w:t>ninety</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(11,118,990</w:t>
      </w:r>
      <w:r>
        <w:rPr>
          <w:rFonts w:ascii="Arial" w:cs="Arial" w:eastAsia="Arial" w:hAnsi="Arial"/>
          <w:sz w:val="15"/>
          <w:szCs w:val="15"/>
          <w:i w:val="1"/>
          <w:iCs w:val="1"/>
          <w:color w:val="000000"/>
        </w:rPr>
        <w:t>) shares of the Company’s common stock without designation of nominal value. As used in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the present Articles,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Shares</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 xml:space="preserve"> means shares of the Company’s common stock without nominal value.</w:t>
      </w:r>
    </w:p>
    <w:p>
      <w:pPr>
        <w:spacing w:after="0" w:line="99"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i w:val="1"/>
          <w:iCs w:val="1"/>
          <w:color w:val="auto"/>
        </w:rPr>
        <w:t>In addition to the share capital, share premium accounts into which any premium paid on any Share in addition to its par value may be transferred and capital contribution accounts (compte 115</w:t>
      </w:r>
      <w:r>
        <w:rPr>
          <w:rFonts w:ascii="Arial" w:cs="Arial" w:eastAsia="Arial" w:hAnsi="Arial"/>
          <w:sz w:val="15"/>
          <w:szCs w:val="15"/>
          <w:color w:val="FF0000"/>
          <w:strike w:val="1"/>
        </w:rPr>
        <w:t>, “</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0000FF"/>
        </w:rPr>
        <w:t>“</w:t>
      </w:r>
      <w:r>
        <w:rPr>
          <w:rFonts w:ascii="Arial" w:cs="Arial" w:eastAsia="Arial" w:hAnsi="Arial"/>
          <w:sz w:val="15"/>
          <w:szCs w:val="15"/>
          <w:i w:val="1"/>
          <w:iCs w:val="1"/>
          <w:color w:val="auto"/>
        </w:rPr>
        <w:t>Apport en capitaux propres non rémunéré par des titres</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-487680</wp:posOffset>
            </wp:positionV>
            <wp:extent cx="5842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420" cy="6985"/>
                    </a:xfrm>
                    <a:prstGeom prst="rect">
                      <a:avLst/>
                    </a:prstGeom>
                    <a:noFill/>
                  </pic:spPr>
                </pic:pic>
              </a:graphicData>
            </a:graphic>
          </wp:anchor>
        </w:drawing>
      </w:r>
    </w:p>
    <w:p>
      <w:pPr>
        <w:spacing w:after="0" w:line="44" w:lineRule="exact"/>
        <w:rPr>
          <w:sz w:val="20"/>
          <w:szCs w:val="20"/>
          <w:color w:val="auto"/>
        </w:rPr>
      </w:pPr>
    </w:p>
    <w:p>
      <w:pPr>
        <w:ind w:left="1520" w:hanging="141"/>
        <w:spacing w:after="0"/>
        <w:tabs>
          <w:tab w:leader="none" w:pos="152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a distributable reserve to be used for distributions of any kind to be made by the Company;</w:t>
      </w:r>
    </w:p>
    <w:p>
      <w:pPr>
        <w:spacing w:after="0" w:line="97" w:lineRule="exact"/>
        <w:rPr>
          <w:rFonts w:ascii="Arial" w:cs="Arial" w:eastAsia="Arial" w:hAnsi="Arial"/>
          <w:sz w:val="15"/>
          <w:szCs w:val="15"/>
          <w:color w:val="auto"/>
        </w:rPr>
      </w:pPr>
    </w:p>
    <w:p>
      <w:pPr>
        <w:ind w:left="1520" w:hanging="141"/>
        <w:spacing w:after="0"/>
        <w:tabs>
          <w:tab w:leader="none" w:pos="152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a special reserve as foreseen by Articles 430-18, 430-22 and 461-2 of the Law.</w:t>
      </w:r>
    </w:p>
    <w:p>
      <w:pPr>
        <w:spacing w:after="0" w:line="130" w:lineRule="exact"/>
        <w:rPr>
          <w:sz w:val="20"/>
          <w:szCs w:val="20"/>
          <w:color w:val="auto"/>
        </w:rPr>
      </w:pPr>
    </w:p>
    <w:p>
      <w:pPr>
        <w:ind w:left="1080" w:right="1099"/>
        <w:spacing w:after="0" w:line="256" w:lineRule="auto"/>
        <w:rPr>
          <w:sz w:val="20"/>
          <w:szCs w:val="20"/>
          <w:color w:val="auto"/>
        </w:rPr>
      </w:pPr>
      <w:r>
        <w:rPr>
          <w:rFonts w:ascii="Arial" w:cs="Arial" w:eastAsia="Arial" w:hAnsi="Arial"/>
          <w:sz w:val="15"/>
          <w:szCs w:val="15"/>
          <w:b w:val="1"/>
          <w:bCs w:val="1"/>
          <w:i w:val="1"/>
          <w:iCs w:val="1"/>
          <w:color w:val="auto"/>
        </w:rPr>
        <w:t xml:space="preserve">Art. 6. Authorized Share Capital. </w:t>
      </w:r>
      <w:r>
        <w:rPr>
          <w:rFonts w:ascii="Arial" w:cs="Arial" w:eastAsia="Arial" w:hAnsi="Arial"/>
          <w:sz w:val="15"/>
          <w:szCs w:val="15"/>
          <w:i w:val="1"/>
          <w:iCs w:val="1"/>
          <w:color w:val="auto"/>
        </w:rPr>
        <w:t>The authorized share capital is set at one million nine hundred 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eighteen thousand three hundred and twenty-nine United States Dollars and eighty-two cents (USD 1,918,329.82) divided into one hundred and ninety-one million eight hundred and thirty-two thousand nine hundred and eighty-two (191,832,982) shares of the Company’s common stock without nominal value. The Board of Directors is authorized, during a period ending five (5) years after the date of publication of the minute of the extraordinary general meeting of 18 February 2025 in the electronic gazette RESA (Recueil Electronique des Sociétés et Associations) to:</w:t>
      </w:r>
    </w:p>
    <w:p>
      <w:pPr>
        <w:spacing w:after="0" w:line="66" w:lineRule="exact"/>
        <w:rPr>
          <w:sz w:val="20"/>
          <w:szCs w:val="20"/>
          <w:color w:val="auto"/>
        </w:rPr>
      </w:pPr>
    </w:p>
    <w:p>
      <w:pPr>
        <w:ind w:left="1520" w:right="1159" w:hanging="141"/>
        <w:spacing w:after="0" w:line="256" w:lineRule="auto"/>
        <w:tabs>
          <w:tab w:leader="none" w:pos="152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one million nine hundred and eighteen thousand three hundred and twenty-nine United States Dollars and eighty-two cents (USD 1,918,329.82).</w:t>
      </w:r>
    </w:p>
    <w:p>
      <w:pPr>
        <w:spacing w:after="0" w:line="75" w:lineRule="exact"/>
        <w:rPr>
          <w:rFonts w:ascii="Arial" w:cs="Arial" w:eastAsia="Arial" w:hAnsi="Arial"/>
          <w:sz w:val="15"/>
          <w:szCs w:val="15"/>
          <w:color w:val="auto"/>
        </w:rPr>
      </w:pPr>
    </w:p>
    <w:p>
      <w:pPr>
        <w:ind w:left="1520" w:right="1579" w:hanging="141"/>
        <w:spacing w:after="0" w:line="283" w:lineRule="auto"/>
        <w:tabs>
          <w:tab w:leader="none" w:pos="152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Issue any warrants, options, or other similar instruments exercisable into shares, rights to subscribe for shares and set the terms and conditions of these instruments.</w:t>
      </w:r>
    </w:p>
    <w:p>
      <w:pPr>
        <w:spacing w:after="0" w:line="43" w:lineRule="exact"/>
        <w:rPr>
          <w:rFonts w:ascii="Arial" w:cs="Arial" w:eastAsia="Arial" w:hAnsi="Arial"/>
          <w:sz w:val="15"/>
          <w:szCs w:val="15"/>
          <w:color w:val="auto"/>
        </w:rPr>
      </w:pPr>
    </w:p>
    <w:p>
      <w:pPr>
        <w:ind w:left="1520" w:right="1119" w:hanging="141"/>
        <w:spacing w:after="0" w:line="254" w:lineRule="auto"/>
        <w:tabs>
          <w:tab w:leader="none" w:pos="152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 (in cash or in kind or by incorporation of available reserves or funds available on the capital contribution account (compte 115 “Apport en capitaux propres non rémunéré par des titres”), share premium account or retained earnings). If the consideration payable to the Company for newly issued Shares exceeds the par value of those Shares, the excess is to be treated as share premium in respect of the Shares in the books of the Company.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5" w:name="page66"/>
    <w:bookmarkEnd w:id="6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520" w:right="1159" w:hanging="141"/>
        <w:spacing w:after="0" w:line="259" w:lineRule="auto"/>
        <w:tabs>
          <w:tab w:leader="none" w:pos="152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72" w:lineRule="exact"/>
        <w:rPr>
          <w:rFonts w:ascii="Arial" w:cs="Arial" w:eastAsia="Arial" w:hAnsi="Arial"/>
          <w:sz w:val="15"/>
          <w:szCs w:val="15"/>
          <w:color w:val="auto"/>
        </w:rPr>
      </w:pPr>
    </w:p>
    <w:p>
      <w:pPr>
        <w:ind w:left="1520" w:right="1099" w:hanging="141"/>
        <w:spacing w:after="0" w:line="254" w:lineRule="auto"/>
        <w:tabs>
          <w:tab w:leader="none" w:pos="152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104" w:lineRule="exact"/>
        <w:rPr>
          <w:sz w:val="20"/>
          <w:szCs w:val="20"/>
          <w:color w:val="auto"/>
        </w:rPr>
      </w:pPr>
    </w:p>
    <w:p>
      <w:pPr>
        <w:ind w:left="1080" w:right="1159"/>
        <w:spacing w:after="0" w:line="283" w:lineRule="auto"/>
        <w:rPr>
          <w:sz w:val="20"/>
          <w:szCs w:val="20"/>
          <w:color w:val="auto"/>
        </w:rPr>
      </w:pPr>
      <w:r>
        <w:rPr>
          <w:rFonts w:ascii="Arial" w:cs="Arial" w:eastAsia="Arial" w:hAnsi="Arial"/>
          <w:sz w:val="15"/>
          <w:szCs w:val="15"/>
          <w:i w:val="1"/>
          <w:iCs w:val="1"/>
          <w:color w:val="auto"/>
        </w:rPr>
        <w:t>After each increase of the issued share capital according to the above, the present Articles shall be amended to reflect such increase without requiring further approval from the Company’s shareholders.</w:t>
      </w:r>
    </w:p>
    <w:p>
      <w:pPr>
        <w:spacing w:after="0" w:line="64" w:lineRule="exact"/>
        <w:rPr>
          <w:sz w:val="20"/>
          <w:szCs w:val="20"/>
          <w:color w:val="auto"/>
        </w:rPr>
      </w:pPr>
    </w:p>
    <w:p>
      <w:pPr>
        <w:ind w:left="1080" w:right="1279"/>
        <w:spacing w:after="0" w:line="286" w:lineRule="auto"/>
        <w:rPr>
          <w:sz w:val="20"/>
          <w:szCs w:val="20"/>
          <w:color w:val="auto"/>
        </w:rPr>
      </w:pPr>
      <w:r>
        <w:rPr>
          <w:rFonts w:ascii="Arial" w:cs="Arial" w:eastAsia="Arial" w:hAnsi="Arial"/>
          <w:sz w:val="15"/>
          <w:szCs w:val="15"/>
          <w:b w:val="1"/>
          <w:bCs w:val="1"/>
          <w:i w:val="1"/>
          <w:iCs w:val="1"/>
          <w:color w:val="auto"/>
        </w:rPr>
        <w:t xml:space="preserve">Art. 7. Shares. </w:t>
      </w:r>
      <w:r>
        <w:rPr>
          <w:rFonts w:ascii="Arial" w:cs="Arial" w:eastAsia="Arial" w:hAnsi="Arial"/>
          <w:sz w:val="15"/>
          <w:szCs w:val="15"/>
          <w:i w:val="1"/>
          <w:iCs w:val="1"/>
          <w:color w:val="auto"/>
        </w:rPr>
        <w:t>The Shares will take the form of registered shares. The shareholders shall not have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the right to ask for the conversion of Shares into bearer shares.</w:t>
      </w:r>
    </w:p>
    <w:p>
      <w:pPr>
        <w:spacing w:after="0" w:line="75" w:lineRule="exact"/>
        <w:rPr>
          <w:sz w:val="20"/>
          <w:szCs w:val="20"/>
          <w:color w:val="auto"/>
        </w:rPr>
      </w:pPr>
    </w:p>
    <w:p>
      <w:pPr>
        <w:ind w:left="1080" w:right="1119"/>
        <w:spacing w:after="0" w:line="261" w:lineRule="auto"/>
        <w:rPr>
          <w:sz w:val="20"/>
          <w:szCs w:val="20"/>
          <w:color w:val="auto"/>
        </w:rPr>
      </w:pPr>
      <w:r>
        <w:rPr>
          <w:rFonts w:ascii="Arial" w:cs="Arial" w:eastAsia="Arial" w:hAnsi="Arial"/>
          <w:sz w:val="15"/>
          <w:szCs w:val="15"/>
          <w:i w:val="1"/>
          <w:iCs w:val="1"/>
          <w:color w:val="auto"/>
        </w:rPr>
        <w:t xml:space="preserve">A shareholders’ register will be available for inspection by the Company’s shareholders at the Company’s registered office subject to the provisions of Article </w:t>
      </w:r>
      <w:r>
        <w:rPr>
          <w:rFonts w:ascii="Arial" w:cs="Arial" w:eastAsia="Arial" w:hAnsi="Arial"/>
          <w:sz w:val="15"/>
          <w:szCs w:val="15"/>
          <w:color w:val="FF0000"/>
          <w:strike w:val="1"/>
        </w:rPr>
        <w:t>4303</w:t>
      </w:r>
      <w:r>
        <w:rPr>
          <w:rFonts w:ascii="Arial" w:cs="Arial" w:eastAsia="Arial" w:hAnsi="Arial"/>
          <w:sz w:val="15"/>
          <w:szCs w:val="15"/>
          <w:i w:val="1"/>
          <w:iCs w:val="1"/>
          <w:u w:val="single" w:color="auto"/>
          <w:color w:val="0000FF"/>
        </w:rPr>
        <w:t>430-3</w:t>
      </w:r>
      <w:r>
        <w:rPr>
          <w:rFonts w:ascii="Arial" w:cs="Arial" w:eastAsia="Arial" w:hAnsi="Arial"/>
          <w:sz w:val="15"/>
          <w:szCs w:val="15"/>
          <w:i w:val="1"/>
          <w:iCs w:val="1"/>
          <w:color w:val="auto"/>
        </w:rPr>
        <w:t xml:space="preserve"> of the Law and upon reasonable notice. Each shareholder shall have the right to consult the register during normal business hours in accordance with the provisions of the Law.</w:t>
      </w:r>
    </w:p>
    <w:p>
      <w:pPr>
        <w:spacing w:after="0" w:line="84" w:lineRule="exact"/>
        <w:rPr>
          <w:sz w:val="20"/>
          <w:szCs w:val="20"/>
          <w:color w:val="auto"/>
        </w:rPr>
      </w:pPr>
    </w:p>
    <w:p>
      <w:pPr>
        <w:ind w:left="1080" w:right="1179"/>
        <w:spacing w:after="0" w:line="267" w:lineRule="auto"/>
        <w:rPr>
          <w:sz w:val="20"/>
          <w:szCs w:val="20"/>
          <w:color w:val="auto"/>
        </w:rPr>
      </w:pPr>
      <w:r>
        <w:rPr>
          <w:rFonts w:ascii="Arial" w:cs="Arial" w:eastAsia="Arial" w:hAnsi="Arial"/>
          <w:sz w:val="15"/>
          <w:szCs w:val="15"/>
          <w:i w:val="1"/>
          <w:iCs w:val="1"/>
          <w:color w:val="auto"/>
        </w:rPr>
        <w:t>Each shareholder will notify the Company of its address and any change thereto by registered letter. The Company will be entitled to rely on the last address thus communicated. Ownership of Shares will result from the recordings in said register.</w:t>
      </w:r>
    </w:p>
    <w:p>
      <w:pPr>
        <w:spacing w:after="0" w:line="89"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i w:val="1"/>
          <w:iCs w:val="1"/>
          <w:color w:val="auto"/>
        </w:rPr>
        <w:t>Any person who is required to report ownership of Shares on Schedule 13D or 13G pursuant to Rule 13d-1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w:t>
      </w:r>
    </w:p>
    <w:p>
      <w:pPr>
        <w:spacing w:after="0" w:line="97" w:lineRule="exact"/>
        <w:rPr>
          <w:sz w:val="20"/>
          <w:szCs w:val="20"/>
          <w:color w:val="auto"/>
        </w:rPr>
      </w:pPr>
    </w:p>
    <w:p>
      <w:pPr>
        <w:ind w:left="1080" w:right="1159"/>
        <w:spacing w:after="0" w:line="267" w:lineRule="auto"/>
        <w:rPr>
          <w:sz w:val="20"/>
          <w:szCs w:val="20"/>
          <w:color w:val="auto"/>
        </w:rPr>
      </w:pPr>
      <w:r>
        <w:rPr>
          <w:rFonts w:ascii="Arial" w:cs="Arial" w:eastAsia="Arial" w:hAnsi="Arial"/>
          <w:sz w:val="15"/>
          <w:szCs w:val="15"/>
          <w:i w:val="1"/>
          <w:iCs w:val="1"/>
          <w:color w:val="auto"/>
        </w:rPr>
        <w:t>Any transfer of Shares shall be recorded in the share register in accordance with applicable law. The Board of Directors may delegate its powers with respect to the recording of such transfers in the share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-192405</wp:posOffset>
            </wp:positionV>
            <wp:extent cx="2667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58" w:lineRule="exact"/>
        <w:rPr>
          <w:sz w:val="20"/>
          <w:szCs w:val="20"/>
          <w:color w:val="auto"/>
        </w:rPr>
      </w:pPr>
    </w:p>
    <w:p>
      <w:pPr>
        <w:ind w:left="1080" w:right="1099"/>
        <w:spacing w:after="0" w:line="259" w:lineRule="auto"/>
        <w:rPr>
          <w:sz w:val="20"/>
          <w:szCs w:val="20"/>
          <w:color w:val="auto"/>
        </w:rPr>
      </w:pPr>
      <w:r>
        <w:rPr>
          <w:rFonts w:ascii="Arial" w:cs="Arial" w:eastAsia="Arial" w:hAnsi="Arial"/>
          <w:sz w:val="15"/>
          <w:szCs w:val="15"/>
          <w:i w:val="1"/>
          <w:iCs w:val="1"/>
          <w:color w:val="auto"/>
        </w:rPr>
        <w:t>Each Share is indivisible. In case of holding of a Share by more than one person, the Company has the right to suspend the rights attaching thereto (except for the information rights provided for by</w:t>
      </w:r>
    </w:p>
    <w:p>
      <w:pPr>
        <w:ind w:left="1080" w:right="1619"/>
        <w:spacing w:after="0" w:line="266" w:lineRule="auto"/>
        <w:rPr>
          <w:sz w:val="20"/>
          <w:szCs w:val="20"/>
          <w:color w:val="auto"/>
        </w:rPr>
      </w:pPr>
      <w:r>
        <w:rPr>
          <w:rFonts w:ascii="Arial" w:cs="Arial" w:eastAsia="Arial" w:hAnsi="Arial"/>
          <w:sz w:val="15"/>
          <w:szCs w:val="15"/>
          <w:i w:val="1"/>
          <w:iCs w:val="1"/>
          <w:color w:val="auto"/>
        </w:rPr>
        <w:t>Article 461-6 of the Law) until one sole person has been designated as being the holder thereof towards the Company.</w:t>
      </w:r>
    </w:p>
    <w:p>
      <w:pPr>
        <w:spacing w:after="0" w:line="90" w:lineRule="exact"/>
        <w:rPr>
          <w:sz w:val="20"/>
          <w:szCs w:val="20"/>
          <w:color w:val="auto"/>
        </w:rPr>
      </w:pPr>
    </w:p>
    <w:p>
      <w:pPr>
        <w:ind w:left="1080" w:right="1219"/>
        <w:spacing w:after="0" w:line="254" w:lineRule="auto"/>
        <w:rPr>
          <w:sz w:val="20"/>
          <w:szCs w:val="20"/>
          <w:color w:val="auto"/>
        </w:rPr>
      </w:pPr>
      <w:r>
        <w:rPr>
          <w:rFonts w:ascii="Arial" w:cs="Arial" w:eastAsia="Arial" w:hAnsi="Arial"/>
          <w:sz w:val="15"/>
          <w:szCs w:val="15"/>
          <w:i w:val="1"/>
          <w:iCs w:val="1"/>
          <w:color w:val="auto"/>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Arial" w:cs="Arial" w:eastAsia="Arial" w:hAnsi="Arial"/>
          <w:sz w:val="15"/>
          <w:szCs w:val="15"/>
          <w:b w:val="1"/>
          <w:bCs w:val="1"/>
          <w:i w:val="1"/>
          <w:iCs w:val="1"/>
          <w:color w:val="auto"/>
        </w:rPr>
        <w:t>Depositories</w:t>
      </w:r>
      <w:r>
        <w:rPr>
          <w:rFonts w:ascii="Arial" w:cs="Arial" w:eastAsia="Arial" w:hAnsi="Arial"/>
          <w:sz w:val="15"/>
          <w:szCs w:val="15"/>
          <w:i w:val="1"/>
          <w:iCs w:val="1"/>
          <w:color w:val="auto"/>
        </w:rPr>
        <w:t>” and each a “</w:t>
      </w:r>
      <w:r>
        <w:rPr>
          <w:rFonts w:ascii="Arial" w:cs="Arial" w:eastAsia="Arial" w:hAnsi="Arial"/>
          <w:sz w:val="15"/>
          <w:szCs w:val="15"/>
          <w:b w:val="1"/>
          <w:bCs w:val="1"/>
          <w:i w:val="1"/>
          <w:iCs w:val="1"/>
          <w:color w:val="auto"/>
        </w:rPr>
        <w:t>Depository</w:t>
      </w:r>
      <w:r>
        <w:rPr>
          <w:rFonts w:ascii="Arial" w:cs="Arial" w:eastAsia="Arial" w:hAnsi="Arial"/>
          <w:sz w:val="15"/>
          <w:szCs w:val="15"/>
          <w:i w:val="1"/>
          <w:iCs w:val="1"/>
          <w:color w:val="auto"/>
        </w:rPr>
        <w:t>”) or of a sub-depository designated by one or more Depositories (the “</w:t>
      </w:r>
      <w:r>
        <w:rPr>
          <w:rFonts w:ascii="Arial" w:cs="Arial" w:eastAsia="Arial" w:hAnsi="Arial"/>
          <w:sz w:val="15"/>
          <w:szCs w:val="15"/>
          <w:b w:val="1"/>
          <w:bCs w:val="1"/>
          <w:i w:val="1"/>
          <w:iCs w:val="1"/>
          <w:color w:val="auto"/>
        </w:rPr>
        <w:t>Indirect Holders</w:t>
      </w:r>
      <w:r>
        <w:rPr>
          <w:rFonts w:ascii="Arial" w:cs="Arial" w:eastAsia="Arial" w:hAnsi="Arial"/>
          <w:sz w:val="15"/>
          <w:szCs w:val="15"/>
          <w:i w:val="1"/>
          <w:iCs w:val="1"/>
          <w:color w:val="auto"/>
        </w:rPr>
        <w:t>”), the Company, subject to its having received from the Depository with which those Shares are kept in account a certificate in proper form, will permit the Indirect Holders to exercise the rights attaching to those Shares, including admission to and voting at shareholders’ meetings, and shall consider those persons to be the shareholders for the purposes of Article 9. The Board of Directors may determine the formal requirements with which such certificates must comply.</w:t>
      </w:r>
    </w:p>
    <w:p>
      <w:pPr>
        <w:spacing w:after="0" w:line="101" w:lineRule="exact"/>
        <w:rPr>
          <w:sz w:val="20"/>
          <w:szCs w:val="20"/>
          <w:color w:val="auto"/>
        </w:rPr>
      </w:pPr>
    </w:p>
    <w:p>
      <w:pPr>
        <w:ind w:left="1080" w:right="1179"/>
        <w:spacing w:after="0" w:line="261" w:lineRule="auto"/>
        <w:rPr>
          <w:sz w:val="20"/>
          <w:szCs w:val="20"/>
          <w:color w:val="auto"/>
        </w:rPr>
      </w:pPr>
      <w:r>
        <w:rPr>
          <w:rFonts w:ascii="Arial" w:cs="Arial" w:eastAsia="Arial" w:hAnsi="Arial"/>
          <w:sz w:val="15"/>
          <w:szCs w:val="15"/>
          <w:i w:val="1"/>
          <w:iCs w:val="1"/>
          <w:color w:val="auto"/>
        </w:rPr>
        <w:t>Notwithstanding the foregoing, the Company will make payments, by way of dividends or otherwise, in cash, Shares or other assets only into the hands of the Depository or sub-depository recorded in the share register of the Company or in accordance with their instructions, and that payment shall release the Company from any and all obligations for such payment.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6" w:name="page67"/>
    <w:bookmarkEnd w:id="66"/>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right="1179"/>
        <w:spacing w:after="0" w:line="252" w:lineRule="auto"/>
        <w:rPr>
          <w:sz w:val="20"/>
          <w:szCs w:val="20"/>
          <w:color w:val="auto"/>
        </w:rPr>
      </w:pPr>
      <w:r>
        <w:rPr>
          <w:rFonts w:ascii="Arial" w:cs="Arial" w:eastAsia="Arial" w:hAnsi="Arial"/>
          <w:sz w:val="15"/>
          <w:szCs w:val="15"/>
          <w:b w:val="1"/>
          <w:bCs w:val="1"/>
          <w:i w:val="1"/>
          <w:iCs w:val="1"/>
          <w:color w:val="auto"/>
        </w:rPr>
        <w:t xml:space="preserve">Art. 8. Payment of Shares. </w:t>
      </w:r>
      <w:r>
        <w:rPr>
          <w:rFonts w:ascii="Arial" w:cs="Arial" w:eastAsia="Arial" w:hAnsi="Arial"/>
          <w:sz w:val="15"/>
          <w:szCs w:val="15"/>
          <w:i w:val="1"/>
          <w:iCs w:val="1"/>
          <w:color w:val="auto"/>
        </w:rPr>
        <w:t>Payments on Shares not fully paid up at the time of subscription may be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made at the time and upon conditions which the Board of Directors shall from time to time determine subject to the Law. Any amount called up on Shares will be charged equally on all outstanding Shares which are not fully paid up.</w:t>
      </w:r>
    </w:p>
    <w:p>
      <w:pPr>
        <w:spacing w:after="0" w:line="87" w:lineRule="exact"/>
        <w:rPr>
          <w:sz w:val="20"/>
          <w:szCs w:val="20"/>
          <w:color w:val="auto"/>
        </w:rPr>
      </w:pPr>
    </w:p>
    <w:p>
      <w:pPr>
        <w:ind w:left="1080"/>
        <w:spacing w:after="0"/>
        <w:tabs>
          <w:tab w:leader="none" w:pos="4840" w:val="left"/>
        </w:tabs>
        <w:rPr>
          <w:sz w:val="20"/>
          <w:szCs w:val="20"/>
          <w:color w:val="auto"/>
        </w:rPr>
      </w:pPr>
      <w:r>
        <w:rPr>
          <w:rFonts w:ascii="Arial" w:cs="Arial" w:eastAsia="Arial" w:hAnsi="Arial"/>
          <w:sz w:val="15"/>
          <w:szCs w:val="15"/>
          <w:b w:val="1"/>
          <w:bCs w:val="1"/>
          <w:i w:val="1"/>
          <w:iCs w:val="1"/>
          <w:color w:val="auto"/>
        </w:rPr>
        <w:t>Art. 9. Increase and Reduction of the Share Capital.</w:t>
      </w:r>
      <w:r>
        <w:rPr>
          <w:sz w:val="20"/>
          <w:szCs w:val="20"/>
          <w:color w:val="auto"/>
        </w:rPr>
        <w:tab/>
      </w:r>
      <w:r>
        <w:rPr>
          <w:rFonts w:ascii="Arial" w:cs="Arial" w:eastAsia="Arial" w:hAnsi="Arial"/>
          <w:sz w:val="15"/>
          <w:szCs w:val="15"/>
          <w:i w:val="1"/>
          <w:iCs w:val="1"/>
          <w:color w:val="auto"/>
        </w:rPr>
        <w:t>The issued share capital and the authorized</w:t>
      </w:r>
    </w:p>
    <w:p>
      <w:pPr>
        <w:spacing w:after="0" w:line="22" w:lineRule="exact"/>
        <w:rPr>
          <w:sz w:val="20"/>
          <w:szCs w:val="20"/>
          <w:color w:val="auto"/>
        </w:rPr>
      </w:pPr>
    </w:p>
    <w:p>
      <w:pPr>
        <w:ind w:left="1080" w:right="1099"/>
        <w:spacing w:after="0" w:line="241" w:lineRule="auto"/>
        <w:rPr>
          <w:sz w:val="20"/>
          <w:szCs w:val="20"/>
          <w:color w:val="auto"/>
        </w:rPr>
      </w:pPr>
      <w:r>
        <w:rPr>
          <w:rFonts w:ascii="Arial" w:cs="Arial" w:eastAsia="Arial" w:hAnsi="Arial"/>
          <w:sz w:val="15"/>
          <w:szCs w:val="15"/>
          <w:i w:val="1"/>
          <w:iCs w:val="1"/>
          <w:color w:val="auto"/>
        </w:rPr>
        <w:t>share capital of the 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spacing w:after="0" w:line="97" w:lineRule="exact"/>
        <w:rPr>
          <w:sz w:val="20"/>
          <w:szCs w:val="20"/>
          <w:color w:val="auto"/>
        </w:rPr>
      </w:pPr>
    </w:p>
    <w:p>
      <w:pPr>
        <w:ind w:left="1080" w:right="1119"/>
        <w:spacing w:after="0" w:line="251" w:lineRule="auto"/>
        <w:rPr>
          <w:sz w:val="20"/>
          <w:szCs w:val="20"/>
          <w:color w:val="auto"/>
        </w:rPr>
      </w:pPr>
      <w:r>
        <w:rPr>
          <w:rFonts w:ascii="Arial" w:cs="Arial" w:eastAsia="Arial" w:hAnsi="Arial"/>
          <w:sz w:val="15"/>
          <w:szCs w:val="15"/>
          <w:i w:val="1"/>
          <w:iCs w:val="1"/>
          <w:color w:val="auto"/>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spacing w:after="0" w:line="90" w:lineRule="exact"/>
        <w:rPr>
          <w:sz w:val="20"/>
          <w:szCs w:val="20"/>
          <w:color w:val="auto"/>
        </w:rPr>
      </w:pPr>
    </w:p>
    <w:p>
      <w:pPr>
        <w:ind w:left="1080" w:right="1139"/>
        <w:spacing w:after="0" w:line="251" w:lineRule="auto"/>
        <w:rPr>
          <w:sz w:val="20"/>
          <w:szCs w:val="20"/>
          <w:color w:val="auto"/>
        </w:rPr>
      </w:pPr>
      <w:r>
        <w:rPr>
          <w:rFonts w:ascii="Arial" w:cs="Arial" w:eastAsia="Arial" w:hAnsi="Arial"/>
          <w:sz w:val="15"/>
          <w:szCs w:val="15"/>
          <w:i w:val="1"/>
          <w:iCs w:val="1"/>
          <w:color w:val="auto"/>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90" w:lineRule="exact"/>
        <w:rPr>
          <w:sz w:val="20"/>
          <w:szCs w:val="20"/>
          <w:color w:val="auto"/>
        </w:rPr>
      </w:pPr>
    </w:p>
    <w:p>
      <w:pPr>
        <w:ind w:left="1080" w:right="1479"/>
        <w:spacing w:after="0" w:line="267" w:lineRule="auto"/>
        <w:rPr>
          <w:sz w:val="20"/>
          <w:szCs w:val="20"/>
          <w:color w:val="auto"/>
        </w:rPr>
      </w:pPr>
      <w:r>
        <w:rPr>
          <w:rFonts w:ascii="Arial" w:cs="Arial" w:eastAsia="Arial" w:hAnsi="Arial"/>
          <w:sz w:val="15"/>
          <w:szCs w:val="15"/>
          <w:i w:val="1"/>
          <w:iCs w:val="1"/>
          <w:color w:val="auto"/>
        </w:rPr>
        <w:t>The preferred subscription right is not applicable when the share capital is increased by means of contributions in kind.</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5"/>
          <w:szCs w:val="15"/>
          <w:b w:val="1"/>
          <w:bCs w:val="1"/>
          <w:i w:val="1"/>
          <w:iCs w:val="1"/>
          <w:color w:val="auto"/>
        </w:rPr>
        <w:t>Art. 10. Acquisition or Redemption of Own Shares</w:t>
      </w:r>
      <w:r>
        <w:rPr>
          <w:rFonts w:ascii="Arial" w:cs="Arial" w:eastAsia="Arial" w:hAnsi="Arial"/>
          <w:sz w:val="15"/>
          <w:szCs w:val="15"/>
          <w:i w:val="1"/>
          <w:iCs w:val="1"/>
          <w:color w:val="auto"/>
        </w:rPr>
        <w:t>. The Company may acquire or redeem its own</w:t>
      </w:r>
    </w:p>
    <w:p>
      <w:pPr>
        <w:spacing w:after="0" w:line="22" w:lineRule="exact"/>
        <w:rPr>
          <w:sz w:val="20"/>
          <w:szCs w:val="20"/>
          <w:color w:val="auto"/>
        </w:rPr>
      </w:pPr>
    </w:p>
    <w:p>
      <w:pPr>
        <w:ind w:left="1080" w:right="1139"/>
        <w:spacing w:after="0" w:line="243" w:lineRule="auto"/>
        <w:rPr>
          <w:sz w:val="20"/>
          <w:szCs w:val="20"/>
          <w:color w:val="auto"/>
        </w:rPr>
      </w:pPr>
      <w:r>
        <w:rPr>
          <w:rFonts w:ascii="Arial" w:cs="Arial" w:eastAsia="Arial" w:hAnsi="Arial"/>
          <w:sz w:val="15"/>
          <w:szCs w:val="15"/>
          <w:i w:val="1"/>
          <w:iCs w:val="1"/>
          <w:color w:val="auto"/>
        </w:rPr>
        <w:t xml:space="preserve">Shares in accordance with the provisions of the Law. It may hold the Shares so acquired or redeemed. As used in this Article 10,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Own Shares</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means Shares acquired or redeemed and held by the Company.</w:t>
      </w:r>
    </w:p>
    <w:p>
      <w:pPr>
        <w:spacing w:after="0" w:line="95" w:lineRule="exact"/>
        <w:rPr>
          <w:sz w:val="20"/>
          <w:szCs w:val="20"/>
          <w:color w:val="auto"/>
        </w:rPr>
      </w:pPr>
    </w:p>
    <w:p>
      <w:pPr>
        <w:jc w:val="both"/>
        <w:ind w:left="1080" w:right="1179"/>
        <w:spacing w:after="0" w:line="251" w:lineRule="auto"/>
        <w:rPr>
          <w:sz w:val="20"/>
          <w:szCs w:val="20"/>
          <w:color w:val="auto"/>
        </w:rPr>
      </w:pPr>
      <w:r>
        <w:rPr>
          <w:rFonts w:ascii="Arial" w:cs="Arial" w:eastAsia="Arial" w:hAnsi="Arial"/>
          <w:sz w:val="15"/>
          <w:szCs w:val="15"/>
          <w:i w:val="1"/>
          <w:iCs w:val="1"/>
          <w:color w:val="auto"/>
        </w:rPr>
        <w:t>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430-18 of the Law.</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III. Directors, Board of Directors, Statutory Auditors</w:t>
      </w:r>
    </w:p>
    <w:p>
      <w:pPr>
        <w:spacing w:after="0" w:line="132" w:lineRule="exact"/>
        <w:rPr>
          <w:sz w:val="20"/>
          <w:szCs w:val="20"/>
          <w:color w:val="auto"/>
        </w:rPr>
      </w:pPr>
    </w:p>
    <w:p>
      <w:pPr>
        <w:ind w:left="1080" w:right="1159"/>
        <w:spacing w:after="0" w:line="260" w:lineRule="auto"/>
        <w:rPr>
          <w:sz w:val="20"/>
          <w:szCs w:val="20"/>
          <w:color w:val="auto"/>
        </w:rPr>
      </w:pPr>
      <w:r>
        <w:rPr>
          <w:rFonts w:ascii="Arial" w:cs="Arial" w:eastAsia="Arial" w:hAnsi="Arial"/>
          <w:sz w:val="15"/>
          <w:szCs w:val="15"/>
          <w:b w:val="1"/>
          <w:bCs w:val="1"/>
          <w:i w:val="1"/>
          <w:iCs w:val="1"/>
          <w:color w:val="auto"/>
        </w:rPr>
        <w:t xml:space="preserve">Art. 11. Board of Directors. </w:t>
      </w:r>
      <w:r>
        <w:rPr>
          <w:rFonts w:ascii="Arial" w:cs="Arial" w:eastAsia="Arial" w:hAnsi="Arial"/>
          <w:sz w:val="15"/>
          <w:szCs w:val="15"/>
          <w:i w:val="1"/>
          <w:iCs w:val="1"/>
          <w:color w:val="auto"/>
        </w:rPr>
        <w:t>The Company is managed by a board of directors (the “</w:t>
      </w:r>
      <w:r>
        <w:rPr>
          <w:rFonts w:ascii="Arial" w:cs="Arial" w:eastAsia="Arial" w:hAnsi="Arial"/>
          <w:sz w:val="15"/>
          <w:szCs w:val="15"/>
          <w:b w:val="1"/>
          <w:bCs w:val="1"/>
          <w:i w:val="1"/>
          <w:iCs w:val="1"/>
          <w:color w:val="auto"/>
        </w:rPr>
        <w:t>Board of Directors</w:t>
      </w:r>
      <w:r>
        <w:rPr>
          <w:rFonts w:ascii="Arial" w:cs="Arial" w:eastAsia="Arial" w:hAnsi="Arial"/>
          <w:sz w:val="15"/>
          <w:szCs w:val="15"/>
          <w:i w:val="1"/>
          <w:iCs w:val="1"/>
          <w:color w:val="auto"/>
        </w:rPr>
        <w:t>”) composed of at least three (3) and of maximum seven (7) members (each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Director</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who need not be shareholders.</w:t>
      </w:r>
    </w:p>
    <w:p>
      <w:pPr>
        <w:spacing w:after="0" w:line="84" w:lineRule="exact"/>
        <w:rPr>
          <w:sz w:val="20"/>
          <w:szCs w:val="20"/>
          <w:color w:val="auto"/>
        </w:rPr>
      </w:pPr>
    </w:p>
    <w:p>
      <w:pPr>
        <w:ind w:left="1080" w:right="1239"/>
        <w:spacing w:after="0" w:line="247" w:lineRule="auto"/>
        <w:rPr>
          <w:sz w:val="20"/>
          <w:szCs w:val="20"/>
          <w:color w:val="auto"/>
        </w:rPr>
      </w:pPr>
      <w:r>
        <w:rPr>
          <w:rFonts w:ascii="Arial" w:cs="Arial" w:eastAsia="Arial" w:hAnsi="Arial"/>
          <w:sz w:val="15"/>
          <w:szCs w:val="15"/>
          <w:i w:val="1"/>
          <w:iCs w:val="1"/>
          <w:color w:val="auto"/>
        </w:rPr>
        <w:t>The Director(s) shall be appointed by the general meeting of shareholders. The general meeting of shareholders will determine their number and the duration of their mandate for a term not exceeding six (6) years, and they will hold office until their successors are elected. Director(s) may be re-elected for successive terms, and may be removed at any time, with or without cause, by a resolution of the general meeting of shareholders.</w:t>
      </w:r>
    </w:p>
    <w:p>
      <w:pPr>
        <w:spacing w:after="0" w:line="93" w:lineRule="exact"/>
        <w:rPr>
          <w:sz w:val="20"/>
          <w:szCs w:val="20"/>
          <w:color w:val="auto"/>
        </w:rPr>
      </w:pPr>
    </w:p>
    <w:p>
      <w:pPr>
        <w:jc w:val="both"/>
        <w:ind w:left="1080" w:right="1539"/>
        <w:spacing w:after="0" w:line="247" w:lineRule="auto"/>
        <w:rPr>
          <w:sz w:val="20"/>
          <w:szCs w:val="20"/>
          <w:color w:val="auto"/>
        </w:rPr>
      </w:pPr>
      <w:r>
        <w:rPr>
          <w:rFonts w:ascii="Arial" w:cs="Arial" w:eastAsia="Arial" w:hAnsi="Arial"/>
          <w:sz w:val="15"/>
          <w:szCs w:val="15"/>
          <w:i w:val="1"/>
          <w:iCs w:val="1"/>
          <w:color w:val="auto"/>
        </w:rPr>
        <w:t>If a corporate entity is appointed as Director, it shall designate a natural person as its permanent representative, who will represent the corporate entity as a member of the Board of Directors, in accordance with Article 441-3 of the Law. In the event of a vacancy on the Board of Directors, if applicable, the remaining Director(s) may meet and may elect a director to fill such vacancy on a provisional basis until the next meeting of shareholders.</w:t>
      </w:r>
    </w:p>
    <w:p>
      <w:pPr>
        <w:spacing w:after="0" w:line="91" w:lineRule="exact"/>
        <w:rPr>
          <w:sz w:val="20"/>
          <w:szCs w:val="20"/>
          <w:color w:val="auto"/>
        </w:rPr>
      </w:pPr>
    </w:p>
    <w:p>
      <w:pPr>
        <w:ind w:left="1080" w:right="1119"/>
        <w:spacing w:after="0" w:line="248" w:lineRule="auto"/>
        <w:rPr>
          <w:sz w:val="20"/>
          <w:szCs w:val="20"/>
          <w:color w:val="auto"/>
        </w:rPr>
      </w:pPr>
      <w:r>
        <w:rPr>
          <w:rFonts w:ascii="Arial" w:cs="Arial" w:eastAsia="Arial" w:hAnsi="Arial"/>
          <w:sz w:val="15"/>
          <w:szCs w:val="15"/>
          <w:b w:val="1"/>
          <w:bCs w:val="1"/>
          <w:i w:val="1"/>
          <w:iCs w:val="1"/>
          <w:color w:val="auto"/>
        </w:rPr>
        <w:t xml:space="preserve">Art. 12. Meetings of the Board of Directors. </w:t>
      </w:r>
      <w:r>
        <w:rPr>
          <w:rFonts w:ascii="Arial" w:cs="Arial" w:eastAsia="Arial" w:hAnsi="Arial"/>
          <w:sz w:val="15"/>
          <w:szCs w:val="15"/>
          <w:i w:val="1"/>
          <w:iCs w:val="1"/>
          <w:color w:val="auto"/>
        </w:rPr>
        <w:t>The Board of Directors will appoint from among its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members a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chairperson</w:t>
      </w:r>
      <w:r>
        <w:rPr>
          <w:rFonts w:ascii="Arial" w:cs="Arial" w:eastAsia="Arial" w:hAnsi="Arial"/>
          <w:sz w:val="15"/>
          <w:szCs w:val="15"/>
          <w:i w:val="1"/>
          <w:iCs w:val="1"/>
          <w:color w:val="auto"/>
        </w:rPr>
        <w:t xml:space="preserve"> (the “</w:t>
      </w:r>
      <w:r>
        <w:rPr>
          <w:rFonts w:ascii="Arial" w:cs="Arial" w:eastAsia="Arial" w:hAnsi="Arial"/>
          <w:sz w:val="15"/>
          <w:szCs w:val="15"/>
          <w:b w:val="1"/>
          <w:bCs w:val="1"/>
          <w:color w:val="FF0000"/>
          <w:strike w:val="1"/>
        </w:rPr>
        <w:t>Chairman</w:t>
      </w:r>
      <w:r>
        <w:rPr>
          <w:rFonts w:ascii="Arial" w:cs="Arial" w:eastAsia="Arial" w:hAnsi="Arial"/>
          <w:sz w:val="15"/>
          <w:szCs w:val="15"/>
          <w:i w:val="1"/>
          <w:iCs w:val="1"/>
          <w:u w:val="single" w:color="auto"/>
          <w:color w:val="0000FF"/>
        </w:rPr>
        <w:t>Chair</w:t>
      </w:r>
      <w:r>
        <w:rPr>
          <w:rFonts w:ascii="Arial" w:cs="Arial" w:eastAsia="Arial" w:hAnsi="Arial"/>
          <w:sz w:val="15"/>
          <w:szCs w:val="15"/>
          <w:i w:val="1"/>
          <w:iCs w:val="1"/>
          <w:color w:val="auto"/>
        </w:rPr>
        <w:t xml:space="preserve">”). It may also appoint a corporate secretary, who need not be a Director and who will be responsible for keeping the minutes of the meetings of the Board of Directors and </w:t>
      </w:r>
      <w:r>
        <w:rPr>
          <w:rFonts w:ascii="Arial" w:cs="Arial" w:eastAsia="Arial" w:hAnsi="Arial"/>
          <w:sz w:val="15"/>
          <w:szCs w:val="15"/>
          <w:color w:val="FF0000"/>
          <w:strike w:val="1"/>
        </w:rPr>
        <w:t>of</w:t>
      </w:r>
      <w:r>
        <w:rPr>
          <w:rFonts w:ascii="Arial" w:cs="Arial" w:eastAsia="Arial" w:hAnsi="Arial"/>
          <w:sz w:val="15"/>
          <w:szCs w:val="15"/>
          <w:i w:val="1"/>
          <w:iCs w:val="1"/>
          <w:color w:val="auto"/>
        </w:rPr>
        <w:t xml:space="preserve"> the </w:t>
      </w:r>
      <w:r>
        <w:rPr>
          <w:rFonts w:ascii="Arial" w:cs="Arial" w:eastAsia="Arial" w:hAnsi="Arial"/>
          <w:sz w:val="15"/>
          <w:szCs w:val="15"/>
          <w:i w:val="1"/>
          <w:iCs w:val="1"/>
          <w:u w:val="single" w:color="auto"/>
          <w:color w:val="0000FF"/>
        </w:rPr>
        <w:t>general meetings of</w:t>
      </w:r>
      <w:r>
        <w:rPr>
          <w:rFonts w:ascii="Arial" w:cs="Arial" w:eastAsia="Arial" w:hAnsi="Arial"/>
          <w:sz w:val="15"/>
          <w:szCs w:val="15"/>
          <w:i w:val="1"/>
          <w:iCs w:val="1"/>
          <w:color w:val="auto"/>
        </w:rPr>
        <w:t xml:space="preserve"> shareholder(s) (the “</w:t>
      </w:r>
      <w:r>
        <w:rPr>
          <w:rFonts w:ascii="Arial" w:cs="Arial" w:eastAsia="Arial" w:hAnsi="Arial"/>
          <w:sz w:val="15"/>
          <w:szCs w:val="15"/>
          <w:b w:val="1"/>
          <w:bCs w:val="1"/>
          <w:i w:val="1"/>
          <w:iCs w:val="1"/>
          <w:color w:val="auto"/>
        </w:rPr>
        <w:t>Secretary</w:t>
      </w:r>
      <w:r>
        <w:rPr>
          <w:rFonts w:ascii="Arial" w:cs="Arial" w:eastAsia="Arial" w:hAnsi="Arial"/>
          <w:sz w:val="15"/>
          <w:szCs w:val="15"/>
          <w:i w:val="1"/>
          <w:iCs w:val="1"/>
          <w:color w:val="auto"/>
        </w:rPr>
        <w:t xml:space="preserve">”). If the Secretary is not a Director, such person shall observe the confidentiality provisions as set forth in Article 15 </w:t>
      </w:r>
      <w:r>
        <w:rPr>
          <w:rFonts w:ascii="Arial" w:cs="Arial" w:eastAsia="Arial" w:hAnsi="Arial"/>
          <w:sz w:val="15"/>
          <w:szCs w:val="15"/>
          <w:i w:val="1"/>
          <w:iCs w:val="1"/>
          <w:u w:val="single" w:color="auto"/>
          <w:color w:val="0000FF"/>
        </w:rPr>
        <w:t>of these</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Articles,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under the responsibility of the Board of Directors.</w:t>
      </w:r>
    </w:p>
    <w:p>
      <w:pPr>
        <w:spacing w:after="0" w:line="91" w:lineRule="exact"/>
        <w:rPr>
          <w:sz w:val="20"/>
          <w:szCs w:val="20"/>
          <w:color w:val="auto"/>
        </w:rPr>
      </w:pPr>
    </w:p>
    <w:p>
      <w:pPr>
        <w:ind w:left="1080" w:right="1179"/>
        <w:spacing w:after="0" w:line="270" w:lineRule="auto"/>
        <w:rPr>
          <w:sz w:val="20"/>
          <w:szCs w:val="20"/>
          <w:color w:val="auto"/>
        </w:rPr>
      </w:pPr>
      <w:r>
        <w:rPr>
          <w:rFonts w:ascii="Arial" w:cs="Arial" w:eastAsia="Arial" w:hAnsi="Arial"/>
          <w:sz w:val="15"/>
          <w:szCs w:val="15"/>
          <w:i w:val="1"/>
          <w:iCs w:val="1"/>
          <w:color w:val="auto"/>
        </w:rPr>
        <w:t xml:space="preserve">The Board of Directors will meet upon call by the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w:t>
      </w:r>
      <w:r>
        <w:rPr>
          <w:rFonts w:ascii="Arial" w:cs="Arial" w:eastAsia="Arial" w:hAnsi="Arial"/>
          <w:sz w:val="15"/>
          <w:szCs w:val="15"/>
          <w:i w:val="1"/>
          <w:iCs w:val="1"/>
          <w:color w:val="auto"/>
        </w:rPr>
        <w:t>. A meeting of the Board of Directors must be convened if any two Directors so require.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7" w:name="page68"/>
    <w:bookmarkEnd w:id="6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 xml:space="preserve">The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w:t>
      </w:r>
      <w:r>
        <w:rPr>
          <w:rFonts w:ascii="Arial" w:cs="Arial" w:eastAsia="Arial" w:hAnsi="Arial"/>
          <w:sz w:val="15"/>
          <w:szCs w:val="15"/>
          <w:i w:val="1"/>
          <w:iCs w:val="1"/>
          <w:color w:val="auto"/>
        </w:rPr>
        <w:t xml:space="preserve"> will preside at all meetings of the Board of Directors </w:t>
      </w:r>
      <w:r>
        <w:rPr>
          <w:rFonts w:ascii="Arial" w:cs="Arial" w:eastAsia="Arial" w:hAnsi="Arial"/>
          <w:sz w:val="15"/>
          <w:szCs w:val="15"/>
          <w:color w:val="FF0000"/>
        </w:rPr>
        <w:t>and of the shareholders,</w:t>
      </w:r>
      <w:r>
        <w:rPr>
          <w:rFonts w:ascii="Arial" w:cs="Arial" w:eastAsia="Arial" w:hAnsi="Arial"/>
          <w:sz w:val="15"/>
          <w:szCs w:val="15"/>
          <w:i w:val="1"/>
          <w:i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-49530</wp:posOffset>
            </wp:positionV>
            <wp:extent cx="117411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2" w:lineRule="exact"/>
        <w:rPr>
          <w:sz w:val="20"/>
          <w:szCs w:val="20"/>
          <w:color w:val="auto"/>
        </w:rPr>
      </w:pPr>
    </w:p>
    <w:p>
      <w:pPr>
        <w:ind w:left="1080" w:right="1099"/>
        <w:spacing w:after="0" w:line="243" w:lineRule="auto"/>
        <w:rPr>
          <w:sz w:val="20"/>
          <w:szCs w:val="20"/>
          <w:color w:val="auto"/>
        </w:rPr>
      </w:pPr>
      <w:r>
        <w:rPr>
          <w:rFonts w:ascii="Arial" w:cs="Arial" w:eastAsia="Arial" w:hAnsi="Arial"/>
          <w:sz w:val="15"/>
          <w:szCs w:val="15"/>
          <w:i w:val="1"/>
          <w:iCs w:val="1"/>
          <w:color w:val="auto"/>
        </w:rPr>
        <w:t xml:space="preserve">except that in his or her absence the Board of Directors may appoint another Director </w:t>
      </w:r>
      <w:r>
        <w:rPr>
          <w:rFonts w:ascii="Arial" w:cs="Arial" w:eastAsia="Arial" w:hAnsi="Arial"/>
          <w:sz w:val="15"/>
          <w:szCs w:val="15"/>
          <w:color w:val="FF0000"/>
          <w:strike w:val="1"/>
        </w:rPr>
        <w:t>and the general</w:t>
      </w:r>
      <w:r>
        <w:rPr>
          <w:rFonts w:ascii="Arial" w:cs="Arial" w:eastAsia="Arial" w:hAnsi="Arial"/>
          <w:sz w:val="15"/>
          <w:szCs w:val="15"/>
          <w:i w:val="1"/>
          <w:iCs w:val="1"/>
          <w:color w:val="auto"/>
        </w:rPr>
        <w:t xml:space="preserve"> </w:t>
      </w:r>
      <w:r>
        <w:rPr>
          <w:rFonts w:ascii="Arial" w:cs="Arial" w:eastAsia="Arial" w:hAnsi="Arial"/>
          <w:sz w:val="15"/>
          <w:szCs w:val="15"/>
          <w:color w:val="FF0000"/>
          <w:strike w:val="1"/>
        </w:rPr>
        <w:t xml:space="preserve">meeting of shareholders may appoint any other person as chairman pro tempore by vote of the majority present or represented at such </w:t>
      </w:r>
      <w:r>
        <w:rPr>
          <w:rFonts w:ascii="Arial" w:cs="Arial" w:eastAsia="Arial" w:hAnsi="Arial"/>
          <w:sz w:val="15"/>
          <w:szCs w:val="15"/>
          <w:i w:val="1"/>
          <w:iCs w:val="1"/>
          <w:u w:val="single" w:color="auto"/>
          <w:color w:val="0000FF"/>
          <w:strike w:val="1"/>
        </w:rPr>
        <w:t>to preside the</w:t>
      </w:r>
      <w:r>
        <w:rPr>
          <w:rFonts w:ascii="Arial" w:cs="Arial" w:eastAsia="Arial" w:hAnsi="Arial"/>
          <w:sz w:val="15"/>
          <w:szCs w:val="15"/>
          <w:color w:val="FF0000"/>
          <w:strike w:val="1"/>
        </w:rPr>
        <w:t xml:space="preserve"> </w:t>
      </w:r>
      <w:r>
        <w:rPr>
          <w:rFonts w:ascii="Arial" w:cs="Arial" w:eastAsia="Arial" w:hAnsi="Arial"/>
          <w:sz w:val="15"/>
          <w:szCs w:val="15"/>
          <w:i w:val="1"/>
          <w:iCs w:val="1"/>
          <w:color w:val="000000"/>
          <w:strike w:val="1"/>
        </w:rPr>
        <w:t>meeting.</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Except in cases of urgency or with the prior consent of all those entitled to attend, at least twenty-four</w:t>
      </w:r>
    </w:p>
    <w:p>
      <w:pPr>
        <w:spacing w:after="0" w:line="20" w:lineRule="exact"/>
        <w:rPr>
          <w:sz w:val="20"/>
          <w:szCs w:val="20"/>
          <w:color w:val="auto"/>
        </w:rPr>
      </w:pPr>
    </w:p>
    <w:p>
      <w:pPr>
        <w:ind w:left="1080" w:right="1179" w:hanging="1"/>
        <w:spacing w:after="0" w:line="251" w:lineRule="auto"/>
        <w:tabs>
          <w:tab w:leader="none" w:pos="1389"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hours written notice of board meetings shall be given. Any such notice shall specify the place, the date and time of the meeting as well as the agenda and the nature of the business to be transacted.</w:t>
      </w:r>
    </w:p>
    <w:p>
      <w:pPr>
        <w:spacing w:after="0" w:line="89" w:lineRule="exact"/>
        <w:rPr>
          <w:sz w:val="20"/>
          <w:szCs w:val="20"/>
          <w:color w:val="auto"/>
        </w:rPr>
      </w:pPr>
    </w:p>
    <w:p>
      <w:pPr>
        <w:ind w:left="1080" w:right="1359"/>
        <w:spacing w:after="0" w:line="259" w:lineRule="auto"/>
        <w:rPr>
          <w:sz w:val="20"/>
          <w:szCs w:val="20"/>
          <w:color w:val="auto"/>
        </w:rPr>
      </w:pPr>
      <w:r>
        <w:rPr>
          <w:rFonts w:ascii="Arial" w:cs="Arial" w:eastAsia="Arial" w:hAnsi="Arial"/>
          <w:sz w:val="15"/>
          <w:szCs w:val="15"/>
          <w:i w:val="1"/>
          <w:iCs w:val="1"/>
          <w:color w:val="auto"/>
        </w:rPr>
        <w:t>The notice may be waived by unanimous written consent given at the meeting by all Directors. No separate notice is required for meetings held at times and places specified in a schedule previously adopted by resolution of the Board of Directors.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Meetings of the Board of Directors shall be held in the location indicated in the notice of meeting.</w:t>
      </w:r>
    </w:p>
    <w:p>
      <w:pPr>
        <w:spacing w:after="0" w:line="120" w:lineRule="exact"/>
        <w:rPr>
          <w:sz w:val="20"/>
          <w:szCs w:val="20"/>
          <w:color w:val="auto"/>
        </w:rPr>
      </w:pPr>
    </w:p>
    <w:p>
      <w:pPr>
        <w:ind w:left="1080" w:right="1159"/>
        <w:spacing w:after="0" w:line="283" w:lineRule="auto"/>
        <w:rPr>
          <w:sz w:val="20"/>
          <w:szCs w:val="20"/>
          <w:color w:val="auto"/>
        </w:rPr>
      </w:pPr>
      <w:r>
        <w:rPr>
          <w:rFonts w:ascii="Arial" w:cs="Arial" w:eastAsia="Arial" w:hAnsi="Arial"/>
          <w:sz w:val="15"/>
          <w:szCs w:val="15"/>
          <w:i w:val="1"/>
          <w:iCs w:val="1"/>
          <w:color w:val="auto"/>
        </w:rPr>
        <w:t>Any Director may act at any meeting of the Board of Directors by appointing in writing another Director as his or her proxy.</w:t>
      </w:r>
    </w:p>
    <w:p>
      <w:pPr>
        <w:spacing w:after="0" w:line="66" w:lineRule="exact"/>
        <w:rPr>
          <w:sz w:val="20"/>
          <w:szCs w:val="20"/>
          <w:color w:val="auto"/>
        </w:rPr>
      </w:pPr>
    </w:p>
    <w:p>
      <w:pPr>
        <w:jc w:val="both"/>
        <w:ind w:left="1080" w:right="1239"/>
        <w:spacing w:after="0" w:line="263" w:lineRule="auto"/>
        <w:rPr>
          <w:sz w:val="20"/>
          <w:szCs w:val="20"/>
          <w:color w:val="auto"/>
        </w:rPr>
      </w:pPr>
      <w:r>
        <w:rPr>
          <w:rFonts w:ascii="Arial" w:cs="Arial" w:eastAsia="Arial" w:hAnsi="Arial"/>
          <w:sz w:val="14"/>
          <w:szCs w:val="14"/>
          <w:i w:val="1"/>
          <w:iCs w:val="1"/>
          <w:color w:val="auto"/>
        </w:rPr>
        <w:t>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(2) members of the Board of Directors or Committee, as applicable, shall be required).</w:t>
      </w:r>
    </w:p>
    <w:p>
      <w:pPr>
        <w:spacing w:after="0" w:line="108" w:lineRule="exact"/>
        <w:rPr>
          <w:sz w:val="20"/>
          <w:szCs w:val="20"/>
          <w:color w:val="auto"/>
        </w:rPr>
      </w:pPr>
    </w:p>
    <w:p>
      <w:pPr>
        <w:ind w:left="1080" w:right="1279"/>
        <w:spacing w:after="0" w:line="251" w:lineRule="auto"/>
        <w:rPr>
          <w:sz w:val="20"/>
          <w:szCs w:val="20"/>
          <w:color w:val="auto"/>
        </w:rPr>
      </w:pPr>
      <w:r>
        <w:rPr>
          <w:rFonts w:ascii="Arial" w:cs="Arial" w:eastAsia="Arial" w:hAnsi="Arial"/>
          <w:sz w:val="15"/>
          <w:szCs w:val="15"/>
          <w:i w:val="1"/>
          <w:iCs w:val="1"/>
          <w:color w:val="auto"/>
        </w:rPr>
        <w:t xml:space="preserve">Decisions will be taken by a majority of the votes of the Directors present or represented at such meeting. In case of a voting tie, the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 or when applicable, the pro tempore chair,</w:t>
      </w:r>
      <w:r>
        <w:rPr>
          <w:rFonts w:ascii="Arial" w:cs="Arial" w:eastAsia="Arial" w:hAnsi="Arial"/>
          <w:sz w:val="15"/>
          <w:szCs w:val="15"/>
          <w:i w:val="1"/>
          <w:iCs w:val="1"/>
          <w:color w:val="auto"/>
        </w:rPr>
        <w:t xml:space="preserve"> shall </w:t>
      </w:r>
      <w:r>
        <w:rPr>
          <w:rFonts w:ascii="Arial" w:cs="Arial" w:eastAsia="Arial" w:hAnsi="Arial"/>
          <w:sz w:val="15"/>
          <w:szCs w:val="15"/>
          <w:color w:val="FF0000"/>
          <w:strike w:val="1"/>
        </w:rPr>
        <w:t>have</w:t>
      </w:r>
      <w:r>
        <w:rPr>
          <w:rFonts w:ascii="Arial" w:cs="Arial" w:eastAsia="Arial" w:hAnsi="Arial"/>
          <w:sz w:val="15"/>
          <w:szCs w:val="15"/>
          <w:i w:val="1"/>
          <w:iCs w:val="1"/>
          <w:u w:val="single" w:color="auto"/>
          <w:color w:val="0000FF"/>
        </w:rPr>
        <w:t>cast</w:t>
      </w:r>
      <w:r>
        <w:rPr>
          <w:rFonts w:ascii="Arial" w:cs="Arial" w:eastAsia="Arial" w:hAnsi="Arial"/>
          <w:sz w:val="15"/>
          <w:szCs w:val="15"/>
          <w:color w:val="FF0000"/>
        </w:rPr>
        <w:t xml:space="preserve"> </w:t>
      </w:r>
      <w:r>
        <w:rPr>
          <w:rFonts w:ascii="Arial" w:cs="Arial" w:eastAsia="Arial" w:hAnsi="Arial"/>
          <w:sz w:val="15"/>
          <w:szCs w:val="15"/>
          <w:i w:val="1"/>
          <w:iCs w:val="1"/>
          <w:color w:val="000000"/>
        </w:rPr>
        <w:t>the deciding vote.</w:t>
      </w:r>
    </w:p>
    <w:p>
      <w:pPr>
        <w:spacing w:after="0" w:line="90" w:lineRule="exact"/>
        <w:rPr>
          <w:sz w:val="20"/>
          <w:szCs w:val="20"/>
          <w:color w:val="auto"/>
        </w:rPr>
      </w:pPr>
    </w:p>
    <w:p>
      <w:pPr>
        <w:ind w:left="1080" w:right="1119"/>
        <w:spacing w:after="0" w:line="251" w:lineRule="auto"/>
        <w:rPr>
          <w:sz w:val="20"/>
          <w:szCs w:val="20"/>
          <w:color w:val="auto"/>
        </w:rPr>
      </w:pPr>
      <w:r>
        <w:rPr>
          <w:rFonts w:ascii="Arial" w:cs="Arial" w:eastAsia="Arial" w:hAnsi="Arial"/>
          <w:sz w:val="15"/>
          <w:szCs w:val="15"/>
          <w:i w:val="1"/>
          <w:iCs w:val="1"/>
          <w:color w:val="auto"/>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spacing w:after="0" w:line="88" w:lineRule="exact"/>
        <w:rPr>
          <w:sz w:val="20"/>
          <w:szCs w:val="20"/>
          <w:color w:val="auto"/>
        </w:rPr>
      </w:pPr>
    </w:p>
    <w:p>
      <w:pPr>
        <w:ind w:left="1080" w:right="1139"/>
        <w:spacing w:after="0" w:line="252" w:lineRule="auto"/>
        <w:rPr>
          <w:sz w:val="20"/>
          <w:szCs w:val="20"/>
          <w:color w:val="auto"/>
        </w:rPr>
      </w:pPr>
      <w:r>
        <w:rPr>
          <w:rFonts w:ascii="Arial" w:cs="Arial" w:eastAsia="Arial" w:hAnsi="Arial"/>
          <w:sz w:val="15"/>
          <w:szCs w:val="15"/>
          <w:color w:val="FF0000"/>
          <w:strike w:val="1"/>
        </w:rPr>
        <w:t>Where time is of the essence, a</w:t>
      </w:r>
      <w:r>
        <w:rPr>
          <w:rFonts w:ascii="Arial" w:cs="Arial" w:eastAsia="Arial" w:hAnsi="Arial"/>
          <w:sz w:val="15"/>
          <w:szCs w:val="15"/>
          <w:i w:val="1"/>
          <w:iCs w:val="1"/>
          <w:u w:val="single" w:color="auto"/>
          <w:color w:val="0000FF"/>
        </w:rPr>
        <w:t>A</w:t>
      </w:r>
      <w:r>
        <w:rPr>
          <w:rFonts w:ascii="Arial" w:cs="Arial" w:eastAsia="Arial" w:hAnsi="Arial"/>
          <w:sz w:val="15"/>
          <w:szCs w:val="15"/>
          <w:color w:val="FF0000"/>
        </w:rPr>
        <w:t xml:space="preserve"> </w:t>
      </w:r>
      <w:r>
        <w:rPr>
          <w:rFonts w:ascii="Arial" w:cs="Arial" w:eastAsia="Arial" w:hAnsi="Arial"/>
          <w:sz w:val="15"/>
          <w:szCs w:val="15"/>
          <w:i w:val="1"/>
          <w:iCs w:val="1"/>
          <w:color w:val="000000"/>
        </w:rPr>
        <w:t>written decision</w:t>
      </w:r>
      <w:r>
        <w:rPr>
          <w:rFonts w:ascii="Arial" w:cs="Arial" w:eastAsia="Arial" w:hAnsi="Arial"/>
          <w:sz w:val="15"/>
          <w:szCs w:val="15"/>
          <w:color w:val="FF0000"/>
        </w:rPr>
        <w:t xml:space="preserve"> </w:t>
      </w:r>
      <w:r>
        <w:rPr>
          <w:rFonts w:ascii="Arial" w:cs="Arial" w:eastAsia="Arial" w:hAnsi="Arial"/>
          <w:sz w:val="15"/>
          <w:szCs w:val="15"/>
          <w:color w:val="FF0000"/>
          <w:strike w:val="1"/>
        </w:rPr>
        <w:t>passed by circular means and expressed by</w:t>
      </w:r>
      <w:r>
        <w:rPr>
          <w:rFonts w:ascii="Arial" w:cs="Arial" w:eastAsia="Arial" w:hAnsi="Arial"/>
          <w:sz w:val="15"/>
          <w:szCs w:val="15"/>
          <w:color w:val="FF0000"/>
        </w:rPr>
        <w:t xml:space="preserve"> </w:t>
      </w:r>
      <w:r>
        <w:rPr>
          <w:rFonts w:ascii="Arial" w:cs="Arial" w:eastAsia="Arial" w:hAnsi="Arial"/>
          <w:sz w:val="15"/>
          <w:szCs w:val="15"/>
          <w:color w:val="FF0000"/>
          <w:strike w:val="1"/>
        </w:rPr>
        <w:t>cable, facsimile or any other similar means of communication</w:t>
      </w:r>
      <w:r>
        <w:rPr>
          <w:rFonts w:ascii="Arial" w:cs="Arial" w:eastAsia="Arial" w:hAnsi="Arial"/>
          <w:sz w:val="15"/>
          <w:szCs w:val="15"/>
          <w:i w:val="1"/>
          <w:iCs w:val="1"/>
          <w:color w:val="000000"/>
        </w:rPr>
        <w:t>, signed by all the Directors, is</w:t>
      </w:r>
    </w:p>
    <w:p>
      <w:pPr>
        <w:spacing w:after="0" w:line="1" w:lineRule="exact"/>
        <w:rPr>
          <w:sz w:val="20"/>
          <w:szCs w:val="20"/>
          <w:color w:val="auto"/>
        </w:rPr>
      </w:pPr>
    </w:p>
    <w:p>
      <w:pPr>
        <w:ind w:left="1080" w:right="1199"/>
        <w:spacing w:after="0"/>
        <w:rPr>
          <w:sz w:val="20"/>
          <w:szCs w:val="20"/>
          <w:color w:val="auto"/>
        </w:rPr>
      </w:pPr>
      <w:r>
        <w:rPr>
          <w:rFonts w:ascii="Arial" w:cs="Arial" w:eastAsia="Arial" w:hAnsi="Arial"/>
          <w:sz w:val="15"/>
          <w:szCs w:val="15"/>
          <w:i w:val="1"/>
          <w:iCs w:val="1"/>
          <w:color w:val="auto"/>
        </w:rPr>
        <w:t xml:space="preserve">proper and valid as </w:t>
      </w:r>
      <w:r>
        <w:rPr>
          <w:rFonts w:ascii="Arial" w:cs="Arial" w:eastAsia="Arial" w:hAnsi="Arial"/>
          <w:sz w:val="15"/>
          <w:szCs w:val="15"/>
          <w:color w:val="FF0000"/>
          <w:strike w:val="1"/>
        </w:rPr>
        <w:t>though</w:t>
      </w:r>
      <w:r>
        <w:rPr>
          <w:rFonts w:ascii="Arial" w:cs="Arial" w:eastAsia="Arial" w:hAnsi="Arial"/>
          <w:sz w:val="15"/>
          <w:szCs w:val="15"/>
          <w:i w:val="1"/>
          <w:iCs w:val="1"/>
          <w:u w:val="single" w:color="auto"/>
          <w:color w:val="0000FF"/>
        </w:rPr>
        <w:t>if</w:t>
      </w:r>
      <w:r>
        <w:rPr>
          <w:rFonts w:ascii="Arial" w:cs="Arial" w:eastAsia="Arial" w:hAnsi="Arial"/>
          <w:sz w:val="15"/>
          <w:szCs w:val="15"/>
          <w:i w:val="1"/>
          <w:iCs w:val="1"/>
          <w:color w:val="auto"/>
        </w:rPr>
        <w:t xml:space="preserve"> it had been adopted at a meeting of the Board of Directors which was duly convened and held. Such a decision can be documented in a single document</w:t>
      </w:r>
      <w:r>
        <w:rPr>
          <w:rFonts w:ascii="Arial" w:cs="Arial" w:eastAsia="Arial" w:hAnsi="Arial"/>
          <w:sz w:val="15"/>
          <w:szCs w:val="15"/>
          <w:i w:val="1"/>
          <w:iCs w:val="1"/>
          <w:u w:val="single" w:color="auto"/>
          <w:color w:val="0000FF"/>
        </w:rPr>
        <w:t>, signed by all</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Directors,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or in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several</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separate</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identical</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documents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having the same content and</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each</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of them</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 xml:space="preserve">signed by </w:t>
      </w:r>
      <w:r>
        <w:rPr>
          <w:rFonts w:ascii="Arial" w:cs="Arial" w:eastAsia="Arial" w:hAnsi="Arial"/>
          <w:sz w:val="15"/>
          <w:szCs w:val="15"/>
          <w:color w:val="FF0000"/>
          <w:strike w:val="1"/>
        </w:rPr>
        <w:t>one or several Directors.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a Director.</w:t>
      </w:r>
    </w:p>
    <w:p>
      <w:pPr>
        <w:spacing w:after="0" w:line="108" w:lineRule="exact"/>
        <w:rPr>
          <w:sz w:val="20"/>
          <w:szCs w:val="20"/>
          <w:color w:val="auto"/>
        </w:rPr>
      </w:pPr>
    </w:p>
    <w:p>
      <w:pPr>
        <w:ind w:left="1080" w:right="1499"/>
        <w:spacing w:after="0" w:line="267" w:lineRule="auto"/>
        <w:rPr>
          <w:sz w:val="20"/>
          <w:szCs w:val="20"/>
          <w:color w:val="auto"/>
        </w:rPr>
      </w:pPr>
      <w:r>
        <w:rPr>
          <w:rFonts w:ascii="Arial" w:cs="Arial" w:eastAsia="Arial" w:hAnsi="Arial"/>
          <w:sz w:val="15"/>
          <w:szCs w:val="15"/>
          <w:i w:val="1"/>
          <w:iCs w:val="1"/>
          <w:color w:val="auto"/>
        </w:rPr>
        <w:t>The Directors assume, pursuant to their mandate, no personal liability for any commitment validly made by them in the name of the Company.</w:t>
      </w:r>
    </w:p>
    <w:p>
      <w:pPr>
        <w:spacing w:after="0" w:line="76" w:lineRule="exact"/>
        <w:rPr>
          <w:sz w:val="20"/>
          <w:szCs w:val="20"/>
          <w:color w:val="auto"/>
        </w:rPr>
      </w:pPr>
    </w:p>
    <w:p>
      <w:pPr>
        <w:ind w:left="1080" w:right="1259"/>
        <w:spacing w:after="0" w:line="252" w:lineRule="auto"/>
        <w:rPr>
          <w:sz w:val="20"/>
          <w:szCs w:val="20"/>
          <w:color w:val="auto"/>
        </w:rPr>
      </w:pPr>
      <w:r>
        <w:rPr>
          <w:rFonts w:ascii="Arial" w:cs="Arial" w:eastAsia="Arial" w:hAnsi="Arial"/>
          <w:sz w:val="15"/>
          <w:szCs w:val="15"/>
          <w:b w:val="1"/>
          <w:bCs w:val="1"/>
          <w:i w:val="1"/>
          <w:iCs w:val="1"/>
          <w:color w:val="auto"/>
        </w:rPr>
        <w:t xml:space="preserve">Art. 13. Minutes of Meetings of the Board of Directors. </w:t>
      </w:r>
      <w:r>
        <w:rPr>
          <w:rFonts w:ascii="Arial" w:cs="Arial" w:eastAsia="Arial" w:hAnsi="Arial"/>
          <w:sz w:val="15"/>
          <w:szCs w:val="15"/>
          <w:i w:val="1"/>
          <w:iCs w:val="1"/>
          <w:color w:val="auto"/>
        </w:rPr>
        <w:t>The minutes of any meeting of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of Directors shall be signed by </w:t>
      </w:r>
      <w:r>
        <w:rPr>
          <w:rFonts w:ascii="Arial" w:cs="Arial" w:eastAsia="Arial" w:hAnsi="Arial"/>
          <w:sz w:val="15"/>
          <w:szCs w:val="15"/>
          <w:color w:val="FF0000"/>
          <w:strike w:val="1"/>
        </w:rPr>
        <w:t>all Directors present and able to vote at the meeting. Any</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5"/>
          <w:szCs w:val="15"/>
          <w:color w:val="FF0000"/>
          <w:strike w:val="1"/>
        </w:rPr>
        <w:t xml:space="preserve">proxies will remain attached thereto. </w:t>
      </w:r>
      <w:r>
        <w:rPr>
          <w:rFonts w:ascii="Arial" w:cs="Arial" w:eastAsia="Arial" w:hAnsi="Arial"/>
          <w:sz w:val="15"/>
          <w:szCs w:val="15"/>
          <w:i w:val="1"/>
          <w:iCs w:val="1"/>
          <w:u w:val="single" w:color="auto"/>
          <w:color w:val="0000FF"/>
          <w:strike w:val="1"/>
        </w:rPr>
        <w:t>the Chair or the Secretary.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Copies or extracts thereof shall be certified by the Secretary appointed by the Board of Directors.</w:t>
      </w:r>
    </w:p>
    <w:p>
      <w:pPr>
        <w:spacing w:after="0" w:line="118" w:lineRule="exact"/>
        <w:rPr>
          <w:sz w:val="20"/>
          <w:szCs w:val="20"/>
          <w:color w:val="auto"/>
        </w:rPr>
      </w:pPr>
    </w:p>
    <w:p>
      <w:pPr>
        <w:ind w:left="1080"/>
        <w:spacing w:after="0"/>
        <w:tabs>
          <w:tab w:leader="none" w:pos="4720" w:val="left"/>
        </w:tabs>
        <w:rPr>
          <w:sz w:val="20"/>
          <w:szCs w:val="20"/>
          <w:color w:val="auto"/>
        </w:rPr>
      </w:pPr>
      <w:r>
        <w:rPr>
          <w:rFonts w:ascii="Arial" w:cs="Arial" w:eastAsia="Arial" w:hAnsi="Arial"/>
          <w:sz w:val="15"/>
          <w:szCs w:val="15"/>
          <w:b w:val="1"/>
          <w:bCs w:val="1"/>
          <w:i w:val="1"/>
          <w:iCs w:val="1"/>
          <w:color w:val="auto"/>
        </w:rPr>
        <w:t>Art. 14. General Powers of the Board of Directors.</w:t>
      </w:r>
      <w:r>
        <w:rPr>
          <w:sz w:val="20"/>
          <w:szCs w:val="20"/>
          <w:color w:val="auto"/>
        </w:rPr>
        <w:tab/>
      </w:r>
      <w:r>
        <w:rPr>
          <w:rFonts w:ascii="Arial" w:cs="Arial" w:eastAsia="Arial" w:hAnsi="Arial"/>
          <w:sz w:val="14"/>
          <w:szCs w:val="14"/>
          <w:i w:val="1"/>
          <w:iCs w:val="1"/>
          <w:color w:val="auto"/>
        </w:rPr>
        <w:t>The Board of Directors is vested with the</w:t>
      </w:r>
    </w:p>
    <w:p>
      <w:pPr>
        <w:spacing w:after="0" w:line="22" w:lineRule="exact"/>
        <w:rPr>
          <w:sz w:val="20"/>
          <w:szCs w:val="20"/>
          <w:color w:val="auto"/>
        </w:rPr>
      </w:pPr>
    </w:p>
    <w:p>
      <w:pPr>
        <w:ind w:left="1080" w:right="1139"/>
        <w:spacing w:after="0" w:line="245" w:lineRule="auto"/>
        <w:rPr>
          <w:sz w:val="20"/>
          <w:szCs w:val="20"/>
          <w:color w:val="auto"/>
        </w:rPr>
      </w:pPr>
      <w:r>
        <w:rPr>
          <w:rFonts w:ascii="Arial" w:cs="Arial" w:eastAsia="Arial" w:hAnsi="Arial"/>
          <w:sz w:val="15"/>
          <w:szCs w:val="15"/>
          <w:i w:val="1"/>
          <w:iCs w:val="1"/>
          <w:color w:val="auto"/>
        </w:rPr>
        <w:t>broadest powers to act on behalf of the Company and to perform or authorize all acts of an administrative or disposal nature that are necessary or useful for accomplishing the Company’s object. All powers not expressly reserved by the Law or by these Articles to the general meeting of shareholders fall within the competence of the Board of Directors.</w:t>
      </w:r>
    </w:p>
    <w:p>
      <w:pPr>
        <w:spacing w:after="0" w:line="95" w:lineRule="exact"/>
        <w:rPr>
          <w:sz w:val="20"/>
          <w:szCs w:val="20"/>
          <w:color w:val="auto"/>
        </w:rPr>
      </w:pPr>
    </w:p>
    <w:p>
      <w:pPr>
        <w:ind w:left="1080" w:right="1339"/>
        <w:spacing w:after="0" w:line="251" w:lineRule="auto"/>
        <w:rPr>
          <w:sz w:val="20"/>
          <w:szCs w:val="20"/>
          <w:color w:val="auto"/>
        </w:rPr>
      </w:pPr>
      <w:r>
        <w:rPr>
          <w:rFonts w:ascii="Arial" w:cs="Arial" w:eastAsia="Arial" w:hAnsi="Arial"/>
          <w:sz w:val="15"/>
          <w:szCs w:val="15"/>
          <w:i w:val="1"/>
          <w:iCs w:val="1"/>
          <w:color w:val="auto"/>
        </w:rPr>
        <w:t>The Board of Directors may freely decide to reimburse any share premium account or any available reserves or funds available on the capital contribution account (compte 115</w:t>
      </w:r>
      <w:r>
        <w:rPr>
          <w:rFonts w:ascii="Arial" w:cs="Arial" w:eastAsia="Arial" w:hAnsi="Arial"/>
          <w:sz w:val="15"/>
          <w:szCs w:val="15"/>
          <w:color w:val="FF0000"/>
          <w:strike w:val="1"/>
        </w:rPr>
        <w:t>, “</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0000FF"/>
        </w:rPr>
        <w:t>“</w:t>
      </w:r>
      <w:r>
        <w:rPr>
          <w:rFonts w:ascii="Arial" w:cs="Arial" w:eastAsia="Arial" w:hAnsi="Arial"/>
          <w:sz w:val="15"/>
          <w:szCs w:val="15"/>
          <w:i w:val="1"/>
          <w:iCs w:val="1"/>
          <w:color w:val="auto"/>
        </w:rPr>
        <w:t>Apport en capitaux propres non rémunéré par des titres</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of the Company to its shareholders, in accordance with the provisions of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-248920</wp:posOffset>
            </wp:positionV>
            <wp:extent cx="5842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420" cy="6985"/>
                    </a:xfrm>
                    <a:prstGeom prst="rect">
                      <a:avLst/>
                    </a:prstGeom>
                    <a:noFill/>
                  </pic:spPr>
                </pic:pic>
              </a:graphicData>
            </a:graphic>
          </wp:anchor>
        </w:drawing>
      </w:r>
    </w:p>
    <w:p>
      <w:pPr>
        <w:spacing w:after="0" w:line="68" w:lineRule="exact"/>
        <w:rPr>
          <w:sz w:val="20"/>
          <w:szCs w:val="20"/>
          <w:color w:val="auto"/>
        </w:rPr>
      </w:pPr>
    </w:p>
    <w:p>
      <w:pPr>
        <w:ind w:left="1080" w:right="1099"/>
        <w:spacing w:after="0" w:line="252" w:lineRule="auto"/>
        <w:rPr>
          <w:sz w:val="20"/>
          <w:szCs w:val="20"/>
          <w:color w:val="auto"/>
        </w:rPr>
      </w:pPr>
      <w:r>
        <w:rPr>
          <w:rFonts w:ascii="Arial" w:cs="Arial" w:eastAsia="Arial" w:hAnsi="Arial"/>
          <w:sz w:val="15"/>
          <w:szCs w:val="15"/>
          <w:b w:val="1"/>
          <w:bCs w:val="1"/>
          <w:i w:val="1"/>
          <w:iCs w:val="1"/>
          <w:color w:val="auto"/>
        </w:rPr>
        <w:t xml:space="preserve">Art. 15. Confidentiality. </w:t>
      </w:r>
      <w:r>
        <w:rPr>
          <w:rFonts w:ascii="Arial" w:cs="Arial" w:eastAsia="Arial" w:hAnsi="Arial"/>
          <w:sz w:val="15"/>
          <w:szCs w:val="15"/>
          <w:i w:val="1"/>
          <w:iCs w:val="1"/>
          <w:color w:val="auto"/>
        </w:rPr>
        <w:t>Even after the end of their term of office,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FF0000"/>
          <w:strike w:val="1"/>
        </w:rPr>
        <w:t>Directors</w:t>
      </w:r>
      <w:r>
        <w:rPr>
          <w:rFonts w:ascii="Arial" w:cs="Arial" w:eastAsia="Arial" w:hAnsi="Arial"/>
          <w:sz w:val="15"/>
          <w:szCs w:val="15"/>
          <w:i w:val="1"/>
          <w:iCs w:val="1"/>
          <w:u w:val="single" w:color="auto"/>
          <w:color w:val="0000FF"/>
        </w:rPr>
        <w:t>Director(s)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shall not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disclose information about the Company which could be detrimental to the Company’s interests, except when disclosure is required by law, in accordance with and subject to the provisions of Article 444-6 of the Law.</w:t>
      </w:r>
    </w:p>
    <w:p>
      <w:pPr>
        <w:spacing w:after="0" w:line="87" w:lineRule="exact"/>
        <w:rPr>
          <w:sz w:val="20"/>
          <w:szCs w:val="20"/>
          <w:color w:val="auto"/>
        </w:rPr>
      </w:pPr>
    </w:p>
    <w:p>
      <w:pPr>
        <w:ind w:left="1080" w:right="1539"/>
        <w:spacing w:after="0" w:line="252" w:lineRule="auto"/>
        <w:rPr>
          <w:sz w:val="20"/>
          <w:szCs w:val="20"/>
          <w:color w:val="auto"/>
        </w:rPr>
      </w:pPr>
      <w:r>
        <w:rPr>
          <w:rFonts w:ascii="Arial" w:cs="Arial" w:eastAsia="Arial" w:hAnsi="Arial"/>
          <w:sz w:val="15"/>
          <w:szCs w:val="15"/>
          <w:b w:val="1"/>
          <w:bCs w:val="1"/>
          <w:i w:val="1"/>
          <w:iCs w:val="1"/>
          <w:color w:val="auto"/>
        </w:rPr>
        <w:t xml:space="preserve">Art. 16. Committees, Delegation of Powers. </w:t>
      </w:r>
      <w:r>
        <w:rPr>
          <w:rFonts w:ascii="Arial" w:cs="Arial" w:eastAsia="Arial" w:hAnsi="Arial"/>
          <w:sz w:val="15"/>
          <w:szCs w:val="15"/>
          <w:i w:val="1"/>
          <w:iCs w:val="1"/>
          <w:color w:val="auto"/>
        </w:rPr>
        <w:t>The Board of Directors may appoint committees,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including</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but not limited to</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an Executive Committee, an Audit Committee, a Nomination and Governance Committee, a</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8" w:name="page69"/>
    <w:bookmarkEnd w:id="68"/>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right="1279"/>
        <w:spacing w:after="0" w:line="260" w:lineRule="auto"/>
        <w:rPr>
          <w:sz w:val="20"/>
          <w:szCs w:val="20"/>
          <w:color w:val="auto"/>
        </w:rPr>
      </w:pPr>
      <w:r>
        <w:rPr>
          <w:rFonts w:ascii="Arial" w:cs="Arial" w:eastAsia="Arial" w:hAnsi="Arial"/>
          <w:sz w:val="15"/>
          <w:szCs w:val="15"/>
          <w:i w:val="1"/>
          <w:iCs w:val="1"/>
          <w:color w:val="auto"/>
        </w:rPr>
        <w:t xml:space="preserve">Compliance Committee and a Compensation Committee (each a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Committee</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and collectively, the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000000"/>
        </w:rPr>
        <w:t>Committees</w:t>
      </w:r>
      <w:r>
        <w:rPr>
          <w:rFonts w:ascii="Arial" w:cs="Arial" w:eastAsia="Arial" w:hAnsi="Arial"/>
          <w:sz w:val="15"/>
          <w:szCs w:val="15"/>
          <w:color w:val="FF0000"/>
          <w:strike w:val="1"/>
        </w:rPr>
        <w:t>”). ”</w:t>
      </w:r>
      <w:r>
        <w:rPr>
          <w:rFonts w:ascii="Arial" w:cs="Arial" w:eastAsia="Arial" w:hAnsi="Arial"/>
          <w:sz w:val="15"/>
          <w:szCs w:val="15"/>
          <w:i w:val="1"/>
          <w:iCs w:val="1"/>
          <w:u w:val="single" w:color="auto"/>
          <w:color w:val="0000FF"/>
        </w:rPr>
        <w:t>“).</w:t>
      </w:r>
      <w:r>
        <w:rPr>
          <w:rFonts w:ascii="Arial" w:cs="Arial" w:eastAsia="Arial" w:hAnsi="Arial"/>
          <w:sz w:val="15"/>
          <w:szCs w:val="15"/>
          <w:color w:val="FF0000"/>
        </w:rPr>
        <w:t xml:space="preserve"> </w:t>
      </w:r>
      <w:r>
        <w:rPr>
          <w:rFonts w:ascii="Arial" w:cs="Arial" w:eastAsia="Arial" w:hAnsi="Arial"/>
          <w:sz w:val="15"/>
          <w:szCs w:val="15"/>
          <w:i w:val="1"/>
          <w:iCs w:val="1"/>
          <w:color w:val="000000"/>
        </w:rPr>
        <w:t>The Board of Directors will determine each such committee’s composition and</w:t>
      </w:r>
      <w:r>
        <w:rPr>
          <w:rFonts w:ascii="Arial" w:cs="Arial" w:eastAsia="Arial" w:hAnsi="Arial"/>
          <w:sz w:val="15"/>
          <w:szCs w:val="15"/>
          <w:color w:val="FF0000"/>
        </w:rPr>
        <w:t xml:space="preserve"> </w:t>
      </w:r>
      <w:r>
        <w:rPr>
          <w:rFonts w:ascii="Arial" w:cs="Arial" w:eastAsia="Arial" w:hAnsi="Arial"/>
          <w:sz w:val="15"/>
          <w:szCs w:val="15"/>
          <w:i w:val="1"/>
          <w:iCs w:val="1"/>
          <w:color w:val="000000"/>
        </w:rPr>
        <w:t>purpose in accordance with applicable law, rules and regulations.</w:t>
      </w:r>
    </w:p>
    <w:p>
      <w:pPr>
        <w:spacing w:after="0" w:line="84" w:lineRule="exact"/>
        <w:rPr>
          <w:sz w:val="20"/>
          <w:szCs w:val="20"/>
          <w:color w:val="auto"/>
        </w:rPr>
      </w:pPr>
    </w:p>
    <w:p>
      <w:pPr>
        <w:ind w:left="1080" w:right="1199"/>
        <w:spacing w:after="0" w:line="247" w:lineRule="auto"/>
        <w:rPr>
          <w:sz w:val="20"/>
          <w:szCs w:val="20"/>
          <w:color w:val="auto"/>
        </w:rPr>
      </w:pPr>
      <w:r>
        <w:rPr>
          <w:rFonts w:ascii="Arial" w:cs="Arial" w:eastAsia="Arial" w:hAnsi="Arial"/>
          <w:sz w:val="15"/>
          <w:szCs w:val="15"/>
          <w:i w:val="1"/>
          <w:iCs w:val="1"/>
          <w:color w:val="auto"/>
        </w:rPr>
        <w:t>The Board of Directors may delegate its powers to conduct the daily management and affairs of the Company and the representation of the Company for such daily management and affairs to any member or members of the Board of Directors, managers or other officers who need not be shareholders of the Company, including under the form of an Executive Committee, under such terms and with such powers as the Board of Directors shall determine.</w:t>
      </w:r>
    </w:p>
    <w:p>
      <w:pPr>
        <w:spacing w:after="0" w:line="93" w:lineRule="exact"/>
        <w:rPr>
          <w:sz w:val="20"/>
          <w:szCs w:val="20"/>
          <w:color w:val="auto"/>
        </w:rPr>
      </w:pPr>
    </w:p>
    <w:p>
      <w:pPr>
        <w:ind w:left="1080" w:right="1179"/>
        <w:spacing w:after="0" w:line="261" w:lineRule="auto"/>
        <w:rPr>
          <w:sz w:val="20"/>
          <w:szCs w:val="20"/>
          <w:color w:val="auto"/>
        </w:rPr>
      </w:pPr>
      <w:r>
        <w:rPr>
          <w:rFonts w:ascii="Arial" w:cs="Arial" w:eastAsia="Arial" w:hAnsi="Arial"/>
          <w:sz w:val="14"/>
          <w:szCs w:val="14"/>
          <w:i w:val="1"/>
          <w:iCs w:val="1"/>
          <w:color w:val="auto"/>
        </w:rPr>
        <w:t xml:space="preserve">The Board of Directors may also delegate its powers to conduct daily management to a management committee or a managing executive officer (directeur général) in accordance with and subject to the provisions of Article 441-11 of the Law. The Board of Directors is authorized to determine the conditions of their appointment, removal, remuneration (if any), duration of mandate and decision-making process. The Board of Directors shall supervise the management committee, if any, and the </w:t>
      </w:r>
      <w:r>
        <w:rPr>
          <w:rFonts w:ascii="Arial" w:cs="Arial" w:eastAsia="Arial" w:hAnsi="Arial"/>
          <w:sz w:val="14"/>
          <w:szCs w:val="14"/>
          <w:i w:val="1"/>
          <w:iCs w:val="1"/>
          <w:color w:val="FF0000"/>
          <w:strike w:val="1"/>
        </w:rPr>
        <w:t>management director</w:t>
      </w:r>
      <w:r>
        <w:rPr>
          <w:rFonts w:ascii="Arial" w:cs="Arial" w:eastAsia="Arial" w:hAnsi="Arial"/>
          <w:sz w:val="14"/>
          <w:szCs w:val="14"/>
          <w:i w:val="1"/>
          <w:iCs w:val="1"/>
          <w:color w:val="FF0000"/>
        </w:rPr>
        <w:t xml:space="preserve"> </w:t>
      </w:r>
      <w:r>
        <w:rPr>
          <w:rFonts w:ascii="Arial" w:cs="Arial" w:eastAsia="Arial" w:hAnsi="Arial"/>
          <w:sz w:val="14"/>
          <w:szCs w:val="14"/>
          <w:i w:val="1"/>
          <w:iCs w:val="1"/>
          <w:u w:val="single" w:color="auto"/>
          <w:color w:val="0000FF"/>
        </w:rPr>
        <w:t>managing executive officer</w:t>
      </w:r>
      <w:r>
        <w:rPr>
          <w:rFonts w:ascii="Arial" w:cs="Arial" w:eastAsia="Arial" w:hAnsi="Arial"/>
          <w:sz w:val="14"/>
          <w:szCs w:val="14"/>
          <w:i w:val="1"/>
          <w:iCs w:val="1"/>
          <w:color w:val="000000"/>
        </w:rPr>
        <w:t>, if any. The members of the management committee</w:t>
      </w:r>
      <w:r>
        <w:rPr>
          <w:rFonts w:ascii="Arial" w:cs="Arial" w:eastAsia="Arial" w:hAnsi="Arial"/>
          <w:sz w:val="14"/>
          <w:szCs w:val="14"/>
          <w:i w:val="1"/>
          <w:iCs w:val="1"/>
          <w:color w:val="FF0000"/>
        </w:rPr>
        <w:t xml:space="preserve"> </w:t>
      </w:r>
      <w:r>
        <w:rPr>
          <w:rFonts w:ascii="Arial" w:cs="Arial" w:eastAsia="Arial" w:hAnsi="Arial"/>
          <w:sz w:val="14"/>
          <w:szCs w:val="14"/>
          <w:i w:val="1"/>
          <w:iCs w:val="1"/>
          <w:color w:val="000000"/>
        </w:rPr>
        <w:t xml:space="preserve">and </w:t>
      </w:r>
      <w:r>
        <w:rPr>
          <w:rFonts w:ascii="Arial" w:cs="Arial" w:eastAsia="Arial" w:hAnsi="Arial"/>
          <w:sz w:val="14"/>
          <w:szCs w:val="14"/>
          <w:i w:val="1"/>
          <w:iCs w:val="1"/>
          <w:color w:val="0000FF"/>
        </w:rPr>
        <w:t>the</w:t>
      </w:r>
      <w:r>
        <w:rPr>
          <w:rFonts w:ascii="Arial" w:cs="Arial" w:eastAsia="Arial" w:hAnsi="Arial"/>
          <w:sz w:val="14"/>
          <w:szCs w:val="14"/>
          <w:i w:val="1"/>
          <w:iCs w:val="1"/>
          <w:color w:val="000000"/>
        </w:rPr>
        <w:t xml:space="preserve"> </w:t>
      </w:r>
      <w:r>
        <w:rPr>
          <w:rFonts w:ascii="Arial" w:cs="Arial" w:eastAsia="Arial" w:hAnsi="Arial"/>
          <w:sz w:val="14"/>
          <w:szCs w:val="14"/>
          <w:i w:val="1"/>
          <w:iCs w:val="1"/>
          <w:color w:val="FF0000"/>
          <w:strike w:val="1"/>
        </w:rPr>
        <w:t>management director</w:t>
      </w:r>
      <w:r>
        <w:rPr>
          <w:rFonts w:ascii="Arial" w:cs="Arial" w:eastAsia="Arial" w:hAnsi="Arial"/>
          <w:sz w:val="14"/>
          <w:szCs w:val="14"/>
          <w:i w:val="1"/>
          <w:iCs w:val="1"/>
          <w:color w:val="000000"/>
        </w:rPr>
        <w:t xml:space="preserve"> </w:t>
      </w:r>
      <w:r>
        <w:rPr>
          <w:rFonts w:ascii="Arial" w:cs="Arial" w:eastAsia="Arial" w:hAnsi="Arial"/>
          <w:sz w:val="14"/>
          <w:szCs w:val="14"/>
          <w:i w:val="1"/>
          <w:iCs w:val="1"/>
          <w:u w:val="single" w:color="auto"/>
          <w:color w:val="0000FF"/>
        </w:rPr>
        <w:t>managing executive officer</w:t>
      </w:r>
      <w:r>
        <w:rPr>
          <w:rFonts w:ascii="Arial" w:cs="Arial" w:eastAsia="Arial" w:hAnsi="Arial"/>
          <w:sz w:val="14"/>
          <w:szCs w:val="14"/>
          <w:i w:val="1"/>
          <w:iCs w:val="1"/>
          <w:color w:val="000000"/>
        </w:rPr>
        <w:t>, if any, shall comply with the conflicts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-18415</wp:posOffset>
            </wp:positionV>
            <wp:extent cx="15875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8750" cy="6985"/>
                    </a:xfrm>
                    <a:prstGeom prst="rect">
                      <a:avLst/>
                    </a:prstGeom>
                    <a:noFill/>
                  </pic:spPr>
                </pic:pic>
              </a:graphicData>
            </a:graphic>
          </wp:anchor>
        </w:drawing>
      </w:r>
    </w:p>
    <w:p>
      <w:pPr>
        <w:ind w:left="1080" w:right="1379"/>
        <w:spacing w:after="0" w:line="251" w:lineRule="auto"/>
        <w:rPr>
          <w:sz w:val="20"/>
          <w:szCs w:val="20"/>
          <w:color w:val="auto"/>
        </w:rPr>
      </w:pPr>
      <w:r>
        <w:rPr>
          <w:rFonts w:ascii="Arial" w:cs="Arial" w:eastAsia="Arial" w:hAnsi="Arial"/>
          <w:sz w:val="15"/>
          <w:szCs w:val="15"/>
          <w:i w:val="1"/>
          <w:iCs w:val="1"/>
          <w:color w:val="auto"/>
        </w:rPr>
        <w:t xml:space="preserve">interest procedure provided for by Article </w:t>
      </w:r>
      <w:r>
        <w:rPr>
          <w:rFonts w:ascii="Arial" w:cs="Arial" w:eastAsia="Arial" w:hAnsi="Arial"/>
          <w:sz w:val="15"/>
          <w:szCs w:val="15"/>
          <w:i w:val="1"/>
          <w:iCs w:val="1"/>
          <w:color w:val="FF0000"/>
          <w:strike w:val="1"/>
        </w:rPr>
        <w:t>44112</w:t>
      </w:r>
      <w:r>
        <w:rPr>
          <w:rFonts w:ascii="Arial" w:cs="Arial" w:eastAsia="Arial" w:hAnsi="Arial"/>
          <w:sz w:val="15"/>
          <w:szCs w:val="15"/>
          <w:i w:val="1"/>
          <w:iCs w:val="1"/>
          <w:u w:val="single" w:color="auto"/>
          <w:color w:val="0000FF"/>
        </w:rPr>
        <w:t>441-12</w:t>
      </w:r>
      <w:r>
        <w:rPr>
          <w:rFonts w:ascii="Arial" w:cs="Arial" w:eastAsia="Arial" w:hAnsi="Arial"/>
          <w:sz w:val="15"/>
          <w:szCs w:val="15"/>
          <w:i w:val="1"/>
          <w:iCs w:val="1"/>
          <w:color w:val="auto"/>
        </w:rPr>
        <w:t xml:space="preserve"> of the Law as well as with the confidentiality obligations provided for by Article </w:t>
      </w:r>
      <w:r>
        <w:rPr>
          <w:rFonts w:ascii="Arial" w:cs="Arial" w:eastAsia="Arial" w:hAnsi="Arial"/>
          <w:sz w:val="15"/>
          <w:szCs w:val="15"/>
          <w:color w:val="FF0000"/>
          <w:strike w:val="1"/>
        </w:rPr>
        <w:t>4446</w:t>
      </w:r>
      <w:r>
        <w:rPr>
          <w:rFonts w:ascii="Arial" w:cs="Arial" w:eastAsia="Arial" w:hAnsi="Arial"/>
          <w:sz w:val="15"/>
          <w:szCs w:val="15"/>
          <w:i w:val="1"/>
          <w:iCs w:val="1"/>
          <w:u w:val="single" w:color="auto"/>
          <w:color w:val="0000FF"/>
        </w:rPr>
        <w:t>444-6</w:t>
      </w:r>
      <w:r>
        <w:rPr>
          <w:rFonts w:ascii="Arial" w:cs="Arial" w:eastAsia="Arial" w:hAnsi="Arial"/>
          <w:sz w:val="15"/>
          <w:szCs w:val="15"/>
          <w:i w:val="1"/>
          <w:iCs w:val="1"/>
          <w:color w:val="auto"/>
        </w:rPr>
        <w:t xml:space="preserve"> of the Law.</w:t>
      </w:r>
    </w:p>
    <w:p>
      <w:pPr>
        <w:spacing w:after="0" w:line="89" w:lineRule="exact"/>
        <w:rPr>
          <w:sz w:val="20"/>
          <w:szCs w:val="20"/>
          <w:color w:val="auto"/>
        </w:rPr>
      </w:pPr>
    </w:p>
    <w:p>
      <w:pPr>
        <w:ind w:left="1080" w:right="1179"/>
        <w:spacing w:after="0" w:line="259" w:lineRule="auto"/>
        <w:rPr>
          <w:sz w:val="20"/>
          <w:szCs w:val="20"/>
          <w:color w:val="auto"/>
        </w:rPr>
      </w:pPr>
      <w:r>
        <w:rPr>
          <w:rFonts w:ascii="Arial" w:cs="Arial" w:eastAsia="Arial" w:hAnsi="Arial"/>
          <w:sz w:val="15"/>
          <w:szCs w:val="15"/>
          <w:i w:val="1"/>
          <w:iCs w:val="1"/>
          <w:color w:val="auto"/>
        </w:rPr>
        <w:t>The Board of Directors may also confer certain special powers and duties to any member(s) of the Board of Directors or any other person(s), who need not be a Director or shareholder of the Company, acting alone or jointly, under such terms as the Board shall determine.</w:t>
      </w:r>
    </w:p>
    <w:p>
      <w:pPr>
        <w:spacing w:after="0" w:line="84" w:lineRule="exact"/>
        <w:rPr>
          <w:sz w:val="20"/>
          <w:szCs w:val="20"/>
          <w:color w:val="auto"/>
        </w:rPr>
      </w:pPr>
    </w:p>
    <w:p>
      <w:pPr>
        <w:ind w:left="1080" w:right="1099"/>
        <w:spacing w:after="0" w:line="251" w:lineRule="auto"/>
        <w:rPr>
          <w:sz w:val="20"/>
          <w:szCs w:val="20"/>
          <w:color w:val="auto"/>
        </w:rPr>
      </w:pPr>
      <w:r>
        <w:rPr>
          <w:rFonts w:ascii="Arial" w:cs="Arial" w:eastAsia="Arial" w:hAnsi="Arial"/>
          <w:sz w:val="15"/>
          <w:szCs w:val="15"/>
          <w:i w:val="1"/>
          <w:iCs w:val="1"/>
          <w:color w:val="auto"/>
        </w:rPr>
        <w:t>If the Board of Directors delegates its powers to conduct daily management as permitted by these Articles, then the Board of Directors must report each year to the annual general meeting on the salary, fees and any advantages granted to the delegate(s).</w:t>
      </w:r>
    </w:p>
    <w:p>
      <w:pPr>
        <w:spacing w:after="0" w:line="88" w:lineRule="exact"/>
        <w:rPr>
          <w:sz w:val="20"/>
          <w:szCs w:val="20"/>
          <w:color w:val="auto"/>
        </w:rPr>
      </w:pPr>
    </w:p>
    <w:p>
      <w:pPr>
        <w:ind w:left="1080"/>
        <w:spacing w:after="0"/>
        <w:tabs>
          <w:tab w:leader="none" w:pos="4040" w:val="left"/>
        </w:tabs>
        <w:rPr>
          <w:sz w:val="20"/>
          <w:szCs w:val="20"/>
          <w:color w:val="auto"/>
        </w:rPr>
      </w:pPr>
      <w:r>
        <w:rPr>
          <w:rFonts w:ascii="Arial" w:cs="Arial" w:eastAsia="Arial" w:hAnsi="Arial"/>
          <w:sz w:val="15"/>
          <w:szCs w:val="15"/>
          <w:b w:val="1"/>
          <w:bCs w:val="1"/>
          <w:i w:val="1"/>
          <w:iCs w:val="1"/>
          <w:color w:val="auto"/>
        </w:rPr>
        <w:t>Art. 17. Representation of the Company.</w:t>
      </w:r>
      <w:r>
        <w:rPr>
          <w:sz w:val="20"/>
          <w:szCs w:val="20"/>
          <w:color w:val="auto"/>
        </w:rPr>
        <w:tab/>
      </w:r>
      <w:r>
        <w:rPr>
          <w:rFonts w:ascii="Arial" w:cs="Arial" w:eastAsia="Arial" w:hAnsi="Arial"/>
          <w:sz w:val="15"/>
          <w:szCs w:val="15"/>
          <w:i w:val="1"/>
          <w:iCs w:val="1"/>
          <w:color w:val="auto"/>
        </w:rPr>
        <w:t>The Company will be bound towards third parties by:</w:t>
      </w:r>
    </w:p>
    <w:p>
      <w:pPr>
        <w:spacing w:after="0" w:line="100" w:lineRule="exact"/>
        <w:rPr>
          <w:sz w:val="20"/>
          <w:szCs w:val="20"/>
          <w:color w:val="auto"/>
        </w:rPr>
      </w:pPr>
    </w:p>
    <w:p>
      <w:pPr>
        <w:ind w:left="1520" w:hanging="141"/>
        <w:spacing w:after="0"/>
        <w:tabs>
          <w:tab w:leader="none" w:pos="152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The joint signature of any two Directors;</w:t>
      </w:r>
    </w:p>
    <w:p>
      <w:pPr>
        <w:spacing w:after="0" w:line="97" w:lineRule="exact"/>
        <w:rPr>
          <w:rFonts w:ascii="Arial" w:cs="Arial" w:eastAsia="Arial" w:hAnsi="Arial"/>
          <w:sz w:val="15"/>
          <w:szCs w:val="15"/>
          <w:color w:val="auto"/>
        </w:rPr>
      </w:pPr>
    </w:p>
    <w:p>
      <w:pPr>
        <w:ind w:left="1520" w:right="1239" w:hanging="141"/>
        <w:spacing w:after="0" w:line="283" w:lineRule="auto"/>
        <w:tabs>
          <w:tab w:leader="none" w:pos="152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The individual signature of the member(s) of a management committee, if such committee has been formed by the Board of Directors; and</w:t>
      </w:r>
    </w:p>
    <w:p>
      <w:pPr>
        <w:spacing w:after="0" w:line="43" w:lineRule="exact"/>
        <w:rPr>
          <w:rFonts w:ascii="Arial" w:cs="Arial" w:eastAsia="Arial" w:hAnsi="Arial"/>
          <w:sz w:val="15"/>
          <w:szCs w:val="15"/>
          <w:color w:val="auto"/>
        </w:rPr>
      </w:pPr>
    </w:p>
    <w:p>
      <w:pPr>
        <w:ind w:left="1520" w:right="1179" w:hanging="141"/>
        <w:spacing w:after="0" w:line="283" w:lineRule="auto"/>
        <w:tabs>
          <w:tab w:leader="none" w:pos="152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The signature of a </w:t>
      </w:r>
      <w:r>
        <w:rPr>
          <w:rFonts w:ascii="Arial" w:cs="Arial" w:eastAsia="Arial" w:hAnsi="Arial"/>
          <w:sz w:val="15"/>
          <w:szCs w:val="15"/>
          <w:i w:val="1"/>
          <w:iCs w:val="1"/>
          <w:color w:val="FF0000"/>
          <w:strike w:val="1"/>
        </w:rPr>
        <w:t>management director</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managing executive officer</w:t>
      </w:r>
      <w:r>
        <w:rPr>
          <w:rFonts w:ascii="Arial" w:cs="Arial" w:eastAsia="Arial" w:hAnsi="Arial"/>
          <w:sz w:val="15"/>
          <w:szCs w:val="15"/>
          <w:i w:val="1"/>
          <w:iCs w:val="1"/>
          <w:color w:val="auto"/>
        </w:rPr>
        <w:t>, if one has been appointed by the Board of Directors;</w:t>
      </w:r>
    </w:p>
    <w:p>
      <w:pPr>
        <w:spacing w:after="0" w:line="43" w:lineRule="exact"/>
        <w:rPr>
          <w:rFonts w:ascii="Arial" w:cs="Arial" w:eastAsia="Arial" w:hAnsi="Arial"/>
          <w:sz w:val="15"/>
          <w:szCs w:val="15"/>
          <w:color w:val="auto"/>
        </w:rPr>
      </w:pPr>
    </w:p>
    <w:p>
      <w:pPr>
        <w:ind w:left="1520" w:right="1219" w:hanging="141"/>
        <w:spacing w:after="0" w:line="267" w:lineRule="auto"/>
        <w:tabs>
          <w:tab w:leader="none" w:pos="152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The individual signature of any other person to whom the Board has delegated the daily management of the Company in accordance with this Article, and then only within the scope of the daily management;</w:t>
      </w:r>
    </w:p>
    <w:p>
      <w:pPr>
        <w:spacing w:after="0" w:line="44" w:lineRule="exact"/>
        <w:rPr>
          <w:rFonts w:ascii="Arial" w:cs="Arial" w:eastAsia="Arial" w:hAnsi="Arial"/>
          <w:sz w:val="15"/>
          <w:szCs w:val="15"/>
          <w:color w:val="auto"/>
        </w:rPr>
      </w:pPr>
    </w:p>
    <w:p>
      <w:pPr>
        <w:ind w:left="1520" w:right="1219" w:hanging="141"/>
        <w:spacing w:after="0" w:line="283" w:lineRule="auto"/>
        <w:tabs>
          <w:tab w:leader="none" w:pos="152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The individual signature of any person(s) to whom signing authority has been delegated by the Board of Directors.</w:t>
      </w:r>
    </w:p>
    <w:p>
      <w:pPr>
        <w:spacing w:after="0" w:line="76" w:lineRule="exact"/>
        <w:rPr>
          <w:sz w:val="20"/>
          <w:szCs w:val="20"/>
          <w:color w:val="auto"/>
        </w:rPr>
      </w:pPr>
    </w:p>
    <w:p>
      <w:pPr>
        <w:ind w:left="1080" w:right="1119"/>
        <w:spacing w:after="0" w:line="255" w:lineRule="auto"/>
        <w:rPr>
          <w:sz w:val="20"/>
          <w:szCs w:val="20"/>
          <w:color w:val="auto"/>
        </w:rPr>
      </w:pPr>
      <w:r>
        <w:rPr>
          <w:rFonts w:ascii="Arial" w:cs="Arial" w:eastAsia="Arial" w:hAnsi="Arial"/>
          <w:sz w:val="15"/>
          <w:szCs w:val="15"/>
          <w:b w:val="1"/>
          <w:bCs w:val="1"/>
          <w:i w:val="1"/>
          <w:iCs w:val="1"/>
          <w:color w:val="auto"/>
        </w:rPr>
        <w:t xml:space="preserve">Art. 18. Conflict of Interests. </w:t>
      </w:r>
      <w:r>
        <w:rPr>
          <w:rFonts w:ascii="Arial" w:cs="Arial" w:eastAsia="Arial" w:hAnsi="Arial"/>
          <w:sz w:val="15"/>
          <w:szCs w:val="15"/>
          <w:i w:val="1"/>
          <w:iCs w:val="1"/>
          <w:color w:val="auto"/>
        </w:rPr>
        <w:t>No contract or other transaction between the Company and any other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company or firm shall 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102"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i w:val="1"/>
          <w:iCs w:val="1"/>
          <w:color w:val="auto"/>
        </w:rPr>
        <w:t>Notwithstanding the above, in the event that any Director or officer of the Company has any personal interest in any 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spacing w:after="0" w:line="86" w:lineRule="exact"/>
        <w:rPr>
          <w:sz w:val="20"/>
          <w:szCs w:val="20"/>
          <w:color w:val="auto"/>
        </w:rPr>
      </w:pPr>
    </w:p>
    <w:p>
      <w:pPr>
        <w:ind w:left="1080" w:right="1099"/>
        <w:spacing w:after="0" w:line="267" w:lineRule="auto"/>
        <w:rPr>
          <w:sz w:val="20"/>
          <w:szCs w:val="20"/>
          <w:color w:val="auto"/>
        </w:rPr>
      </w:pPr>
      <w:r>
        <w:rPr>
          <w:rFonts w:ascii="Arial" w:cs="Arial" w:eastAsia="Arial" w:hAnsi="Arial"/>
          <w:sz w:val="15"/>
          <w:szCs w:val="15"/>
          <w:i w:val="1"/>
          <w:iCs w:val="1"/>
          <w:color w:val="auto"/>
        </w:rPr>
        <w:t>The Company shall indemnify (or as the case may be advance to) any Director or officer, and his or her heirs, executors and administrators, against expenses and costs (including reasonable lawyers’ fees) reasonably incurred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9" w:name="page70"/>
    <w:bookmarkEnd w:id="69"/>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right="1119"/>
        <w:spacing w:after="0" w:line="260" w:lineRule="auto"/>
        <w:rPr>
          <w:sz w:val="20"/>
          <w:szCs w:val="20"/>
          <w:color w:val="auto"/>
        </w:rPr>
      </w:pPr>
      <w:r>
        <w:rPr>
          <w:rFonts w:ascii="Arial" w:cs="Arial" w:eastAsia="Arial" w:hAnsi="Arial"/>
          <w:sz w:val="14"/>
          <w:szCs w:val="14"/>
          <w:i w:val="1"/>
          <w:iCs w:val="1"/>
          <w:color w:val="auto"/>
        </w:rPr>
        <w:t xml:space="preserve">by him </w:t>
      </w:r>
      <w:r>
        <w:rPr>
          <w:rFonts w:ascii="Arial" w:cs="Arial" w:eastAsia="Arial" w:hAnsi="Arial"/>
          <w:sz w:val="14"/>
          <w:szCs w:val="14"/>
          <w:i w:val="1"/>
          <w:iCs w:val="1"/>
          <w:color w:val="0000FF"/>
        </w:rPr>
        <w:t>or her</w:t>
      </w:r>
      <w:r>
        <w:rPr>
          <w:rFonts w:ascii="Arial" w:cs="Arial" w:eastAsia="Arial" w:hAnsi="Arial"/>
          <w:sz w:val="14"/>
          <w:szCs w:val="14"/>
          <w:i w:val="1"/>
          <w:iCs w:val="1"/>
          <w:color w:val="auto"/>
        </w:rPr>
        <w:t xml:space="preserve"> in connection with any action, suit or proceeding to which he or she may be made a party by reason of his or her being or having been a director or officer of the Company, or, at the request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-120015</wp:posOffset>
            </wp:positionV>
            <wp:extent cx="27559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5590" cy="6985"/>
                    </a:xfrm>
                    <a:prstGeom prst="rect">
                      <a:avLst/>
                    </a:prstGeom>
                    <a:noFill/>
                  </pic:spPr>
                </pic:pic>
              </a:graphicData>
            </a:graphic>
          </wp:anchor>
        </w:drawing>
      </w:r>
    </w:p>
    <w:p>
      <w:pPr>
        <w:ind w:left="1080" w:right="1259"/>
        <w:spacing w:after="0" w:line="243" w:lineRule="auto"/>
        <w:rPr>
          <w:sz w:val="20"/>
          <w:szCs w:val="20"/>
          <w:color w:val="auto"/>
        </w:rPr>
      </w:pPr>
      <w:r>
        <w:rPr>
          <w:rFonts w:ascii="Arial" w:cs="Arial" w:eastAsia="Arial" w:hAnsi="Arial"/>
          <w:sz w:val="14"/>
          <w:szCs w:val="14"/>
          <w:i w:val="1"/>
          <w:iCs w:val="1"/>
          <w:color w:val="auto"/>
        </w:rPr>
        <w:t>the Company, of any other company of which the Company is a shareholder or creditor and by which he is not entitled to be indemnified, except in relation to matters as to which he or she shall be finally</w:t>
      </w:r>
    </w:p>
    <w:p>
      <w:pPr>
        <w:ind w:left="1080"/>
        <w:spacing w:after="0" w:line="236" w:lineRule="auto"/>
        <w:rPr>
          <w:sz w:val="20"/>
          <w:szCs w:val="20"/>
          <w:color w:val="auto"/>
        </w:rPr>
      </w:pPr>
      <w:r>
        <w:rPr>
          <w:rFonts w:ascii="Arial" w:cs="Arial" w:eastAsia="Arial" w:hAnsi="Arial"/>
          <w:sz w:val="15"/>
          <w:szCs w:val="15"/>
          <w:i w:val="1"/>
          <w:iCs w:val="1"/>
          <w:color w:val="auto"/>
        </w:rPr>
        <w:t xml:space="preserve">adjudged in such action, suit or proceeding to be liable for gross negligence or </w:t>
      </w:r>
      <w:r>
        <w:rPr>
          <w:rFonts w:ascii="Arial" w:cs="Arial" w:eastAsia="Arial" w:hAnsi="Arial"/>
          <w:sz w:val="15"/>
          <w:szCs w:val="15"/>
          <w:i w:val="1"/>
          <w:iCs w:val="1"/>
          <w:color w:val="FF0000"/>
          <w:strike w:val="1"/>
        </w:rPr>
        <w:t>wilful</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willful</w:t>
      </w:r>
      <w:r>
        <w:rPr>
          <w:rFonts w:ascii="Arial" w:cs="Arial" w:eastAsia="Arial" w:hAnsi="Arial"/>
          <w:sz w:val="15"/>
          <w:szCs w:val="15"/>
          <w:i w:val="1"/>
          <w:iCs w:val="1"/>
          <w:color w:val="auto"/>
        </w:rPr>
        <w:t xml:space="preserve"> misconduct;</w:t>
      </w:r>
    </w:p>
    <w:p>
      <w:pPr>
        <w:ind w:left="1080" w:right="1259"/>
        <w:spacing w:after="0" w:line="227" w:lineRule="auto"/>
        <w:rPr>
          <w:sz w:val="20"/>
          <w:szCs w:val="20"/>
          <w:color w:val="auto"/>
        </w:rPr>
      </w:pPr>
      <w:r>
        <w:rPr>
          <w:rFonts w:ascii="Arial" w:cs="Arial" w:eastAsia="Arial" w:hAnsi="Arial"/>
          <w:sz w:val="15"/>
          <w:szCs w:val="15"/>
          <w:i w:val="1"/>
          <w:iCs w:val="1"/>
          <w:color w:val="auto"/>
        </w:rPr>
        <w:t>in the event of a settlement, indemnification shall be provided only in connection with such matters covered by the settlement as to which the Company is advised by its legal counsel that the person to</w:t>
      </w:r>
    </w:p>
    <w:p>
      <w:pPr>
        <w:ind w:left="1080" w:right="1319"/>
        <w:spacing w:after="0" w:line="251" w:lineRule="auto"/>
        <w:rPr>
          <w:sz w:val="20"/>
          <w:szCs w:val="20"/>
          <w:color w:val="auto"/>
        </w:rPr>
      </w:pPr>
      <w:r>
        <w:rPr>
          <w:rFonts w:ascii="Arial" w:cs="Arial" w:eastAsia="Arial" w:hAnsi="Arial"/>
          <w:sz w:val="15"/>
          <w:szCs w:val="15"/>
          <w:i w:val="1"/>
          <w:iCs w:val="1"/>
          <w:color w:val="auto"/>
        </w:rPr>
        <w:t>be indemnified did not commit such a breach of duty. The foregoing right of indemnification shall not exclude other rights to which he or she may be entitled.</w:t>
      </w:r>
    </w:p>
    <w:p>
      <w:pPr>
        <w:spacing w:after="0" w:line="76" w:lineRule="exact"/>
        <w:rPr>
          <w:sz w:val="20"/>
          <w:szCs w:val="20"/>
          <w:color w:val="auto"/>
        </w:rPr>
      </w:pPr>
    </w:p>
    <w:p>
      <w:pPr>
        <w:ind w:left="1080"/>
        <w:spacing w:after="0"/>
        <w:tabs>
          <w:tab w:leader="none" w:pos="2400" w:val="left"/>
        </w:tabs>
        <w:rPr>
          <w:sz w:val="20"/>
          <w:szCs w:val="20"/>
          <w:color w:val="auto"/>
        </w:rPr>
      </w:pPr>
      <w:r>
        <w:rPr>
          <w:rFonts w:ascii="Arial" w:cs="Arial" w:eastAsia="Arial" w:hAnsi="Arial"/>
          <w:sz w:val="15"/>
          <w:szCs w:val="15"/>
          <w:b w:val="1"/>
          <w:bCs w:val="1"/>
          <w:i w:val="1"/>
          <w:iCs w:val="1"/>
          <w:color w:val="auto"/>
        </w:rPr>
        <w:t>Art. 19. Auditors.</w:t>
      </w:r>
      <w:r>
        <w:rPr>
          <w:sz w:val="20"/>
          <w:szCs w:val="20"/>
          <w:color w:val="auto"/>
        </w:rPr>
        <w:tab/>
      </w:r>
      <w:r>
        <w:rPr>
          <w:rFonts w:ascii="Arial" w:cs="Arial" w:eastAsia="Arial" w:hAnsi="Arial"/>
          <w:sz w:val="14"/>
          <w:szCs w:val="14"/>
          <w:i w:val="1"/>
          <w:iCs w:val="1"/>
          <w:color w:val="auto"/>
        </w:rPr>
        <w:t>The Company’s operations will be overseen by one or more supervisory auditors</w:t>
      </w:r>
    </w:p>
    <w:p>
      <w:pPr>
        <w:spacing w:after="0" w:line="11" w:lineRule="exact"/>
        <w:rPr>
          <w:sz w:val="20"/>
          <w:szCs w:val="20"/>
          <w:color w:val="auto"/>
        </w:rPr>
      </w:pPr>
    </w:p>
    <w:p>
      <w:pPr>
        <w:ind w:left="1080" w:right="1239"/>
        <w:spacing w:after="0" w:line="237" w:lineRule="auto"/>
        <w:rPr>
          <w:sz w:val="20"/>
          <w:szCs w:val="20"/>
          <w:color w:val="auto"/>
        </w:rPr>
      </w:pPr>
      <w:r>
        <w:rPr>
          <w:rFonts w:ascii="Arial" w:cs="Arial" w:eastAsia="Arial" w:hAnsi="Arial"/>
          <w:sz w:val="15"/>
          <w:szCs w:val="15"/>
          <w:i w:val="1"/>
          <w:iCs w:val="1"/>
          <w:color w:val="auto"/>
        </w:rPr>
        <w:t>(commissaire(s) aux comptes) and, to the extent required by applicable law, rules and regulations, by one or more independent statutory auditors (réviseur(s) d’entreprises).</w:t>
      </w:r>
    </w:p>
    <w:p>
      <w:pPr>
        <w:spacing w:after="0" w:line="98" w:lineRule="exact"/>
        <w:rPr>
          <w:sz w:val="20"/>
          <w:szCs w:val="20"/>
          <w:color w:val="auto"/>
        </w:rPr>
      </w:pPr>
    </w:p>
    <w:p>
      <w:pPr>
        <w:ind w:left="1080" w:right="1299"/>
        <w:spacing w:after="0" w:line="235" w:lineRule="auto"/>
        <w:rPr>
          <w:sz w:val="20"/>
          <w:szCs w:val="20"/>
          <w:color w:val="auto"/>
        </w:rPr>
      </w:pPr>
      <w:r>
        <w:rPr>
          <w:rFonts w:ascii="Arial" w:cs="Arial" w:eastAsia="Arial" w:hAnsi="Arial"/>
          <w:sz w:val="15"/>
          <w:szCs w:val="15"/>
          <w:i w:val="1"/>
          <w:iCs w:val="1"/>
          <w:color w:val="auto"/>
        </w:rPr>
        <w:t>The auditors will be elected by the general meeting of shareholders by a simple majority of votes present or represented at the meeting, which will determine their number, for a period not exceeding</w:t>
      </w:r>
    </w:p>
    <w:p>
      <w:pPr>
        <w:spacing w:after="0" w:line="1" w:lineRule="exact"/>
        <w:rPr>
          <w:sz w:val="20"/>
          <w:szCs w:val="20"/>
          <w:color w:val="auto"/>
        </w:rPr>
      </w:pPr>
    </w:p>
    <w:p>
      <w:pPr>
        <w:ind w:left="1080" w:right="1239"/>
        <w:spacing w:after="0" w:line="227" w:lineRule="auto"/>
        <w:rPr>
          <w:sz w:val="20"/>
          <w:szCs w:val="20"/>
          <w:color w:val="auto"/>
        </w:rPr>
      </w:pPr>
      <w:r>
        <w:rPr>
          <w:rFonts w:ascii="Arial" w:cs="Arial" w:eastAsia="Arial" w:hAnsi="Arial"/>
          <w:sz w:val="15"/>
          <w:szCs w:val="15"/>
          <w:i w:val="1"/>
          <w:iCs w:val="1"/>
          <w:color w:val="auto"/>
        </w:rPr>
        <w:t>six years. They will hold office until their successors are elected. They shall be eligible for re-election, but they may be removed at any time, with or without cause, by a resolution adopted by a simple</w:t>
      </w:r>
    </w:p>
    <w:p>
      <w:pPr>
        <w:ind w:left="1080"/>
        <w:spacing w:after="0"/>
        <w:rPr>
          <w:sz w:val="20"/>
          <w:szCs w:val="20"/>
          <w:color w:val="auto"/>
        </w:rPr>
      </w:pPr>
      <w:r>
        <w:rPr>
          <w:rFonts w:ascii="Arial" w:cs="Arial" w:eastAsia="Arial" w:hAnsi="Arial"/>
          <w:sz w:val="15"/>
          <w:szCs w:val="15"/>
          <w:i w:val="1"/>
          <w:iCs w:val="1"/>
          <w:color w:val="auto"/>
        </w:rPr>
        <w:t>majority of votes present or represented at the meeting.</w:t>
      </w:r>
    </w:p>
    <w:p>
      <w:pPr>
        <w:spacing w:after="0" w:line="106" w:lineRule="exact"/>
        <w:rPr>
          <w:sz w:val="20"/>
          <w:szCs w:val="20"/>
          <w:color w:val="auto"/>
        </w:rPr>
      </w:pPr>
    </w:p>
    <w:p>
      <w:pPr>
        <w:ind w:left="3180"/>
        <w:spacing w:after="0"/>
        <w:rPr>
          <w:sz w:val="20"/>
          <w:szCs w:val="20"/>
          <w:color w:val="auto"/>
        </w:rPr>
      </w:pPr>
      <w:r>
        <w:rPr>
          <w:rFonts w:ascii="Arial" w:cs="Arial" w:eastAsia="Arial" w:hAnsi="Arial"/>
          <w:sz w:val="15"/>
          <w:szCs w:val="15"/>
          <w:b w:val="1"/>
          <w:bCs w:val="1"/>
          <w:i w:val="1"/>
          <w:iCs w:val="1"/>
          <w:color w:val="auto"/>
        </w:rPr>
        <w:t>Chapter IV. Meetings of Shareholders</w:t>
      </w:r>
    </w:p>
    <w:p>
      <w:pPr>
        <w:spacing w:after="0" w:line="132" w:lineRule="exact"/>
        <w:rPr>
          <w:sz w:val="20"/>
          <w:szCs w:val="20"/>
          <w:color w:val="auto"/>
        </w:rPr>
      </w:pPr>
    </w:p>
    <w:p>
      <w:pPr>
        <w:ind w:left="1080" w:right="1159"/>
        <w:spacing w:after="0" w:line="252" w:lineRule="auto"/>
        <w:rPr>
          <w:sz w:val="20"/>
          <w:szCs w:val="20"/>
          <w:color w:val="auto"/>
        </w:rPr>
      </w:pPr>
      <w:r>
        <w:rPr>
          <w:rFonts w:ascii="Arial" w:cs="Arial" w:eastAsia="Arial" w:hAnsi="Arial"/>
          <w:sz w:val="15"/>
          <w:szCs w:val="15"/>
          <w:b w:val="1"/>
          <w:bCs w:val="1"/>
          <w:i w:val="1"/>
          <w:iCs w:val="1"/>
          <w:color w:val="auto"/>
        </w:rPr>
        <w:t xml:space="preserve">Art. 20. Annual General Meeting. </w:t>
      </w:r>
      <w:r>
        <w:rPr>
          <w:rFonts w:ascii="Arial" w:cs="Arial" w:eastAsia="Arial" w:hAnsi="Arial"/>
          <w:sz w:val="15"/>
          <w:szCs w:val="15"/>
          <w:i w:val="1"/>
          <w:iCs w:val="1"/>
          <w:color w:val="auto"/>
        </w:rPr>
        <w:t>The annual general meeting will be held in accordance with</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provisions of Article 450-8 of the Law at the registered office of the Company or at such other place as may be specified in the convening notice and at such time as specified in the convening notice of the meeting.</w:t>
      </w:r>
    </w:p>
    <w:p>
      <w:pPr>
        <w:spacing w:after="0" w:line="89" w:lineRule="exact"/>
        <w:rPr>
          <w:sz w:val="20"/>
          <w:szCs w:val="20"/>
          <w:color w:val="auto"/>
        </w:rPr>
      </w:pPr>
    </w:p>
    <w:p>
      <w:pPr>
        <w:ind w:left="1080" w:right="1179"/>
        <w:spacing w:after="0" w:line="259" w:lineRule="auto"/>
        <w:rPr>
          <w:sz w:val="20"/>
          <w:szCs w:val="20"/>
          <w:color w:val="auto"/>
        </w:rPr>
      </w:pPr>
      <w:r>
        <w:rPr>
          <w:rFonts w:ascii="Arial" w:cs="Arial" w:eastAsia="Arial" w:hAnsi="Arial"/>
          <w:sz w:val="15"/>
          <w:szCs w:val="15"/>
          <w:i w:val="1"/>
          <w:iCs w:val="1"/>
          <w:color w:val="auto"/>
        </w:rPr>
        <w:t xml:space="preserve">If such day is a public holiday, the meeting will be held on the next following business day. </w:t>
      </w:r>
      <w:r>
        <w:rPr>
          <w:rFonts w:ascii="Arial" w:cs="Arial" w:eastAsia="Arial" w:hAnsi="Arial"/>
          <w:sz w:val="15"/>
          <w:szCs w:val="15"/>
          <w:i w:val="1"/>
          <w:iCs w:val="1"/>
          <w:u w:val="single" w:color="auto"/>
          <w:color w:val="0000FF"/>
        </w:rPr>
        <w:t>Such</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meetings shall be validly held if at least 33 1/3% of the issued share capital of the Company is present or represented.</w:t>
      </w:r>
    </w:p>
    <w:p>
      <w:pPr>
        <w:spacing w:after="0" w:line="82" w:lineRule="exact"/>
        <w:rPr>
          <w:sz w:val="20"/>
          <w:szCs w:val="20"/>
          <w:color w:val="auto"/>
        </w:rPr>
      </w:pPr>
    </w:p>
    <w:p>
      <w:pPr>
        <w:ind w:left="1080" w:right="1099"/>
        <w:spacing w:after="0" w:line="243" w:lineRule="auto"/>
        <w:rPr>
          <w:sz w:val="20"/>
          <w:szCs w:val="20"/>
          <w:color w:val="auto"/>
        </w:rPr>
      </w:pPr>
      <w:r>
        <w:rPr>
          <w:rFonts w:ascii="Arial" w:cs="Arial" w:eastAsia="Arial" w:hAnsi="Arial"/>
          <w:sz w:val="15"/>
          <w:szCs w:val="15"/>
          <w:b w:val="1"/>
          <w:bCs w:val="1"/>
          <w:i w:val="1"/>
          <w:iCs w:val="1"/>
          <w:color w:val="auto"/>
        </w:rPr>
        <w:t xml:space="preserve">Art. 21. Other General Meetings of Shareholders. </w:t>
      </w:r>
      <w:r>
        <w:rPr>
          <w:rFonts w:ascii="Arial" w:cs="Arial" w:eastAsia="Arial" w:hAnsi="Arial"/>
          <w:sz w:val="15"/>
          <w:szCs w:val="15"/>
          <w:i w:val="1"/>
          <w:iCs w:val="1"/>
          <w:color w:val="auto"/>
        </w:rPr>
        <w:t>The Board of Directors may convene other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general meetings. Such meetings must be convened if 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 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spacing w:after="0" w:line="96" w:lineRule="exact"/>
        <w:rPr>
          <w:sz w:val="20"/>
          <w:szCs w:val="20"/>
          <w:color w:val="auto"/>
        </w:rPr>
      </w:pPr>
    </w:p>
    <w:p>
      <w:pPr>
        <w:ind w:left="1080" w:right="1519"/>
        <w:spacing w:after="0" w:line="286" w:lineRule="auto"/>
        <w:rPr>
          <w:sz w:val="20"/>
          <w:szCs w:val="20"/>
          <w:color w:val="auto"/>
        </w:rPr>
      </w:pPr>
      <w:r>
        <w:rPr>
          <w:rFonts w:ascii="Arial" w:cs="Arial" w:eastAsia="Arial" w:hAnsi="Arial"/>
          <w:sz w:val="15"/>
          <w:szCs w:val="15"/>
          <w:b w:val="1"/>
          <w:bCs w:val="1"/>
          <w:i w:val="1"/>
          <w:iCs w:val="1"/>
          <w:color w:val="auto"/>
        </w:rPr>
        <w:t xml:space="preserve">Art. 22. Powers of the Meeting of Shareholders. </w:t>
      </w:r>
      <w:r>
        <w:rPr>
          <w:rFonts w:ascii="Arial" w:cs="Arial" w:eastAsia="Arial" w:hAnsi="Arial"/>
          <w:sz w:val="15"/>
          <w:szCs w:val="15"/>
          <w:i w:val="1"/>
          <w:iCs w:val="1"/>
          <w:color w:val="auto"/>
        </w:rPr>
        <w:t>Any regularly constituted general meeting of</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shareholders of the Company represents the entire body of shareholders.</w:t>
      </w:r>
    </w:p>
    <w:p>
      <w:pPr>
        <w:spacing w:after="0" w:line="64" w:lineRule="exact"/>
        <w:rPr>
          <w:sz w:val="20"/>
          <w:szCs w:val="20"/>
          <w:color w:val="auto"/>
        </w:rPr>
      </w:pPr>
    </w:p>
    <w:p>
      <w:pPr>
        <w:jc w:val="both"/>
        <w:ind w:left="1080" w:right="1239"/>
        <w:spacing w:after="0" w:line="251" w:lineRule="auto"/>
        <w:rPr>
          <w:sz w:val="20"/>
          <w:szCs w:val="20"/>
          <w:color w:val="auto"/>
        </w:rPr>
      </w:pPr>
      <w:r>
        <w:rPr>
          <w:rFonts w:ascii="Arial" w:cs="Arial" w:eastAsia="Arial" w:hAnsi="Arial"/>
          <w:sz w:val="15"/>
          <w:szCs w:val="15"/>
          <w:i w:val="1"/>
          <w:iCs w:val="1"/>
          <w:color w:val="auto"/>
        </w:rPr>
        <w:t>Subject to all the other powers reserved to the Board of Directors or by the Law or the</w:t>
      </w:r>
      <w:r>
        <w:rPr>
          <w:rFonts w:ascii="Arial" w:cs="Arial" w:eastAsia="Arial" w:hAnsi="Arial"/>
          <w:sz w:val="15"/>
          <w:szCs w:val="15"/>
          <w:i w:val="1"/>
          <w:iCs w:val="1"/>
          <w:u w:val="single" w:color="auto"/>
          <w:color w:val="0000FF"/>
        </w:rPr>
        <w:t>se</w:t>
      </w:r>
      <w:r>
        <w:rPr>
          <w:rFonts w:ascii="Arial" w:cs="Arial" w:eastAsia="Arial" w:hAnsi="Arial"/>
          <w:sz w:val="15"/>
          <w:szCs w:val="15"/>
          <w:i w:val="1"/>
          <w:iCs w:val="1"/>
          <w:color w:val="auto"/>
        </w:rPr>
        <w:t xml:space="preserve"> Articles, the general meeting of shareholders has the broadest powers to adopt, carry out or ratify any act relating to the operations of the Company.</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The shareholders shall neither participate in nor interfere with the management of the Company.</w:t>
      </w:r>
    </w:p>
    <w:p>
      <w:pPr>
        <w:spacing w:after="0" w:line="132" w:lineRule="exact"/>
        <w:rPr>
          <w:sz w:val="20"/>
          <w:szCs w:val="20"/>
          <w:color w:val="auto"/>
        </w:rPr>
      </w:pPr>
    </w:p>
    <w:p>
      <w:pPr>
        <w:ind w:left="1080" w:right="1199"/>
        <w:spacing w:after="0" w:line="251" w:lineRule="auto"/>
        <w:rPr>
          <w:sz w:val="20"/>
          <w:szCs w:val="20"/>
          <w:color w:val="auto"/>
        </w:rPr>
      </w:pPr>
      <w:r>
        <w:rPr>
          <w:rFonts w:ascii="Arial" w:cs="Arial" w:eastAsia="Arial" w:hAnsi="Arial"/>
          <w:sz w:val="15"/>
          <w:szCs w:val="15"/>
          <w:i w:val="1"/>
          <w:iCs w:val="1"/>
          <w:color w:val="auto"/>
        </w:rPr>
        <w:t>In accordance with the provisions of Article 450-1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spacing w:after="0" w:line="88" w:lineRule="exact"/>
        <w:rPr>
          <w:sz w:val="20"/>
          <w:szCs w:val="20"/>
          <w:color w:val="auto"/>
        </w:rPr>
      </w:pPr>
    </w:p>
    <w:p>
      <w:pPr>
        <w:ind w:left="1080" w:right="1299"/>
        <w:spacing w:after="0" w:line="270" w:lineRule="auto"/>
        <w:rPr>
          <w:sz w:val="20"/>
          <w:szCs w:val="20"/>
          <w:color w:val="auto"/>
        </w:rPr>
      </w:pPr>
      <w:r>
        <w:rPr>
          <w:rFonts w:ascii="Arial" w:cs="Arial" w:eastAsia="Arial" w:hAnsi="Arial"/>
          <w:sz w:val="15"/>
          <w:szCs w:val="15"/>
          <w:b w:val="1"/>
          <w:bCs w:val="1"/>
          <w:i w:val="1"/>
          <w:iCs w:val="1"/>
          <w:color w:val="auto"/>
        </w:rPr>
        <w:t xml:space="preserve">Art. 23. Procedure, Vote. </w:t>
      </w:r>
      <w:r>
        <w:rPr>
          <w:rFonts w:ascii="Arial" w:cs="Arial" w:eastAsia="Arial" w:hAnsi="Arial"/>
          <w:sz w:val="15"/>
          <w:szCs w:val="15"/>
          <w:i w:val="1"/>
          <w:iCs w:val="1"/>
          <w:color w:val="auto"/>
        </w:rPr>
        <w:t>The general meeting of shareholders will meet upon call by the Board of</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Directors or the auditor(s) made in compliance with Luxembourg law and the present Articles.</w:t>
      </w:r>
    </w:p>
    <w:p>
      <w:pPr>
        <w:spacing w:after="0" w:line="76" w:lineRule="exact"/>
        <w:rPr>
          <w:sz w:val="20"/>
          <w:szCs w:val="20"/>
          <w:color w:val="auto"/>
        </w:rPr>
      </w:pPr>
    </w:p>
    <w:p>
      <w:pPr>
        <w:ind w:left="1080" w:right="1499"/>
        <w:spacing w:after="0" w:line="294" w:lineRule="auto"/>
        <w:rPr>
          <w:sz w:val="20"/>
          <w:szCs w:val="20"/>
          <w:color w:val="auto"/>
        </w:rPr>
      </w:pPr>
      <w:r>
        <w:rPr>
          <w:rFonts w:ascii="Arial" w:cs="Arial" w:eastAsia="Arial" w:hAnsi="Arial"/>
          <w:sz w:val="15"/>
          <w:szCs w:val="15"/>
          <w:i w:val="1"/>
          <w:iCs w:val="1"/>
          <w:color w:val="auto"/>
        </w:rPr>
        <w:t>The record date for general meetings shall be set by the Board of Directors before the date of the general meeting (the “</w:t>
      </w:r>
      <w:r>
        <w:rPr>
          <w:rFonts w:ascii="Arial" w:cs="Arial" w:eastAsia="Arial" w:hAnsi="Arial"/>
          <w:sz w:val="15"/>
          <w:szCs w:val="15"/>
          <w:b w:val="1"/>
          <w:bCs w:val="1"/>
          <w:i w:val="1"/>
          <w:iCs w:val="1"/>
          <w:color w:val="auto"/>
        </w:rPr>
        <w:t>Record Date</w:t>
      </w:r>
      <w:r>
        <w:rPr>
          <w:rFonts w:ascii="Arial" w:cs="Arial" w:eastAsia="Arial" w:hAnsi="Arial"/>
          <w:sz w:val="15"/>
          <w:szCs w:val="15"/>
          <w:i w:val="1"/>
          <w:iCs w:val="1"/>
          <w:color w:val="auto"/>
        </w:rPr>
        <w:t>”).</w:t>
      </w:r>
    </w:p>
    <w:p>
      <w:pPr>
        <w:spacing w:after="0" w:line="51" w:lineRule="exact"/>
        <w:rPr>
          <w:sz w:val="20"/>
          <w:szCs w:val="20"/>
          <w:color w:val="auto"/>
        </w:rPr>
      </w:pPr>
    </w:p>
    <w:p>
      <w:pPr>
        <w:ind w:left="1080" w:right="1179"/>
        <w:spacing w:after="0" w:line="251" w:lineRule="auto"/>
        <w:rPr>
          <w:sz w:val="20"/>
          <w:szCs w:val="20"/>
          <w:color w:val="auto"/>
        </w:rPr>
      </w:pPr>
      <w:r>
        <w:rPr>
          <w:rFonts w:ascii="Arial" w:cs="Arial" w:eastAsia="Arial" w:hAnsi="Arial"/>
          <w:sz w:val="15"/>
          <w:szCs w:val="15"/>
          <w:i w:val="1"/>
          <w:iCs w:val="1"/>
          <w:color w:val="auto"/>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0" w:name="page71"/>
    <w:bookmarkEnd w:id="7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1319"/>
        <w:spacing w:after="0" w:line="259" w:lineRule="auto"/>
        <w:rPr>
          <w:sz w:val="20"/>
          <w:szCs w:val="20"/>
          <w:color w:val="auto"/>
        </w:rPr>
      </w:pPr>
      <w:r>
        <w:rPr>
          <w:rFonts w:ascii="Arial" w:cs="Arial" w:eastAsia="Arial" w:hAnsi="Arial"/>
          <w:sz w:val="15"/>
          <w:szCs w:val="15"/>
          <w:i w:val="1"/>
          <w:iCs w:val="1"/>
          <w:color w:val="auto"/>
        </w:rPr>
        <w:t>The documents required to be submitted to the shareholders in connection with the general meeting shall be posted on the Company’s corporate website or available for inspection at the Company’s registered offices, as may be required by applicable law.</w:t>
      </w:r>
    </w:p>
    <w:p>
      <w:pPr>
        <w:spacing w:after="0" w:line="84" w:lineRule="exact"/>
        <w:rPr>
          <w:sz w:val="20"/>
          <w:szCs w:val="20"/>
          <w:color w:val="auto"/>
        </w:rPr>
      </w:pPr>
    </w:p>
    <w:p>
      <w:pPr>
        <w:ind w:left="1080" w:right="1379"/>
        <w:spacing w:after="0" w:line="267" w:lineRule="auto"/>
        <w:rPr>
          <w:sz w:val="20"/>
          <w:szCs w:val="20"/>
          <w:color w:val="auto"/>
        </w:rPr>
      </w:pPr>
      <w:r>
        <w:rPr>
          <w:rFonts w:ascii="Arial" w:cs="Arial" w:eastAsia="Arial" w:hAnsi="Arial"/>
          <w:sz w:val="15"/>
          <w:szCs w:val="15"/>
          <w:i w:val="1"/>
          <w:iCs w:val="1"/>
          <w:color w:val="auto"/>
        </w:rPr>
        <w:t>The convening notice sent to the shareholders in accordance with the Law will specify the time and place of the meeting</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as well as the agenda and the nature of the business to be transacted.</w:t>
      </w:r>
    </w:p>
    <w:p>
      <w:pPr>
        <w:spacing w:after="0" w:line="78" w:lineRule="exact"/>
        <w:rPr>
          <w:sz w:val="20"/>
          <w:szCs w:val="20"/>
          <w:color w:val="auto"/>
        </w:rPr>
      </w:pPr>
    </w:p>
    <w:p>
      <w:pPr>
        <w:ind w:left="1080" w:right="1279"/>
        <w:spacing w:after="0" w:line="251" w:lineRule="auto"/>
        <w:rPr>
          <w:sz w:val="20"/>
          <w:szCs w:val="20"/>
          <w:color w:val="auto"/>
        </w:rPr>
      </w:pPr>
      <w:r>
        <w:rPr>
          <w:rFonts w:ascii="Arial" w:cs="Arial" w:eastAsia="Arial" w:hAnsi="Arial"/>
          <w:sz w:val="15"/>
          <w:szCs w:val="15"/>
          <w:i w:val="1"/>
          <w:iCs w:val="1"/>
          <w:color w:val="auto"/>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The Board of Directors may determine all other conditions that must be fulfilled in order to take part in a</w:t>
      </w:r>
    </w:p>
    <w:p>
      <w:pPr>
        <w:spacing w:after="0" w:line="20" w:lineRule="exact"/>
        <w:rPr>
          <w:sz w:val="20"/>
          <w:szCs w:val="20"/>
          <w:color w:val="auto"/>
        </w:rPr>
      </w:pPr>
    </w:p>
    <w:p>
      <w:pPr>
        <w:ind w:left="1080" w:right="1259"/>
        <w:spacing w:after="0" w:line="251" w:lineRule="auto"/>
        <w:rPr>
          <w:sz w:val="20"/>
          <w:szCs w:val="20"/>
          <w:color w:val="auto"/>
        </w:rPr>
      </w:pPr>
      <w:r>
        <w:rPr>
          <w:rFonts w:ascii="Arial" w:cs="Arial" w:eastAsia="Arial" w:hAnsi="Arial"/>
          <w:sz w:val="15"/>
          <w:szCs w:val="15"/>
          <w:i w:val="1"/>
          <w:iCs w:val="1"/>
          <w:color w:val="auto"/>
        </w:rPr>
        <w:t xml:space="preserve">general meeting of shareholders. </w:t>
      </w:r>
      <w:r>
        <w:rPr>
          <w:rFonts w:ascii="Arial" w:cs="Arial" w:eastAsia="Arial" w:hAnsi="Arial"/>
          <w:sz w:val="15"/>
          <w:szCs w:val="15"/>
          <w:i w:val="1"/>
          <w:iCs w:val="1"/>
          <w:u w:val="single" w:color="auto"/>
          <w:color w:val="0000FF"/>
        </w:rPr>
        <w:t>The Chair or another person appointed by the Board shall chair the</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general meeting of shareholders.</w:t>
      </w:r>
    </w:p>
    <w:p>
      <w:pPr>
        <w:spacing w:after="0" w:line="87" w:lineRule="exact"/>
        <w:rPr>
          <w:sz w:val="20"/>
          <w:szCs w:val="20"/>
          <w:color w:val="auto"/>
        </w:rPr>
      </w:pPr>
    </w:p>
    <w:p>
      <w:pPr>
        <w:ind w:left="1080" w:right="1199"/>
        <w:spacing w:after="0" w:line="260" w:lineRule="auto"/>
        <w:rPr>
          <w:sz w:val="20"/>
          <w:szCs w:val="20"/>
          <w:color w:val="auto"/>
        </w:rPr>
      </w:pPr>
      <w:r>
        <w:rPr>
          <w:rFonts w:ascii="Arial" w:cs="Arial" w:eastAsia="Arial" w:hAnsi="Arial"/>
          <w:sz w:val="15"/>
          <w:szCs w:val="15"/>
          <w:color w:val="FF0000"/>
          <w:strike w:val="1"/>
        </w:rPr>
        <w:t>Except as otherwise required by the Law or by the present Articles, all other resolutions will be taken by a simple majority of votes irrespective of the number of Shares present or represented at the meeting.</w:t>
      </w:r>
    </w:p>
    <w:p>
      <w:pPr>
        <w:spacing w:after="0" w:line="84" w:lineRule="exact"/>
        <w:rPr>
          <w:sz w:val="20"/>
          <w:szCs w:val="20"/>
          <w:color w:val="auto"/>
        </w:rPr>
      </w:pPr>
    </w:p>
    <w:p>
      <w:pPr>
        <w:ind w:left="1080" w:right="1279"/>
        <w:spacing w:after="0" w:line="228" w:lineRule="auto"/>
        <w:rPr>
          <w:sz w:val="20"/>
          <w:szCs w:val="20"/>
          <w:color w:val="auto"/>
        </w:rPr>
      </w:pPr>
      <w:r>
        <w:rPr>
          <w:rFonts w:ascii="Arial" w:cs="Arial" w:eastAsia="Arial" w:hAnsi="Arial"/>
          <w:sz w:val="15"/>
          <w:szCs w:val="15"/>
          <w:i w:val="1"/>
          <w:iCs w:val="1"/>
          <w:u w:val="single" w:color="auto"/>
          <w:color w:val="0000FF"/>
        </w:rPr>
        <w:t>Resolutions to amend these Articles or change the Company’s nationality and resolutions whose adoption is subject, pursuant to these Articles or the Law, to the quorum and majority required to amend the Articles must be approved by at least two thirds (2/3) of the votes cast in accordance with the provisions of Article 450-3 of the Law at a meeting at which at least half  (</w:t>
      </w:r>
      <w:r>
        <w:rPr>
          <w:rFonts w:ascii="Arial" w:cs="Arial" w:eastAsia="Arial" w:hAnsi="Arial"/>
          <w:sz w:val="21"/>
          <w:szCs w:val="21"/>
          <w:i w:val="1"/>
          <w:iCs w:val="1"/>
          <w:u w:val="single" w:color="auto"/>
          <w:color w:val="0000FF"/>
          <w:vertAlign w:val="superscript"/>
        </w:rPr>
        <w:t>1</w:t>
      </w:r>
      <w:r>
        <w:rPr>
          <w:rFonts w:ascii="Arial" w:cs="Arial" w:eastAsia="Arial" w:hAnsi="Arial"/>
          <w:sz w:val="15"/>
          <w:szCs w:val="15"/>
          <w:i w:val="1"/>
          <w:iCs w:val="1"/>
          <w:u w:val="single" w:color="auto"/>
          <w:color w:val="0000FF"/>
        </w:rPr>
        <w:t>∕</w:t>
      </w:r>
      <w:r>
        <w:rPr>
          <w:rFonts w:ascii="Arial" w:cs="Arial" w:eastAsia="Arial" w:hAnsi="Arial"/>
          <w:sz w:val="10"/>
          <w:szCs w:val="10"/>
          <w:i w:val="1"/>
          <w:iCs w:val="1"/>
          <w:u w:val="single" w:color="auto"/>
          <w:color w:val="0000FF"/>
        </w:rPr>
        <w:t>2</w:t>
      </w:r>
      <w:r>
        <w:rPr>
          <w:rFonts w:ascii="Arial" w:cs="Arial" w:eastAsia="Arial" w:hAnsi="Arial"/>
          <w:sz w:val="15"/>
          <w:szCs w:val="15"/>
          <w:i w:val="1"/>
          <w:iCs w:val="1"/>
          <w:u w:val="single" w:color="auto"/>
          <w:color w:val="0000FF"/>
        </w:rPr>
        <w:t>) the issued and</w:t>
      </w:r>
    </w:p>
    <w:p>
      <w:pPr>
        <w:spacing w:after="0" w:line="1" w:lineRule="exact"/>
        <w:rPr>
          <w:sz w:val="20"/>
          <w:szCs w:val="20"/>
          <w:color w:val="auto"/>
        </w:rPr>
      </w:pPr>
    </w:p>
    <w:p>
      <w:pPr>
        <w:jc w:val="both"/>
        <w:ind w:left="1080" w:right="1179"/>
        <w:spacing w:after="0" w:line="243" w:lineRule="auto"/>
        <w:rPr>
          <w:sz w:val="20"/>
          <w:szCs w:val="20"/>
          <w:color w:val="auto"/>
        </w:rPr>
      </w:pPr>
      <w:r>
        <w:rPr>
          <w:rFonts w:ascii="Arial" w:cs="Arial" w:eastAsia="Arial" w:hAnsi="Arial"/>
          <w:sz w:val="15"/>
          <w:szCs w:val="15"/>
          <w:i w:val="1"/>
          <w:iCs w:val="1"/>
          <w:u w:val="single" w:color="auto"/>
          <w:color w:val="0000FF"/>
        </w:rPr>
        <w:t>outstanding shares are present or represented. If this quorum is not met at the first meeting, a second meeting, with the same agenda, may be called, in accordance with the provisions of the Act, for which a quorum of 33 1/3% shall be required.</w:t>
      </w:r>
    </w:p>
    <w:p>
      <w:pPr>
        <w:spacing w:after="0" w:line="95" w:lineRule="exact"/>
        <w:rPr>
          <w:sz w:val="20"/>
          <w:szCs w:val="20"/>
          <w:color w:val="auto"/>
        </w:rPr>
      </w:pPr>
    </w:p>
    <w:p>
      <w:pPr>
        <w:ind w:left="1080" w:right="1299"/>
        <w:spacing w:after="0" w:line="283" w:lineRule="auto"/>
        <w:rPr>
          <w:sz w:val="20"/>
          <w:szCs w:val="20"/>
          <w:color w:val="auto"/>
        </w:rPr>
      </w:pPr>
      <w:r>
        <w:rPr>
          <w:rFonts w:ascii="Arial" w:cs="Arial" w:eastAsia="Arial" w:hAnsi="Arial"/>
          <w:sz w:val="15"/>
          <w:szCs w:val="15"/>
          <w:i w:val="1"/>
          <w:iCs w:val="1"/>
          <w:color w:val="auto"/>
        </w:rPr>
        <w:t>All other decisions must be approved by the general meeting of shareholders by a simple majority of the votes cast, and a quorum of 33 1/3% shall be required.</w:t>
      </w:r>
    </w:p>
    <w:p>
      <w:pPr>
        <w:spacing w:after="0" w:line="66" w:lineRule="exact"/>
        <w:rPr>
          <w:sz w:val="20"/>
          <w:szCs w:val="20"/>
          <w:color w:val="auto"/>
        </w:rPr>
      </w:pPr>
    </w:p>
    <w:p>
      <w:pPr>
        <w:ind w:left="1080" w:right="1239"/>
        <w:spacing w:after="0" w:line="243" w:lineRule="auto"/>
        <w:rPr>
          <w:sz w:val="20"/>
          <w:szCs w:val="20"/>
          <w:color w:val="auto"/>
        </w:rPr>
      </w:pPr>
      <w:r>
        <w:rPr>
          <w:rFonts w:ascii="Arial" w:cs="Arial" w:eastAsia="Arial" w:hAnsi="Arial"/>
          <w:sz w:val="15"/>
          <w:szCs w:val="15"/>
          <w:i w:val="1"/>
          <w:iCs w:val="1"/>
          <w:color w:val="auto"/>
        </w:rPr>
        <w:t>When organizing a general meeting, the Board of Directors may in its sole discretion allow the following forms of participation by electronic means: (i) real time transmission of the general meeting;</w:t>
      </w:r>
    </w:p>
    <w:p>
      <w:pPr>
        <w:spacing w:after="0" w:line="1" w:lineRule="exact"/>
        <w:rPr>
          <w:sz w:val="20"/>
          <w:szCs w:val="20"/>
          <w:color w:val="auto"/>
        </w:rPr>
      </w:pPr>
    </w:p>
    <w:p>
      <w:pPr>
        <w:ind w:left="1080" w:right="1259" w:hanging="1"/>
        <w:spacing w:after="0" w:line="250" w:lineRule="auto"/>
        <w:tabs>
          <w:tab w:leader="none" w:pos="1288" w:val="left"/>
        </w:tabs>
        <w:numPr>
          <w:ilvl w:val="0"/>
          <w:numId w:val="57"/>
        </w:numPr>
        <w:rPr>
          <w:rFonts w:ascii="Arial" w:cs="Arial" w:eastAsia="Arial" w:hAnsi="Arial"/>
          <w:sz w:val="15"/>
          <w:szCs w:val="15"/>
          <w:i w:val="1"/>
          <w:iCs w:val="1"/>
          <w:color w:val="auto"/>
        </w:rPr>
      </w:pPr>
      <w:r>
        <w:rPr>
          <w:rFonts w:ascii="Arial" w:cs="Arial" w:eastAsia="Arial" w:hAnsi="Arial"/>
          <w:sz w:val="15"/>
          <w:szCs w:val="15"/>
          <w:i w:val="1"/>
          <w:iCs w:val="1"/>
          <w:color w:val="auto"/>
        </w:rPr>
        <w:t>real time two-way communication enabling shareholders to address the general meeting from a remote location; or (iii) a mechanism for casting votes, whether before or during the general meeting, without the need to appoint a proxyholder physically present at the meeting.</w:t>
      </w:r>
    </w:p>
    <w:p>
      <w:pPr>
        <w:spacing w:after="0" w:line="91" w:lineRule="exact"/>
        <w:rPr>
          <w:sz w:val="20"/>
          <w:szCs w:val="20"/>
          <w:color w:val="auto"/>
        </w:rPr>
      </w:pPr>
    </w:p>
    <w:p>
      <w:pPr>
        <w:ind w:left="1080" w:right="1299"/>
        <w:spacing w:after="0" w:line="259" w:lineRule="auto"/>
        <w:rPr>
          <w:sz w:val="20"/>
          <w:szCs w:val="20"/>
          <w:color w:val="auto"/>
        </w:rPr>
      </w:pPr>
      <w:r>
        <w:rPr>
          <w:rFonts w:ascii="Arial" w:cs="Arial" w:eastAsia="Arial" w:hAnsi="Arial"/>
          <w:sz w:val="15"/>
          <w:szCs w:val="15"/>
          <w:i w:val="1"/>
          <w:iCs w:val="1"/>
          <w:color w:val="auto"/>
        </w:rPr>
        <w:t>The Board of Directors may also determine that shareholders may vote from a remote location by correspondence, by completing a voting form provided by the Company which includes the following information:</w:t>
      </w:r>
    </w:p>
    <w:p>
      <w:pPr>
        <w:spacing w:after="0" w:line="50" w:lineRule="exact"/>
        <w:rPr>
          <w:sz w:val="20"/>
          <w:szCs w:val="20"/>
          <w:color w:val="auto"/>
        </w:rPr>
      </w:pPr>
    </w:p>
    <w:p>
      <w:pPr>
        <w:ind w:left="1520" w:hanging="141"/>
        <w:spacing w:after="0"/>
        <w:tabs>
          <w:tab w:leader="none" w:pos="152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The name, address and any other pertinent information concerning the shareholder.</w:t>
      </w:r>
    </w:p>
    <w:p>
      <w:pPr>
        <w:spacing w:after="0" w:line="97" w:lineRule="exact"/>
        <w:rPr>
          <w:rFonts w:ascii="Arial" w:cs="Arial" w:eastAsia="Arial" w:hAnsi="Arial"/>
          <w:sz w:val="15"/>
          <w:szCs w:val="15"/>
          <w:color w:val="auto"/>
        </w:rPr>
      </w:pPr>
    </w:p>
    <w:p>
      <w:pPr>
        <w:ind w:left="1520" w:right="1279" w:hanging="141"/>
        <w:spacing w:after="0" w:line="283" w:lineRule="auto"/>
        <w:tabs>
          <w:tab w:leader="none" w:pos="152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The number of votes the shareholder wishes to cast, the direction of his or her votes, or his or her abstention.</w:t>
      </w:r>
    </w:p>
    <w:p>
      <w:pPr>
        <w:spacing w:after="0" w:line="43" w:lineRule="exact"/>
        <w:rPr>
          <w:rFonts w:ascii="Arial" w:cs="Arial" w:eastAsia="Arial" w:hAnsi="Arial"/>
          <w:sz w:val="15"/>
          <w:szCs w:val="15"/>
          <w:color w:val="auto"/>
        </w:rPr>
      </w:pPr>
    </w:p>
    <w:p>
      <w:pPr>
        <w:ind w:left="1520" w:hanging="141"/>
        <w:spacing w:after="0"/>
        <w:tabs>
          <w:tab w:leader="none" w:pos="152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The agenda of the meeting including the draft of resolutions.</w:t>
      </w:r>
    </w:p>
    <w:p>
      <w:pPr>
        <w:spacing w:after="0" w:line="97" w:lineRule="exact"/>
        <w:rPr>
          <w:rFonts w:ascii="Arial" w:cs="Arial" w:eastAsia="Arial" w:hAnsi="Arial"/>
          <w:sz w:val="15"/>
          <w:szCs w:val="15"/>
          <w:color w:val="auto"/>
        </w:rPr>
      </w:pPr>
    </w:p>
    <w:p>
      <w:pPr>
        <w:ind w:left="1520" w:right="1099" w:hanging="141"/>
        <w:spacing w:after="0" w:line="267" w:lineRule="auto"/>
        <w:tabs>
          <w:tab w:leader="none" w:pos="152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The option to vote by proxy for any new resolution or any modification of the resolutions properly submitted to the general meeting between the date the shareholder submits his or her form through the meeting date.</w:t>
      </w:r>
    </w:p>
    <w:p>
      <w:pPr>
        <w:spacing w:after="0" w:line="44" w:lineRule="exact"/>
        <w:rPr>
          <w:rFonts w:ascii="Arial" w:cs="Arial" w:eastAsia="Arial" w:hAnsi="Arial"/>
          <w:sz w:val="15"/>
          <w:szCs w:val="15"/>
          <w:color w:val="auto"/>
        </w:rPr>
      </w:pPr>
    </w:p>
    <w:p>
      <w:pPr>
        <w:ind w:left="1520" w:hanging="141"/>
        <w:spacing w:after="0"/>
        <w:tabs>
          <w:tab w:leader="none" w:pos="152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The signature of the shareholder.</w:t>
      </w:r>
    </w:p>
    <w:p>
      <w:pPr>
        <w:spacing w:after="0" w:line="132" w:lineRule="exact"/>
        <w:rPr>
          <w:sz w:val="20"/>
          <w:szCs w:val="20"/>
          <w:color w:val="auto"/>
        </w:rPr>
      </w:pPr>
    </w:p>
    <w:p>
      <w:pPr>
        <w:ind w:left="1080" w:right="1119"/>
        <w:spacing w:after="0" w:line="245" w:lineRule="auto"/>
        <w:rPr>
          <w:sz w:val="20"/>
          <w:szCs w:val="20"/>
          <w:color w:val="auto"/>
        </w:rPr>
      </w:pPr>
      <w:r>
        <w:rPr>
          <w:rFonts w:ascii="Arial" w:cs="Arial" w:eastAsia="Arial" w:hAnsi="Arial"/>
          <w:sz w:val="15"/>
          <w:szCs w:val="15"/>
          <w:i w:val="1"/>
          <w:iCs w:val="1"/>
          <w:color w:val="auto"/>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97" w:lineRule="exact"/>
        <w:rPr>
          <w:sz w:val="20"/>
          <w:szCs w:val="20"/>
          <w:color w:val="auto"/>
        </w:rPr>
      </w:pPr>
    </w:p>
    <w:p>
      <w:pPr>
        <w:jc w:val="both"/>
        <w:ind w:left="1080" w:right="1119"/>
        <w:spacing w:after="0" w:line="259" w:lineRule="auto"/>
        <w:rPr>
          <w:sz w:val="20"/>
          <w:szCs w:val="20"/>
          <w:color w:val="auto"/>
        </w:rPr>
      </w:pPr>
      <w:r>
        <w:rPr>
          <w:rFonts w:ascii="Arial" w:cs="Arial" w:eastAsia="Arial" w:hAnsi="Arial"/>
          <w:sz w:val="15"/>
          <w:szCs w:val="15"/>
          <w:i w:val="1"/>
          <w:iCs w:val="1"/>
          <w:color w:val="auto"/>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1" w:name="page72"/>
    <w:bookmarkEnd w:id="71"/>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1319"/>
        <w:spacing w:after="0" w:line="259" w:lineRule="auto"/>
        <w:rPr>
          <w:sz w:val="20"/>
          <w:szCs w:val="20"/>
          <w:color w:val="auto"/>
        </w:rPr>
      </w:pPr>
      <w:r>
        <w:rPr>
          <w:rFonts w:ascii="Arial" w:cs="Arial" w:eastAsia="Arial" w:hAnsi="Arial"/>
          <w:sz w:val="15"/>
          <w:szCs w:val="15"/>
          <w:i w:val="1"/>
          <w:iCs w:val="1"/>
          <w:color w:val="auto"/>
        </w:rPr>
        <w:t>The Board of Directors may adopt any regulations and rules concerning the participation of shareholders at general meetings in accordance with the Law, including with respect to ensuring the identification of shareholders and proxyholders and the safety of electronic communications.</w:t>
      </w:r>
    </w:p>
    <w:p>
      <w:pPr>
        <w:spacing w:after="0" w:line="84" w:lineRule="exact"/>
        <w:rPr>
          <w:sz w:val="20"/>
          <w:szCs w:val="20"/>
          <w:color w:val="auto"/>
        </w:rPr>
      </w:pPr>
    </w:p>
    <w:p>
      <w:pPr>
        <w:ind w:left="1080" w:right="1419"/>
        <w:spacing w:after="0" w:line="251" w:lineRule="auto"/>
        <w:rPr>
          <w:sz w:val="20"/>
          <w:szCs w:val="20"/>
          <w:color w:val="auto"/>
        </w:rPr>
      </w:pPr>
      <w:r>
        <w:rPr>
          <w:rFonts w:ascii="Arial" w:cs="Arial" w:eastAsia="Arial" w:hAnsi="Arial"/>
          <w:sz w:val="15"/>
          <w:szCs w:val="15"/>
          <w:i w:val="1"/>
          <w:iCs w:val="1"/>
          <w:color w:val="FF0000"/>
          <w:strike w:val="1"/>
        </w:rPr>
        <w:t>Any resolution whose purpose is to amend the present Articles, to change the nationality or whose adoption is subject by virtue of these Articles or, as the case may be, the Law to the quorum and majority rules set for the amendment of the Articles will be taken by two-thirds of shareholders representing at least half of the issued share capital of the Company.</w:t>
      </w:r>
    </w:p>
    <w:p>
      <w:pPr>
        <w:spacing w:after="0" w:line="90" w:lineRule="exact"/>
        <w:rPr>
          <w:sz w:val="20"/>
          <w:szCs w:val="20"/>
          <w:color w:val="auto"/>
        </w:rPr>
      </w:pPr>
    </w:p>
    <w:p>
      <w:pPr>
        <w:ind w:left="1080" w:right="1559"/>
        <w:spacing w:after="0" w:line="283" w:lineRule="auto"/>
        <w:rPr>
          <w:sz w:val="20"/>
          <w:szCs w:val="20"/>
          <w:color w:val="auto"/>
        </w:rPr>
      </w:pPr>
      <w:r>
        <w:rPr>
          <w:rFonts w:ascii="Arial" w:cs="Arial" w:eastAsia="Arial" w:hAnsi="Arial"/>
          <w:sz w:val="15"/>
          <w:szCs w:val="15"/>
          <w:i w:val="1"/>
          <w:iCs w:val="1"/>
          <w:color w:val="auto"/>
        </w:rPr>
        <w:t>The commitments of the shareholders may be increased only with the unanimous consent of the shareholders.</w:t>
      </w:r>
    </w:p>
    <w:p>
      <w:pPr>
        <w:spacing w:after="0" w:line="78" w:lineRule="exact"/>
        <w:rPr>
          <w:sz w:val="20"/>
          <w:szCs w:val="20"/>
          <w:color w:val="auto"/>
        </w:rPr>
      </w:pPr>
    </w:p>
    <w:p>
      <w:pPr>
        <w:jc w:val="both"/>
        <w:ind w:left="1080" w:right="1219"/>
        <w:spacing w:after="0" w:line="261" w:lineRule="auto"/>
        <w:rPr>
          <w:sz w:val="20"/>
          <w:szCs w:val="20"/>
          <w:color w:val="auto"/>
        </w:rPr>
      </w:pPr>
      <w:r>
        <w:rPr>
          <w:rFonts w:ascii="Arial" w:cs="Arial" w:eastAsia="Arial" w:hAnsi="Arial"/>
          <w:sz w:val="15"/>
          <w:szCs w:val="15"/>
          <w:i w:val="1"/>
          <w:iCs w:val="1"/>
          <w:color w:val="auto"/>
        </w:rPr>
        <w:t>Shareholders representing at least ten percent (10%) of the Company’s share capital may request in writing that additional items be included on the agenda of any general meeting. Such request shall be addressed to the registered office of the Company by registered letter at least five (5) days before the date on which the general meeting shall be held.</w:t>
      </w:r>
    </w:p>
    <w:p>
      <w:pPr>
        <w:spacing w:after="0" w:line="84" w:lineRule="exact"/>
        <w:rPr>
          <w:sz w:val="20"/>
          <w:szCs w:val="20"/>
          <w:color w:val="auto"/>
        </w:rPr>
      </w:pPr>
    </w:p>
    <w:p>
      <w:pPr>
        <w:ind w:left="1080" w:right="1099"/>
        <w:spacing w:after="0" w:line="267" w:lineRule="auto"/>
        <w:rPr>
          <w:sz w:val="20"/>
          <w:szCs w:val="20"/>
          <w:color w:val="auto"/>
        </w:rPr>
      </w:pPr>
      <w:r>
        <w:rPr>
          <w:rFonts w:ascii="Arial" w:cs="Arial" w:eastAsia="Arial" w:hAnsi="Arial"/>
          <w:sz w:val="15"/>
          <w:szCs w:val="15"/>
          <w:i w:val="1"/>
          <w:iCs w:val="1"/>
          <w:color w:val="auto"/>
        </w:rPr>
        <w:t>If all the shareholders are present or represented at a general meeting of shareholders and if they state that they have been informed of the agenda of the meeting, the meeting may be held without prior notice.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One vote is attached to each Share.</w:t>
      </w:r>
    </w:p>
    <w:p>
      <w:pPr>
        <w:spacing w:after="0" w:line="132" w:lineRule="exact"/>
        <w:rPr>
          <w:sz w:val="20"/>
          <w:szCs w:val="20"/>
          <w:color w:val="auto"/>
        </w:rPr>
      </w:pPr>
    </w:p>
    <w:p>
      <w:pPr>
        <w:ind w:left="1080" w:right="1379"/>
        <w:spacing w:after="0" w:line="283" w:lineRule="auto"/>
        <w:rPr>
          <w:sz w:val="20"/>
          <w:szCs w:val="20"/>
          <w:color w:val="auto"/>
        </w:rPr>
      </w:pPr>
      <w:r>
        <w:rPr>
          <w:rFonts w:ascii="Arial" w:cs="Arial" w:eastAsia="Arial" w:hAnsi="Arial"/>
          <w:sz w:val="15"/>
          <w:szCs w:val="15"/>
          <w:i w:val="1"/>
          <w:iCs w:val="1"/>
          <w:color w:val="auto"/>
        </w:rPr>
        <w:t xml:space="preserve">Copies or extracts of the minutes of the resolutions passed by the general meeting of shareholders shall be certified by the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w:t>
      </w:r>
      <w:r>
        <w:rPr>
          <w:rFonts w:ascii="Arial" w:cs="Arial" w:eastAsia="Arial" w:hAnsi="Arial"/>
          <w:sz w:val="15"/>
          <w:szCs w:val="15"/>
          <w:i w:val="1"/>
          <w:iCs w:val="1"/>
          <w:color w:val="auto"/>
        </w:rPr>
        <w:t xml:space="preserve"> or by the Secretary.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V. Financial Year, Distribution of Profits</w:t>
      </w:r>
    </w:p>
    <w:p>
      <w:pPr>
        <w:spacing w:after="0" w:line="132" w:lineRule="exact"/>
        <w:rPr>
          <w:sz w:val="20"/>
          <w:szCs w:val="20"/>
          <w:color w:val="auto"/>
        </w:rPr>
      </w:pPr>
    </w:p>
    <w:p>
      <w:pPr>
        <w:ind w:left="1080" w:right="1119"/>
        <w:spacing w:after="0" w:line="286" w:lineRule="auto"/>
        <w:rPr>
          <w:sz w:val="20"/>
          <w:szCs w:val="20"/>
          <w:color w:val="auto"/>
        </w:rPr>
      </w:pPr>
      <w:r>
        <w:rPr>
          <w:rFonts w:ascii="Arial" w:cs="Arial" w:eastAsia="Arial" w:hAnsi="Arial"/>
          <w:sz w:val="15"/>
          <w:szCs w:val="15"/>
          <w:b w:val="1"/>
          <w:bCs w:val="1"/>
          <w:i w:val="1"/>
          <w:iCs w:val="1"/>
          <w:color w:val="auto"/>
        </w:rPr>
        <w:t xml:space="preserve">Art. 24. Financial Year. </w:t>
      </w:r>
      <w:r>
        <w:rPr>
          <w:rFonts w:ascii="Arial" w:cs="Arial" w:eastAsia="Arial" w:hAnsi="Arial"/>
          <w:sz w:val="15"/>
          <w:szCs w:val="15"/>
          <w:i w:val="1"/>
          <w:iCs w:val="1"/>
          <w:color w:val="auto"/>
        </w:rPr>
        <w:t>The Company’s financial year begins on the first day of the month of January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and ends on the last day of the month of December every year.</w:t>
      </w:r>
    </w:p>
    <w:p>
      <w:pPr>
        <w:spacing w:after="0" w:line="73" w:lineRule="exact"/>
        <w:rPr>
          <w:sz w:val="20"/>
          <w:szCs w:val="20"/>
          <w:color w:val="auto"/>
        </w:rPr>
      </w:pPr>
    </w:p>
    <w:p>
      <w:pPr>
        <w:ind w:left="1080" w:right="1099"/>
        <w:spacing w:after="0" w:line="268" w:lineRule="auto"/>
        <w:rPr>
          <w:sz w:val="20"/>
          <w:szCs w:val="20"/>
          <w:color w:val="auto"/>
        </w:rPr>
      </w:pPr>
      <w:r>
        <w:rPr>
          <w:rFonts w:ascii="Arial" w:cs="Arial" w:eastAsia="Arial" w:hAnsi="Arial"/>
          <w:sz w:val="15"/>
          <w:szCs w:val="15"/>
          <w:b w:val="1"/>
          <w:bCs w:val="1"/>
          <w:i w:val="1"/>
          <w:iCs w:val="1"/>
          <w:color w:val="auto"/>
        </w:rPr>
        <w:t xml:space="preserve">Art. 25. Adoption of Financial Statements. </w:t>
      </w:r>
      <w:r>
        <w:rPr>
          <w:rFonts w:ascii="Arial" w:cs="Arial" w:eastAsia="Arial" w:hAnsi="Arial"/>
          <w:sz w:val="15"/>
          <w:szCs w:val="15"/>
          <w:i w:val="1"/>
          <w:iCs w:val="1"/>
          <w:color w:val="auto"/>
        </w:rPr>
        <w:t>At the end of each financial year, the accounts are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closed and the Board of Directors draws up an inventory of assets and liabilities, the balance sheet and the profit and loss account, in accordance with the Law.</w:t>
      </w:r>
    </w:p>
    <w:p>
      <w:pPr>
        <w:spacing w:after="0" w:line="78" w:lineRule="exact"/>
        <w:rPr>
          <w:sz w:val="20"/>
          <w:szCs w:val="20"/>
          <w:color w:val="auto"/>
        </w:rPr>
      </w:pPr>
    </w:p>
    <w:p>
      <w:pPr>
        <w:ind w:left="1080" w:right="1959"/>
        <w:spacing w:after="0" w:line="283" w:lineRule="auto"/>
        <w:rPr>
          <w:sz w:val="20"/>
          <w:szCs w:val="20"/>
          <w:color w:val="auto"/>
        </w:rPr>
      </w:pPr>
      <w:r>
        <w:rPr>
          <w:rFonts w:ascii="Arial" w:cs="Arial" w:eastAsia="Arial" w:hAnsi="Arial"/>
          <w:sz w:val="15"/>
          <w:szCs w:val="15"/>
          <w:i w:val="1"/>
          <w:iCs w:val="1"/>
          <w:color w:val="auto"/>
        </w:rPr>
        <w:t>The balance sheet and the profit and loss account are submitted to the general meeting of shareholders for approval.</w:t>
      </w:r>
    </w:p>
    <w:p>
      <w:pPr>
        <w:spacing w:after="0" w:line="76" w:lineRule="exact"/>
        <w:rPr>
          <w:sz w:val="20"/>
          <w:szCs w:val="20"/>
          <w:color w:val="auto"/>
        </w:rPr>
      </w:pPr>
    </w:p>
    <w:p>
      <w:pPr>
        <w:ind w:left="1080" w:right="1119"/>
        <w:spacing w:after="0" w:line="268" w:lineRule="auto"/>
        <w:rPr>
          <w:sz w:val="20"/>
          <w:szCs w:val="20"/>
          <w:color w:val="auto"/>
        </w:rPr>
      </w:pPr>
      <w:r>
        <w:rPr>
          <w:rFonts w:ascii="Arial" w:cs="Arial" w:eastAsia="Arial" w:hAnsi="Arial"/>
          <w:sz w:val="15"/>
          <w:szCs w:val="15"/>
          <w:b w:val="1"/>
          <w:bCs w:val="1"/>
          <w:i w:val="1"/>
          <w:iCs w:val="1"/>
          <w:color w:val="auto"/>
        </w:rPr>
        <w:t xml:space="preserve">Art. 26. Appropriation of Profits. </w:t>
      </w:r>
      <w:r>
        <w:rPr>
          <w:rFonts w:ascii="Arial" w:cs="Arial" w:eastAsia="Arial" w:hAnsi="Arial"/>
          <w:sz w:val="15"/>
          <w:szCs w:val="15"/>
          <w:i w:val="1"/>
          <w:iCs w:val="1"/>
          <w:color w:val="auto"/>
        </w:rPr>
        <w:t>From the annual net profits of the Company, five percent (5%)</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shall be allocated to the reserve required by the Law. That allocation will cease to be required as soon and as long as such reserve amounts to ten percent (10%) of the issued share capital of the Company.</w:t>
      </w:r>
    </w:p>
    <w:p>
      <w:pPr>
        <w:spacing w:after="0" w:line="78" w:lineRule="exact"/>
        <w:rPr>
          <w:sz w:val="20"/>
          <w:szCs w:val="20"/>
          <w:color w:val="auto"/>
        </w:rPr>
      </w:pPr>
    </w:p>
    <w:p>
      <w:pPr>
        <w:ind w:left="1080" w:right="1119"/>
        <w:spacing w:after="0" w:line="261" w:lineRule="auto"/>
        <w:rPr>
          <w:sz w:val="20"/>
          <w:szCs w:val="20"/>
          <w:color w:val="auto"/>
        </w:rPr>
      </w:pPr>
      <w:r>
        <w:rPr>
          <w:rFonts w:ascii="Arial" w:cs="Arial" w:eastAsia="Arial" w:hAnsi="Arial"/>
          <w:sz w:val="15"/>
          <w:szCs w:val="15"/>
          <w:i w:val="1"/>
          <w:iCs w:val="1"/>
          <w:color w:val="auto"/>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spacing w:after="0" w:line="95" w:lineRule="exact"/>
        <w:rPr>
          <w:sz w:val="20"/>
          <w:szCs w:val="20"/>
          <w:color w:val="auto"/>
        </w:rPr>
      </w:pPr>
    </w:p>
    <w:p>
      <w:pPr>
        <w:ind w:left="1080" w:right="1199"/>
        <w:spacing w:after="0" w:line="259" w:lineRule="auto"/>
        <w:rPr>
          <w:sz w:val="20"/>
          <w:szCs w:val="20"/>
          <w:color w:val="auto"/>
        </w:rPr>
      </w:pPr>
      <w:r>
        <w:rPr>
          <w:rFonts w:ascii="Arial" w:cs="Arial" w:eastAsia="Arial" w:hAnsi="Arial"/>
          <w:sz w:val="15"/>
          <w:szCs w:val="15"/>
          <w:i w:val="1"/>
          <w:iCs w:val="1"/>
          <w:color w:val="auto"/>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VI. Dissolution, Liquidation of the Company</w:t>
      </w:r>
    </w:p>
    <w:p>
      <w:pPr>
        <w:spacing w:after="0" w:line="120" w:lineRule="exact"/>
        <w:rPr>
          <w:sz w:val="20"/>
          <w:szCs w:val="20"/>
          <w:color w:val="auto"/>
        </w:rPr>
      </w:pPr>
    </w:p>
    <w:p>
      <w:pPr>
        <w:ind w:left="1080" w:right="1159"/>
        <w:spacing w:after="0" w:line="268" w:lineRule="auto"/>
        <w:rPr>
          <w:sz w:val="20"/>
          <w:szCs w:val="20"/>
          <w:color w:val="auto"/>
        </w:rPr>
      </w:pPr>
      <w:r>
        <w:rPr>
          <w:rFonts w:ascii="Arial" w:cs="Arial" w:eastAsia="Arial" w:hAnsi="Arial"/>
          <w:sz w:val="15"/>
          <w:szCs w:val="15"/>
          <w:b w:val="1"/>
          <w:bCs w:val="1"/>
          <w:i w:val="1"/>
          <w:iCs w:val="1"/>
          <w:color w:val="auto"/>
        </w:rPr>
        <w:t xml:space="preserve">Art. 27. Dissolution, Liquidation. </w:t>
      </w:r>
      <w:r>
        <w:rPr>
          <w:rFonts w:ascii="Arial" w:cs="Arial" w:eastAsia="Arial" w:hAnsi="Arial"/>
          <w:sz w:val="15"/>
          <w:szCs w:val="15"/>
          <w:i w:val="1"/>
          <w:iCs w:val="1"/>
          <w:color w:val="auto"/>
        </w:rPr>
        <w:t>Upon the affirmative proposal of the Board of Directors,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Company may be dissolved by a decision of the general meeting of shareholders voting with the same quorum and majority as for the amendment of these Articles, unless otherwise provided by the Law.</w:t>
      </w:r>
    </w:p>
    <w:p>
      <w:pPr>
        <w:spacing w:after="0" w:line="89" w:lineRule="exact"/>
        <w:rPr>
          <w:sz w:val="20"/>
          <w:szCs w:val="20"/>
          <w:color w:val="auto"/>
        </w:rPr>
      </w:pPr>
    </w:p>
    <w:p>
      <w:pPr>
        <w:ind w:left="1080" w:right="1119"/>
        <w:spacing w:after="0" w:line="267" w:lineRule="auto"/>
        <w:rPr>
          <w:sz w:val="20"/>
          <w:szCs w:val="20"/>
          <w:color w:val="auto"/>
        </w:rPr>
      </w:pPr>
      <w:r>
        <w:rPr>
          <w:rFonts w:ascii="Arial" w:cs="Arial" w:eastAsia="Arial" w:hAnsi="Arial"/>
          <w:sz w:val="15"/>
          <w:szCs w:val="15"/>
          <w:i w:val="1"/>
          <w:iCs w:val="1"/>
          <w:color w:val="auto"/>
        </w:rPr>
        <w:t>Should the Company be dissolved, the liquidation will be carried out by one or more liquidators (who may be physical persons or legal entities) appointed by the general meeting of shareholders, which will determine their powers and their compensation.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5706745"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2" w:name="page73"/>
    <w:bookmarkEnd w:id="7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1179"/>
        <w:spacing w:after="0" w:line="259" w:lineRule="auto"/>
        <w:rPr>
          <w:sz w:val="20"/>
          <w:szCs w:val="20"/>
          <w:color w:val="auto"/>
        </w:rPr>
      </w:pPr>
      <w:r>
        <w:rPr>
          <w:rFonts w:ascii="Arial" w:cs="Arial" w:eastAsia="Arial" w:hAnsi="Arial"/>
          <w:sz w:val="15"/>
          <w:szCs w:val="15"/>
          <w:i w:val="1"/>
          <w:iCs w:val="1"/>
          <w:color w:val="auto"/>
        </w:rPr>
        <w:t>After payment of all the debts of and charges against the Company and of the expenses of liquidation, the net assets shall be distributed equally to the shareholders pro rata to the number of the Shares held by them.</w:t>
      </w:r>
    </w:p>
    <w:p>
      <w:pPr>
        <w:spacing w:after="0" w:line="84" w:lineRule="exact"/>
        <w:rPr>
          <w:sz w:val="20"/>
          <w:szCs w:val="20"/>
          <w:color w:val="auto"/>
        </w:rPr>
      </w:pPr>
    </w:p>
    <w:p>
      <w:pPr>
        <w:ind w:left="1080" w:right="1139"/>
        <w:spacing w:after="0" w:line="259" w:lineRule="auto"/>
        <w:rPr>
          <w:sz w:val="20"/>
          <w:szCs w:val="20"/>
          <w:color w:val="auto"/>
        </w:rPr>
      </w:pPr>
      <w:r>
        <w:rPr>
          <w:rFonts w:ascii="Arial" w:cs="Arial" w:eastAsia="Arial" w:hAnsi="Arial"/>
          <w:sz w:val="15"/>
          <w:szCs w:val="15"/>
          <w:i w:val="1"/>
          <w:iCs w:val="1"/>
          <w:color w:val="auto"/>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VII. Applicable Law</w:t>
      </w:r>
    </w:p>
    <w:p>
      <w:pPr>
        <w:spacing w:after="0" w:line="120" w:lineRule="exact"/>
        <w:rPr>
          <w:sz w:val="20"/>
          <w:szCs w:val="20"/>
          <w:color w:val="auto"/>
        </w:rPr>
      </w:pPr>
    </w:p>
    <w:p>
      <w:pPr>
        <w:ind w:left="1080" w:right="1859"/>
        <w:spacing w:after="0" w:line="286" w:lineRule="auto"/>
        <w:rPr>
          <w:sz w:val="20"/>
          <w:szCs w:val="20"/>
          <w:color w:val="auto"/>
        </w:rPr>
      </w:pPr>
      <w:r>
        <w:rPr>
          <w:rFonts w:ascii="Arial" w:cs="Arial" w:eastAsia="Arial" w:hAnsi="Arial"/>
          <w:sz w:val="15"/>
          <w:szCs w:val="15"/>
          <w:b w:val="1"/>
          <w:bCs w:val="1"/>
          <w:i w:val="1"/>
          <w:iCs w:val="1"/>
          <w:color w:val="auto"/>
        </w:rPr>
        <w:t xml:space="preserve">Art. 28. Applicable Law. </w:t>
      </w:r>
      <w:r>
        <w:rPr>
          <w:rFonts w:ascii="Arial" w:cs="Arial" w:eastAsia="Arial" w:hAnsi="Arial"/>
          <w:sz w:val="15"/>
          <w:szCs w:val="15"/>
          <w:i w:val="1"/>
          <w:iCs w:val="1"/>
          <w:color w:val="auto"/>
        </w:rPr>
        <w:t>All matters not governed by these Articles shall be determined in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accordance with applicable Luxembourg Law.</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 xml:space="preserve">SUIT LA TRADUCTION </w:t>
      </w:r>
      <w:r>
        <w:rPr>
          <w:rFonts w:ascii="Arial" w:cs="Arial" w:eastAsia="Arial" w:hAnsi="Arial"/>
          <w:sz w:val="15"/>
          <w:szCs w:val="15"/>
          <w:b w:val="1"/>
          <w:bCs w:val="1"/>
          <w:color w:val="FF0000"/>
          <w:strike w:val="1"/>
        </w:rPr>
        <w:t>FRANCAISE</w:t>
      </w:r>
      <w:r>
        <w:rPr>
          <w:rFonts w:ascii="Arial" w:cs="Arial" w:eastAsia="Arial" w:hAnsi="Arial"/>
          <w:sz w:val="15"/>
          <w:szCs w:val="15"/>
          <w:i w:val="1"/>
          <w:iCs w:val="1"/>
          <w:u w:val="single" w:color="auto"/>
          <w:color w:val="0000FF"/>
        </w:rPr>
        <w:t>FRANÇAISE</w:t>
      </w:r>
      <w:r>
        <w:rPr>
          <w:rFonts w:ascii="Arial" w:cs="Arial" w:eastAsia="Arial" w:hAnsi="Arial"/>
          <w:sz w:val="15"/>
          <w:szCs w:val="15"/>
          <w:b w:val="1"/>
          <w:bCs w:val="1"/>
          <w:color w:val="auto"/>
        </w:rPr>
        <w:t xml:space="preserve"> DU TEXTE QUI </w:t>
      </w:r>
      <w:r>
        <w:rPr>
          <w:rFonts w:ascii="Arial" w:cs="Arial" w:eastAsia="Arial" w:hAnsi="Arial"/>
          <w:sz w:val="15"/>
          <w:szCs w:val="15"/>
          <w:b w:val="1"/>
          <w:bCs w:val="1"/>
          <w:color w:val="FF0000"/>
          <w:strike w:val="1"/>
        </w:rPr>
        <w:t>PRECEDE</w:t>
      </w:r>
      <w:r>
        <w:rPr>
          <w:rFonts w:ascii="Arial" w:cs="Arial" w:eastAsia="Arial" w:hAnsi="Arial"/>
          <w:sz w:val="15"/>
          <w:szCs w:val="15"/>
          <w:i w:val="1"/>
          <w:iCs w:val="1"/>
          <w:u w:val="single" w:color="auto"/>
          <w:color w:val="0000FF"/>
        </w:rPr>
        <w:t>PRÉCÈDE</w:t>
      </w:r>
      <w:r>
        <w:rPr>
          <w:rFonts w:ascii="Arial" w:cs="Arial" w:eastAsia="Arial" w:hAnsi="Arial"/>
          <w:sz w:val="15"/>
          <w:szCs w:val="15"/>
          <w:b w:val="1"/>
          <w:bCs w:val="1"/>
          <w:color w:val="auto"/>
        </w:rPr>
        <w:t xml:space="preserve"> :</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5"/>
          <w:szCs w:val="15"/>
          <w:b w:val="1"/>
          <w:bCs w:val="1"/>
          <w:i w:val="1"/>
          <w:iCs w:val="1"/>
          <w:color w:val="auto"/>
        </w:rPr>
        <w:t>Chapitre I er . Forme, Dénomination Sociale, Siège, Objet, Durée</w:t>
      </w:r>
    </w:p>
    <w:p>
      <w:pPr>
        <w:spacing w:after="0" w:line="102" w:lineRule="exact"/>
        <w:rPr>
          <w:sz w:val="20"/>
          <w:szCs w:val="20"/>
          <w:color w:val="auto"/>
        </w:rPr>
      </w:pPr>
    </w:p>
    <w:p>
      <w:pPr>
        <w:ind w:left="1080" w:right="1279"/>
        <w:spacing w:after="0" w:line="239" w:lineRule="auto"/>
        <w:rPr>
          <w:sz w:val="20"/>
          <w:szCs w:val="20"/>
          <w:color w:val="auto"/>
        </w:rPr>
      </w:pPr>
      <w:r>
        <w:rPr>
          <w:rFonts w:ascii="Arial" w:cs="Arial" w:eastAsia="Arial" w:hAnsi="Arial"/>
          <w:sz w:val="15"/>
          <w:szCs w:val="15"/>
          <w:b w:val="1"/>
          <w:bCs w:val="1"/>
          <w:i w:val="1"/>
          <w:iCs w:val="1"/>
          <w:color w:val="auto"/>
        </w:rPr>
        <w:t xml:space="preserve">Art. 1 </w:t>
      </w:r>
      <w:r>
        <w:rPr>
          <w:rFonts w:ascii="Arial" w:cs="Arial" w:eastAsia="Arial" w:hAnsi="Arial"/>
          <w:sz w:val="22"/>
          <w:szCs w:val="22"/>
          <w:b w:val="1"/>
          <w:bCs w:val="1"/>
          <w:color w:val="FF0000"/>
          <w:strike w:val="1"/>
          <w:vertAlign w:val="superscript"/>
        </w:rPr>
        <w:t>er</w:t>
      </w:r>
      <w:r>
        <w:rPr>
          <w:rFonts w:ascii="Arial" w:cs="Arial" w:eastAsia="Arial" w:hAnsi="Arial"/>
          <w:sz w:val="15"/>
          <w:szCs w:val="15"/>
          <w:b w:val="1"/>
          <w:bCs w:val="1"/>
          <w:i w:val="1"/>
          <w:iCs w:val="1"/>
          <w:color w:val="auto"/>
        </w:rPr>
        <w:t xml:space="preserve"> . Forme, Dénomination Sociale. </w:t>
      </w:r>
      <w:r>
        <w:rPr>
          <w:rFonts w:ascii="Arial" w:cs="Arial" w:eastAsia="Arial" w:hAnsi="Arial"/>
          <w:sz w:val="15"/>
          <w:szCs w:val="15"/>
          <w:i w:val="1"/>
          <w:iCs w:val="1"/>
          <w:color w:val="auto"/>
        </w:rPr>
        <w:t>Il est formé par le(s) souscripteur(s) et toutes les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personnes qui pourraient devenir détenteurs des actions de la société émises </w:t>
      </w:r>
      <w:r>
        <w:rPr>
          <w:rFonts w:ascii="Arial" w:cs="Arial" w:eastAsia="Arial" w:hAnsi="Arial"/>
          <w:sz w:val="15"/>
          <w:szCs w:val="15"/>
          <w:color w:val="FF0000"/>
          <w:strike w:val="1"/>
        </w:rPr>
        <w:t>ciaprès</w:t>
      </w:r>
      <w:r>
        <w:rPr>
          <w:rFonts w:ascii="Arial" w:cs="Arial" w:eastAsia="Arial" w:hAnsi="Arial"/>
          <w:sz w:val="15"/>
          <w:szCs w:val="15"/>
          <w:i w:val="1"/>
          <w:iCs w:val="1"/>
          <w:u w:val="single" w:color="auto"/>
          <w:color w:val="0000FF"/>
        </w:rPr>
        <w:t>ci-après</w:t>
      </w:r>
      <w:r>
        <w:rPr>
          <w:rFonts w:ascii="Arial" w:cs="Arial" w:eastAsia="Arial" w:hAnsi="Arial"/>
          <w:sz w:val="15"/>
          <w:szCs w:val="15"/>
          <w:i w:val="1"/>
          <w:iCs w:val="1"/>
          <w:color w:val="auto"/>
        </w:rPr>
        <w:t>, une société sous la forme d’une société anonyme (la “</w:t>
      </w:r>
      <w:r>
        <w:rPr>
          <w:rFonts w:ascii="Arial" w:cs="Arial" w:eastAsia="Arial" w:hAnsi="Arial"/>
          <w:sz w:val="15"/>
          <w:szCs w:val="15"/>
          <w:b w:val="1"/>
          <w:bCs w:val="1"/>
          <w:i w:val="1"/>
          <w:iCs w:val="1"/>
          <w:color w:val="auto"/>
        </w:rPr>
        <w:t>Société</w:t>
      </w:r>
      <w:r>
        <w:rPr>
          <w:rFonts w:ascii="Arial" w:cs="Arial" w:eastAsia="Arial" w:hAnsi="Arial"/>
          <w:sz w:val="15"/>
          <w:szCs w:val="15"/>
          <w:i w:val="1"/>
          <w:iCs w:val="1"/>
          <w:color w:val="auto"/>
        </w:rPr>
        <w:t>”) régie par les lois du Grand-Duché de Luxembourg, notamment par la loi du 10 août 1915 concernant les sociétés commerciales, telle que modifiée (la “</w:t>
      </w:r>
      <w:r>
        <w:rPr>
          <w:rFonts w:ascii="Arial" w:cs="Arial" w:eastAsia="Arial" w:hAnsi="Arial"/>
          <w:sz w:val="15"/>
          <w:szCs w:val="15"/>
          <w:b w:val="1"/>
          <w:bCs w:val="1"/>
          <w:i w:val="1"/>
          <w:iCs w:val="1"/>
          <w:color w:val="auto"/>
        </w:rPr>
        <w:t>Loi</w:t>
      </w:r>
      <w:r>
        <w:rPr>
          <w:rFonts w:ascii="Arial" w:cs="Arial" w:eastAsia="Arial" w:hAnsi="Arial"/>
          <w:sz w:val="15"/>
          <w:szCs w:val="15"/>
          <w:i w:val="1"/>
          <w:iCs w:val="1"/>
          <w:color w:val="auto"/>
        </w:rPr>
        <w:t>”), par l’article 1832 du Code Civil luxembourgeois, tel que modifié (le “</w:t>
      </w:r>
      <w:r>
        <w:rPr>
          <w:rFonts w:ascii="Arial" w:cs="Arial" w:eastAsia="Arial" w:hAnsi="Arial"/>
          <w:sz w:val="15"/>
          <w:szCs w:val="15"/>
          <w:b w:val="1"/>
          <w:bCs w:val="1"/>
          <w:i w:val="1"/>
          <w:iCs w:val="1"/>
          <w:color w:val="auto"/>
        </w:rPr>
        <w:t>Code Civil</w:t>
      </w:r>
      <w:r>
        <w:rPr>
          <w:rFonts w:ascii="Arial" w:cs="Arial" w:eastAsia="Arial" w:hAnsi="Arial"/>
          <w:sz w:val="15"/>
          <w:szCs w:val="15"/>
          <w:i w:val="1"/>
          <w:iCs w:val="1"/>
          <w:color w:val="auto"/>
        </w:rPr>
        <w:t>”), ainsi que par les présents statuts (les “</w:t>
      </w:r>
      <w:r>
        <w:rPr>
          <w:rFonts w:ascii="Arial" w:cs="Arial" w:eastAsia="Arial" w:hAnsi="Arial"/>
          <w:sz w:val="15"/>
          <w:szCs w:val="15"/>
          <w:b w:val="1"/>
          <w:bCs w:val="1"/>
          <w:i w:val="1"/>
          <w:iCs w:val="1"/>
          <w:color w:val="auto"/>
        </w:rPr>
        <w:t>Statuts</w:t>
      </w:r>
      <w:r>
        <w:rPr>
          <w:rFonts w:ascii="Arial" w:cs="Arial" w:eastAsia="Arial" w:hAnsi="Arial"/>
          <w:sz w:val="15"/>
          <w:szCs w:val="15"/>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-626110</wp:posOffset>
            </wp:positionV>
            <wp:extent cx="2667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670" cy="698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-626110</wp:posOffset>
            </wp:positionV>
            <wp:extent cx="2667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 xml:space="preserve">La Société </w:t>
      </w:r>
      <w:r>
        <w:rPr>
          <w:rFonts w:ascii="Arial" w:cs="Arial" w:eastAsia="Arial" w:hAnsi="Arial"/>
          <w:sz w:val="15"/>
          <w:szCs w:val="15"/>
          <w:color w:val="FF0000"/>
          <w:strike w:val="1"/>
        </w:rPr>
        <w:t>adopte</w:t>
      </w:r>
      <w:r>
        <w:rPr>
          <w:rFonts w:ascii="Arial" w:cs="Arial" w:eastAsia="Arial" w:hAnsi="Arial"/>
          <w:sz w:val="15"/>
          <w:szCs w:val="15"/>
          <w:i w:val="1"/>
          <w:iCs w:val="1"/>
          <w:u w:val="single" w:color="auto"/>
          <w:color w:val="0000FF"/>
        </w:rPr>
        <w:t>existe sous</w:t>
      </w:r>
      <w:r>
        <w:rPr>
          <w:rFonts w:ascii="Arial" w:cs="Arial" w:eastAsia="Arial" w:hAnsi="Arial"/>
          <w:sz w:val="15"/>
          <w:szCs w:val="15"/>
          <w:i w:val="1"/>
          <w:iCs w:val="1"/>
          <w:color w:val="auto"/>
        </w:rPr>
        <w:t xml:space="preserve"> la dénomination “</w:t>
      </w:r>
      <w:r>
        <w:rPr>
          <w:rFonts w:ascii="Arial" w:cs="Arial" w:eastAsia="Arial" w:hAnsi="Arial"/>
          <w:sz w:val="15"/>
          <w:szCs w:val="15"/>
          <w:b w:val="1"/>
          <w:bCs w:val="1"/>
          <w:i w:val="1"/>
          <w:iCs w:val="1"/>
          <w:color w:val="auto"/>
        </w:rPr>
        <w:t>Altisource Portfolio Solutions S.A.</w:t>
      </w:r>
      <w:r>
        <w:rPr>
          <w:rFonts w:ascii="Arial" w:cs="Arial" w:eastAsia="Arial" w:hAnsi="Arial"/>
          <w:sz w:val="15"/>
          <w:szCs w:val="15"/>
          <w:i w:val="1"/>
          <w:iCs w:val="1"/>
          <w:color w:val="auto"/>
        </w:rPr>
        <w:t>”</w:t>
      </w:r>
    </w:p>
    <w:p>
      <w:pPr>
        <w:spacing w:after="0" w:line="120" w:lineRule="exact"/>
        <w:rPr>
          <w:sz w:val="20"/>
          <w:szCs w:val="20"/>
          <w:color w:val="auto"/>
        </w:rPr>
      </w:pPr>
    </w:p>
    <w:p>
      <w:pPr>
        <w:ind w:left="1080" w:right="1439"/>
        <w:spacing w:after="0" w:line="260" w:lineRule="auto"/>
        <w:rPr>
          <w:sz w:val="20"/>
          <w:szCs w:val="20"/>
          <w:color w:val="auto"/>
        </w:rPr>
      </w:pPr>
      <w:r>
        <w:rPr>
          <w:rFonts w:ascii="Arial" w:cs="Arial" w:eastAsia="Arial" w:hAnsi="Arial"/>
          <w:sz w:val="15"/>
          <w:szCs w:val="15"/>
          <w:b w:val="1"/>
          <w:bCs w:val="1"/>
          <w:i w:val="1"/>
          <w:iCs w:val="1"/>
          <w:color w:val="auto"/>
        </w:rPr>
        <w:t xml:space="preserve">Art. 2. Siège Social. </w:t>
      </w:r>
      <w:r>
        <w:rPr>
          <w:rFonts w:ascii="Arial" w:cs="Arial" w:eastAsia="Arial" w:hAnsi="Arial"/>
          <w:sz w:val="15"/>
          <w:szCs w:val="15"/>
          <w:i w:val="1"/>
          <w:iCs w:val="1"/>
          <w:color w:val="auto"/>
        </w:rPr>
        <w:t>Le siège social est établi à</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u w:val="single" w:color="auto"/>
          <w:color w:val="0000FF"/>
        </w:rPr>
        <w:t>la ville de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Luxembourg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FF0000"/>
        </w:rPr>
        <w:t>Ville</w:t>
      </w:r>
      <w:r>
        <w:rPr>
          <w:rFonts w:ascii="Arial" w:cs="Arial" w:eastAsia="Arial" w:hAnsi="Arial"/>
          <w:sz w:val="15"/>
          <w:szCs w:val="15"/>
          <w:i w:val="1"/>
          <w:iCs w:val="1"/>
          <w:color w:val="auto"/>
        </w:rPr>
        <w:t>. Le Conseil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d’Administration (tel que défini à l’article 11), est autorisé à changer l’adresse du siège social de la Société au sein du Grand-Duché de Luxembourg et à modifier ces Statuts en conséquence.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-295910</wp:posOffset>
            </wp:positionV>
            <wp:extent cx="23368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3680" cy="6985"/>
                    </a:xfrm>
                    <a:prstGeom prst="rect">
                      <a:avLst/>
                    </a:prstGeom>
                    <a:noFill/>
                  </pic:spPr>
                </pic:pic>
              </a:graphicData>
            </a:graphic>
          </wp:anchor>
        </w:drawing>
      </w:r>
    </w:p>
    <w:p>
      <w:pPr>
        <w:spacing w:after="0" w:line="64" w:lineRule="exact"/>
        <w:rPr>
          <w:sz w:val="20"/>
          <w:szCs w:val="20"/>
          <w:color w:val="auto"/>
        </w:rPr>
      </w:pPr>
    </w:p>
    <w:p>
      <w:pPr>
        <w:ind w:left="1080" w:right="1139"/>
        <w:spacing w:after="0" w:line="244" w:lineRule="auto"/>
        <w:rPr>
          <w:sz w:val="20"/>
          <w:szCs w:val="20"/>
          <w:color w:val="auto"/>
        </w:rPr>
      </w:pPr>
      <w:r>
        <w:rPr>
          <w:rFonts w:ascii="Arial" w:cs="Arial" w:eastAsia="Arial" w:hAnsi="Arial"/>
          <w:sz w:val="15"/>
          <w:szCs w:val="15"/>
          <w:i w:val="1"/>
          <w:iCs w:val="1"/>
          <w:color w:val="auto"/>
        </w:rPr>
        <w:t>Des succursales ou autres bureaux peuvent être établis soit au Grand-Duché de Luxembourg, soit à l’étranger par une décision du Conseil d’Administration. Si le Conseil d’Administration détermine que des événements extraordinaires d’ordre politique, économique ou social sont de nature à compromettre l’activité normale de la société au siège social ou la communication aisée avec ce siège ou entre ce siège et des personnes à l’étranger ou que de tels événements sont imminents, il pourra transférer temporairement le siège social à l’étranger jusqu’à cessation complète de ces circonstances anormales. Ces mesures provisoires n’auront aucun effet sur la nationalité de la Société, laquelle, nonobstant ce transfert provisoire du siège, restera régie par la loi du Grand-Duché de Luxembourg. Ces mesures temporaires seront prises et notifiées aux parties intéressées par un des organes ou personnes en charge de la gestion journalière de la Société.</w:t>
      </w:r>
    </w:p>
    <w:p>
      <w:pPr>
        <w:spacing w:after="0" w:line="92" w:lineRule="exact"/>
        <w:rPr>
          <w:sz w:val="20"/>
          <w:szCs w:val="20"/>
          <w:color w:val="auto"/>
        </w:rPr>
      </w:pPr>
    </w:p>
    <w:p>
      <w:pPr>
        <w:ind w:left="1080" w:right="1139"/>
        <w:spacing w:after="0" w:line="246" w:lineRule="auto"/>
        <w:rPr>
          <w:sz w:val="20"/>
          <w:szCs w:val="20"/>
          <w:color w:val="auto"/>
        </w:rPr>
      </w:pPr>
      <w:r>
        <w:rPr>
          <w:rFonts w:ascii="Arial" w:cs="Arial" w:eastAsia="Arial" w:hAnsi="Arial"/>
          <w:sz w:val="15"/>
          <w:szCs w:val="15"/>
          <w:b w:val="1"/>
          <w:bCs w:val="1"/>
          <w:i w:val="1"/>
          <w:iCs w:val="1"/>
          <w:color w:val="auto"/>
        </w:rPr>
        <w:t xml:space="preserve">Art. 3. Objet. </w:t>
      </w:r>
      <w:r>
        <w:rPr>
          <w:rFonts w:ascii="Arial" w:cs="Arial" w:eastAsia="Arial" w:hAnsi="Arial"/>
          <w:sz w:val="15"/>
          <w:szCs w:val="15"/>
          <w:i w:val="1"/>
          <w:iCs w:val="1"/>
          <w:color w:val="auto"/>
        </w:rPr>
        <w:t>La Société a pour objet la prise de participations directes ou indirectes, la gestion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continue et la vente de ces participations, sous n’importe quelle forme, dans toutes entreprises luxembourgeoises et étrangères, en particulier dans les domaines de l’outsourcing, la gestion de relation clientèle et les services de technologie dans l’immobilier, les hypothèques et les industries des services financiers au consommateur ainsi que l’administration, la gestion et la mise en valeur de ces participations. La Société peut aussi détenir, gérer et exploiter les droits de propriété intellectuelle et prester des services à d’autres sociétés du groupe et à des tiers.</w:t>
      </w:r>
    </w:p>
    <w:p>
      <w:pPr>
        <w:spacing w:after="0" w:line="94" w:lineRule="exact"/>
        <w:rPr>
          <w:sz w:val="20"/>
          <w:szCs w:val="20"/>
          <w:color w:val="auto"/>
        </w:rPr>
      </w:pPr>
    </w:p>
    <w:p>
      <w:pPr>
        <w:ind w:left="1080" w:right="1119"/>
        <w:spacing w:after="0" w:line="243" w:lineRule="auto"/>
        <w:rPr>
          <w:sz w:val="20"/>
          <w:szCs w:val="20"/>
          <w:color w:val="auto"/>
        </w:rPr>
      </w:pPr>
      <w:r>
        <w:rPr>
          <w:rFonts w:ascii="Arial" w:cs="Arial" w:eastAsia="Arial" w:hAnsi="Arial"/>
          <w:sz w:val="15"/>
          <w:szCs w:val="15"/>
          <w:i w:val="1"/>
          <w:iCs w:val="1"/>
          <w:color w:val="auto"/>
        </w:rPr>
        <w:t>La Société peut (i) investir, acquérir, vendre, octroyer ou émettre des prêts, des obligations ou autres instruments de dettes, des actions, des bons de souscription et autres instruments de capital incluant sans s’y limiter des actions, prêts, obligations, reconnaissances de dettes et autres formes de dettes, actions de capital-actions, participations dans une association (limited partnership), participations dans une société à responsabilité limitée (limited liability company), effets, débentures, actions préférentielles, valeurs mobilières et swaps et toute combinaison de ce qui précède, qu’ils soient facilement réalisables ou non, ainsi que des engagements (incluant mais non limité à des engagements relatives à des valeurs synthétiques) de sociétés, entités ou autres personnes juridiques de tout type; (ii) s’engager dans d’autres activités que la Société juge nécessaires, souhaitables, utiles, accessoires à ou non incompatibles avec ce qui précède; et (iii) accorder des gages, des garanties et des contrats d’indemnisation, de toute nature, à des entités luxembourgeoises ou aux entités étrangères en ce qui concerne ses propres obligations et dettes ou des obligations et dettes de toute autre personne.</w:t>
      </w:r>
    </w:p>
    <w:p>
      <w:pPr>
        <w:spacing w:after="0" w:line="96" w:lineRule="exact"/>
        <w:rPr>
          <w:sz w:val="20"/>
          <w:szCs w:val="20"/>
          <w:color w:val="auto"/>
        </w:rPr>
      </w:pPr>
    </w:p>
    <w:p>
      <w:pPr>
        <w:ind w:left="1080" w:right="1219"/>
        <w:spacing w:after="0" w:line="251" w:lineRule="auto"/>
        <w:rPr>
          <w:sz w:val="20"/>
          <w:szCs w:val="20"/>
          <w:color w:val="auto"/>
        </w:rPr>
      </w:pPr>
      <w:r>
        <w:rPr>
          <w:rFonts w:ascii="Arial" w:cs="Arial" w:eastAsia="Arial" w:hAnsi="Arial"/>
          <w:sz w:val="15"/>
          <w:szCs w:val="15"/>
          <w:i w:val="1"/>
          <w:iCs w:val="1"/>
          <w:color w:val="auto"/>
        </w:rPr>
        <w:t>La Société peut aussi utiliser ses fonds pour investir dans l’immobilier, les droits de propriété intellectuelle ou dans tout autre actif mobilier ou immobilier de toute sorte ou toute forme. De manière générale, la Société peut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3" w:name="page74"/>
    <w:bookmarkEnd w:id="73"/>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2099"/>
        <w:spacing w:after="0" w:line="283" w:lineRule="auto"/>
        <w:rPr>
          <w:sz w:val="20"/>
          <w:szCs w:val="20"/>
          <w:color w:val="auto"/>
        </w:rPr>
      </w:pPr>
      <w:r>
        <w:rPr>
          <w:rFonts w:ascii="Arial" w:cs="Arial" w:eastAsia="Arial" w:hAnsi="Arial"/>
          <w:sz w:val="15"/>
          <w:szCs w:val="15"/>
          <w:i w:val="1"/>
          <w:iCs w:val="1"/>
          <w:color w:val="auto"/>
        </w:rPr>
        <w:t>effectuer toute opération commerciale, industrielle ou financière qu’elle jugera utile dans l’accomplissement et le développement de son objet.</w:t>
      </w:r>
    </w:p>
    <w:p>
      <w:pPr>
        <w:spacing w:after="0" w:line="66" w:lineRule="exact"/>
        <w:rPr>
          <w:sz w:val="20"/>
          <w:szCs w:val="20"/>
          <w:color w:val="auto"/>
        </w:rPr>
      </w:pPr>
    </w:p>
    <w:p>
      <w:pPr>
        <w:ind w:left="1080" w:right="1159"/>
        <w:spacing w:after="0" w:line="247" w:lineRule="auto"/>
        <w:rPr>
          <w:sz w:val="20"/>
          <w:szCs w:val="20"/>
          <w:color w:val="auto"/>
        </w:rPr>
      </w:pPr>
      <w:r>
        <w:rPr>
          <w:rFonts w:ascii="Arial" w:cs="Arial" w:eastAsia="Arial" w:hAnsi="Arial"/>
          <w:sz w:val="15"/>
          <w:szCs w:val="15"/>
          <w:i w:val="1"/>
          <w:iCs w:val="1"/>
          <w:color w:val="auto"/>
        </w:rPr>
        <w:t>La Société peut également accorder toute forme d’assistance financière aux entreprises dans lesquelles la Société a une participation ou qui font partie du groupe de sociétés auxquelles appartient la Société, y compris, mais sans s’y limiter, l’octroi de prêts et la fourniture de garanties ou de titres sous quelque forme que ce soit. La Société peut mettre en garantie, transférer, grever ou créer autrement une sûreté sur certains actifs ou sur l’ensemble de ses actifs.</w:t>
      </w:r>
    </w:p>
    <w:p>
      <w:pPr>
        <w:spacing w:after="0" w:line="93" w:lineRule="exact"/>
        <w:rPr>
          <w:sz w:val="20"/>
          <w:szCs w:val="20"/>
          <w:color w:val="auto"/>
        </w:rPr>
      </w:pPr>
    </w:p>
    <w:p>
      <w:pPr>
        <w:ind w:left="1080" w:right="1099"/>
        <w:spacing w:after="0" w:line="251" w:lineRule="auto"/>
        <w:rPr>
          <w:sz w:val="20"/>
          <w:szCs w:val="20"/>
          <w:color w:val="auto"/>
        </w:rPr>
      </w:pPr>
      <w:r>
        <w:rPr>
          <w:rFonts w:ascii="Arial" w:cs="Arial" w:eastAsia="Arial" w:hAnsi="Arial"/>
          <w:sz w:val="15"/>
          <w:szCs w:val="15"/>
          <w:i w:val="1"/>
          <w:iCs w:val="1"/>
          <w:color w:val="auto"/>
        </w:rPr>
        <w:t>De plus, la Société peut accorder occasionnellement une assistance sous quelque forme que ce soit (y compris, mais sans s’y limiter à l’octroi d’avances, des prêts, des crédits, des garanties ou de sûretés)</w:t>
      </w:r>
    </w:p>
    <w:p>
      <w:pPr>
        <w:spacing w:after="0" w:line="1" w:lineRule="exact"/>
        <w:rPr>
          <w:sz w:val="20"/>
          <w:szCs w:val="20"/>
          <w:color w:val="auto"/>
        </w:rPr>
      </w:pPr>
    </w:p>
    <w:p>
      <w:pPr>
        <w:ind w:left="1080" w:right="1179" w:hanging="1"/>
        <w:spacing w:after="0" w:line="243" w:lineRule="auto"/>
        <w:tabs>
          <w:tab w:leader="none" w:pos="1205" w:val="left"/>
        </w:tabs>
        <w:numPr>
          <w:ilvl w:val="0"/>
          <w:numId w:val="59"/>
        </w:numPr>
        <w:rPr>
          <w:rFonts w:ascii="Arial" w:cs="Arial" w:eastAsia="Arial" w:hAnsi="Arial"/>
          <w:sz w:val="15"/>
          <w:szCs w:val="15"/>
          <w:i w:val="1"/>
          <w:iCs w:val="1"/>
          <w:color w:val="auto"/>
        </w:rPr>
      </w:pPr>
      <w:r>
        <w:rPr>
          <w:rFonts w:ascii="Arial" w:cs="Arial" w:eastAsia="Arial" w:hAnsi="Arial"/>
          <w:sz w:val="15"/>
          <w:szCs w:val="15"/>
          <w:i w:val="1"/>
          <w:iCs w:val="1"/>
          <w:color w:val="auto"/>
        </w:rPr>
        <w:t>des tiers autres que le groupe de sociétés auxquels appartient la Société, sous réserve que cette assistance relève de l’intérêt de la Société et sous réserve que cette assistance ne déclenche aucune exigence d’une autorisation de la part de la Société. La Société peut participer à la création, au développement, à la gestion et au contrôle de toutes sociétés ou entreprises, directement ou indirectement, qui ont des objets similaires ou dont les objets sont étroitement liés à son propre objet.</w:t>
      </w:r>
    </w:p>
    <w:p>
      <w:pPr>
        <w:spacing w:after="0" w:line="95" w:lineRule="exact"/>
        <w:rPr>
          <w:sz w:val="20"/>
          <w:szCs w:val="20"/>
          <w:color w:val="auto"/>
        </w:rPr>
      </w:pPr>
    </w:p>
    <w:p>
      <w:pPr>
        <w:ind w:left="1080" w:right="1419"/>
        <w:spacing w:after="0" w:line="259" w:lineRule="auto"/>
        <w:rPr>
          <w:sz w:val="20"/>
          <w:szCs w:val="20"/>
          <w:color w:val="auto"/>
        </w:rPr>
      </w:pPr>
      <w:r>
        <w:rPr>
          <w:rFonts w:ascii="Arial" w:cs="Arial" w:eastAsia="Arial" w:hAnsi="Arial"/>
          <w:sz w:val="15"/>
          <w:szCs w:val="15"/>
          <w:i w:val="1"/>
          <w:iCs w:val="1"/>
          <w:color w:val="auto"/>
        </w:rPr>
        <w:t>D’une manière générale, la Société peut effectuer toute opération commerciale, industrielle ou financière et s’engager dans toute autre activité qu’elle jugera nécessaire, conseillée, appropriée, incidente à, ou non contradictoire avec l’accomplissement et le développement de ce qui précède.</w:t>
      </w:r>
    </w:p>
    <w:p>
      <w:pPr>
        <w:spacing w:after="0" w:line="82" w:lineRule="exact"/>
        <w:rPr>
          <w:sz w:val="20"/>
          <w:szCs w:val="20"/>
          <w:color w:val="auto"/>
        </w:rPr>
      </w:pPr>
    </w:p>
    <w:p>
      <w:pPr>
        <w:ind w:left="1080"/>
        <w:spacing w:after="0"/>
        <w:tabs>
          <w:tab w:leader="none" w:pos="2120" w:val="left"/>
        </w:tabs>
        <w:rPr>
          <w:sz w:val="20"/>
          <w:szCs w:val="20"/>
          <w:color w:val="auto"/>
        </w:rPr>
      </w:pPr>
      <w:r>
        <w:rPr>
          <w:rFonts w:ascii="Arial" w:cs="Arial" w:eastAsia="Arial" w:hAnsi="Arial"/>
          <w:sz w:val="15"/>
          <w:szCs w:val="15"/>
          <w:b w:val="1"/>
          <w:bCs w:val="1"/>
          <w:i w:val="1"/>
          <w:iCs w:val="1"/>
          <w:color w:val="auto"/>
        </w:rPr>
        <w:t>Art. 4. Durée.</w:t>
      </w:r>
      <w:r>
        <w:rPr>
          <w:sz w:val="20"/>
          <w:szCs w:val="20"/>
          <w:color w:val="auto"/>
        </w:rPr>
        <w:tab/>
      </w:r>
      <w:r>
        <w:rPr>
          <w:rFonts w:ascii="Arial" w:cs="Arial" w:eastAsia="Arial" w:hAnsi="Arial"/>
          <w:sz w:val="15"/>
          <w:szCs w:val="15"/>
          <w:i w:val="1"/>
          <w:iCs w:val="1"/>
          <w:color w:val="auto"/>
        </w:rPr>
        <w:t>La Société est constituée pour une durée illimitée.</w:t>
      </w:r>
    </w:p>
    <w:p>
      <w:pPr>
        <w:spacing w:after="0" w:line="188"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Chapitre II. Capital Social, Actions</w:t>
      </w:r>
    </w:p>
    <w:p>
      <w:pPr>
        <w:spacing w:after="0" w:line="120" w:lineRule="exact"/>
        <w:rPr>
          <w:sz w:val="20"/>
          <w:szCs w:val="20"/>
          <w:color w:val="auto"/>
        </w:rPr>
      </w:pPr>
    </w:p>
    <w:p>
      <w:pPr>
        <w:ind w:left="1080"/>
        <w:spacing w:after="0"/>
        <w:tabs>
          <w:tab w:leader="none" w:pos="2680" w:val="left"/>
        </w:tabs>
        <w:rPr>
          <w:sz w:val="20"/>
          <w:szCs w:val="20"/>
          <w:color w:val="auto"/>
        </w:rPr>
      </w:pPr>
      <w:r>
        <w:rPr>
          <w:rFonts w:ascii="Arial" w:cs="Arial" w:eastAsia="Arial" w:hAnsi="Arial"/>
          <w:sz w:val="15"/>
          <w:szCs w:val="15"/>
          <w:b w:val="1"/>
          <w:bCs w:val="1"/>
          <w:i w:val="1"/>
          <w:iCs w:val="1"/>
          <w:color w:val="auto"/>
        </w:rPr>
        <w:t>Art. 5. Capital Social.</w:t>
      </w:r>
      <w:r>
        <w:rPr>
          <w:sz w:val="20"/>
          <w:szCs w:val="20"/>
          <w:color w:val="auto"/>
        </w:rPr>
        <w:tab/>
      </w:r>
      <w:r>
        <w:rPr>
          <w:rFonts w:ascii="Arial" w:cs="Arial" w:eastAsia="Arial" w:hAnsi="Arial"/>
          <w:sz w:val="15"/>
          <w:szCs w:val="15"/>
          <w:i w:val="1"/>
          <w:iCs w:val="1"/>
          <w:color w:val="auto"/>
        </w:rPr>
        <w:t xml:space="preserve">Le capital social de la Société est fixé à </w:t>
      </w:r>
      <w:r>
        <w:rPr>
          <w:rFonts w:ascii="Arial" w:cs="Arial" w:eastAsia="Arial" w:hAnsi="Arial"/>
          <w:sz w:val="15"/>
          <w:szCs w:val="15"/>
          <w:color w:val="FF0000"/>
          <w:strike w:val="1"/>
        </w:rPr>
        <w:t>huit</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cent onze mille</w:t>
      </w:r>
      <w:r>
        <w:rPr>
          <w:rFonts w:ascii="Arial" w:cs="Arial" w:eastAsia="Arial" w:hAnsi="Arial"/>
          <w:sz w:val="15"/>
          <w:szCs w:val="15"/>
          <w:i w:val="1"/>
          <w:iCs w:val="1"/>
          <w:color w:val="auto"/>
        </w:rPr>
        <w:t xml:space="preserve"> cent quatre-vingt-</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 xml:space="preserve">neuf </w:t>
      </w:r>
      <w:r>
        <w:rPr>
          <w:rFonts w:ascii="Arial" w:cs="Arial" w:eastAsia="Arial" w:hAnsi="Arial"/>
          <w:sz w:val="15"/>
          <w:szCs w:val="15"/>
          <w:color w:val="FF0000"/>
          <w:strike w:val="1"/>
        </w:rPr>
        <w:t>mille cinq cent dix-neuf</w:t>
      </w:r>
      <w:r>
        <w:rPr>
          <w:rFonts w:ascii="Arial" w:cs="Arial" w:eastAsia="Arial" w:hAnsi="Arial"/>
          <w:sz w:val="15"/>
          <w:szCs w:val="15"/>
          <w:i w:val="1"/>
          <w:iCs w:val="1"/>
          <w:color w:val="auto"/>
        </w:rPr>
        <w:t xml:space="preserve"> dollars américains et </w:t>
      </w:r>
      <w:r>
        <w:rPr>
          <w:rFonts w:ascii="Arial" w:cs="Arial" w:eastAsia="Arial" w:hAnsi="Arial"/>
          <w:sz w:val="15"/>
          <w:szCs w:val="15"/>
          <w:i w:val="1"/>
          <w:iCs w:val="1"/>
          <w:u w:val="single" w:color="auto"/>
          <w:color w:val="0000FF"/>
        </w:rPr>
        <w:t>quatre-</w:t>
      </w:r>
      <w:r>
        <w:rPr>
          <w:rFonts w:ascii="Arial" w:cs="Arial" w:eastAsia="Arial" w:hAnsi="Arial"/>
          <w:sz w:val="15"/>
          <w:szCs w:val="15"/>
          <w:i w:val="1"/>
          <w:iCs w:val="1"/>
          <w:color w:val="auto"/>
        </w:rPr>
        <w:t>vingt-</w:t>
      </w:r>
      <w:r>
        <w:rPr>
          <w:rFonts w:ascii="Arial" w:cs="Arial" w:eastAsia="Arial" w:hAnsi="Arial"/>
          <w:sz w:val="15"/>
          <w:szCs w:val="15"/>
          <w:color w:val="FF0000"/>
          <w:strike w:val="1"/>
        </w:rPr>
        <w:t>cinq</w:t>
      </w:r>
      <w:r>
        <w:rPr>
          <w:rFonts w:ascii="Arial" w:cs="Arial" w:eastAsia="Arial" w:hAnsi="Arial"/>
          <w:sz w:val="15"/>
          <w:szCs w:val="15"/>
          <w:i w:val="1"/>
          <w:iCs w:val="1"/>
          <w:u w:val="single" w:color="auto"/>
          <w:color w:val="0000FF"/>
        </w:rPr>
        <w:t>dix</w:t>
      </w:r>
      <w:r>
        <w:rPr>
          <w:rFonts w:ascii="Arial" w:cs="Arial" w:eastAsia="Arial" w:hAnsi="Arial"/>
          <w:sz w:val="15"/>
          <w:szCs w:val="15"/>
          <w:i w:val="1"/>
          <w:iCs w:val="1"/>
          <w:color w:val="auto"/>
        </w:rPr>
        <w:t xml:space="preserve"> centimes</w:t>
      </w:r>
    </w:p>
    <w:p>
      <w:pPr>
        <w:ind w:left="1080"/>
        <w:spacing w:after="0" w:line="235"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FF0000"/>
          <w:strike w:val="1"/>
        </w:rPr>
        <w:t>889.519,25</w:t>
      </w:r>
      <w:r>
        <w:rPr>
          <w:rFonts w:ascii="Arial" w:cs="Arial" w:eastAsia="Arial" w:hAnsi="Arial"/>
          <w:sz w:val="15"/>
          <w:szCs w:val="15"/>
          <w:i w:val="1"/>
          <w:iCs w:val="1"/>
          <w:u w:val="single" w:color="auto"/>
          <w:color w:val="0000FF"/>
        </w:rPr>
        <w:t>111.189,90</w:t>
      </w:r>
      <w:r>
        <w:rPr>
          <w:rFonts w:ascii="Arial" w:cs="Arial" w:eastAsia="Arial" w:hAnsi="Arial"/>
          <w:sz w:val="15"/>
          <w:szCs w:val="15"/>
          <w:i w:val="1"/>
          <w:iCs w:val="1"/>
          <w:color w:val="auto"/>
        </w:rPr>
        <w:t xml:space="preserve"> USD) représenté par </w:t>
      </w:r>
      <w:r>
        <w:rPr>
          <w:rFonts w:ascii="Arial" w:cs="Arial" w:eastAsia="Arial" w:hAnsi="Arial"/>
          <w:sz w:val="15"/>
          <w:szCs w:val="15"/>
          <w:color w:val="FF0000"/>
          <w:strike w:val="1"/>
        </w:rPr>
        <w:t>quatre-vingt-huit</w:t>
      </w:r>
      <w:r>
        <w:rPr>
          <w:rFonts w:ascii="Arial" w:cs="Arial" w:eastAsia="Arial" w:hAnsi="Arial"/>
          <w:sz w:val="15"/>
          <w:szCs w:val="15"/>
          <w:i w:val="1"/>
          <w:iCs w:val="1"/>
          <w:u w:val="single" w:color="auto"/>
          <w:color w:val="0000FF"/>
        </w:rPr>
        <w:t>onze</w:t>
      </w:r>
      <w:r>
        <w:rPr>
          <w:rFonts w:ascii="Arial" w:cs="Arial" w:eastAsia="Arial" w:hAnsi="Arial"/>
          <w:sz w:val="15"/>
          <w:szCs w:val="15"/>
          <w:i w:val="1"/>
          <w:iCs w:val="1"/>
          <w:color w:val="auto"/>
        </w:rPr>
        <w:t xml:space="preserve"> millions </w:t>
      </w:r>
      <w:r>
        <w:rPr>
          <w:rFonts w:ascii="Arial" w:cs="Arial" w:eastAsia="Arial" w:hAnsi="Arial"/>
          <w:sz w:val="15"/>
          <w:szCs w:val="15"/>
          <w:color w:val="FF0000"/>
          <w:strike w:val="1"/>
        </w:rPr>
        <w:t>neuf</w:t>
      </w:r>
      <w:r>
        <w:rPr>
          <w:rFonts w:ascii="Arial" w:cs="Arial" w:eastAsia="Arial" w:hAnsi="Arial"/>
          <w:sz w:val="15"/>
          <w:szCs w:val="15"/>
          <w:i w:val="1"/>
          <w:iCs w:val="1"/>
          <w:color w:val="auto"/>
        </w:rPr>
        <w:t xml:space="preserve"> cent </w:t>
      </w:r>
      <w:r>
        <w:rPr>
          <w:rFonts w:ascii="Arial" w:cs="Arial" w:eastAsia="Arial" w:hAnsi="Arial"/>
          <w:sz w:val="15"/>
          <w:szCs w:val="15"/>
          <w:color w:val="FF0000"/>
          <w:strike w:val="1"/>
        </w:rPr>
        <w:t>cinquante-et-</w:t>
      </w:r>
    </w:p>
    <w:p>
      <w:pPr>
        <w:ind w:left="1080"/>
        <w:spacing w:after="0" w:line="235" w:lineRule="auto"/>
        <w:rPr>
          <w:sz w:val="20"/>
          <w:szCs w:val="20"/>
          <w:color w:val="auto"/>
        </w:rPr>
      </w:pPr>
      <w:r>
        <w:rPr>
          <w:rFonts w:ascii="Arial" w:cs="Arial" w:eastAsia="Arial" w:hAnsi="Arial"/>
          <w:sz w:val="15"/>
          <w:szCs w:val="15"/>
          <w:color w:val="FF0000"/>
          <w:strike w:val="1"/>
        </w:rPr>
        <w:t>un</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dix-huit</w:t>
      </w:r>
      <w:r>
        <w:rPr>
          <w:rFonts w:ascii="Arial" w:cs="Arial" w:eastAsia="Arial" w:hAnsi="Arial"/>
          <w:sz w:val="15"/>
          <w:szCs w:val="15"/>
          <w:color w:val="FF0000"/>
        </w:rPr>
        <w:t xml:space="preserve"> </w:t>
      </w:r>
      <w:r>
        <w:rPr>
          <w:rFonts w:ascii="Arial" w:cs="Arial" w:eastAsia="Arial" w:hAnsi="Arial"/>
          <w:sz w:val="15"/>
          <w:szCs w:val="15"/>
          <w:i w:val="1"/>
          <w:iCs w:val="1"/>
          <w:color w:val="000000"/>
        </w:rPr>
        <w:t>mille neuf cent</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quatre-</w:t>
      </w:r>
      <w:r>
        <w:rPr>
          <w:rFonts w:ascii="Arial" w:cs="Arial" w:eastAsia="Arial" w:hAnsi="Arial"/>
          <w:sz w:val="15"/>
          <w:szCs w:val="15"/>
          <w:i w:val="1"/>
          <w:iCs w:val="1"/>
          <w:color w:val="000000"/>
        </w:rPr>
        <w:t>vingt-</w:t>
      </w:r>
      <w:r>
        <w:rPr>
          <w:rFonts w:ascii="Arial" w:cs="Arial" w:eastAsia="Arial" w:hAnsi="Arial"/>
          <w:sz w:val="15"/>
          <w:szCs w:val="15"/>
          <w:color w:val="FF0000"/>
          <w:strike w:val="1"/>
        </w:rPr>
        <w:t>cinq (88.951.925</w:t>
      </w:r>
      <w:r>
        <w:rPr>
          <w:rFonts w:ascii="Arial" w:cs="Arial" w:eastAsia="Arial" w:hAnsi="Arial"/>
          <w:sz w:val="15"/>
          <w:szCs w:val="15"/>
          <w:i w:val="1"/>
          <w:iCs w:val="1"/>
          <w:u w:val="single" w:color="auto"/>
          <w:color w:val="0000FF"/>
        </w:rPr>
        <w:t>dix (11,118,990</w:t>
      </w:r>
      <w:r>
        <w:rPr>
          <w:rFonts w:ascii="Arial" w:cs="Arial" w:eastAsia="Arial" w:hAnsi="Arial"/>
          <w:sz w:val="15"/>
          <w:szCs w:val="15"/>
          <w:i w:val="1"/>
          <w:iCs w:val="1"/>
          <w:color w:val="000000"/>
        </w:rPr>
        <w:t>) actions ordinaires</w:t>
      </w:r>
      <w:r>
        <w:rPr>
          <w:rFonts w:ascii="Arial" w:cs="Arial" w:eastAsia="Arial" w:hAnsi="Arial"/>
          <w:sz w:val="15"/>
          <w:szCs w:val="15"/>
          <w:color w:val="FF0000"/>
        </w:rPr>
        <w:t xml:space="preserve"> </w:t>
      </w:r>
      <w:r>
        <w:rPr>
          <w:rFonts w:ascii="Arial" w:cs="Arial" w:eastAsia="Arial" w:hAnsi="Arial"/>
          <w:sz w:val="15"/>
          <w:szCs w:val="15"/>
          <w:color w:val="FF0000"/>
          <w:strike w:val="1"/>
        </w:rPr>
        <w:t>de la</w:t>
      </w:r>
    </w:p>
    <w:p>
      <w:pPr>
        <w:ind w:left="1080"/>
        <w:spacing w:after="0"/>
        <w:rPr>
          <w:sz w:val="20"/>
          <w:szCs w:val="20"/>
          <w:color w:val="auto"/>
        </w:rPr>
      </w:pPr>
      <w:r>
        <w:rPr>
          <w:rFonts w:ascii="Arial" w:cs="Arial" w:eastAsia="Arial" w:hAnsi="Arial"/>
          <w:sz w:val="15"/>
          <w:szCs w:val="15"/>
          <w:color w:val="FF0000"/>
          <w:strike w:val="1"/>
        </w:rPr>
        <w:t>Société</w:t>
      </w:r>
      <w:r>
        <w:rPr>
          <w:rFonts w:ascii="Arial" w:cs="Arial" w:eastAsia="Arial" w:hAnsi="Arial"/>
          <w:sz w:val="15"/>
          <w:szCs w:val="15"/>
          <w:color w:val="FF0000"/>
        </w:rPr>
        <w:t xml:space="preserve"> </w:t>
      </w:r>
      <w:r>
        <w:rPr>
          <w:rFonts w:ascii="Arial" w:cs="Arial" w:eastAsia="Arial" w:hAnsi="Arial"/>
          <w:sz w:val="15"/>
          <w:szCs w:val="15"/>
          <w:i w:val="1"/>
          <w:iCs w:val="1"/>
          <w:color w:val="000000"/>
        </w:rPr>
        <w:t>sans</w:t>
      </w:r>
      <w:r>
        <w:rPr>
          <w:rFonts w:ascii="Arial" w:cs="Arial" w:eastAsia="Arial" w:hAnsi="Arial"/>
          <w:sz w:val="15"/>
          <w:szCs w:val="15"/>
          <w:color w:val="FF0000"/>
        </w:rPr>
        <w:t xml:space="preserve"> </w:t>
      </w:r>
      <w:r>
        <w:rPr>
          <w:rFonts w:ascii="Arial" w:cs="Arial" w:eastAsia="Arial" w:hAnsi="Arial"/>
          <w:sz w:val="15"/>
          <w:szCs w:val="15"/>
          <w:color w:val="FF0000"/>
          <w:strike w:val="1"/>
        </w:rPr>
        <w:t>désignation de</w:t>
      </w:r>
      <w:r>
        <w:rPr>
          <w:rFonts w:ascii="Arial" w:cs="Arial" w:eastAsia="Arial" w:hAnsi="Arial"/>
          <w:sz w:val="15"/>
          <w:szCs w:val="15"/>
          <w:color w:val="FF0000"/>
        </w:rPr>
        <w:t xml:space="preserve"> </w:t>
      </w:r>
      <w:r>
        <w:rPr>
          <w:rFonts w:ascii="Arial" w:cs="Arial" w:eastAsia="Arial" w:hAnsi="Arial"/>
          <w:sz w:val="15"/>
          <w:szCs w:val="15"/>
          <w:i w:val="1"/>
          <w:iCs w:val="1"/>
          <w:color w:val="000000"/>
        </w:rPr>
        <w:t>valeur nominale.</w:t>
      </w:r>
      <w:r>
        <w:rPr>
          <w:rFonts w:ascii="Arial" w:cs="Arial" w:eastAsia="Arial" w:hAnsi="Arial"/>
          <w:sz w:val="15"/>
          <w:szCs w:val="15"/>
          <w:color w:val="FF0000"/>
        </w:rPr>
        <w:t xml:space="preserve"> </w:t>
      </w:r>
      <w:r>
        <w:rPr>
          <w:rFonts w:ascii="Arial" w:cs="Arial" w:eastAsia="Arial" w:hAnsi="Arial"/>
          <w:sz w:val="15"/>
          <w:szCs w:val="15"/>
          <w:color w:val="FF0000"/>
          <w:strike w:val="1"/>
        </w:rPr>
        <w:t>Au sens des</w:t>
      </w:r>
      <w:r>
        <w:rPr>
          <w:rFonts w:ascii="Arial" w:cs="Arial" w:eastAsia="Arial" w:hAnsi="Arial"/>
          <w:sz w:val="15"/>
          <w:szCs w:val="15"/>
          <w:i w:val="1"/>
          <w:iCs w:val="1"/>
          <w:u w:val="single" w:color="auto"/>
          <w:color w:val="0000FF"/>
        </w:rPr>
        <w:t>Dans les</w:t>
      </w:r>
      <w:r>
        <w:rPr>
          <w:rFonts w:ascii="Arial" w:cs="Arial" w:eastAsia="Arial" w:hAnsi="Arial"/>
          <w:sz w:val="15"/>
          <w:szCs w:val="15"/>
          <w:color w:val="FF0000"/>
        </w:rPr>
        <w:t xml:space="preserve"> </w:t>
      </w:r>
      <w:r>
        <w:rPr>
          <w:rFonts w:ascii="Arial" w:cs="Arial" w:eastAsia="Arial" w:hAnsi="Arial"/>
          <w:sz w:val="15"/>
          <w:szCs w:val="15"/>
          <w:i w:val="1"/>
          <w:iCs w:val="1"/>
          <w:color w:val="000000"/>
        </w:rPr>
        <w:t>présents Statuts,</w:t>
      </w:r>
      <w:r>
        <w:rPr>
          <w:rFonts w:ascii="Arial" w:cs="Arial" w:eastAsia="Arial" w:hAnsi="Arial"/>
          <w:sz w:val="15"/>
          <w:szCs w:val="15"/>
          <w:color w:val="FF0000"/>
        </w:rPr>
        <w:t xml:space="preserve"> </w:t>
      </w:r>
      <w:r>
        <w:rPr>
          <w:rFonts w:ascii="Arial" w:cs="Arial" w:eastAsia="Arial" w:hAnsi="Arial"/>
          <w:sz w:val="15"/>
          <w:szCs w:val="15"/>
          <w:color w:val="FF0000"/>
          <w:strike w:val="1"/>
        </w:rPr>
        <w:t>on entend</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5"/>
          <w:szCs w:val="15"/>
          <w:color w:val="FF0000"/>
          <w:strike w:val="1"/>
        </w:rPr>
        <w:t>par «</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Actions</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 désigne</w:t>
      </w:r>
      <w:r>
        <w:rPr>
          <w:rFonts w:ascii="Arial" w:cs="Arial" w:eastAsia="Arial" w:hAnsi="Arial"/>
          <w:sz w:val="15"/>
          <w:szCs w:val="15"/>
          <w:color w:val="FF0000"/>
        </w:rPr>
        <w:t xml:space="preserve"> </w:t>
      </w:r>
      <w:r>
        <w:rPr>
          <w:rFonts w:ascii="Arial" w:cs="Arial" w:eastAsia="Arial" w:hAnsi="Arial"/>
          <w:sz w:val="15"/>
          <w:szCs w:val="15"/>
          <w:i w:val="1"/>
          <w:iCs w:val="1"/>
          <w:color w:val="FF0000"/>
        </w:rPr>
        <w:t>les actions ordinaires de la</w:t>
      </w:r>
      <w:r>
        <w:rPr>
          <w:rFonts w:ascii="Arial" w:cs="Arial" w:eastAsia="Arial" w:hAnsi="Arial"/>
          <w:sz w:val="15"/>
          <w:szCs w:val="15"/>
          <w:color w:val="FF0000"/>
        </w:rPr>
        <w:t xml:space="preserve"> </w:t>
      </w:r>
      <w:r>
        <w:rPr>
          <w:rFonts w:ascii="Arial" w:cs="Arial" w:eastAsia="Arial" w:hAnsi="Arial"/>
          <w:sz w:val="15"/>
          <w:szCs w:val="15"/>
          <w:color w:val="FF0000"/>
          <w:strike w:val="1"/>
        </w:rPr>
        <w:t>société</w:t>
      </w:r>
      <w:r>
        <w:rPr>
          <w:rFonts w:ascii="Arial" w:cs="Arial" w:eastAsia="Arial" w:hAnsi="Arial"/>
          <w:sz w:val="15"/>
          <w:szCs w:val="15"/>
          <w:i w:val="1"/>
          <w:iCs w:val="1"/>
          <w:u w:val="single" w:color="auto"/>
          <w:color w:val="0000FF"/>
        </w:rPr>
        <w:t>Société</w:t>
      </w:r>
      <w:r>
        <w:rPr>
          <w:rFonts w:ascii="Arial" w:cs="Arial" w:eastAsia="Arial" w:hAnsi="Arial"/>
          <w:sz w:val="15"/>
          <w:szCs w:val="15"/>
          <w:color w:val="FF0000"/>
        </w:rPr>
        <w:t xml:space="preserve"> </w:t>
      </w:r>
      <w:r>
        <w:rPr>
          <w:rFonts w:ascii="Arial" w:cs="Arial" w:eastAsia="Arial" w:hAnsi="Arial"/>
          <w:sz w:val="15"/>
          <w:szCs w:val="15"/>
          <w:i w:val="1"/>
          <w:iCs w:val="1"/>
          <w:color w:val="FF0000"/>
        </w:rPr>
        <w:t>sans</w:t>
      </w:r>
      <w:r>
        <w:rPr>
          <w:rFonts w:ascii="Arial" w:cs="Arial" w:eastAsia="Arial" w:hAnsi="Arial"/>
          <w:sz w:val="15"/>
          <w:szCs w:val="15"/>
          <w:color w:val="FF0000"/>
        </w:rPr>
        <w:t xml:space="preserve"> </w:t>
      </w:r>
      <w:r>
        <w:rPr>
          <w:rFonts w:ascii="Arial" w:cs="Arial" w:eastAsia="Arial" w:hAnsi="Arial"/>
          <w:sz w:val="15"/>
          <w:szCs w:val="15"/>
          <w:color w:val="FF0000"/>
          <w:strike w:val="1"/>
        </w:rPr>
        <w:t>désignation de</w:t>
      </w:r>
      <w:r>
        <w:rPr>
          <w:rFonts w:ascii="Arial" w:cs="Arial" w:eastAsia="Arial" w:hAnsi="Arial"/>
          <w:sz w:val="15"/>
          <w:szCs w:val="15"/>
          <w:color w:val="FF0000"/>
        </w:rPr>
        <w:t xml:space="preserve"> </w:t>
      </w:r>
      <w:r>
        <w:rPr>
          <w:rFonts w:ascii="Arial" w:cs="Arial" w:eastAsia="Arial" w:hAnsi="Arial"/>
          <w:sz w:val="15"/>
          <w:szCs w:val="15"/>
          <w:i w:val="1"/>
          <w:iCs w:val="1"/>
          <w:color w:val="000000"/>
        </w:rPr>
        <w:t>valeur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-55880</wp:posOffset>
            </wp:positionV>
            <wp:extent cx="7937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9375" cy="698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5"/>
          <w:szCs w:val="15"/>
          <w:i w:val="1"/>
          <w:iCs w:val="1"/>
          <w:color w:val="auto"/>
        </w:rPr>
        <w:t>nominale.</w:t>
      </w:r>
    </w:p>
    <w:p>
      <w:pPr>
        <w:spacing w:after="0" w:line="106" w:lineRule="exact"/>
        <w:rPr>
          <w:sz w:val="20"/>
          <w:szCs w:val="20"/>
          <w:color w:val="auto"/>
        </w:rPr>
      </w:pPr>
    </w:p>
    <w:p>
      <w:pPr>
        <w:ind w:left="1080" w:right="1259"/>
        <w:spacing w:after="0" w:line="252" w:lineRule="auto"/>
        <w:rPr>
          <w:sz w:val="20"/>
          <w:szCs w:val="20"/>
          <w:color w:val="auto"/>
        </w:rPr>
      </w:pPr>
      <w:r>
        <w:rPr>
          <w:rFonts w:ascii="Arial" w:cs="Arial" w:eastAsia="Arial" w:hAnsi="Arial"/>
          <w:sz w:val="15"/>
          <w:szCs w:val="15"/>
          <w:color w:val="FF0000"/>
          <w:strike w:val="1"/>
        </w:rPr>
        <w:t>Outre le</w:t>
      </w:r>
      <w:r>
        <w:rPr>
          <w:rFonts w:ascii="Arial" w:cs="Arial" w:eastAsia="Arial" w:hAnsi="Arial"/>
          <w:sz w:val="15"/>
          <w:szCs w:val="15"/>
          <w:i w:val="1"/>
          <w:iCs w:val="1"/>
          <w:u w:val="single" w:color="auto"/>
          <w:color w:val="0000FF"/>
        </w:rPr>
        <w:t>En plus du</w:t>
      </w:r>
      <w:r>
        <w:rPr>
          <w:rFonts w:ascii="Arial" w:cs="Arial" w:eastAsia="Arial" w:hAnsi="Arial"/>
          <w:sz w:val="15"/>
          <w:szCs w:val="15"/>
          <w:color w:val="FF0000"/>
        </w:rPr>
        <w:t xml:space="preserve"> </w:t>
      </w:r>
      <w:r>
        <w:rPr>
          <w:rFonts w:ascii="Arial" w:cs="Arial" w:eastAsia="Arial" w:hAnsi="Arial"/>
          <w:sz w:val="15"/>
          <w:szCs w:val="15"/>
          <w:i w:val="1"/>
          <w:iCs w:val="1"/>
          <w:color w:val="000000"/>
        </w:rPr>
        <w:t>capital social,</w:t>
      </w:r>
      <w:r>
        <w:rPr>
          <w:rFonts w:ascii="Arial" w:cs="Arial" w:eastAsia="Arial" w:hAnsi="Arial"/>
          <w:sz w:val="15"/>
          <w:szCs w:val="15"/>
          <w:color w:val="FF0000"/>
        </w:rPr>
        <w:t xml:space="preserve"> </w:t>
      </w:r>
      <w:r>
        <w:rPr>
          <w:rFonts w:ascii="Arial" w:cs="Arial" w:eastAsia="Arial" w:hAnsi="Arial"/>
          <w:sz w:val="15"/>
          <w:szCs w:val="15"/>
          <w:color w:val="FF0000"/>
          <w:strike w:val="1"/>
        </w:rPr>
        <w:t>des comptes de primes d’émission sur lesquels toute</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un</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compte de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prime</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payée sur une Action en plus de sa valeur nominale peut être transférée et</w:t>
      </w:r>
    </w:p>
    <w:p>
      <w:pPr>
        <w:spacing w:after="0" w:line="1" w:lineRule="exact"/>
        <w:rPr>
          <w:sz w:val="20"/>
          <w:szCs w:val="20"/>
          <w:color w:val="auto"/>
        </w:rPr>
      </w:pPr>
    </w:p>
    <w:p>
      <w:pPr>
        <w:ind w:left="1080" w:right="1319"/>
        <w:spacing w:after="0"/>
        <w:rPr>
          <w:sz w:val="20"/>
          <w:szCs w:val="20"/>
          <w:color w:val="auto"/>
        </w:rPr>
      </w:pPr>
      <w:r>
        <w:rPr>
          <w:rFonts w:ascii="Arial" w:cs="Arial" w:eastAsia="Arial" w:hAnsi="Arial"/>
          <w:sz w:val="15"/>
          <w:szCs w:val="15"/>
          <w:color w:val="FF0000"/>
          <w:strike w:val="1"/>
        </w:rPr>
        <w:t>des comptes d’apport</w:t>
      </w:r>
      <w:r>
        <w:rPr>
          <w:rFonts w:ascii="Arial" w:cs="Arial" w:eastAsia="Arial" w:hAnsi="Arial"/>
          <w:sz w:val="15"/>
          <w:szCs w:val="15"/>
          <w:i w:val="1"/>
          <w:iCs w:val="1"/>
          <w:u w:val="single" w:color="auto"/>
          <w:color w:val="0000FF"/>
        </w:rPr>
        <w:t>d’émission et/ou un compte d’apport</w:t>
      </w:r>
      <w:r>
        <w:rPr>
          <w:rFonts w:ascii="Arial" w:cs="Arial" w:eastAsia="Arial" w:hAnsi="Arial"/>
          <w:sz w:val="15"/>
          <w:szCs w:val="15"/>
          <w:color w:val="FF0000"/>
        </w:rPr>
        <w:t xml:space="preserve"> </w:t>
      </w:r>
      <w:r>
        <w:rPr>
          <w:rFonts w:ascii="Arial" w:cs="Arial" w:eastAsia="Arial" w:hAnsi="Arial"/>
          <w:sz w:val="15"/>
          <w:szCs w:val="15"/>
          <w:i w:val="1"/>
          <w:iCs w:val="1"/>
          <w:color w:val="000000"/>
        </w:rPr>
        <w:t>en capital (compte 115</w:t>
      </w:r>
      <w:r>
        <w:rPr>
          <w:rFonts w:ascii="Arial" w:cs="Arial" w:eastAsia="Arial" w:hAnsi="Arial"/>
          <w:sz w:val="15"/>
          <w:szCs w:val="15"/>
          <w:color w:val="FF0000"/>
          <w:strike w:val="1"/>
        </w:rPr>
        <w:t>, «</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Apport en</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capitaux propres non rémunéré par des titres </w:t>
      </w:r>
      <w:r>
        <w:rPr>
          <w:rFonts w:ascii="Arial" w:cs="Arial" w:eastAsia="Arial" w:hAnsi="Arial"/>
          <w:sz w:val="15"/>
          <w:szCs w:val="15"/>
          <w:color w:val="FF0000"/>
        </w:rPr>
        <w:t>») peuvent</w:t>
      </w:r>
      <w:r>
        <w:rPr>
          <w:rFonts w:ascii="Arial" w:cs="Arial" w:eastAsia="Arial" w:hAnsi="Arial"/>
          <w:sz w:val="15"/>
          <w:szCs w:val="15"/>
          <w:i w:val="1"/>
          <w:iCs w:val="1"/>
          <w:u w:val="single" w:color="auto"/>
          <w:color w:val="0000FF"/>
        </w:rPr>
        <w:t>”) peut</w:t>
      </w:r>
      <w:r>
        <w:rPr>
          <w:rFonts w:ascii="Arial" w:cs="Arial" w:eastAsia="Arial" w:hAnsi="Arial"/>
          <w:sz w:val="15"/>
          <w:szCs w:val="15"/>
          <w:i w:val="1"/>
          <w:iCs w:val="1"/>
          <w:color w:val="000000"/>
        </w:rPr>
        <w:t xml:space="preserve"> être </w:t>
      </w:r>
      <w:r>
        <w:rPr>
          <w:rFonts w:ascii="Arial" w:cs="Arial" w:eastAsia="Arial" w:hAnsi="Arial"/>
          <w:sz w:val="15"/>
          <w:szCs w:val="15"/>
          <w:color w:val="FF0000"/>
          <w:strike w:val="1"/>
        </w:rPr>
        <w:t>établis</w:t>
      </w:r>
      <w:r>
        <w:rPr>
          <w:rFonts w:ascii="Arial" w:cs="Arial" w:eastAsia="Arial" w:hAnsi="Arial"/>
          <w:sz w:val="15"/>
          <w:szCs w:val="15"/>
          <w:i w:val="1"/>
          <w:iCs w:val="1"/>
          <w:u w:val="single" w:color="auto"/>
          <w:color w:val="0000FF"/>
        </w:rPr>
        <w:t>établi</w:t>
      </w:r>
      <w:r>
        <w:rPr>
          <w:rFonts w:ascii="Arial" w:cs="Arial" w:eastAsia="Arial" w:hAnsi="Arial"/>
          <w:sz w:val="15"/>
          <w:szCs w:val="15"/>
          <w:i w:val="1"/>
          <w:iCs w:val="1"/>
          <w:color w:val="000000"/>
        </w:rPr>
        <w:t xml:space="preserve">. Le Conseil </w:t>
      </w: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color w:val="FF0000"/>
        </w:rPr>
        <w:t xml:space="preserve"> </w:t>
      </w:r>
      <w:r>
        <w:rPr>
          <w:rFonts w:ascii="Arial" w:cs="Arial" w:eastAsia="Arial" w:hAnsi="Arial"/>
          <w:sz w:val="15"/>
          <w:szCs w:val="15"/>
          <w:i w:val="1"/>
          <w:iCs w:val="1"/>
          <w:color w:val="000000"/>
        </w:rPr>
        <w:t>est autorisé à affecter</w:t>
      </w:r>
      <w:r>
        <w:rPr>
          <w:rFonts w:ascii="Arial" w:cs="Arial" w:eastAsia="Arial" w:hAnsi="Arial"/>
          <w:sz w:val="15"/>
          <w:szCs w:val="15"/>
          <w:color w:val="FF0000"/>
        </w:rPr>
        <w:t xml:space="preserve"> </w:t>
      </w:r>
      <w:r>
        <w:rPr>
          <w:rFonts w:ascii="Arial" w:cs="Arial" w:eastAsia="Arial" w:hAnsi="Arial"/>
          <w:sz w:val="15"/>
          <w:szCs w:val="15"/>
          <w:color w:val="FF0000"/>
          <w:strike w:val="1"/>
        </w:rPr>
        <w:t>tout</w:t>
      </w:r>
      <w:r>
        <w:rPr>
          <w:rFonts w:ascii="Arial" w:cs="Arial" w:eastAsia="Arial" w:hAnsi="Arial"/>
          <w:sz w:val="15"/>
          <w:szCs w:val="15"/>
          <w:i w:val="1"/>
          <w:iCs w:val="1"/>
          <w:u w:val="single" w:color="auto"/>
          <w:color w:val="0000FF"/>
        </w:rPr>
        <w:t>la totalité</w:t>
      </w:r>
      <w:r>
        <w:rPr>
          <w:rFonts w:ascii="Arial" w:cs="Arial" w:eastAsia="Arial" w:hAnsi="Arial"/>
          <w:sz w:val="15"/>
          <w:szCs w:val="15"/>
          <w:color w:val="FF0000"/>
        </w:rPr>
        <w:t xml:space="preserve"> </w:t>
      </w:r>
      <w:r>
        <w:rPr>
          <w:rFonts w:ascii="Arial" w:cs="Arial" w:eastAsia="Arial" w:hAnsi="Arial"/>
          <w:sz w:val="15"/>
          <w:szCs w:val="15"/>
          <w:color w:val="000000"/>
        </w:rPr>
        <w:t>ou</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une</w:t>
      </w:r>
      <w:r>
        <w:rPr>
          <w:rFonts w:ascii="Arial" w:cs="Arial" w:eastAsia="Arial" w:hAnsi="Arial"/>
          <w:sz w:val="15"/>
          <w:szCs w:val="15"/>
          <w:color w:val="FF0000"/>
        </w:rPr>
        <w:t xml:space="preserve"> </w:t>
      </w:r>
      <w:r>
        <w:rPr>
          <w:rFonts w:ascii="Arial" w:cs="Arial" w:eastAsia="Arial" w:hAnsi="Arial"/>
          <w:sz w:val="15"/>
          <w:szCs w:val="15"/>
          <w:color w:val="000000"/>
        </w:rPr>
        <w:t>partie des comptes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-170180</wp:posOffset>
            </wp:positionV>
            <wp:extent cx="51054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0540" cy="6985"/>
                    </a:xfrm>
                    <a:prstGeom prst="rect">
                      <a:avLst/>
                    </a:prstGeom>
                    <a:noFill/>
                  </pic:spPr>
                </pic:pic>
              </a:graphicData>
            </a:graphic>
          </wp:anchor>
        </w:drawing>
      </w:r>
    </w:p>
    <w:p>
      <w:pPr>
        <w:ind w:left="1080" w:right="1179"/>
        <w:spacing w:after="0"/>
        <w:rPr>
          <w:sz w:val="20"/>
          <w:szCs w:val="20"/>
          <w:color w:val="auto"/>
        </w:rPr>
      </w:pPr>
      <w:r>
        <w:rPr>
          <w:rFonts w:ascii="Arial" w:cs="Arial" w:eastAsia="Arial" w:hAnsi="Arial"/>
          <w:sz w:val="15"/>
          <w:szCs w:val="15"/>
          <w:color w:val="auto"/>
        </w:rPr>
        <w:t xml:space="preserve">de primes </w:t>
      </w:r>
      <w:r>
        <w:rPr>
          <w:rFonts w:ascii="Arial" w:cs="Arial" w:eastAsia="Arial" w:hAnsi="Arial"/>
          <w:sz w:val="15"/>
          <w:szCs w:val="15"/>
          <w:color w:val="FF0000"/>
          <w:strike w:val="1"/>
        </w:rPr>
        <w:t>d’émission</w:t>
      </w:r>
      <w:r>
        <w:rPr>
          <w:rFonts w:ascii="Arial" w:cs="Arial" w:eastAsia="Arial" w:hAnsi="Arial"/>
          <w:sz w:val="15"/>
          <w:szCs w:val="15"/>
          <w:i w:val="1"/>
          <w:iCs w:val="1"/>
          <w:u w:val="single" w:color="auto"/>
          <w:color w:val="0000FF"/>
        </w:rPr>
        <w:t>d’émission</w:t>
      </w:r>
      <w:r>
        <w:rPr>
          <w:rFonts w:ascii="Arial" w:cs="Arial" w:eastAsia="Arial" w:hAnsi="Arial"/>
          <w:sz w:val="15"/>
          <w:szCs w:val="15"/>
          <w:color w:val="auto"/>
        </w:rPr>
        <w:t xml:space="preserve"> </w:t>
      </w:r>
      <w:r>
        <w:rPr>
          <w:rFonts w:ascii="Arial" w:cs="Arial" w:eastAsia="Arial" w:hAnsi="Arial"/>
          <w:sz w:val="15"/>
          <w:szCs w:val="15"/>
          <w:i w:val="1"/>
          <w:iCs w:val="1"/>
          <w:color w:val="auto"/>
        </w:rPr>
        <w:t>et des comptes</w:t>
      </w:r>
      <w:r>
        <w:rPr>
          <w:rFonts w:ascii="Arial" w:cs="Arial" w:eastAsia="Arial" w:hAnsi="Arial"/>
          <w:sz w:val="15"/>
          <w:szCs w:val="15"/>
          <w:color w:val="auto"/>
        </w:rPr>
        <w:t xml:space="preserve"> </w:t>
      </w:r>
      <w:r>
        <w:rPr>
          <w:rFonts w:ascii="Arial" w:cs="Arial" w:eastAsia="Arial" w:hAnsi="Arial"/>
          <w:sz w:val="15"/>
          <w:szCs w:val="15"/>
          <w:color w:val="FF0000"/>
          <w:strike w:val="1"/>
        </w:rPr>
        <w:t>d’apport</w:t>
      </w:r>
      <w:r>
        <w:rPr>
          <w:rFonts w:ascii="Arial" w:cs="Arial" w:eastAsia="Arial" w:hAnsi="Arial"/>
          <w:sz w:val="15"/>
          <w:szCs w:val="15"/>
          <w:i w:val="1"/>
          <w:iCs w:val="1"/>
          <w:u w:val="single" w:color="auto"/>
          <w:color w:val="0000FF"/>
        </w:rPr>
        <w:t>d’apport</w:t>
      </w:r>
      <w:r>
        <w:rPr>
          <w:rFonts w:ascii="Arial" w:cs="Arial" w:eastAsia="Arial" w:hAnsi="Arial"/>
          <w:sz w:val="15"/>
          <w:szCs w:val="15"/>
          <w:color w:val="auto"/>
        </w:rPr>
        <w:t xml:space="preserve"> </w:t>
      </w:r>
      <w:r>
        <w:rPr>
          <w:rFonts w:ascii="Arial" w:cs="Arial" w:eastAsia="Arial" w:hAnsi="Arial"/>
          <w:sz w:val="15"/>
          <w:szCs w:val="15"/>
          <w:i w:val="1"/>
          <w:iCs w:val="1"/>
          <w:color w:val="auto"/>
        </w:rPr>
        <w:t>en capital</w:t>
      </w:r>
      <w:r>
        <w:rPr>
          <w:rFonts w:ascii="Arial" w:cs="Arial" w:eastAsia="Arial" w:hAnsi="Arial"/>
          <w:sz w:val="15"/>
          <w:szCs w:val="15"/>
          <w:color w:val="auto"/>
        </w:rPr>
        <w:t xml:space="preserve"> </w:t>
      </w:r>
      <w:r>
        <w:rPr>
          <w:rFonts w:ascii="Arial" w:cs="Arial" w:eastAsia="Arial" w:hAnsi="Arial"/>
          <w:sz w:val="15"/>
          <w:szCs w:val="15"/>
          <w:color w:val="FF0000"/>
          <w:strike w:val="1"/>
        </w:rPr>
        <w:t>versés sur les</w:t>
      </w:r>
      <w:r>
        <w:rPr>
          <w:rFonts w:ascii="Arial" w:cs="Arial" w:eastAsia="Arial" w:hAnsi="Arial"/>
          <w:sz w:val="15"/>
          <w:szCs w:val="15"/>
          <w:color w:val="auto"/>
        </w:rPr>
        <w:t xml:space="preserve"> </w:t>
      </w:r>
      <w:r>
        <w:rPr>
          <w:rFonts w:ascii="Arial" w:cs="Arial" w:eastAsia="Arial" w:hAnsi="Arial"/>
          <w:sz w:val="15"/>
          <w:szCs w:val="15"/>
          <w:color w:val="FF0000"/>
          <w:strike w:val="1"/>
        </w:rPr>
        <w:t>actions</w:t>
      </w:r>
      <w:r>
        <w:rPr>
          <w:rFonts w:ascii="Arial" w:cs="Arial" w:eastAsia="Arial" w:hAnsi="Arial"/>
          <w:sz w:val="15"/>
          <w:szCs w:val="15"/>
          <w:i w:val="1"/>
          <w:iCs w:val="1"/>
          <w:u w:val="single" w:color="auto"/>
          <w:color w:val="0000FF"/>
        </w:rPr>
        <w:t>aux Actions</w:t>
      </w:r>
      <w:r>
        <w:rPr>
          <w:rFonts w:ascii="Arial" w:cs="Arial" w:eastAsia="Arial" w:hAnsi="Arial"/>
          <w:sz w:val="15"/>
          <w:szCs w:val="15"/>
          <w:color w:val="FF0000"/>
        </w:rPr>
        <w:t xml:space="preserve"> </w:t>
      </w:r>
      <w:r>
        <w:rPr>
          <w:rFonts w:ascii="Arial" w:cs="Arial" w:eastAsia="Arial" w:hAnsi="Arial"/>
          <w:sz w:val="15"/>
          <w:szCs w:val="15"/>
          <w:i w:val="1"/>
          <w:iCs w:val="1"/>
          <w:color w:val="000000"/>
        </w:rPr>
        <w:t>émises par la Société</w:t>
      </w:r>
      <w:r>
        <w:rPr>
          <w:rFonts w:ascii="Arial" w:cs="Arial" w:eastAsia="Arial" w:hAnsi="Arial"/>
          <w:sz w:val="15"/>
          <w:szCs w:val="15"/>
          <w:i w:val="1"/>
          <w:iCs w:val="1"/>
          <w:u w:val="single" w:color="auto"/>
          <w:color w:val="0000FF"/>
        </w:rPr>
        <w:t>, de temps</w:t>
      </w:r>
      <w:r>
        <w:rPr>
          <w:rFonts w:ascii="Arial" w:cs="Arial" w:eastAsia="Arial" w:hAnsi="Arial"/>
          <w:sz w:val="15"/>
          <w:szCs w:val="15"/>
          <w:color w:val="FF0000"/>
        </w:rPr>
        <w:t xml:space="preserve"> </w:t>
      </w:r>
      <w:r>
        <w:rPr>
          <w:rFonts w:ascii="Arial" w:cs="Arial" w:eastAsia="Arial" w:hAnsi="Arial"/>
          <w:sz w:val="15"/>
          <w:szCs w:val="15"/>
          <w:i w:val="1"/>
          <w:iCs w:val="1"/>
          <w:color w:val="000000"/>
        </w:rPr>
        <w:t>à</w:t>
      </w:r>
      <w:r>
        <w:rPr>
          <w:rFonts w:ascii="Arial" w:cs="Arial" w:eastAsia="Arial" w:hAnsi="Arial"/>
          <w:sz w:val="15"/>
          <w:szCs w:val="15"/>
          <w:color w:val="FF0000"/>
        </w:rPr>
        <w:t xml:space="preserve"> </w:t>
      </w:r>
      <w:r>
        <w:rPr>
          <w:rFonts w:ascii="Arial" w:cs="Arial" w:eastAsia="Arial" w:hAnsi="Arial"/>
          <w:sz w:val="15"/>
          <w:szCs w:val="15"/>
          <w:color w:val="FF0000"/>
          <w:strike w:val="1"/>
        </w:rPr>
        <w:t>l’un ou l’autre des postes suivants, ou aux</w:t>
      </w:r>
      <w:r>
        <w:rPr>
          <w:rFonts w:ascii="Arial" w:cs="Arial" w:eastAsia="Arial" w:hAnsi="Arial"/>
          <w:sz w:val="15"/>
          <w:szCs w:val="15"/>
          <w:color w:val="FF0000"/>
        </w:rPr>
        <w:t xml:space="preserve"> </w:t>
      </w:r>
      <w:r>
        <w:rPr>
          <w:rFonts w:ascii="Arial" w:cs="Arial" w:eastAsia="Arial" w:hAnsi="Arial"/>
          <w:sz w:val="15"/>
          <w:szCs w:val="15"/>
          <w:color w:val="FF0000"/>
          <w:strike w:val="1"/>
        </w:rPr>
        <w:t>deux, selon ce qu’il jugera</w:t>
      </w:r>
      <w:r>
        <w:rPr>
          <w:rFonts w:ascii="Arial" w:cs="Arial" w:eastAsia="Arial" w:hAnsi="Arial"/>
          <w:sz w:val="15"/>
          <w:szCs w:val="15"/>
          <w:i w:val="1"/>
          <w:iCs w:val="1"/>
          <w:u w:val="single" w:color="auto"/>
          <w:color w:val="0000FF"/>
        </w:rPr>
        <w:t>autre, comme il le juge</w:t>
      </w:r>
      <w:r>
        <w:rPr>
          <w:rFonts w:ascii="Arial" w:cs="Arial" w:eastAsia="Arial" w:hAnsi="Arial"/>
          <w:sz w:val="15"/>
          <w:szCs w:val="15"/>
          <w:color w:val="FF0000"/>
        </w:rPr>
        <w:t xml:space="preserve"> </w:t>
      </w:r>
      <w:r>
        <w:rPr>
          <w:rFonts w:ascii="Arial" w:cs="Arial" w:eastAsia="Arial" w:hAnsi="Arial"/>
          <w:sz w:val="15"/>
          <w:szCs w:val="15"/>
          <w:i w:val="1"/>
          <w:iCs w:val="1"/>
          <w:color w:val="000000"/>
        </w:rPr>
        <w:t>approprié</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à l’un ou à l’autre des éléments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-62865</wp:posOffset>
            </wp:positionV>
            <wp:extent cx="2667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5"/>
          <w:szCs w:val="15"/>
          <w:i w:val="1"/>
          <w:iCs w:val="1"/>
          <w:u w:val="single" w:color="auto"/>
          <w:color w:val="0000FF"/>
        </w:rPr>
        <w:t>suivants</w:t>
      </w:r>
      <w:r>
        <w:rPr>
          <w:rFonts w:ascii="Arial" w:cs="Arial" w:eastAsia="Arial" w:hAnsi="Arial"/>
          <w:sz w:val="15"/>
          <w:szCs w:val="15"/>
          <w:i w:val="1"/>
          <w:iCs w:val="1"/>
          <w:color w:val="000000"/>
        </w:rPr>
        <w:t>:</w:t>
      </w:r>
    </w:p>
    <w:p>
      <w:pPr>
        <w:spacing w:after="0" w:line="95" w:lineRule="exact"/>
        <w:rPr>
          <w:sz w:val="20"/>
          <w:szCs w:val="20"/>
          <w:color w:val="auto"/>
        </w:rPr>
      </w:pPr>
    </w:p>
    <w:p>
      <w:pPr>
        <w:ind w:left="1380" w:right="1539" w:hanging="301"/>
        <w:spacing w:after="0" w:line="286" w:lineRule="auto"/>
        <w:tabs>
          <w:tab w:leader="none" w:pos="138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une réserve distribuable à utiliser pour </w:t>
      </w:r>
      <w:r>
        <w:rPr>
          <w:rFonts w:ascii="Arial" w:cs="Arial" w:eastAsia="Arial" w:hAnsi="Arial"/>
          <w:sz w:val="15"/>
          <w:szCs w:val="15"/>
          <w:color w:val="FF0000"/>
          <w:strike w:val="1"/>
        </w:rPr>
        <w:t>des</w:t>
      </w:r>
      <w:r>
        <w:rPr>
          <w:rFonts w:ascii="Arial" w:cs="Arial" w:eastAsia="Arial" w:hAnsi="Arial"/>
          <w:sz w:val="15"/>
          <w:szCs w:val="15"/>
          <w:i w:val="1"/>
          <w:iCs w:val="1"/>
          <w:u w:val="single" w:color="auto"/>
          <w:color w:val="0000FF"/>
        </w:rPr>
        <w:t>les</w:t>
      </w:r>
      <w:r>
        <w:rPr>
          <w:rFonts w:ascii="Arial" w:cs="Arial" w:eastAsia="Arial" w:hAnsi="Arial"/>
          <w:sz w:val="15"/>
          <w:szCs w:val="15"/>
          <w:i w:val="1"/>
          <w:iCs w:val="1"/>
          <w:color w:val="auto"/>
        </w:rPr>
        <w:t xml:space="preserve"> distributions de toute nature à effectuer par la Société ;</w:t>
      </w:r>
    </w:p>
    <w:p>
      <w:pPr>
        <w:spacing w:after="0" w:line="73" w:lineRule="exact"/>
        <w:rPr>
          <w:rFonts w:ascii="Arial" w:cs="Arial" w:eastAsia="Arial" w:hAnsi="Arial"/>
          <w:sz w:val="15"/>
          <w:szCs w:val="15"/>
          <w:color w:val="auto"/>
        </w:rPr>
      </w:pPr>
    </w:p>
    <w:p>
      <w:pPr>
        <w:ind w:left="1380" w:hanging="301"/>
        <w:spacing w:after="0"/>
        <w:tabs>
          <w:tab w:leader="none" w:pos="138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une réserve spéciale </w:t>
      </w:r>
      <w:r>
        <w:rPr>
          <w:rFonts w:ascii="Arial" w:cs="Arial" w:eastAsia="Arial" w:hAnsi="Arial"/>
          <w:sz w:val="15"/>
          <w:szCs w:val="15"/>
          <w:color w:val="FF0000"/>
          <w:strike w:val="1"/>
        </w:rPr>
        <w:t>telle que</w:t>
      </w:r>
      <w:r>
        <w:rPr>
          <w:rFonts w:ascii="Arial" w:cs="Arial" w:eastAsia="Arial" w:hAnsi="Arial"/>
          <w:sz w:val="15"/>
          <w:szCs w:val="15"/>
          <w:i w:val="1"/>
          <w:iCs w:val="1"/>
          <w:color w:val="auto"/>
        </w:rPr>
        <w:t xml:space="preserve"> prévue par les articles 430-18, 430-22 et 461-2 de la </w:t>
      </w:r>
      <w:r>
        <w:rPr>
          <w:rFonts w:ascii="Arial" w:cs="Arial" w:eastAsia="Arial" w:hAnsi="Arial"/>
          <w:sz w:val="15"/>
          <w:szCs w:val="15"/>
          <w:color w:val="FF0000"/>
          <w:strike w:val="1"/>
        </w:rPr>
        <w:t>loi</w:t>
      </w:r>
      <w:r>
        <w:rPr>
          <w:rFonts w:ascii="Arial" w:cs="Arial" w:eastAsia="Arial" w:hAnsi="Arial"/>
          <w:sz w:val="15"/>
          <w:szCs w:val="15"/>
          <w:i w:val="1"/>
          <w:iCs w:val="1"/>
          <w:u w:val="single" w:color="auto"/>
          <w:color w:val="0000FF"/>
        </w:rPr>
        <w:t>Loi</w:t>
      </w:r>
      <w:r>
        <w:rPr>
          <w:rFonts w:ascii="Arial" w:cs="Arial" w:eastAsia="Arial" w:hAnsi="Arial"/>
          <w:sz w:val="15"/>
          <w:szCs w:val="15"/>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-242570</wp:posOffset>
            </wp:positionV>
            <wp:extent cx="2667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112" w:lineRule="exact"/>
        <w:rPr>
          <w:sz w:val="20"/>
          <w:szCs w:val="20"/>
          <w:color w:val="auto"/>
        </w:rPr>
      </w:pPr>
    </w:p>
    <w:p>
      <w:pPr>
        <w:ind w:left="1080" w:right="1099"/>
        <w:spacing w:after="0" w:line="243" w:lineRule="auto"/>
        <w:rPr>
          <w:sz w:val="20"/>
          <w:szCs w:val="20"/>
          <w:color w:val="auto"/>
        </w:rPr>
      </w:pPr>
      <w:r>
        <w:rPr>
          <w:rFonts w:ascii="Arial" w:cs="Arial" w:eastAsia="Arial" w:hAnsi="Arial"/>
          <w:sz w:val="15"/>
          <w:szCs w:val="15"/>
          <w:b w:val="1"/>
          <w:bCs w:val="1"/>
          <w:i w:val="1"/>
          <w:iCs w:val="1"/>
          <w:color w:val="auto"/>
        </w:rPr>
        <w:t xml:space="preserve">Art. 6. Capital Social Autorisé. </w:t>
      </w:r>
      <w:r>
        <w:rPr>
          <w:rFonts w:ascii="Arial" w:cs="Arial" w:eastAsia="Arial" w:hAnsi="Arial"/>
          <w:sz w:val="15"/>
          <w:szCs w:val="15"/>
          <w:i w:val="1"/>
          <w:iCs w:val="1"/>
          <w:color w:val="auto"/>
        </w:rPr>
        <w:t>Le capital social autorisé</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0000FF"/>
        </w:rPr>
        <w:t>de la Société</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est fixé à un million neuf cent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dix-huit mille trois cent vingt-neuf dollars américains et quatre-vingt-deux centimes (1.918.329</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82 USD) divisé en cent quatre-vingt-onze </w:t>
      </w:r>
      <w:r>
        <w:rPr>
          <w:rFonts w:ascii="Arial" w:cs="Arial" w:eastAsia="Arial" w:hAnsi="Arial"/>
          <w:sz w:val="15"/>
          <w:szCs w:val="15"/>
          <w:color w:val="FF0000"/>
          <w:strike w:val="1"/>
        </w:rPr>
        <w:t>mille</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millions</w:t>
      </w:r>
      <w:r>
        <w:rPr>
          <w:rFonts w:ascii="Arial" w:cs="Arial" w:eastAsia="Arial" w:hAnsi="Arial"/>
          <w:sz w:val="15"/>
          <w:szCs w:val="15"/>
          <w:i w:val="1"/>
          <w:iCs w:val="1"/>
          <w:color w:val="auto"/>
        </w:rPr>
        <w:t xml:space="preserve"> huit cent trente-deux mille neuf cent quatre-vingt-deux (191.832.982) </w:t>
      </w:r>
      <w:r>
        <w:rPr>
          <w:rFonts w:ascii="Arial" w:cs="Arial" w:eastAsia="Arial" w:hAnsi="Arial"/>
          <w:sz w:val="15"/>
          <w:szCs w:val="15"/>
          <w:color w:val="FF0000"/>
          <w:strike w:val="1"/>
        </w:rPr>
        <w:t>actions ordinaires de la Société</w:t>
      </w:r>
      <w:r>
        <w:rPr>
          <w:rFonts w:ascii="Arial" w:cs="Arial" w:eastAsia="Arial" w:hAnsi="Arial"/>
          <w:sz w:val="15"/>
          <w:szCs w:val="15"/>
          <w:i w:val="1"/>
          <w:iCs w:val="1"/>
          <w:u w:val="single" w:color="auto"/>
          <w:color w:val="0000FF"/>
        </w:rPr>
        <w:t>Actions</w:t>
      </w:r>
      <w:r>
        <w:rPr>
          <w:rFonts w:ascii="Arial" w:cs="Arial" w:eastAsia="Arial" w:hAnsi="Arial"/>
          <w:sz w:val="15"/>
          <w:szCs w:val="15"/>
          <w:i w:val="1"/>
          <w:iCs w:val="1"/>
          <w:color w:val="auto"/>
        </w:rPr>
        <w:t xml:space="preserve"> sans valeur nominale. Le Conseil </w:t>
      </w: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color w:val="FF0000"/>
        </w:rPr>
        <w:t xml:space="preserve"> </w:t>
      </w:r>
      <w:r>
        <w:rPr>
          <w:rFonts w:ascii="Arial" w:cs="Arial" w:eastAsia="Arial" w:hAnsi="Arial"/>
          <w:sz w:val="15"/>
          <w:szCs w:val="15"/>
          <w:i w:val="1"/>
          <w:iCs w:val="1"/>
          <w:color w:val="000000"/>
        </w:rPr>
        <w:t>est autorisé, pendant une période se terminant cinq (5) ans après la</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date de publication du procès-verbal </w:t>
      </w:r>
      <w:r>
        <w:rPr>
          <w:rFonts w:ascii="Arial" w:cs="Arial" w:eastAsia="Arial" w:hAnsi="Arial"/>
          <w:sz w:val="15"/>
          <w:szCs w:val="15"/>
          <w:color w:val="FF0000"/>
          <w:strike w:val="1"/>
        </w:rPr>
        <w:t>de l’assemblée</w:t>
      </w:r>
      <w:r>
        <w:rPr>
          <w:rFonts w:ascii="Arial" w:cs="Arial" w:eastAsia="Arial" w:hAnsi="Arial"/>
          <w:sz w:val="15"/>
          <w:szCs w:val="15"/>
          <w:i w:val="1"/>
          <w:iCs w:val="1"/>
          <w:u w:val="single" w:color="auto"/>
          <w:color w:val="0000FF"/>
        </w:rPr>
        <w:t>d’assemblée</w:t>
      </w:r>
      <w:r>
        <w:rPr>
          <w:rFonts w:ascii="Arial" w:cs="Arial" w:eastAsia="Arial" w:hAnsi="Arial"/>
          <w:sz w:val="15"/>
          <w:szCs w:val="15"/>
          <w:i w:val="1"/>
          <w:iCs w:val="1"/>
          <w:color w:val="000000"/>
        </w:rPr>
        <w:t xml:space="preserve"> générale extraordinaire du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-562610</wp:posOffset>
            </wp:positionV>
            <wp:extent cx="57785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7850" cy="698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5"/>
          <w:szCs w:val="15"/>
          <w:i w:val="1"/>
          <w:iCs w:val="1"/>
          <w:color w:val="auto"/>
        </w:rPr>
        <w:t xml:space="preserve">février 2025 </w:t>
      </w:r>
      <w:r>
        <w:rPr>
          <w:rFonts w:ascii="Arial" w:cs="Arial" w:eastAsia="Arial" w:hAnsi="Arial"/>
          <w:sz w:val="15"/>
          <w:szCs w:val="15"/>
          <w:color w:val="FF0000"/>
          <w:strike w:val="1"/>
        </w:rPr>
        <w:t>dans la gazette électronique RESA (</w:t>
      </w:r>
      <w:r>
        <w:rPr>
          <w:rFonts w:ascii="Arial" w:cs="Arial" w:eastAsia="Arial" w:hAnsi="Arial"/>
          <w:sz w:val="15"/>
          <w:szCs w:val="15"/>
          <w:i w:val="1"/>
          <w:iCs w:val="1"/>
          <w:u w:val="single" w:color="auto"/>
          <w:color w:val="0000FF"/>
        </w:rPr>
        <w:t>, au</w:t>
      </w:r>
      <w:r>
        <w:rPr>
          <w:rFonts w:ascii="Arial" w:cs="Arial" w:eastAsia="Arial" w:hAnsi="Arial"/>
          <w:sz w:val="15"/>
          <w:szCs w:val="15"/>
          <w:i w:val="1"/>
          <w:iCs w:val="1"/>
          <w:color w:val="auto"/>
        </w:rPr>
        <w:t xml:space="preserve"> </w:t>
      </w:r>
      <w:r>
        <w:rPr>
          <w:rFonts w:ascii="Arial" w:cs="Arial" w:eastAsia="Arial" w:hAnsi="Arial"/>
          <w:sz w:val="15"/>
          <w:szCs w:val="15"/>
          <w:color w:val="auto"/>
        </w:rPr>
        <w:t>Recueil Electronique des Sociétés et</w:t>
      </w:r>
    </w:p>
    <w:p>
      <w:pPr>
        <w:ind w:left="1080"/>
        <w:spacing w:after="0"/>
        <w:rPr>
          <w:sz w:val="20"/>
          <w:szCs w:val="20"/>
          <w:color w:val="auto"/>
        </w:rPr>
      </w:pPr>
      <w:r>
        <w:rPr>
          <w:rFonts w:ascii="Arial" w:cs="Arial" w:eastAsia="Arial" w:hAnsi="Arial"/>
          <w:sz w:val="15"/>
          <w:szCs w:val="15"/>
          <w:color w:val="auto"/>
        </w:rPr>
        <w:t>Associations</w:t>
      </w:r>
      <w:r>
        <w:rPr>
          <w:rFonts w:ascii="Arial" w:cs="Arial" w:eastAsia="Arial" w:hAnsi="Arial"/>
          <w:sz w:val="15"/>
          <w:szCs w:val="15"/>
          <w:color w:val="FF0000"/>
          <w:strike w:val="1"/>
        </w:rPr>
        <w:t>) à :</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0000FF"/>
        </w:rPr>
        <w:t>de:</w:t>
      </w:r>
    </w:p>
    <w:p>
      <w:pPr>
        <w:spacing w:after="0" w:line="73" w:lineRule="exact"/>
        <w:rPr>
          <w:sz w:val="20"/>
          <w:szCs w:val="20"/>
          <w:color w:val="auto"/>
        </w:rPr>
      </w:pPr>
    </w:p>
    <w:p>
      <w:pPr>
        <w:ind w:left="1520" w:right="1119" w:hanging="141"/>
        <w:spacing w:after="0" w:line="255" w:lineRule="auto"/>
        <w:tabs>
          <w:tab w:leader="none" w:pos="152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réaliser toute augmentation du capital social émis dans les limites du capital social autorisé</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en une </w:t>
      </w:r>
      <w:r>
        <w:rPr>
          <w:rFonts w:ascii="Arial" w:cs="Arial" w:eastAsia="Arial" w:hAnsi="Arial"/>
          <w:sz w:val="15"/>
          <w:szCs w:val="15"/>
          <w:color w:val="FF0000"/>
          <w:strike w:val="1"/>
        </w:rPr>
        <w:t>ou plusieurs</w:t>
      </w:r>
      <w:r>
        <w:rPr>
          <w:rFonts w:ascii="Arial" w:cs="Arial" w:eastAsia="Arial" w:hAnsi="Arial"/>
          <w:sz w:val="15"/>
          <w:szCs w:val="15"/>
          <w:i w:val="1"/>
          <w:iCs w:val="1"/>
          <w:u w:val="single" w:color="auto"/>
          <w:color w:val="0000FF"/>
        </w:rPr>
        <w:t>seule</w:t>
      </w:r>
      <w:r>
        <w:rPr>
          <w:rFonts w:ascii="Arial" w:cs="Arial" w:eastAsia="Arial" w:hAnsi="Arial"/>
          <w:sz w:val="15"/>
          <w:szCs w:val="15"/>
          <w:i w:val="1"/>
          <w:iCs w:val="1"/>
          <w:color w:val="auto"/>
        </w:rPr>
        <w:t xml:space="preserve"> fois</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0000FF"/>
        </w:rPr>
        <w:t>ou</w:t>
      </w:r>
      <w:r>
        <w:rPr>
          <w:rFonts w:ascii="Arial" w:cs="Arial" w:eastAsia="Arial" w:hAnsi="Arial"/>
          <w:sz w:val="15"/>
          <w:szCs w:val="15"/>
          <w:i w:val="1"/>
          <w:iCs w:val="1"/>
          <w:color w:val="auto"/>
        </w:rPr>
        <w:t xml:space="preserve"> par </w:t>
      </w:r>
      <w:r>
        <w:rPr>
          <w:rFonts w:ascii="Arial" w:cs="Arial" w:eastAsia="Arial" w:hAnsi="Arial"/>
          <w:sz w:val="15"/>
          <w:szCs w:val="15"/>
          <w:color w:val="FF0000"/>
          <w:strike w:val="1"/>
        </w:rPr>
        <w:t>l’émission de nouvelles Actions</w:t>
      </w:r>
      <w:r>
        <w:rPr>
          <w:rFonts w:ascii="Arial" w:cs="Arial" w:eastAsia="Arial" w:hAnsi="Arial"/>
          <w:sz w:val="15"/>
          <w:szCs w:val="15"/>
          <w:i w:val="1"/>
          <w:iCs w:val="1"/>
          <w:u w:val="single" w:color="auto"/>
          <w:color w:val="0000FF"/>
        </w:rPr>
        <w:t>tranches successives,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par émission d’Actions</w:t>
      </w:r>
      <w:r>
        <w:rPr>
          <w:rFonts w:ascii="Arial" w:cs="Arial" w:eastAsia="Arial" w:hAnsi="Arial"/>
          <w:sz w:val="15"/>
          <w:szCs w:val="15"/>
          <w:i w:val="1"/>
          <w:iCs w:val="1"/>
          <w:color w:val="000000"/>
        </w:rPr>
        <w:t>, l’octroi d’options, de bons de</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souscriptions</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souscription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ou d’autres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instruments similaires </w:t>
      </w:r>
      <w:r>
        <w:rPr>
          <w:rFonts w:ascii="Arial" w:cs="Arial" w:eastAsia="Arial" w:hAnsi="Arial"/>
          <w:sz w:val="15"/>
          <w:szCs w:val="15"/>
          <w:color w:val="FF0000"/>
          <w:strike w:val="1"/>
        </w:rPr>
        <w:t>pouvant être exercés</w:t>
      </w:r>
      <w:r>
        <w:rPr>
          <w:rFonts w:ascii="Arial" w:cs="Arial" w:eastAsia="Arial" w:hAnsi="Arial"/>
          <w:sz w:val="15"/>
          <w:szCs w:val="15"/>
          <w:i w:val="1"/>
          <w:iCs w:val="1"/>
          <w:u w:val="single" w:color="auto"/>
          <w:color w:val="0000FF"/>
        </w:rPr>
        <w:t>exerçables</w:t>
      </w:r>
      <w:r>
        <w:rPr>
          <w:rFonts w:ascii="Arial" w:cs="Arial" w:eastAsia="Arial" w:hAnsi="Arial"/>
          <w:sz w:val="15"/>
          <w:szCs w:val="15"/>
          <w:i w:val="1"/>
          <w:iCs w:val="1"/>
          <w:color w:val="000000"/>
        </w:rPr>
        <w:t xml:space="preserve"> en Actions, de droits de </w:t>
      </w:r>
      <w:r>
        <w:rPr>
          <w:rFonts w:ascii="Arial" w:cs="Arial" w:eastAsia="Arial" w:hAnsi="Arial"/>
          <w:sz w:val="15"/>
          <w:szCs w:val="15"/>
          <w:color w:val="FF0000"/>
          <w:strike w:val="1"/>
        </w:rPr>
        <w:t>souscription</w:t>
      </w:r>
      <w:r>
        <w:rPr>
          <w:rFonts w:ascii="Arial" w:cs="Arial" w:eastAsia="Arial" w:hAnsi="Arial"/>
          <w:sz w:val="15"/>
          <w:szCs w:val="15"/>
          <w:i w:val="1"/>
          <w:iCs w:val="1"/>
          <w:color w:val="000000"/>
        </w:rPr>
        <w:t xml:space="preserve"> </w:t>
      </w:r>
      <w:r>
        <w:rPr>
          <w:rFonts w:ascii="Arial" w:cs="Arial" w:eastAsia="Arial" w:hAnsi="Arial"/>
          <w:sz w:val="15"/>
          <w:szCs w:val="15"/>
          <w:color w:val="FF0000"/>
          <w:strike w:val="1"/>
        </w:rPr>
        <w:t>d’Actions contre paiement</w:t>
      </w:r>
      <w:r>
        <w:rPr>
          <w:rFonts w:ascii="Arial" w:cs="Arial" w:eastAsia="Arial" w:hAnsi="Arial"/>
          <w:sz w:val="15"/>
          <w:szCs w:val="15"/>
          <w:i w:val="1"/>
          <w:iCs w:val="1"/>
          <w:u w:val="single" w:color="auto"/>
          <w:color w:val="0000FF"/>
        </w:rPr>
        <w:t>souscrire à des Actions à libérer par voie de versements</w:t>
      </w:r>
      <w:r>
        <w:rPr>
          <w:rFonts w:ascii="Arial" w:cs="Arial" w:eastAsia="Arial" w:hAnsi="Arial"/>
          <w:sz w:val="15"/>
          <w:szCs w:val="15"/>
          <w:color w:val="FF0000"/>
        </w:rPr>
        <w:t xml:space="preserve"> </w:t>
      </w:r>
      <w:r>
        <w:rPr>
          <w:rFonts w:ascii="Arial" w:cs="Arial" w:eastAsia="Arial" w:hAnsi="Arial"/>
          <w:sz w:val="15"/>
          <w:szCs w:val="15"/>
          <w:i w:val="1"/>
          <w:iCs w:val="1"/>
          <w:color w:val="000000"/>
        </w:rPr>
        <w:t>en</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espèces ou </w:t>
      </w:r>
      <w:r>
        <w:rPr>
          <w:rFonts w:ascii="Arial" w:cs="Arial" w:eastAsia="Arial" w:hAnsi="Arial"/>
          <w:sz w:val="15"/>
          <w:szCs w:val="15"/>
          <w:i w:val="1"/>
          <w:iCs w:val="1"/>
          <w:u w:val="single" w:color="auto"/>
          <w:color w:val="0000FF"/>
        </w:rPr>
        <w:t>d’apports</w:t>
      </w:r>
      <w:r>
        <w:rPr>
          <w:rFonts w:ascii="Arial" w:cs="Arial" w:eastAsia="Arial" w:hAnsi="Arial"/>
          <w:sz w:val="15"/>
          <w:szCs w:val="15"/>
          <w:i w:val="1"/>
          <w:iCs w:val="1"/>
          <w:color w:val="000000"/>
        </w:rPr>
        <w:t xml:space="preserve"> en nature </w:t>
      </w:r>
      <w:r>
        <w:rPr>
          <w:rFonts w:ascii="Arial" w:cs="Arial" w:eastAsia="Arial" w:hAnsi="Arial"/>
          <w:sz w:val="15"/>
          <w:szCs w:val="15"/>
          <w:color w:val="FF0000"/>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 xml:space="preserve"> par </w:t>
      </w:r>
      <w:r>
        <w:rPr>
          <w:rFonts w:ascii="Arial" w:cs="Arial" w:eastAsia="Arial" w:hAnsi="Arial"/>
          <w:sz w:val="15"/>
          <w:szCs w:val="15"/>
          <w:color w:val="FF0000"/>
          <w:strike w:val="1"/>
        </w:rPr>
        <w:t>la conversion</w:t>
      </w:r>
      <w:r>
        <w:rPr>
          <w:rFonts w:ascii="Arial" w:cs="Arial" w:eastAsia="Arial" w:hAnsi="Arial"/>
          <w:sz w:val="15"/>
          <w:szCs w:val="15"/>
          <w:i w:val="1"/>
          <w:iCs w:val="1"/>
          <w:u w:val="single" w:color="auto"/>
          <w:color w:val="0000FF"/>
        </w:rPr>
        <w:t>transformation</w:t>
      </w:r>
      <w:r>
        <w:rPr>
          <w:rFonts w:ascii="Arial" w:cs="Arial" w:eastAsia="Arial" w:hAnsi="Arial"/>
          <w:sz w:val="15"/>
          <w:szCs w:val="15"/>
          <w:i w:val="1"/>
          <w:iCs w:val="1"/>
          <w:color w:val="000000"/>
        </w:rPr>
        <w:t xml:space="preserve"> de créances </w:t>
      </w:r>
      <w:r>
        <w:rPr>
          <w:rFonts w:ascii="Arial" w:cs="Arial" w:eastAsia="Arial" w:hAnsi="Arial"/>
          <w:sz w:val="15"/>
          <w:szCs w:val="15"/>
          <w:color w:val="FF0000"/>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 xml:space="preserve"> par l’augmentation </w:t>
      </w:r>
      <w:r>
        <w:rPr>
          <w:rFonts w:ascii="Arial" w:cs="Arial" w:eastAsia="Arial" w:hAnsi="Arial"/>
          <w:sz w:val="15"/>
          <w:szCs w:val="15"/>
          <w:color w:val="FF0000"/>
          <w:strike w:val="1"/>
        </w:rPr>
        <w:t>de la valeur nominale</w:t>
      </w:r>
      <w:r>
        <w:rPr>
          <w:rFonts w:ascii="Arial" w:cs="Arial" w:eastAsia="Arial" w:hAnsi="Arial"/>
          <w:sz w:val="15"/>
          <w:szCs w:val="15"/>
          <w:i w:val="1"/>
          <w:iCs w:val="1"/>
          <w:u w:val="single" w:color="auto"/>
          <w:color w:val="0000FF"/>
        </w:rPr>
        <w:t>du pair comptable</w:t>
      </w:r>
      <w:r>
        <w:rPr>
          <w:rFonts w:ascii="Arial" w:cs="Arial" w:eastAsia="Arial" w:hAnsi="Arial"/>
          <w:sz w:val="15"/>
          <w:szCs w:val="15"/>
          <w:i w:val="1"/>
          <w:iCs w:val="1"/>
          <w:color w:val="000000"/>
        </w:rPr>
        <w:t xml:space="preserve"> des </w:t>
      </w:r>
      <w:r>
        <w:rPr>
          <w:rFonts w:ascii="Arial" w:cs="Arial" w:eastAsia="Arial" w:hAnsi="Arial"/>
          <w:sz w:val="15"/>
          <w:szCs w:val="15"/>
          <w:color w:val="FF0000"/>
          <w:strike w:val="1"/>
        </w:rPr>
        <w:t>Actions</w:t>
      </w:r>
      <w:r>
        <w:rPr>
          <w:rFonts w:ascii="Arial" w:cs="Arial" w:eastAsia="Arial" w:hAnsi="Arial"/>
          <w:sz w:val="15"/>
          <w:szCs w:val="15"/>
          <w:i w:val="1"/>
          <w:iCs w:val="1"/>
          <w:u w:val="single" w:color="auto"/>
          <w:color w:val="0000FF"/>
        </w:rPr>
        <w:t>actions</w:t>
      </w:r>
      <w:r>
        <w:rPr>
          <w:rFonts w:ascii="Arial" w:cs="Arial" w:eastAsia="Arial" w:hAnsi="Arial"/>
          <w:sz w:val="15"/>
          <w:szCs w:val="15"/>
          <w:i w:val="1"/>
          <w:iCs w:val="1"/>
          <w:color w:val="000000"/>
        </w:rPr>
        <w:t xml:space="preserve"> existantes </w:t>
      </w:r>
      <w:r>
        <w:rPr>
          <w:rFonts w:ascii="Arial" w:cs="Arial" w:eastAsia="Arial" w:hAnsi="Arial"/>
          <w:sz w:val="15"/>
          <w:szCs w:val="15"/>
          <w:color w:val="FF0000"/>
          <w:strike w:val="1"/>
        </w:rPr>
        <w:t>;</w:t>
      </w:r>
      <w:r>
        <w:rPr>
          <w:rFonts w:ascii="Arial" w:cs="Arial" w:eastAsia="Arial" w:hAnsi="Arial"/>
          <w:sz w:val="15"/>
          <w:szCs w:val="15"/>
          <w:i w:val="1"/>
          <w:iCs w:val="1"/>
          <w:color w:val="000000"/>
        </w:rPr>
        <w:t xml:space="preserve"> ou de toute autre manière </w:t>
      </w:r>
      <w:r>
        <w:rPr>
          <w:rFonts w:ascii="Arial" w:cs="Arial" w:eastAsia="Arial" w:hAnsi="Arial"/>
          <w:sz w:val="15"/>
          <w:szCs w:val="15"/>
          <w:color w:val="FF0000"/>
          <w:strike w:val="1"/>
        </w:rPr>
        <w:t>décidée</w:t>
      </w:r>
      <w:r>
        <w:rPr>
          <w:rFonts w:ascii="Arial" w:cs="Arial" w:eastAsia="Arial" w:hAnsi="Arial"/>
          <w:sz w:val="15"/>
          <w:szCs w:val="15"/>
          <w:i w:val="1"/>
          <w:iCs w:val="1"/>
          <w:u w:val="single" w:color="auto"/>
          <w:color w:val="0000FF"/>
        </w:rPr>
        <w:t>à décider</w:t>
      </w:r>
      <w:r>
        <w:rPr>
          <w:rFonts w:ascii="Arial" w:cs="Arial" w:eastAsia="Arial" w:hAnsi="Arial"/>
          <w:sz w:val="15"/>
          <w:szCs w:val="15"/>
          <w:i w:val="1"/>
          <w:iCs w:val="1"/>
          <w:color w:val="000000"/>
        </w:rPr>
        <w:t xml:space="preserve"> par le Conseil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-713740</wp:posOffset>
            </wp:positionV>
            <wp:extent cx="13271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-298450</wp:posOffset>
            </wp:positionV>
            <wp:extent cx="5270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705" cy="698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-298450</wp:posOffset>
            </wp:positionV>
            <wp:extent cx="5270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705" cy="6985"/>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4" w:name="page75"/>
    <w:bookmarkEnd w:id="74"/>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20" w:right="1219"/>
        <w:spacing w:after="0" w:line="260" w:lineRule="auto"/>
        <w:rPr>
          <w:sz w:val="20"/>
          <w:szCs w:val="20"/>
          <w:color w:val="auto"/>
        </w:rPr>
      </w:pP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color w:val="FF0000"/>
        </w:rPr>
        <w:t xml:space="preserve"> </w:t>
      </w:r>
      <w:r>
        <w:rPr>
          <w:rFonts w:ascii="Arial" w:cs="Arial" w:eastAsia="Arial" w:hAnsi="Arial"/>
          <w:sz w:val="15"/>
          <w:szCs w:val="15"/>
          <w:i w:val="1"/>
          <w:iCs w:val="1"/>
          <w:color w:val="000000"/>
        </w:rPr>
        <w:t>jusqu’à</w:t>
      </w:r>
      <w:r>
        <w:rPr>
          <w:rFonts w:ascii="Arial" w:cs="Arial" w:eastAsia="Arial" w:hAnsi="Arial"/>
          <w:sz w:val="15"/>
          <w:szCs w:val="15"/>
          <w:color w:val="FF0000"/>
        </w:rPr>
        <w:t xml:space="preserve"> </w:t>
      </w:r>
      <w:r>
        <w:rPr>
          <w:rFonts w:ascii="Arial" w:cs="Arial" w:eastAsia="Arial" w:hAnsi="Arial"/>
          <w:sz w:val="15"/>
          <w:szCs w:val="15"/>
          <w:color w:val="FF0000"/>
          <w:strike w:val="1"/>
        </w:rPr>
        <w:t>un montant</w:t>
      </w:r>
      <w:r>
        <w:rPr>
          <w:rFonts w:ascii="Arial" w:cs="Arial" w:eastAsia="Arial" w:hAnsi="Arial"/>
          <w:sz w:val="15"/>
          <w:szCs w:val="15"/>
          <w:i w:val="1"/>
          <w:iCs w:val="1"/>
          <w:u w:val="single" w:color="auto"/>
          <w:color w:val="0000FF"/>
        </w:rPr>
        <w:t>concurrence</w:t>
      </w:r>
      <w:r>
        <w:rPr>
          <w:rFonts w:ascii="Arial" w:cs="Arial" w:eastAsia="Arial" w:hAnsi="Arial"/>
          <w:sz w:val="15"/>
          <w:szCs w:val="15"/>
          <w:color w:val="FF0000"/>
        </w:rPr>
        <w:t xml:space="preserve"> </w:t>
      </w:r>
      <w:r>
        <w:rPr>
          <w:rFonts w:ascii="Arial" w:cs="Arial" w:eastAsia="Arial" w:hAnsi="Arial"/>
          <w:sz w:val="15"/>
          <w:szCs w:val="15"/>
          <w:i w:val="1"/>
          <w:iCs w:val="1"/>
          <w:color w:val="000000"/>
        </w:rPr>
        <w:t>de un million neuf cent dix-huit mille trois cent vingt-neuf dollars américains et quatre-vingt-deux centimes (1.918.329,82 USD).</w:t>
      </w:r>
    </w:p>
    <w:p>
      <w:pPr>
        <w:spacing w:after="0" w:line="48" w:lineRule="exact"/>
        <w:rPr>
          <w:sz w:val="20"/>
          <w:szCs w:val="20"/>
          <w:color w:val="auto"/>
        </w:rPr>
      </w:pPr>
    </w:p>
    <w:p>
      <w:pPr>
        <w:ind w:left="1520" w:right="1539" w:hanging="141"/>
        <w:spacing w:after="0" w:line="262" w:lineRule="auto"/>
        <w:tabs>
          <w:tab w:leader="none" w:pos="15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FF0000"/>
          <w:strike w:val="1"/>
        </w:rPr>
        <w:t>émettre des bons de souscription, des options</w:t>
      </w:r>
      <w:r>
        <w:rPr>
          <w:rFonts w:ascii="Arial" w:cs="Arial" w:eastAsia="Arial" w:hAnsi="Arial"/>
          <w:sz w:val="15"/>
          <w:szCs w:val="15"/>
          <w:i w:val="1"/>
          <w:iCs w:val="1"/>
          <w:color w:val="000000"/>
        </w:rPr>
        <w:t>Emettre tout warrant, option ou</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d’autres</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instruments similaires donnant droit à des</w:t>
      </w:r>
      <w:r>
        <w:rPr>
          <w:rFonts w:ascii="Arial" w:cs="Arial" w:eastAsia="Arial" w:hAnsi="Arial"/>
          <w:sz w:val="15"/>
          <w:szCs w:val="15"/>
          <w:i w:val="1"/>
          <w:iCs w:val="1"/>
          <w:u w:val="single" w:color="auto"/>
          <w:color w:val="0000FF"/>
          <w:strike w:val="1"/>
        </w:rPr>
        <w:t>tout autre instrument similaire exerçable en</w:t>
      </w:r>
      <w:r>
        <w:rPr>
          <w:rFonts w:ascii="Arial" w:cs="Arial" w:eastAsia="Arial" w:hAnsi="Arial"/>
          <w:sz w:val="15"/>
          <w:szCs w:val="15"/>
          <w:color w:val="FF0000"/>
          <w:strike w:val="1"/>
        </w:rPr>
        <w:t xml:space="preserve"> </w:t>
      </w:r>
      <w:r>
        <w:rPr>
          <w:rFonts w:ascii="Arial" w:cs="Arial" w:eastAsia="Arial" w:hAnsi="Arial"/>
          <w:sz w:val="15"/>
          <w:szCs w:val="15"/>
          <w:i w:val="1"/>
          <w:iCs w:val="1"/>
          <w:color w:val="000000"/>
          <w:strike w:val="1"/>
        </w:rPr>
        <w:t xml:space="preserve">actions, </w:t>
      </w:r>
      <w:r>
        <w:rPr>
          <w:rFonts w:ascii="Arial" w:cs="Arial" w:eastAsia="Arial" w:hAnsi="Arial"/>
          <w:sz w:val="15"/>
          <w:szCs w:val="15"/>
          <w:color w:val="FF0000"/>
          <w:strike w:val="1"/>
        </w:rPr>
        <w:t>des</w:t>
      </w:r>
      <w:r>
        <w:rPr>
          <w:rFonts w:ascii="Arial" w:cs="Arial" w:eastAsia="Arial" w:hAnsi="Arial"/>
          <w:sz w:val="15"/>
          <w:szCs w:val="15"/>
          <w:i w:val="1"/>
          <w:iCs w:val="1"/>
          <w:color w:val="000000"/>
          <w:strike w:val="1"/>
        </w:rPr>
        <w:t xml:space="preserve"> droits de souscription </w:t>
      </w:r>
      <w:r>
        <w:rPr>
          <w:rFonts w:ascii="Arial" w:cs="Arial" w:eastAsia="Arial" w:hAnsi="Arial"/>
          <w:sz w:val="15"/>
          <w:szCs w:val="15"/>
          <w:color w:val="FF0000"/>
          <w:strike w:val="1"/>
        </w:rPr>
        <w:t>d’actions</w:t>
      </w:r>
      <w:r>
        <w:rPr>
          <w:rFonts w:ascii="Arial" w:cs="Arial" w:eastAsia="Arial" w:hAnsi="Arial"/>
          <w:sz w:val="15"/>
          <w:szCs w:val="15"/>
          <w:i w:val="1"/>
          <w:iCs w:val="1"/>
          <w:u w:val="single" w:color="auto"/>
          <w:color w:val="0000FF"/>
          <w:strike w:val="1"/>
        </w:rPr>
        <w:t>à des actions</w:t>
      </w:r>
      <w:r>
        <w:rPr>
          <w:rFonts w:ascii="Arial" w:cs="Arial" w:eastAsia="Arial" w:hAnsi="Arial"/>
          <w:sz w:val="15"/>
          <w:szCs w:val="15"/>
          <w:i w:val="1"/>
          <w:iCs w:val="1"/>
          <w:color w:val="000000"/>
          <w:strike w:val="1"/>
        </w:rPr>
        <w:t xml:space="preserve"> et </w:t>
      </w:r>
      <w:r>
        <w:rPr>
          <w:rFonts w:ascii="Arial" w:cs="Arial" w:eastAsia="Arial" w:hAnsi="Arial"/>
          <w:sz w:val="15"/>
          <w:szCs w:val="15"/>
          <w:color w:val="FF0000"/>
          <w:strike w:val="1"/>
        </w:rPr>
        <w:t>fixer</w:t>
      </w:r>
      <w:r>
        <w:rPr>
          <w:rFonts w:ascii="Arial" w:cs="Arial" w:eastAsia="Arial" w:hAnsi="Arial"/>
          <w:sz w:val="15"/>
          <w:szCs w:val="15"/>
          <w:i w:val="1"/>
          <w:iCs w:val="1"/>
          <w:u w:val="single" w:color="auto"/>
          <w:color w:val="0000FF"/>
          <w:strike w:val="1"/>
        </w:rPr>
        <w:t>définir</w:t>
      </w:r>
      <w:r>
        <w:rPr>
          <w:rFonts w:ascii="Arial" w:cs="Arial" w:eastAsia="Arial" w:hAnsi="Arial"/>
          <w:sz w:val="15"/>
          <w:szCs w:val="15"/>
          <w:i w:val="1"/>
          <w:iCs w:val="1"/>
          <w:color w:val="000000"/>
          <w:strike w:val="1"/>
        </w:rPr>
        <w:t xml:space="preserve"> les </w:t>
      </w:r>
      <w:r>
        <w:rPr>
          <w:rFonts w:ascii="Arial" w:cs="Arial" w:eastAsia="Arial" w:hAnsi="Arial"/>
          <w:sz w:val="15"/>
          <w:szCs w:val="15"/>
          <w:i w:val="1"/>
          <w:iCs w:val="1"/>
          <w:u w:val="single" w:color="auto"/>
          <w:color w:val="0000FF"/>
          <w:strike w:val="1"/>
        </w:rPr>
        <w:t>termes et</w:t>
      </w:r>
      <w:r>
        <w:rPr>
          <w:rFonts w:ascii="Arial" w:cs="Arial" w:eastAsia="Arial" w:hAnsi="Arial"/>
          <w:sz w:val="15"/>
          <w:szCs w:val="15"/>
          <w:i w:val="1"/>
          <w:iCs w:val="1"/>
          <w:color w:val="000000"/>
          <w:strike w:val="1"/>
        </w:rPr>
        <w:t xml:space="preserve"> conditions de ces instruments.</w:t>
      </w:r>
    </w:p>
    <w:p>
      <w:pPr>
        <w:spacing w:after="0" w:line="58" w:lineRule="exact"/>
        <w:rPr>
          <w:rFonts w:ascii="Arial" w:cs="Arial" w:eastAsia="Arial" w:hAnsi="Arial"/>
          <w:sz w:val="15"/>
          <w:szCs w:val="15"/>
          <w:color w:val="auto"/>
        </w:rPr>
      </w:pPr>
    </w:p>
    <w:p>
      <w:pPr>
        <w:ind w:left="1520" w:right="1119" w:hanging="141"/>
        <w:spacing w:after="0" w:line="254" w:lineRule="auto"/>
        <w:tabs>
          <w:tab w:leader="none" w:pos="15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déterminer les </w:t>
      </w:r>
      <w:r>
        <w:rPr>
          <w:rFonts w:ascii="Arial" w:cs="Arial" w:eastAsia="Arial" w:hAnsi="Arial"/>
          <w:sz w:val="15"/>
          <w:szCs w:val="15"/>
          <w:color w:val="FF0000"/>
          <w:strike w:val="1"/>
        </w:rPr>
        <w:t>termes</w:t>
      </w:r>
      <w:r>
        <w:rPr>
          <w:rFonts w:ascii="Arial" w:cs="Arial" w:eastAsia="Arial" w:hAnsi="Arial"/>
          <w:sz w:val="15"/>
          <w:szCs w:val="15"/>
          <w:i w:val="1"/>
          <w:iCs w:val="1"/>
          <w:u w:val="single" w:color="auto"/>
          <w:color w:val="0000FF"/>
        </w:rPr>
        <w:t>modalités</w:t>
      </w:r>
      <w:r>
        <w:rPr>
          <w:rFonts w:ascii="Arial" w:cs="Arial" w:eastAsia="Arial" w:hAnsi="Arial"/>
          <w:sz w:val="15"/>
          <w:szCs w:val="15"/>
          <w:i w:val="1"/>
          <w:iCs w:val="1"/>
          <w:color w:val="auto"/>
        </w:rPr>
        <w:t xml:space="preserve"> et </w:t>
      </w:r>
      <w:r>
        <w:rPr>
          <w:rFonts w:ascii="Arial" w:cs="Arial" w:eastAsia="Arial" w:hAnsi="Arial"/>
          <w:sz w:val="15"/>
          <w:szCs w:val="15"/>
          <w:i w:val="1"/>
          <w:iCs w:val="1"/>
          <w:u w:val="single" w:color="auto"/>
          <w:color w:val="0000FF"/>
        </w:rPr>
        <w:t>les</w:t>
      </w:r>
      <w:r>
        <w:rPr>
          <w:rFonts w:ascii="Arial" w:cs="Arial" w:eastAsia="Arial" w:hAnsi="Arial"/>
          <w:sz w:val="15"/>
          <w:szCs w:val="15"/>
          <w:i w:val="1"/>
          <w:iCs w:val="1"/>
          <w:color w:val="auto"/>
        </w:rPr>
        <w:t xml:space="preserve"> conditions </w:t>
      </w:r>
      <w:r>
        <w:rPr>
          <w:rFonts w:ascii="Arial" w:cs="Arial" w:eastAsia="Arial" w:hAnsi="Arial"/>
          <w:sz w:val="15"/>
          <w:szCs w:val="15"/>
          <w:color w:val="FF0000"/>
          <w:strike w:val="1"/>
        </w:rPr>
        <w:t>de toute</w:t>
      </w:r>
      <w:r>
        <w:rPr>
          <w:rFonts w:ascii="Arial" w:cs="Arial" w:eastAsia="Arial" w:hAnsi="Arial"/>
          <w:sz w:val="15"/>
          <w:szCs w:val="15"/>
          <w:i w:val="1"/>
          <w:iCs w:val="1"/>
          <w:u w:val="single" w:color="auto"/>
          <w:color w:val="0000FF"/>
        </w:rPr>
        <w:t>d’une</w:t>
      </w:r>
      <w:r>
        <w:rPr>
          <w:rFonts w:ascii="Arial" w:cs="Arial" w:eastAsia="Arial" w:hAnsi="Arial"/>
          <w:sz w:val="15"/>
          <w:szCs w:val="15"/>
          <w:i w:val="1"/>
          <w:iCs w:val="1"/>
          <w:color w:val="auto"/>
        </w:rPr>
        <w:t xml:space="preserve"> augmentation du capital social émis, </w:t>
      </w:r>
      <w:r>
        <w:rPr>
          <w:rFonts w:ascii="Arial" w:cs="Arial" w:eastAsia="Arial" w:hAnsi="Arial"/>
          <w:sz w:val="15"/>
          <w:szCs w:val="15"/>
          <w:color w:val="FF0000"/>
          <w:strike w:val="1"/>
        </w:rPr>
        <w:t>y compris</w:t>
      </w:r>
      <w:r>
        <w:rPr>
          <w:rFonts w:ascii="Arial" w:cs="Arial" w:eastAsia="Arial" w:hAnsi="Arial"/>
          <w:sz w:val="15"/>
          <w:szCs w:val="15"/>
          <w:i w:val="1"/>
          <w:iCs w:val="1"/>
          <w:u w:val="single" w:color="auto"/>
          <w:color w:val="0000FF"/>
        </w:rPr>
        <w:t>incluant</w:t>
      </w:r>
      <w:r>
        <w:rPr>
          <w:rFonts w:ascii="Arial" w:cs="Arial" w:eastAsia="Arial" w:hAnsi="Arial"/>
          <w:sz w:val="15"/>
          <w:szCs w:val="15"/>
          <w:i w:val="1"/>
          <w:iCs w:val="1"/>
          <w:color w:val="auto"/>
        </w:rPr>
        <w:t xml:space="preserve">, mais </w:t>
      </w:r>
      <w:r>
        <w:rPr>
          <w:rFonts w:ascii="Arial" w:cs="Arial" w:eastAsia="Arial" w:hAnsi="Arial"/>
          <w:sz w:val="15"/>
          <w:szCs w:val="15"/>
          <w:color w:val="FF0000"/>
          <w:strike w:val="1"/>
        </w:rPr>
        <w:t>sans s’y limiter</w:t>
      </w:r>
      <w:r>
        <w:rPr>
          <w:rFonts w:ascii="Arial" w:cs="Arial" w:eastAsia="Arial" w:hAnsi="Arial"/>
          <w:sz w:val="15"/>
          <w:szCs w:val="15"/>
          <w:i w:val="1"/>
          <w:iCs w:val="1"/>
          <w:u w:val="single" w:color="auto"/>
          <w:color w:val="0000FF"/>
        </w:rPr>
        <w:t>pas uniquement</w:t>
      </w:r>
      <w:r>
        <w:rPr>
          <w:rFonts w:ascii="Arial" w:cs="Arial" w:eastAsia="Arial" w:hAnsi="Arial"/>
          <w:sz w:val="15"/>
          <w:szCs w:val="15"/>
          <w:i w:val="1"/>
          <w:iCs w:val="1"/>
          <w:color w:val="auto"/>
        </w:rPr>
        <w:t xml:space="preserve">, le lieu et la date de l’émission ou des émissions successives, le prix d’émission, le </w:t>
      </w:r>
      <w:r>
        <w:rPr>
          <w:rFonts w:ascii="Arial" w:cs="Arial" w:eastAsia="Arial" w:hAnsi="Arial"/>
          <w:sz w:val="15"/>
          <w:szCs w:val="15"/>
          <w:color w:val="FF0000"/>
          <w:strike w:val="1"/>
        </w:rPr>
        <w:t>montant des</w:t>
      </w:r>
      <w:r>
        <w:rPr>
          <w:rFonts w:ascii="Arial" w:cs="Arial" w:eastAsia="Arial" w:hAnsi="Arial"/>
          <w:sz w:val="15"/>
          <w:szCs w:val="15"/>
          <w:i w:val="1"/>
          <w:iCs w:val="1"/>
          <w:u w:val="single" w:color="auto"/>
          <w:color w:val="0000FF"/>
        </w:rPr>
        <w:t>nombre d’Actions</w:t>
      </w:r>
      <w:r>
        <w:rPr>
          <w:rFonts w:ascii="Arial" w:cs="Arial" w:eastAsia="Arial" w:hAnsi="Arial"/>
          <w:sz w:val="15"/>
          <w:szCs w:val="15"/>
          <w:i w:val="1"/>
          <w:iCs w:val="1"/>
          <w:color w:val="auto"/>
        </w:rPr>
        <w:t xml:space="preserve"> nouvelles </w:t>
      </w:r>
      <w:r>
        <w:rPr>
          <w:rFonts w:ascii="Arial" w:cs="Arial" w:eastAsia="Arial" w:hAnsi="Arial"/>
          <w:sz w:val="15"/>
          <w:szCs w:val="15"/>
          <w:color w:val="FF0000"/>
          <w:strike w:val="1"/>
        </w:rPr>
        <w:t>Actions</w:t>
      </w:r>
      <w:r>
        <w:rPr>
          <w:rFonts w:ascii="Arial" w:cs="Arial" w:eastAsia="Arial" w:hAnsi="Arial"/>
          <w:sz w:val="15"/>
          <w:szCs w:val="15"/>
          <w:color w:val="FF0000"/>
        </w:rPr>
        <w:t xml:space="preserve"> </w:t>
      </w:r>
      <w:r>
        <w:rPr>
          <w:rFonts w:ascii="Arial" w:cs="Arial" w:eastAsia="Arial" w:hAnsi="Arial"/>
          <w:sz w:val="15"/>
          <w:szCs w:val="15"/>
          <w:i w:val="1"/>
          <w:iCs w:val="1"/>
          <w:color w:val="000000"/>
        </w:rPr>
        <w:t>à émettre,</w:t>
      </w:r>
      <w:r>
        <w:rPr>
          <w:rFonts w:ascii="Arial" w:cs="Arial" w:eastAsia="Arial" w:hAnsi="Arial"/>
          <w:sz w:val="15"/>
          <w:szCs w:val="15"/>
          <w:color w:val="FF0000"/>
        </w:rPr>
        <w:t xml:space="preserve"> </w:t>
      </w:r>
      <w:r>
        <w:rPr>
          <w:rFonts w:ascii="Arial" w:cs="Arial" w:eastAsia="Arial" w:hAnsi="Arial"/>
          <w:sz w:val="15"/>
          <w:szCs w:val="15"/>
          <w:color w:val="FF0000"/>
          <w:strike w:val="1"/>
        </w:rPr>
        <w:t>si</w:t>
      </w:r>
      <w:r>
        <w:rPr>
          <w:rFonts w:ascii="Arial" w:cs="Arial" w:eastAsia="Arial" w:hAnsi="Arial"/>
          <w:sz w:val="15"/>
          <w:szCs w:val="15"/>
          <w:i w:val="1"/>
          <w:iCs w:val="1"/>
          <w:u w:val="single" w:color="auto"/>
          <w:color w:val="0000FF"/>
        </w:rPr>
        <w:t>que</w:t>
      </w:r>
      <w:r>
        <w:rPr>
          <w:rFonts w:ascii="Arial" w:cs="Arial" w:eastAsia="Arial" w:hAnsi="Arial"/>
          <w:sz w:val="15"/>
          <w:szCs w:val="15"/>
          <w:color w:val="FF0000"/>
        </w:rPr>
        <w:t xml:space="preserve"> </w:t>
      </w:r>
      <w:r>
        <w:rPr>
          <w:rFonts w:ascii="Arial" w:cs="Arial" w:eastAsia="Arial" w:hAnsi="Arial"/>
          <w:sz w:val="15"/>
          <w:szCs w:val="15"/>
          <w:i w:val="1"/>
          <w:iCs w:val="1"/>
          <w:color w:val="000000"/>
        </w:rPr>
        <w:t>les nouvelles Actions</w:t>
      </w:r>
      <w:r>
        <w:rPr>
          <w:rFonts w:ascii="Arial" w:cs="Arial" w:eastAsia="Arial" w:hAnsi="Arial"/>
          <w:sz w:val="15"/>
          <w:szCs w:val="15"/>
          <w:color w:val="FF0000"/>
        </w:rPr>
        <w:t xml:space="preserve"> </w:t>
      </w:r>
      <w:r>
        <w:rPr>
          <w:rFonts w:ascii="Arial" w:cs="Arial" w:eastAsia="Arial" w:hAnsi="Arial"/>
          <w:sz w:val="15"/>
          <w:szCs w:val="15"/>
          <w:color w:val="FF0000"/>
          <w:strike w:val="1"/>
        </w:rPr>
        <w:t>doivent être émises et souscrites</w:t>
      </w:r>
      <w:r>
        <w:rPr>
          <w:rFonts w:ascii="Arial" w:cs="Arial" w:eastAsia="Arial" w:hAnsi="Arial"/>
          <w:sz w:val="15"/>
          <w:szCs w:val="15"/>
          <w:i w:val="1"/>
          <w:iCs w:val="1"/>
          <w:u w:val="single" w:color="auto"/>
          <w:color w:val="0000FF"/>
        </w:rPr>
        <w:t>soient à</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émettre ou souscrire</w:t>
      </w:r>
      <w:r>
        <w:rPr>
          <w:rFonts w:ascii="Arial" w:cs="Arial" w:eastAsia="Arial" w:hAnsi="Arial"/>
          <w:sz w:val="15"/>
          <w:szCs w:val="15"/>
          <w:i w:val="1"/>
          <w:iCs w:val="1"/>
          <w:color w:val="000000"/>
        </w:rPr>
        <w:t>, avec ou sans prime d’émission et les</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conditions et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modalités de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souscription et de libération des Actions nouvelles (en </w:t>
      </w:r>
      <w:r>
        <w:rPr>
          <w:rFonts w:ascii="Arial" w:cs="Arial" w:eastAsia="Arial" w:hAnsi="Arial"/>
          <w:sz w:val="15"/>
          <w:szCs w:val="15"/>
          <w:color w:val="FF0000"/>
          <w:strike w:val="1"/>
        </w:rPr>
        <w:t>espèces</w:t>
      </w:r>
      <w:r>
        <w:rPr>
          <w:rFonts w:ascii="Arial" w:cs="Arial" w:eastAsia="Arial" w:hAnsi="Arial"/>
          <w:sz w:val="15"/>
          <w:szCs w:val="15"/>
          <w:i w:val="1"/>
          <w:iCs w:val="1"/>
          <w:u w:val="single" w:color="auto"/>
          <w:color w:val="0000FF"/>
        </w:rPr>
        <w:t>espèce</w:t>
      </w:r>
      <w:r>
        <w:rPr>
          <w:rFonts w:ascii="Arial" w:cs="Arial" w:eastAsia="Arial" w:hAnsi="Arial"/>
          <w:sz w:val="15"/>
          <w:szCs w:val="15"/>
          <w:i w:val="1"/>
          <w:iCs w:val="1"/>
          <w:color w:val="000000"/>
        </w:rPr>
        <w:t xml:space="preserve"> ou en nature ou par incorporation de réserves disponibles </w:t>
      </w:r>
      <w:r>
        <w:rPr>
          <w:rFonts w:ascii="Arial" w:cs="Arial" w:eastAsia="Arial" w:hAnsi="Arial"/>
          <w:sz w:val="15"/>
          <w:szCs w:val="15"/>
          <w:color w:val="FF0000"/>
          <w:strike w:val="1"/>
        </w:rPr>
        <w:t>ou de fonds disponibles</w:t>
      </w:r>
      <w:r>
        <w:rPr>
          <w:rFonts w:ascii="Arial" w:cs="Arial" w:eastAsia="Arial" w:hAnsi="Arial"/>
          <w:sz w:val="15"/>
          <w:szCs w:val="15"/>
          <w:i w:val="1"/>
          <w:iCs w:val="1"/>
          <w:color w:val="000000"/>
        </w:rPr>
        <w:t xml:space="preserve"> sur le compte </w:t>
      </w:r>
      <w:r>
        <w:rPr>
          <w:rFonts w:ascii="Arial" w:cs="Arial" w:eastAsia="Arial" w:hAnsi="Arial"/>
          <w:sz w:val="15"/>
          <w:szCs w:val="15"/>
          <w:i w:val="1"/>
          <w:iCs w:val="1"/>
          <w:u w:val="single" w:color="auto"/>
          <w:color w:val="0000FF"/>
        </w:rPr>
        <w:t>d’apport en</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capital (compte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115</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Apport en capitaux propres non rémunéré par des titres</w:t>
      </w:r>
      <w:r>
        <w:rPr>
          <w:rFonts w:ascii="Arial" w:cs="Arial" w:eastAsia="Arial" w:hAnsi="Arial"/>
          <w:sz w:val="15"/>
          <w:szCs w:val="15"/>
          <w:i w:val="1"/>
          <w:iCs w:val="1"/>
          <w:color w:val="0000FF"/>
        </w:rPr>
        <w:t xml:space="preserve"> </w:t>
      </w:r>
      <w:r>
        <w:rPr>
          <w:rFonts w:ascii="Arial" w:cs="Arial" w:eastAsia="Arial" w:hAnsi="Arial"/>
          <w:sz w:val="15"/>
          <w:szCs w:val="15"/>
          <w:color w:val="FF0000"/>
        </w:rPr>
        <w:t>»,</w:t>
      </w:r>
      <w:r>
        <w:rPr>
          <w:rFonts w:ascii="Arial" w:cs="Arial" w:eastAsia="Arial" w:hAnsi="Arial"/>
          <w:sz w:val="15"/>
          <w:szCs w:val="15"/>
          <w:i w:val="1"/>
          <w:iCs w:val="1"/>
          <w:u w:val="single" w:color="auto"/>
          <w:color w:val="0000FF"/>
        </w:rPr>
        <w:t>”), sur</w:t>
      </w:r>
      <w:r>
        <w:rPr>
          <w:rFonts w:ascii="Arial" w:cs="Arial" w:eastAsia="Arial" w:hAnsi="Arial"/>
          <w:sz w:val="15"/>
          <w:szCs w:val="15"/>
          <w:i w:val="1"/>
          <w:iCs w:val="1"/>
          <w:color w:val="0000FF"/>
        </w:rPr>
        <w:t xml:space="preserve"> </w:t>
      </w:r>
      <w:r>
        <w:rPr>
          <w:rFonts w:ascii="Arial" w:cs="Arial" w:eastAsia="Arial" w:hAnsi="Arial"/>
          <w:sz w:val="15"/>
          <w:szCs w:val="15"/>
          <w:color w:val="000000"/>
        </w:rPr>
        <w:t>le</w:t>
      </w:r>
      <w:r>
        <w:rPr>
          <w:rFonts w:ascii="Arial" w:cs="Arial" w:eastAsia="Arial" w:hAnsi="Arial"/>
          <w:sz w:val="15"/>
          <w:szCs w:val="15"/>
          <w:i w:val="1"/>
          <w:iCs w:val="1"/>
          <w:color w:val="0000FF"/>
        </w:rPr>
        <w:t xml:space="preserve"> </w:t>
      </w:r>
      <w:r>
        <w:rPr>
          <w:rFonts w:ascii="Arial" w:cs="Arial" w:eastAsia="Arial" w:hAnsi="Arial"/>
          <w:sz w:val="15"/>
          <w:szCs w:val="15"/>
          <w:color w:val="000000"/>
        </w:rPr>
        <w:t xml:space="preserve">compte de </w:t>
      </w:r>
      <w:r>
        <w:rPr>
          <w:rFonts w:ascii="Arial" w:cs="Arial" w:eastAsia="Arial" w:hAnsi="Arial"/>
          <w:sz w:val="15"/>
          <w:szCs w:val="15"/>
          <w:color w:val="FF0000"/>
          <w:strike w:val="1"/>
        </w:rPr>
        <w:t>primes</w:t>
      </w:r>
      <w:r>
        <w:rPr>
          <w:rFonts w:ascii="Arial" w:cs="Arial" w:eastAsia="Arial" w:hAnsi="Arial"/>
          <w:sz w:val="15"/>
          <w:szCs w:val="15"/>
          <w:i w:val="1"/>
          <w:iCs w:val="1"/>
          <w:u w:val="single" w:color="auto"/>
          <w:color w:val="0000FF"/>
        </w:rPr>
        <w:t>prime</w:t>
      </w:r>
      <w:r>
        <w:rPr>
          <w:rFonts w:ascii="Arial" w:cs="Arial" w:eastAsia="Arial" w:hAnsi="Arial"/>
          <w:sz w:val="15"/>
          <w:szCs w:val="15"/>
          <w:color w:val="000000"/>
        </w:rPr>
        <w:t xml:space="preserve"> </w:t>
      </w:r>
      <w:r>
        <w:rPr>
          <w:rFonts w:ascii="Arial" w:cs="Arial" w:eastAsia="Arial" w:hAnsi="Arial"/>
          <w:sz w:val="15"/>
          <w:szCs w:val="15"/>
          <w:i w:val="1"/>
          <w:iCs w:val="1"/>
          <w:color w:val="000000"/>
        </w:rPr>
        <w:t>d’émission ou les bénéfices non distribués). Si la contrepartie payable</w:t>
      </w:r>
      <w:r>
        <w:rPr>
          <w:rFonts w:ascii="Arial" w:cs="Arial" w:eastAsia="Arial" w:hAnsi="Arial"/>
          <w:sz w:val="15"/>
          <w:szCs w:val="15"/>
          <w:color w:val="000000"/>
        </w:rPr>
        <w:t xml:space="preserve"> </w:t>
      </w:r>
      <w:r>
        <w:rPr>
          <w:rFonts w:ascii="Arial" w:cs="Arial" w:eastAsia="Arial" w:hAnsi="Arial"/>
          <w:sz w:val="15"/>
          <w:szCs w:val="15"/>
          <w:i w:val="1"/>
          <w:iCs w:val="1"/>
          <w:color w:val="000000"/>
        </w:rPr>
        <w:t xml:space="preserve">à la Société pour </w:t>
      </w:r>
      <w:r>
        <w:rPr>
          <w:rFonts w:ascii="Arial" w:cs="Arial" w:eastAsia="Arial" w:hAnsi="Arial"/>
          <w:sz w:val="15"/>
          <w:szCs w:val="15"/>
          <w:color w:val="FF0000"/>
          <w:strike w:val="1"/>
        </w:rPr>
        <w:t>des</w:t>
      </w:r>
      <w:r>
        <w:rPr>
          <w:rFonts w:ascii="Arial" w:cs="Arial" w:eastAsia="Arial" w:hAnsi="Arial"/>
          <w:sz w:val="15"/>
          <w:szCs w:val="15"/>
          <w:i w:val="1"/>
          <w:iCs w:val="1"/>
          <w:u w:val="single" w:color="auto"/>
          <w:color w:val="0000FF"/>
        </w:rPr>
        <w:t>les</w:t>
      </w:r>
      <w:r>
        <w:rPr>
          <w:rFonts w:ascii="Arial" w:cs="Arial" w:eastAsia="Arial" w:hAnsi="Arial"/>
          <w:sz w:val="15"/>
          <w:szCs w:val="15"/>
          <w:i w:val="1"/>
          <w:iCs w:val="1"/>
          <w:color w:val="000000"/>
        </w:rPr>
        <w:t xml:space="preserve"> Actions nouvellement émises </w:t>
      </w:r>
      <w:r>
        <w:rPr>
          <w:rFonts w:ascii="Arial" w:cs="Arial" w:eastAsia="Arial" w:hAnsi="Arial"/>
          <w:sz w:val="15"/>
          <w:szCs w:val="15"/>
          <w:color w:val="FF0000"/>
          <w:strike w:val="1"/>
        </w:rPr>
        <w:t>dépasse la valeur nominale</w:t>
      </w:r>
      <w:r>
        <w:rPr>
          <w:rFonts w:ascii="Arial" w:cs="Arial" w:eastAsia="Arial" w:hAnsi="Arial"/>
          <w:sz w:val="15"/>
          <w:szCs w:val="15"/>
          <w:i w:val="1"/>
          <w:iCs w:val="1"/>
          <w:u w:val="single" w:color="auto"/>
          <w:color w:val="0000FF"/>
        </w:rPr>
        <w:t>excède le</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pair comptable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de ces Actions,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l’excédent doit être traité</w:t>
      </w:r>
      <w:r>
        <w:rPr>
          <w:rFonts w:ascii="Arial" w:cs="Arial" w:eastAsia="Arial" w:hAnsi="Arial"/>
          <w:sz w:val="15"/>
          <w:szCs w:val="15"/>
          <w:i w:val="1"/>
          <w:iCs w:val="1"/>
          <w:u w:val="single" w:color="auto"/>
          <w:color w:val="0000FF"/>
        </w:rPr>
        <w:t>l’excès est à traiter</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comme</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une</w:t>
      </w:r>
      <w:r>
        <w:rPr>
          <w:rFonts w:ascii="Arial" w:cs="Arial" w:eastAsia="Arial" w:hAnsi="Arial"/>
          <w:sz w:val="15"/>
          <w:szCs w:val="15"/>
          <w:i w:val="1"/>
          <w:iCs w:val="1"/>
          <w:u w:val="single" w:color="auto"/>
          <w:color w:val="0000FF"/>
        </w:rPr>
        <w:t>de la</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prime d’émission </w:t>
      </w:r>
      <w:r>
        <w:rPr>
          <w:rFonts w:ascii="Arial" w:cs="Arial" w:eastAsia="Arial" w:hAnsi="Arial"/>
          <w:sz w:val="15"/>
          <w:szCs w:val="15"/>
          <w:color w:val="FF0000"/>
          <w:strike w:val="1"/>
        </w:rPr>
        <w:t>relative</w:t>
      </w:r>
      <w:r>
        <w:rPr>
          <w:rFonts w:ascii="Arial" w:cs="Arial" w:eastAsia="Arial" w:hAnsi="Arial"/>
          <w:sz w:val="15"/>
          <w:szCs w:val="15"/>
          <w:i w:val="1"/>
          <w:iCs w:val="1"/>
          <w:u w:val="single" w:color="auto"/>
          <w:color w:val="0000FF"/>
        </w:rPr>
        <w:t>relatives</w:t>
      </w:r>
      <w:r>
        <w:rPr>
          <w:rFonts w:ascii="Arial" w:cs="Arial" w:eastAsia="Arial" w:hAnsi="Arial"/>
          <w:sz w:val="15"/>
          <w:szCs w:val="15"/>
          <w:i w:val="1"/>
          <w:iCs w:val="1"/>
          <w:color w:val="000000"/>
        </w:rPr>
        <w:t xml:space="preserve"> aux Actions dans les livres </w:t>
      </w:r>
      <w:r>
        <w:rPr>
          <w:rFonts w:ascii="Arial" w:cs="Arial" w:eastAsia="Arial" w:hAnsi="Arial"/>
          <w:sz w:val="15"/>
          <w:szCs w:val="15"/>
          <w:color w:val="FF0000"/>
          <w:strike w:val="1"/>
        </w:rPr>
        <w:t>comptables</w:t>
      </w:r>
      <w:r>
        <w:rPr>
          <w:rFonts w:ascii="Arial" w:cs="Arial" w:eastAsia="Arial" w:hAnsi="Arial"/>
          <w:sz w:val="15"/>
          <w:szCs w:val="15"/>
          <w:i w:val="1"/>
          <w:iCs w:val="1"/>
          <w:color w:val="000000"/>
        </w:rPr>
        <w:t xml:space="preserve"> de la Société</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p>
    <w:p>
      <w:pPr>
        <w:spacing w:after="0" w:line="65" w:lineRule="exact"/>
        <w:rPr>
          <w:rFonts w:ascii="Arial" w:cs="Arial" w:eastAsia="Arial" w:hAnsi="Arial"/>
          <w:sz w:val="15"/>
          <w:szCs w:val="15"/>
          <w:color w:val="auto"/>
        </w:rPr>
      </w:pPr>
    </w:p>
    <w:p>
      <w:pPr>
        <w:ind w:left="1520" w:right="1099" w:hanging="141"/>
        <w:spacing w:after="0" w:line="256" w:lineRule="auto"/>
        <w:tabs>
          <w:tab w:leader="none" w:pos="15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FF0000"/>
          <w:strike w:val="1"/>
        </w:rPr>
        <w:t>limiter ou</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supprimer</w:t>
      </w:r>
      <w:r>
        <w:rPr>
          <w:rFonts w:ascii="Arial" w:cs="Arial" w:eastAsia="Arial" w:hAnsi="Arial"/>
          <w:sz w:val="15"/>
          <w:szCs w:val="15"/>
          <w:i w:val="1"/>
          <w:iCs w:val="1"/>
          <w:color w:val="FF0000"/>
        </w:rPr>
        <w:t xml:space="preserve"> </w:t>
      </w:r>
      <w:r>
        <w:rPr>
          <w:rFonts w:ascii="Arial" w:cs="Arial" w:eastAsia="Arial" w:hAnsi="Arial"/>
          <w:sz w:val="15"/>
          <w:szCs w:val="15"/>
          <w:i w:val="1"/>
          <w:iCs w:val="1"/>
          <w:u w:val="single" w:color="auto"/>
          <w:color w:val="0000FF"/>
        </w:rPr>
        <w:t>ou limiter</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le droit de souscription préférentiel</w:t>
      </w:r>
      <w:r>
        <w:rPr>
          <w:rFonts w:ascii="Arial" w:cs="Arial" w:eastAsia="Arial" w:hAnsi="Arial"/>
          <w:sz w:val="15"/>
          <w:szCs w:val="15"/>
          <w:i w:val="1"/>
          <w:iCs w:val="1"/>
          <w:color w:val="FF0000"/>
        </w:rPr>
        <w:t xml:space="preserve"> </w:t>
      </w:r>
      <w:r>
        <w:rPr>
          <w:rFonts w:ascii="Arial" w:cs="Arial" w:eastAsia="Arial" w:hAnsi="Arial"/>
          <w:sz w:val="15"/>
          <w:szCs w:val="15"/>
          <w:i w:val="1"/>
          <w:iCs w:val="1"/>
          <w:u w:val="single" w:color="auto"/>
          <w:color w:val="0000FF"/>
        </w:rPr>
        <w:t>des actionnaires</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réservé aux</w:t>
      </w:r>
      <w:r>
        <w:rPr>
          <w:rFonts w:ascii="Arial" w:cs="Arial" w:eastAsia="Arial" w:hAnsi="Arial"/>
          <w:sz w:val="15"/>
          <w:szCs w:val="15"/>
          <w:i w:val="1"/>
          <w:iCs w:val="1"/>
          <w:color w:val="FF0000"/>
        </w:rPr>
        <w:t xml:space="preserve"> </w:t>
      </w:r>
      <w:r>
        <w:rPr>
          <w:rFonts w:ascii="Arial" w:cs="Arial" w:eastAsia="Arial" w:hAnsi="Arial"/>
          <w:sz w:val="15"/>
          <w:szCs w:val="15"/>
          <w:i w:val="1"/>
          <w:iCs w:val="1"/>
          <w:u w:val="single" w:color="auto"/>
          <w:color w:val="0000FF"/>
        </w:rPr>
        <w:t>seuls</w:t>
      </w:r>
      <w:r>
        <w:rPr>
          <w:rFonts w:ascii="Arial" w:cs="Arial" w:eastAsia="Arial" w:hAnsi="Arial"/>
          <w:sz w:val="15"/>
          <w:szCs w:val="15"/>
          <w:i w:val="1"/>
          <w:iCs w:val="1"/>
          <w:color w:val="0000FF"/>
        </w:rPr>
        <w:t xml:space="preserve"> </w:t>
      </w:r>
      <w:r>
        <w:rPr>
          <w:rFonts w:ascii="Arial" w:cs="Arial" w:eastAsia="Arial" w:hAnsi="Arial"/>
          <w:sz w:val="15"/>
          <w:szCs w:val="15"/>
          <w:color w:val="000000"/>
        </w:rPr>
        <w:t>actionnaires existants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en</w:t>
      </w:r>
      <w:r>
        <w:rPr>
          <w:rFonts w:ascii="Arial" w:cs="Arial" w:eastAsia="Arial" w:hAnsi="Arial"/>
          <w:sz w:val="15"/>
          <w:szCs w:val="15"/>
          <w:i w:val="1"/>
          <w:iCs w:val="1"/>
          <w:u w:val="single" w:color="auto"/>
          <w:color w:val="0000FF"/>
        </w:rPr>
        <w:t>dans 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cas d’émission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d’actions</w:t>
      </w:r>
      <w:r>
        <w:rPr>
          <w:rFonts w:ascii="Arial" w:cs="Arial" w:eastAsia="Arial" w:hAnsi="Arial"/>
          <w:sz w:val="15"/>
          <w:szCs w:val="15"/>
          <w:i w:val="1"/>
          <w:iCs w:val="1"/>
          <w:u w:val="single" w:color="auto"/>
          <w:color w:val="0000FF"/>
        </w:rPr>
        <w:t>d’Actions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contre paiement en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espèces, en émettant des actions pour un</w:t>
      </w:r>
      <w:r>
        <w:rPr>
          <w:rFonts w:ascii="Arial" w:cs="Arial" w:eastAsia="Arial" w:hAnsi="Arial"/>
          <w:sz w:val="15"/>
          <w:szCs w:val="15"/>
          <w:i w:val="1"/>
          <w:iCs w:val="1"/>
          <w:u w:val="single" w:color="auto"/>
          <w:color w:val="0000FF"/>
          <w:strike w:val="1"/>
        </w:rPr>
        <w:t>numéraire, par émission d’Actions jusqu’à</w:t>
      </w:r>
      <w:r>
        <w:rPr>
          <w:rFonts w:ascii="Arial" w:cs="Arial" w:eastAsia="Arial" w:hAnsi="Arial"/>
          <w:sz w:val="15"/>
          <w:szCs w:val="15"/>
          <w:color w:val="FF0000"/>
          <w:strike w:val="1"/>
        </w:rPr>
        <w:t xml:space="preserve"> </w:t>
      </w:r>
      <w:r>
        <w:rPr>
          <w:rFonts w:ascii="Arial" w:cs="Arial" w:eastAsia="Arial" w:hAnsi="Arial"/>
          <w:sz w:val="15"/>
          <w:szCs w:val="15"/>
          <w:i w:val="1"/>
          <w:iCs w:val="1"/>
          <w:u w:val="single" w:color="auto"/>
          <w:color w:val="0000FF"/>
          <w:strike w:val="1"/>
        </w:rPr>
        <w:t>concurrence d’un</w:t>
      </w:r>
      <w:r>
        <w:rPr>
          <w:rFonts w:ascii="Arial" w:cs="Arial" w:eastAsia="Arial" w:hAnsi="Arial"/>
          <w:sz w:val="15"/>
          <w:szCs w:val="15"/>
          <w:i w:val="1"/>
          <w:iCs w:val="1"/>
          <w:color w:val="0000FF"/>
          <w:strike w:val="1"/>
        </w:rPr>
        <w:t xml:space="preserve"> </w:t>
      </w:r>
      <w:r>
        <w:rPr>
          <w:rFonts w:ascii="Arial" w:cs="Arial" w:eastAsia="Arial" w:hAnsi="Arial"/>
          <w:sz w:val="15"/>
          <w:szCs w:val="15"/>
          <w:i w:val="1"/>
          <w:iCs w:val="1"/>
          <w:color w:val="000000"/>
          <w:strike w:val="1"/>
        </w:rPr>
        <w:t>montant ne dépassant pas le capital social autorisé et en annulant ou en</w:t>
      </w:r>
      <w:r>
        <w:rPr>
          <w:rFonts w:ascii="Arial" w:cs="Arial" w:eastAsia="Arial" w:hAnsi="Arial"/>
          <w:sz w:val="15"/>
          <w:szCs w:val="15"/>
          <w:i w:val="1"/>
          <w:iCs w:val="1"/>
          <w:color w:val="0000FF"/>
          <w:strike w:val="1"/>
        </w:rPr>
        <w:t xml:space="preserve"> </w:t>
      </w:r>
      <w:r>
        <w:rPr>
          <w:rFonts w:ascii="Arial" w:cs="Arial" w:eastAsia="Arial" w:hAnsi="Arial"/>
          <w:sz w:val="15"/>
          <w:szCs w:val="15"/>
          <w:i w:val="1"/>
          <w:iCs w:val="1"/>
          <w:color w:val="000000"/>
          <w:strike w:val="1"/>
        </w:rPr>
        <w:t xml:space="preserve">limitant le droit préférentiel </w:t>
      </w:r>
      <w:r>
        <w:rPr>
          <w:rFonts w:ascii="Arial" w:cs="Arial" w:eastAsia="Arial" w:hAnsi="Arial"/>
          <w:sz w:val="15"/>
          <w:szCs w:val="15"/>
          <w:i w:val="1"/>
          <w:iCs w:val="1"/>
          <w:u w:val="single" w:color="auto"/>
          <w:color w:val="0000FF"/>
          <w:strike w:val="1"/>
        </w:rPr>
        <w:t>de souscription</w:t>
      </w:r>
      <w:r>
        <w:rPr>
          <w:rFonts w:ascii="Arial" w:cs="Arial" w:eastAsia="Arial" w:hAnsi="Arial"/>
          <w:sz w:val="15"/>
          <w:szCs w:val="15"/>
          <w:i w:val="1"/>
          <w:iCs w:val="1"/>
          <w:color w:val="000000"/>
          <w:strike w:val="1"/>
        </w:rPr>
        <w:t xml:space="preserve"> </w:t>
      </w:r>
      <w:r>
        <w:rPr>
          <w:rFonts w:ascii="Arial" w:cs="Arial" w:eastAsia="Arial" w:hAnsi="Arial"/>
          <w:sz w:val="15"/>
          <w:szCs w:val="15"/>
          <w:color w:val="000000"/>
          <w:strike w:val="1"/>
        </w:rPr>
        <w:t>des actionnaires existants</w:t>
      </w:r>
      <w:r>
        <w:rPr>
          <w:rFonts w:ascii="Arial" w:cs="Arial" w:eastAsia="Arial" w:hAnsi="Arial"/>
          <w:sz w:val="15"/>
          <w:szCs w:val="15"/>
          <w:i w:val="1"/>
          <w:iCs w:val="1"/>
          <w:color w:val="000000"/>
          <w:strike w:val="1"/>
        </w:rPr>
        <w:t xml:space="preserve"> </w:t>
      </w:r>
      <w:r>
        <w:rPr>
          <w:rFonts w:ascii="Arial" w:cs="Arial" w:eastAsia="Arial" w:hAnsi="Arial"/>
          <w:sz w:val="15"/>
          <w:szCs w:val="15"/>
          <w:color w:val="FF0000"/>
          <w:strike w:val="1"/>
        </w:rPr>
        <w:t>de souscrire ces</w:t>
      </w:r>
      <w:r>
        <w:rPr>
          <w:rFonts w:ascii="Arial" w:cs="Arial" w:eastAsia="Arial" w:hAnsi="Arial"/>
          <w:sz w:val="15"/>
          <w:szCs w:val="15"/>
          <w:i w:val="1"/>
          <w:iCs w:val="1"/>
          <w:u w:val="single" w:color="auto"/>
          <w:color w:val="0000FF"/>
          <w:strike w:val="1"/>
        </w:rPr>
        <w:t>aux</w:t>
      </w:r>
      <w:r>
        <w:rPr>
          <w:rFonts w:ascii="Arial" w:cs="Arial" w:eastAsia="Arial" w:hAnsi="Arial"/>
          <w:sz w:val="15"/>
          <w:szCs w:val="15"/>
          <w:i w:val="1"/>
          <w:iCs w:val="1"/>
          <w:color w:val="000000"/>
          <w:strike w:val="1"/>
        </w:rPr>
        <w:t xml:space="preserve"> Actions </w:t>
      </w:r>
      <w:r>
        <w:rPr>
          <w:rFonts w:ascii="Arial" w:cs="Arial" w:eastAsia="Arial" w:hAnsi="Arial"/>
          <w:sz w:val="15"/>
          <w:szCs w:val="15"/>
          <w:color w:val="FF0000"/>
          <w:strike w:val="1"/>
        </w:rPr>
        <w:t>dans le cadre du</w:t>
      </w:r>
      <w:r>
        <w:rPr>
          <w:rFonts w:ascii="Arial" w:cs="Arial" w:eastAsia="Arial" w:hAnsi="Arial"/>
          <w:sz w:val="15"/>
          <w:szCs w:val="15"/>
          <w:i w:val="1"/>
          <w:iCs w:val="1"/>
          <w:u w:val="single" w:color="auto"/>
          <w:color w:val="0000FF"/>
          <w:strike w:val="1"/>
        </w:rPr>
        <w:t>relatives au</w:t>
      </w:r>
      <w:r>
        <w:rPr>
          <w:rFonts w:ascii="Arial" w:cs="Arial" w:eastAsia="Arial" w:hAnsi="Arial"/>
          <w:sz w:val="15"/>
          <w:szCs w:val="15"/>
          <w:i w:val="1"/>
          <w:iCs w:val="1"/>
          <w:color w:val="000000"/>
          <w:strike w:val="1"/>
        </w:rPr>
        <w:t xml:space="preserve"> programme d’options d’achat </w:t>
      </w:r>
      <w:r>
        <w:rPr>
          <w:rFonts w:ascii="Arial" w:cs="Arial" w:eastAsia="Arial" w:hAnsi="Arial"/>
          <w:sz w:val="15"/>
          <w:szCs w:val="15"/>
          <w:color w:val="FF0000"/>
          <w:strike w:val="1"/>
        </w:rPr>
        <w:t>d’Actions pour</w:t>
      </w:r>
      <w:r>
        <w:rPr>
          <w:rFonts w:ascii="Arial" w:cs="Arial" w:eastAsia="Arial" w:hAnsi="Arial"/>
          <w:sz w:val="15"/>
          <w:szCs w:val="15"/>
          <w:i w:val="1"/>
          <w:iCs w:val="1"/>
          <w:color w:val="000000"/>
          <w:strike w:val="1"/>
        </w:rPr>
        <w:t xml:space="preserve"> </w:t>
      </w:r>
      <w:r>
        <w:rPr>
          <w:rFonts w:ascii="Arial" w:cs="Arial" w:eastAsia="Arial" w:hAnsi="Arial"/>
          <w:sz w:val="15"/>
          <w:szCs w:val="15"/>
          <w:color w:val="FF0000"/>
          <w:strike w:val="1"/>
        </w:rPr>
        <w:t>les</w:t>
      </w:r>
      <w:r>
        <w:rPr>
          <w:rFonts w:ascii="Arial" w:cs="Arial" w:eastAsia="Arial" w:hAnsi="Arial"/>
          <w:sz w:val="15"/>
          <w:szCs w:val="15"/>
          <w:i w:val="1"/>
          <w:iCs w:val="1"/>
          <w:u w:val="single" w:color="auto"/>
          <w:color w:val="0000FF"/>
          <w:strike w:val="1"/>
        </w:rPr>
        <w:t>d’actions des</w:t>
      </w:r>
      <w:r>
        <w:rPr>
          <w:rFonts w:ascii="Arial" w:cs="Arial" w:eastAsia="Arial" w:hAnsi="Arial"/>
          <w:sz w:val="15"/>
          <w:szCs w:val="15"/>
          <w:color w:val="FF0000"/>
          <w:strike w:val="1"/>
        </w:rPr>
        <w:t xml:space="preserve"> </w:t>
      </w:r>
      <w:r>
        <w:rPr>
          <w:rFonts w:ascii="Arial" w:cs="Arial" w:eastAsia="Arial" w:hAnsi="Arial"/>
          <w:sz w:val="15"/>
          <w:szCs w:val="15"/>
          <w:i w:val="1"/>
          <w:iCs w:val="1"/>
          <w:color w:val="000000"/>
          <w:strike w:val="1"/>
        </w:rPr>
        <w:t>salariés de la</w:t>
      </w:r>
      <w:r>
        <w:rPr>
          <w:rFonts w:ascii="Arial" w:cs="Arial" w:eastAsia="Arial" w:hAnsi="Arial"/>
          <w:sz w:val="15"/>
          <w:szCs w:val="15"/>
          <w:color w:val="FF0000"/>
          <w:strike w:val="1"/>
        </w:rPr>
        <w:t xml:space="preserve"> société</w:t>
      </w:r>
      <w:r>
        <w:rPr>
          <w:rFonts w:ascii="Arial" w:cs="Arial" w:eastAsia="Arial" w:hAnsi="Arial"/>
          <w:sz w:val="15"/>
          <w:szCs w:val="15"/>
          <w:i w:val="1"/>
          <w:iCs w:val="1"/>
          <w:u w:val="single" w:color="auto"/>
          <w:color w:val="0000FF"/>
          <w:strike w:val="1"/>
        </w:rPr>
        <w:t>Société</w:t>
      </w:r>
      <w:r>
        <w:rPr>
          <w:rFonts w:ascii="Arial" w:cs="Arial" w:eastAsia="Arial" w:hAnsi="Arial"/>
          <w:sz w:val="15"/>
          <w:szCs w:val="15"/>
          <w:i w:val="1"/>
          <w:iCs w:val="1"/>
          <w:color w:val="000000"/>
          <w:strike w:val="1"/>
        </w:rPr>
        <w:t>.</w:t>
      </w:r>
    </w:p>
    <w:p>
      <w:pPr>
        <w:spacing w:after="0" w:line="62" w:lineRule="exact"/>
        <w:rPr>
          <w:rFonts w:ascii="Arial" w:cs="Arial" w:eastAsia="Arial" w:hAnsi="Arial"/>
          <w:sz w:val="15"/>
          <w:szCs w:val="15"/>
          <w:color w:val="auto"/>
        </w:rPr>
      </w:pPr>
    </w:p>
    <w:p>
      <w:pPr>
        <w:ind w:left="1520" w:right="1099" w:hanging="141"/>
        <w:spacing w:after="0" w:line="253" w:lineRule="auto"/>
        <w:tabs>
          <w:tab w:leader="none" w:pos="15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FF0000"/>
          <w:strike w:val="1"/>
        </w:rPr>
        <w:t>prendre toutes les mesures nécessaires</w:t>
      </w:r>
      <w:r>
        <w:rPr>
          <w:rFonts w:ascii="Arial" w:cs="Arial" w:eastAsia="Arial" w:hAnsi="Arial"/>
          <w:sz w:val="15"/>
          <w:szCs w:val="15"/>
          <w:i w:val="1"/>
          <w:iCs w:val="1"/>
          <w:u w:val="single" w:color="auto"/>
          <w:color w:val="0000FF"/>
        </w:rPr>
        <w:t>faire tout ce qu’il sera nécessaire</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pour modifier</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les</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articles</w:t>
      </w:r>
      <w:r>
        <w:rPr>
          <w:rFonts w:ascii="Arial" w:cs="Arial" w:eastAsia="Arial" w:hAnsi="Arial"/>
          <w:sz w:val="15"/>
          <w:szCs w:val="15"/>
          <w:i w:val="1"/>
          <w:iCs w:val="1"/>
          <w:u w:val="single" w:color="auto"/>
          <w:color w:val="0000FF"/>
        </w:rPr>
        <w:t>l’article</w:t>
      </w:r>
      <w:r>
        <w:rPr>
          <w:rFonts w:ascii="Arial" w:cs="Arial" w:eastAsia="Arial" w:hAnsi="Arial"/>
          <w:sz w:val="15"/>
          <w:szCs w:val="15"/>
          <w:color w:val="FF0000"/>
        </w:rPr>
        <w:t xml:space="preserve"> </w:t>
      </w:r>
      <w:r>
        <w:rPr>
          <w:rFonts w:ascii="Arial" w:cs="Arial" w:eastAsia="Arial" w:hAnsi="Arial"/>
          <w:sz w:val="15"/>
          <w:szCs w:val="15"/>
          <w:i w:val="1"/>
          <w:iCs w:val="1"/>
          <w:color w:val="000000"/>
        </w:rPr>
        <w:t>5 et</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l’article</w:t>
      </w:r>
      <w:r>
        <w:rPr>
          <w:rFonts w:ascii="Arial" w:cs="Arial" w:eastAsia="Arial" w:hAnsi="Arial"/>
          <w:sz w:val="15"/>
          <w:szCs w:val="15"/>
          <w:color w:val="FF0000"/>
        </w:rPr>
        <w:t xml:space="preserve"> </w:t>
      </w:r>
      <w:r>
        <w:rPr>
          <w:rFonts w:ascii="Arial" w:cs="Arial" w:eastAsia="Arial" w:hAnsi="Arial"/>
          <w:sz w:val="15"/>
          <w:szCs w:val="15"/>
          <w:i w:val="1"/>
          <w:iCs w:val="1"/>
          <w:color w:val="000000"/>
        </w:rPr>
        <w:t>6 des Statuts afin</w:t>
      </w:r>
      <w:r>
        <w:rPr>
          <w:rFonts w:ascii="Arial" w:cs="Arial" w:eastAsia="Arial" w:hAnsi="Arial"/>
          <w:sz w:val="15"/>
          <w:szCs w:val="15"/>
          <w:color w:val="FF0000"/>
        </w:rPr>
        <w:t xml:space="preserve"> </w:t>
      </w:r>
      <w:r>
        <w:rPr>
          <w:rFonts w:ascii="Arial" w:cs="Arial" w:eastAsia="Arial" w:hAnsi="Arial"/>
          <w:sz w:val="15"/>
          <w:szCs w:val="15"/>
          <w:color w:val="FF0000"/>
          <w:strike w:val="1"/>
        </w:rPr>
        <w:t>d’enregistrer</w:t>
      </w:r>
      <w:r>
        <w:rPr>
          <w:rFonts w:ascii="Arial" w:cs="Arial" w:eastAsia="Arial" w:hAnsi="Arial"/>
          <w:sz w:val="15"/>
          <w:szCs w:val="15"/>
          <w:i w:val="1"/>
          <w:iCs w:val="1"/>
          <w:u w:val="single" w:color="auto"/>
          <w:color w:val="0000FF"/>
        </w:rPr>
        <w:t>de constater</w:t>
      </w:r>
      <w:r>
        <w:rPr>
          <w:rFonts w:ascii="Arial" w:cs="Arial" w:eastAsia="Arial" w:hAnsi="Arial"/>
          <w:sz w:val="15"/>
          <w:szCs w:val="15"/>
          <w:color w:val="FF0000"/>
        </w:rPr>
        <w:t xml:space="preserve"> </w:t>
      </w:r>
      <w:r>
        <w:rPr>
          <w:rFonts w:ascii="Arial" w:cs="Arial" w:eastAsia="Arial" w:hAnsi="Arial"/>
          <w:sz w:val="15"/>
          <w:szCs w:val="15"/>
          <w:i w:val="1"/>
          <w:iCs w:val="1"/>
          <w:color w:val="000000"/>
        </w:rPr>
        <w:t>la modification du</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capital social émis </w:t>
      </w:r>
      <w:r>
        <w:rPr>
          <w:rFonts w:ascii="Arial" w:cs="Arial" w:eastAsia="Arial" w:hAnsi="Arial"/>
          <w:sz w:val="15"/>
          <w:szCs w:val="15"/>
          <w:i w:val="1"/>
          <w:iCs w:val="1"/>
          <w:u w:val="single" w:color="auto"/>
          <w:color w:val="0000FF"/>
        </w:rPr>
        <w:t>et du capital social autorisé</w:t>
      </w:r>
      <w:r>
        <w:rPr>
          <w:rFonts w:ascii="Arial" w:cs="Arial" w:eastAsia="Arial" w:hAnsi="Arial"/>
          <w:sz w:val="15"/>
          <w:szCs w:val="15"/>
          <w:i w:val="1"/>
          <w:iCs w:val="1"/>
          <w:color w:val="000000"/>
        </w:rPr>
        <w:t xml:space="preserve"> à la suite d’une augmentation </w:t>
      </w:r>
      <w:r>
        <w:rPr>
          <w:rFonts w:ascii="Arial" w:cs="Arial" w:eastAsia="Arial" w:hAnsi="Arial"/>
          <w:sz w:val="15"/>
          <w:szCs w:val="15"/>
          <w:color w:val="FF0000"/>
          <w:strike w:val="1"/>
        </w:rPr>
        <w:t>en vertu</w:t>
      </w:r>
      <w:r>
        <w:rPr>
          <w:rFonts w:ascii="Arial" w:cs="Arial" w:eastAsia="Arial" w:hAnsi="Arial"/>
          <w:sz w:val="15"/>
          <w:szCs w:val="15"/>
          <w:i w:val="1"/>
          <w:iCs w:val="1"/>
          <w:u w:val="single" w:color="auto"/>
          <w:color w:val="0000FF"/>
        </w:rPr>
        <w:t>de capital</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réalisée sur base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du présent article. Le Conseil</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est</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habilité</w:t>
      </w:r>
      <w:r>
        <w:rPr>
          <w:rFonts w:ascii="Arial" w:cs="Arial" w:eastAsia="Arial" w:hAnsi="Arial"/>
          <w:sz w:val="15"/>
          <w:szCs w:val="15"/>
          <w:i w:val="1"/>
          <w:iCs w:val="1"/>
          <w:u w:val="single" w:color="auto"/>
          <w:color w:val="0000FF"/>
        </w:rPr>
        <w:t>autorisé</w:t>
      </w:r>
      <w:r>
        <w:rPr>
          <w:rFonts w:ascii="Arial" w:cs="Arial" w:eastAsia="Arial" w:hAnsi="Arial"/>
          <w:sz w:val="15"/>
          <w:szCs w:val="15"/>
          <w:color w:val="FF0000"/>
        </w:rPr>
        <w:t xml:space="preserve"> </w:t>
      </w:r>
      <w:r>
        <w:rPr>
          <w:rFonts w:ascii="Arial" w:cs="Arial" w:eastAsia="Arial" w:hAnsi="Arial"/>
          <w:sz w:val="15"/>
          <w:szCs w:val="15"/>
          <w:i w:val="1"/>
          <w:iCs w:val="1"/>
          <w:color w:val="000000"/>
        </w:rPr>
        <w:t>à</w:t>
      </w:r>
      <w:r>
        <w:rPr>
          <w:rFonts w:ascii="Arial" w:cs="Arial" w:eastAsia="Arial" w:hAnsi="Arial"/>
          <w:sz w:val="15"/>
          <w:szCs w:val="15"/>
          <w:color w:val="FF0000"/>
        </w:rPr>
        <w:t xml:space="preserve"> </w:t>
      </w:r>
      <w:r>
        <w:rPr>
          <w:rFonts w:ascii="Arial" w:cs="Arial" w:eastAsia="Arial" w:hAnsi="Arial"/>
          <w:sz w:val="15"/>
          <w:szCs w:val="15"/>
          <w:color w:val="FF0000"/>
          <w:strike w:val="1"/>
        </w:rPr>
        <w:t>prendre</w:t>
      </w:r>
      <w:r>
        <w:rPr>
          <w:rFonts w:ascii="Arial" w:cs="Arial" w:eastAsia="Arial" w:hAnsi="Arial"/>
          <w:sz w:val="15"/>
          <w:szCs w:val="15"/>
          <w:i w:val="1"/>
          <w:iCs w:val="1"/>
          <w:u w:val="single" w:color="auto"/>
          <w:color w:val="0000FF"/>
        </w:rPr>
        <w:t>faire</w:t>
      </w:r>
      <w:r>
        <w:rPr>
          <w:rFonts w:ascii="Arial" w:cs="Arial" w:eastAsia="Arial" w:hAnsi="Arial"/>
          <w:sz w:val="15"/>
          <w:szCs w:val="15"/>
          <w:color w:val="FF0000"/>
        </w:rPr>
        <w:t xml:space="preserve"> </w:t>
      </w:r>
      <w:r>
        <w:rPr>
          <w:rFonts w:ascii="Arial" w:cs="Arial" w:eastAsia="Arial" w:hAnsi="Arial"/>
          <w:sz w:val="15"/>
          <w:szCs w:val="15"/>
          <w:i w:val="1"/>
          <w:iCs w:val="1"/>
          <w:color w:val="000000"/>
        </w:rPr>
        <w:t>ou à autoriser</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tous</w:t>
      </w:r>
      <w:r>
        <w:rPr>
          <w:rFonts w:ascii="Arial" w:cs="Arial" w:eastAsia="Arial" w:hAnsi="Arial"/>
          <w:sz w:val="15"/>
          <w:szCs w:val="15"/>
          <w:color w:val="FF0000"/>
        </w:rPr>
        <w:t xml:space="preserve"> </w:t>
      </w:r>
      <w:r>
        <w:rPr>
          <w:rFonts w:ascii="Arial" w:cs="Arial" w:eastAsia="Arial" w:hAnsi="Arial"/>
          <w:sz w:val="15"/>
          <w:szCs w:val="15"/>
          <w:i w:val="1"/>
          <w:iCs w:val="1"/>
          <w:color w:val="000000"/>
        </w:rPr>
        <w:t>les</w:t>
      </w:r>
      <w:r>
        <w:rPr>
          <w:rFonts w:ascii="Arial" w:cs="Arial" w:eastAsia="Arial" w:hAnsi="Arial"/>
          <w:sz w:val="15"/>
          <w:szCs w:val="15"/>
          <w:color w:val="FF0000"/>
        </w:rPr>
        <w:t xml:space="preserve"> </w:t>
      </w:r>
      <w:r>
        <w:rPr>
          <w:rFonts w:ascii="Arial" w:cs="Arial" w:eastAsia="Arial" w:hAnsi="Arial"/>
          <w:sz w:val="15"/>
          <w:szCs w:val="15"/>
          <w:color w:val="FF0000"/>
          <w:strike w:val="1"/>
        </w:rPr>
        <w:t>mesures nécessaires à</w:t>
      </w:r>
      <w:r>
        <w:rPr>
          <w:rFonts w:ascii="Arial" w:cs="Arial" w:eastAsia="Arial" w:hAnsi="Arial"/>
          <w:sz w:val="15"/>
          <w:szCs w:val="15"/>
          <w:i w:val="1"/>
          <w:iCs w:val="1"/>
          <w:u w:val="single" w:color="auto"/>
          <w:color w:val="0000FF"/>
        </w:rPr>
        <w:t>actes requis</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pour</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l’exécution et</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à</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la publication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de cette</w:t>
      </w:r>
      <w:r>
        <w:rPr>
          <w:rFonts w:ascii="Arial" w:cs="Arial" w:eastAsia="Arial" w:hAnsi="Arial"/>
          <w:sz w:val="15"/>
          <w:szCs w:val="15"/>
          <w:i w:val="1"/>
          <w:iCs w:val="1"/>
          <w:u w:val="single" w:color="auto"/>
          <w:color w:val="0000FF"/>
        </w:rPr>
        <w:t>d’une telle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modification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conformément à</w:t>
      </w:r>
      <w:r>
        <w:rPr>
          <w:rFonts w:ascii="Arial" w:cs="Arial" w:eastAsia="Arial" w:hAnsi="Arial"/>
          <w:sz w:val="15"/>
          <w:szCs w:val="15"/>
          <w:i w:val="1"/>
          <w:iCs w:val="1"/>
          <w:u w:val="single" w:color="auto"/>
          <w:color w:val="0000FF"/>
        </w:rPr>
        <w:t>en accord</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avec</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la</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loi. En outre,</w:t>
      </w:r>
      <w:r>
        <w:rPr>
          <w:rFonts w:ascii="Arial" w:cs="Arial" w:eastAsia="Arial" w:hAnsi="Arial"/>
          <w:sz w:val="15"/>
          <w:szCs w:val="15"/>
          <w:i w:val="1"/>
          <w:iCs w:val="1"/>
          <w:u w:val="single" w:color="auto"/>
          <w:color w:val="0000FF"/>
        </w:rPr>
        <w:t>Loi. Par ailleurs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le Conseil</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peut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déléguer à </w:t>
      </w:r>
      <w:r>
        <w:rPr>
          <w:rFonts w:ascii="Arial" w:cs="Arial" w:eastAsia="Arial" w:hAnsi="Arial"/>
          <w:sz w:val="15"/>
          <w:szCs w:val="15"/>
          <w:color w:val="FF0000"/>
          <w:strike w:val="1"/>
        </w:rPr>
        <w:t>tout</w:t>
      </w:r>
      <w:r>
        <w:rPr>
          <w:rFonts w:ascii="Arial" w:cs="Arial" w:eastAsia="Arial" w:hAnsi="Arial"/>
          <w:sz w:val="15"/>
          <w:szCs w:val="15"/>
          <w:i w:val="1"/>
          <w:iCs w:val="1"/>
          <w:u w:val="single" w:color="auto"/>
          <w:color w:val="0000FF"/>
        </w:rPr>
        <w:t>n’importe quel</w:t>
      </w:r>
      <w:r>
        <w:rPr>
          <w:rFonts w:ascii="Arial" w:cs="Arial" w:eastAsia="Arial" w:hAnsi="Arial"/>
          <w:sz w:val="15"/>
          <w:szCs w:val="15"/>
          <w:i w:val="1"/>
          <w:iCs w:val="1"/>
          <w:color w:val="000000"/>
        </w:rPr>
        <w:t xml:space="preserve"> Administrateur (tel que défini à l’article 11) ou dirigeant de la Société </w:t>
      </w:r>
      <w:r>
        <w:rPr>
          <w:rFonts w:ascii="Arial" w:cs="Arial" w:eastAsia="Arial" w:hAnsi="Arial"/>
          <w:sz w:val="15"/>
          <w:szCs w:val="15"/>
          <w:color w:val="FF0000"/>
          <w:strike w:val="1"/>
        </w:rPr>
        <w:t>dûment autorisé</w:t>
      </w:r>
      <w:r>
        <w:rPr>
          <w:rFonts w:ascii="Arial" w:cs="Arial" w:eastAsia="Arial" w:hAnsi="Arial"/>
          <w:sz w:val="15"/>
          <w:szCs w:val="15"/>
          <w:i w:val="1"/>
          <w:iCs w:val="1"/>
          <w:color w:val="000000"/>
        </w:rPr>
        <w:t xml:space="preserve">, à un comité </w:t>
      </w:r>
      <w:r>
        <w:rPr>
          <w:rFonts w:ascii="Arial" w:cs="Arial" w:eastAsia="Arial" w:hAnsi="Arial"/>
          <w:sz w:val="15"/>
          <w:szCs w:val="15"/>
          <w:color w:val="FF0000"/>
          <w:strike w:val="1"/>
        </w:rPr>
        <w:t>désigné par celle-ci</w:t>
      </w:r>
      <w:r>
        <w:rPr>
          <w:rFonts w:ascii="Arial" w:cs="Arial" w:eastAsia="Arial" w:hAnsi="Arial"/>
          <w:sz w:val="15"/>
          <w:szCs w:val="15"/>
          <w:i w:val="1"/>
          <w:iCs w:val="1"/>
          <w:u w:val="single" w:color="auto"/>
          <w:color w:val="0000FF"/>
        </w:rPr>
        <w:t>dûment mandaté</w:t>
      </w:r>
      <w:r>
        <w:rPr>
          <w:rFonts w:ascii="Arial" w:cs="Arial" w:eastAsia="Arial" w:hAnsi="Arial"/>
          <w:sz w:val="15"/>
          <w:szCs w:val="15"/>
          <w:i w:val="1"/>
          <w:iCs w:val="1"/>
          <w:color w:val="000000"/>
        </w:rPr>
        <w:t xml:space="preserve"> ou à toute </w:t>
      </w:r>
      <w:r>
        <w:rPr>
          <w:rFonts w:ascii="Arial" w:cs="Arial" w:eastAsia="Arial" w:hAnsi="Arial"/>
          <w:sz w:val="15"/>
          <w:szCs w:val="15"/>
          <w:color w:val="FF0000"/>
          <w:strike w:val="1"/>
        </w:rPr>
        <w:t>autre</w:t>
      </w:r>
      <w:r>
        <w:rPr>
          <w:rFonts w:ascii="Arial" w:cs="Arial" w:eastAsia="Arial" w:hAnsi="Arial"/>
          <w:sz w:val="15"/>
          <w:szCs w:val="15"/>
          <w:i w:val="1"/>
          <w:iCs w:val="1"/>
          <w:color w:val="000000"/>
        </w:rPr>
        <w:t xml:space="preserve"> personne dûment </w:t>
      </w:r>
      <w:r>
        <w:rPr>
          <w:rFonts w:ascii="Arial" w:cs="Arial" w:eastAsia="Arial" w:hAnsi="Arial"/>
          <w:sz w:val="15"/>
          <w:szCs w:val="15"/>
          <w:color w:val="FF0000"/>
          <w:strike w:val="1"/>
        </w:rPr>
        <w:t>autorisée, les fonctions d’acceptation des</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autorisé, le pouvoir d’accepter</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les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souscriptions et de</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réception des paiements</w:t>
      </w:r>
      <w:r>
        <w:rPr>
          <w:rFonts w:ascii="Arial" w:cs="Arial" w:eastAsia="Arial" w:hAnsi="Arial"/>
          <w:sz w:val="15"/>
          <w:szCs w:val="15"/>
          <w:i w:val="1"/>
          <w:iCs w:val="1"/>
          <w:u w:val="single" w:color="auto"/>
          <w:color w:val="0000FF"/>
        </w:rPr>
        <w:t>recevoir paiement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pour les Actions ou de faire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tout ce </w:t>
      </w:r>
      <w:r>
        <w:rPr>
          <w:rFonts w:ascii="Arial" w:cs="Arial" w:eastAsia="Arial" w:hAnsi="Arial"/>
          <w:sz w:val="15"/>
          <w:szCs w:val="15"/>
          <w:color w:val="FF0000"/>
          <w:strike w:val="1"/>
        </w:rPr>
        <w:t>qui est</w:t>
      </w:r>
      <w:r>
        <w:rPr>
          <w:rFonts w:ascii="Arial" w:cs="Arial" w:eastAsia="Arial" w:hAnsi="Arial"/>
          <w:sz w:val="15"/>
          <w:szCs w:val="15"/>
          <w:i w:val="1"/>
          <w:iCs w:val="1"/>
          <w:u w:val="single" w:color="auto"/>
          <w:color w:val="0000FF"/>
        </w:rPr>
        <w:t>qu’il sera</w:t>
      </w:r>
      <w:r>
        <w:rPr>
          <w:rFonts w:ascii="Arial" w:cs="Arial" w:eastAsia="Arial" w:hAnsi="Arial"/>
          <w:sz w:val="15"/>
          <w:szCs w:val="15"/>
          <w:i w:val="1"/>
          <w:iCs w:val="1"/>
          <w:color w:val="000000"/>
        </w:rPr>
        <w:t xml:space="preserve"> nécessaire pour modifier </w:t>
      </w:r>
      <w:r>
        <w:rPr>
          <w:rFonts w:ascii="Arial" w:cs="Arial" w:eastAsia="Arial" w:hAnsi="Arial"/>
          <w:sz w:val="15"/>
          <w:szCs w:val="15"/>
          <w:color w:val="FF0000"/>
          <w:strike w:val="1"/>
        </w:rPr>
        <w:t>les articles</w:t>
      </w:r>
      <w:r>
        <w:rPr>
          <w:rFonts w:ascii="Arial" w:cs="Arial" w:eastAsia="Arial" w:hAnsi="Arial"/>
          <w:sz w:val="15"/>
          <w:szCs w:val="15"/>
          <w:i w:val="1"/>
          <w:iCs w:val="1"/>
          <w:u w:val="single" w:color="auto"/>
          <w:color w:val="0000FF"/>
        </w:rPr>
        <w:t>l’article</w:t>
      </w:r>
      <w:r>
        <w:rPr>
          <w:rFonts w:ascii="Arial" w:cs="Arial" w:eastAsia="Arial" w:hAnsi="Arial"/>
          <w:sz w:val="15"/>
          <w:szCs w:val="15"/>
          <w:i w:val="1"/>
          <w:iCs w:val="1"/>
          <w:color w:val="000000"/>
        </w:rPr>
        <w:t xml:space="preserve"> 5 et 6 des </w:t>
      </w:r>
      <w:r>
        <w:rPr>
          <w:rFonts w:ascii="Arial" w:cs="Arial" w:eastAsia="Arial" w:hAnsi="Arial"/>
          <w:sz w:val="15"/>
          <w:szCs w:val="15"/>
          <w:color w:val="FF0000"/>
          <w:strike w:val="1"/>
        </w:rPr>
        <w:t>présents</w:t>
      </w:r>
      <w:r>
        <w:rPr>
          <w:rFonts w:ascii="Arial" w:cs="Arial" w:eastAsia="Arial" w:hAnsi="Arial"/>
          <w:sz w:val="15"/>
          <w:szCs w:val="15"/>
          <w:i w:val="1"/>
          <w:iCs w:val="1"/>
          <w:color w:val="000000"/>
        </w:rPr>
        <w:t xml:space="preserve"> Statuts afin </w:t>
      </w:r>
      <w:r>
        <w:rPr>
          <w:rFonts w:ascii="Arial" w:cs="Arial" w:eastAsia="Arial" w:hAnsi="Arial"/>
          <w:sz w:val="15"/>
          <w:szCs w:val="15"/>
          <w:color w:val="FF0000"/>
          <w:strike w:val="1"/>
        </w:rPr>
        <w:t>d’enregistrer</w:t>
      </w:r>
      <w:r>
        <w:rPr>
          <w:rFonts w:ascii="Arial" w:cs="Arial" w:eastAsia="Arial" w:hAnsi="Arial"/>
          <w:sz w:val="15"/>
          <w:szCs w:val="15"/>
          <w:i w:val="1"/>
          <w:iCs w:val="1"/>
          <w:u w:val="single" w:color="auto"/>
          <w:color w:val="0000FF"/>
        </w:rPr>
        <w:t>de constater</w:t>
      </w:r>
      <w:r>
        <w:rPr>
          <w:rFonts w:ascii="Arial" w:cs="Arial" w:eastAsia="Arial" w:hAnsi="Arial"/>
          <w:sz w:val="15"/>
          <w:szCs w:val="15"/>
          <w:i w:val="1"/>
          <w:iCs w:val="1"/>
          <w:color w:val="000000"/>
        </w:rPr>
        <w:t xml:space="preserve"> la modification </w:t>
      </w:r>
      <w:r>
        <w:rPr>
          <w:rFonts w:ascii="Arial" w:cs="Arial" w:eastAsia="Arial" w:hAnsi="Arial"/>
          <w:sz w:val="15"/>
          <w:szCs w:val="15"/>
          <w:color w:val="FF0000"/>
          <w:strike w:val="1"/>
        </w:rPr>
        <w:t>du capital social</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des Statuts</w:t>
      </w:r>
      <w:r>
        <w:rPr>
          <w:rFonts w:ascii="Arial" w:cs="Arial" w:eastAsia="Arial" w:hAnsi="Arial"/>
          <w:sz w:val="15"/>
          <w:szCs w:val="15"/>
          <w:i w:val="1"/>
          <w:iCs w:val="1"/>
          <w:color w:val="000000"/>
        </w:rPr>
        <w:t xml:space="preserve"> à la suite d’une augmentation </w:t>
      </w:r>
      <w:r>
        <w:rPr>
          <w:rFonts w:ascii="Arial" w:cs="Arial" w:eastAsia="Arial" w:hAnsi="Arial"/>
          <w:sz w:val="15"/>
          <w:szCs w:val="15"/>
          <w:color w:val="FF0000"/>
          <w:strike w:val="1"/>
        </w:rPr>
        <w:t>en vertu du</w:t>
      </w:r>
      <w:r>
        <w:rPr>
          <w:rFonts w:ascii="Arial" w:cs="Arial" w:eastAsia="Arial" w:hAnsi="Arial"/>
          <w:sz w:val="15"/>
          <w:szCs w:val="15"/>
          <w:i w:val="1"/>
          <w:iCs w:val="1"/>
          <w:u w:val="single" w:color="auto"/>
          <w:color w:val="0000FF"/>
        </w:rPr>
        <w:t>de capital réalisée conformément au</w:t>
      </w:r>
      <w:r>
        <w:rPr>
          <w:rFonts w:ascii="Arial" w:cs="Arial" w:eastAsia="Arial" w:hAnsi="Arial"/>
          <w:sz w:val="15"/>
          <w:szCs w:val="15"/>
          <w:i w:val="1"/>
          <w:iCs w:val="1"/>
          <w:color w:val="000000"/>
        </w:rPr>
        <w:t xml:space="preserve"> </w:t>
      </w:r>
      <w:r>
        <w:rPr>
          <w:rFonts w:ascii="Arial" w:cs="Arial" w:eastAsia="Arial" w:hAnsi="Arial"/>
          <w:sz w:val="15"/>
          <w:szCs w:val="15"/>
          <w:color w:val="000000"/>
        </w:rPr>
        <w:t>présent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-3044825</wp:posOffset>
            </wp:positionV>
            <wp:extent cx="10604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6045" cy="6985"/>
                    </a:xfrm>
                    <a:prstGeom prst="rect">
                      <a:avLst/>
                    </a:prstGeom>
                    <a:noFill/>
                  </pic:spPr>
                </pic:pic>
              </a:graphicData>
            </a:graphic>
          </wp:anchor>
        </w:drawing>
      </w:r>
    </w:p>
    <w:p>
      <w:pPr>
        <w:spacing w:after="0" w:line="71" w:lineRule="exact"/>
        <w:rPr>
          <w:sz w:val="20"/>
          <w:szCs w:val="20"/>
          <w:color w:val="auto"/>
        </w:rPr>
      </w:pPr>
    </w:p>
    <w:p>
      <w:pPr>
        <w:ind w:left="1080" w:right="1119"/>
        <w:spacing w:after="0" w:line="252" w:lineRule="auto"/>
        <w:rPr>
          <w:sz w:val="20"/>
          <w:szCs w:val="20"/>
          <w:color w:val="auto"/>
        </w:rPr>
      </w:pPr>
      <w:r>
        <w:rPr>
          <w:rFonts w:ascii="Arial" w:cs="Arial" w:eastAsia="Arial" w:hAnsi="Arial"/>
          <w:sz w:val="15"/>
          <w:szCs w:val="15"/>
          <w:i w:val="1"/>
          <w:iCs w:val="1"/>
          <w:color w:val="auto"/>
        </w:rPr>
        <w:t xml:space="preserve">Après chaque augmentation du capital social émis </w:t>
      </w:r>
      <w:r>
        <w:rPr>
          <w:rFonts w:ascii="Arial" w:cs="Arial" w:eastAsia="Arial" w:hAnsi="Arial"/>
          <w:sz w:val="15"/>
          <w:szCs w:val="15"/>
          <w:color w:val="FF0000"/>
          <w:strike w:val="1"/>
        </w:rPr>
        <w:t>conformément à ce qui précède</w:t>
      </w:r>
      <w:r>
        <w:rPr>
          <w:rFonts w:ascii="Arial" w:cs="Arial" w:eastAsia="Arial" w:hAnsi="Arial"/>
          <w:sz w:val="15"/>
          <w:szCs w:val="15"/>
          <w:i w:val="1"/>
          <w:iCs w:val="1"/>
          <w:u w:val="single" w:color="auto"/>
          <w:color w:val="0000FF"/>
        </w:rPr>
        <w:t>comme décrit ci-dessus</w:t>
      </w:r>
      <w:r>
        <w:rPr>
          <w:rFonts w:ascii="Arial" w:cs="Arial" w:eastAsia="Arial" w:hAnsi="Arial"/>
          <w:sz w:val="15"/>
          <w:szCs w:val="15"/>
          <w:i w:val="1"/>
          <w:iCs w:val="1"/>
          <w:color w:val="000000"/>
        </w:rPr>
        <w:t>, les présents Statuts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seront</w:t>
      </w:r>
      <w:r>
        <w:rPr>
          <w:rFonts w:ascii="Arial" w:cs="Arial" w:eastAsia="Arial" w:hAnsi="Arial"/>
          <w:sz w:val="15"/>
          <w:szCs w:val="15"/>
          <w:i w:val="1"/>
          <w:iCs w:val="1"/>
          <w:u w:val="single" w:color="auto"/>
          <w:color w:val="0000FF"/>
        </w:rPr>
        <w:t>devront être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modifiés pour refléter</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cette</w:t>
      </w:r>
      <w:r>
        <w:rPr>
          <w:rFonts w:ascii="Arial" w:cs="Arial" w:eastAsia="Arial" w:hAnsi="Arial"/>
          <w:sz w:val="15"/>
          <w:szCs w:val="15"/>
          <w:i w:val="1"/>
          <w:iCs w:val="1"/>
          <w:u w:val="single" w:color="auto"/>
          <w:color w:val="0000FF"/>
        </w:rPr>
        <w:t>une telle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augmentation</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sans </w:t>
      </w:r>
      <w:r>
        <w:rPr>
          <w:rFonts w:ascii="Arial" w:cs="Arial" w:eastAsia="Arial" w:hAnsi="Arial"/>
          <w:sz w:val="15"/>
          <w:szCs w:val="15"/>
          <w:color w:val="FF0000"/>
          <w:strike w:val="1"/>
        </w:rPr>
        <w:t>qu’il soit nécessaire d’obtenir une nouvelle approbation</w:t>
      </w:r>
      <w:r>
        <w:rPr>
          <w:rFonts w:ascii="Arial" w:cs="Arial" w:eastAsia="Arial" w:hAnsi="Arial"/>
          <w:sz w:val="15"/>
          <w:szCs w:val="15"/>
          <w:i w:val="1"/>
          <w:iCs w:val="1"/>
          <w:u w:val="single" w:color="auto"/>
          <w:color w:val="0000FF"/>
        </w:rPr>
        <w:t>nécessiter l’approbation</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additionnelle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des actionnaires de la Société.</w:t>
      </w:r>
    </w:p>
    <w:p>
      <w:pPr>
        <w:spacing w:after="0" w:line="87" w:lineRule="exact"/>
        <w:rPr>
          <w:sz w:val="20"/>
          <w:szCs w:val="20"/>
          <w:color w:val="auto"/>
        </w:rPr>
      </w:pPr>
    </w:p>
    <w:p>
      <w:pPr>
        <w:ind w:left="1080" w:right="1119"/>
        <w:spacing w:after="0" w:line="286" w:lineRule="auto"/>
        <w:rPr>
          <w:sz w:val="20"/>
          <w:szCs w:val="20"/>
          <w:color w:val="auto"/>
        </w:rPr>
      </w:pPr>
      <w:r>
        <w:rPr>
          <w:rFonts w:ascii="Arial" w:cs="Arial" w:eastAsia="Arial" w:hAnsi="Arial"/>
          <w:sz w:val="15"/>
          <w:szCs w:val="15"/>
          <w:b w:val="1"/>
          <w:bCs w:val="1"/>
          <w:i w:val="1"/>
          <w:iCs w:val="1"/>
          <w:color w:val="auto"/>
        </w:rPr>
        <w:t xml:space="preserve">Art. 7. Actions. </w:t>
      </w:r>
      <w:r>
        <w:rPr>
          <w:rFonts w:ascii="Arial" w:cs="Arial" w:eastAsia="Arial" w:hAnsi="Arial"/>
          <w:sz w:val="15"/>
          <w:szCs w:val="15"/>
          <w:i w:val="1"/>
          <w:iCs w:val="1"/>
          <w:color w:val="auto"/>
        </w:rPr>
        <w:t>Chaque Action sera et restera sous forme nominale. Les actionnaires n’auront pas le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droit de demander la conversion des actions en Actions au porteur.</w:t>
      </w:r>
    </w:p>
    <w:p>
      <w:pPr>
        <w:spacing w:after="0" w:line="64" w:lineRule="exact"/>
        <w:rPr>
          <w:sz w:val="20"/>
          <w:szCs w:val="20"/>
          <w:color w:val="auto"/>
        </w:rPr>
      </w:pPr>
    </w:p>
    <w:p>
      <w:pPr>
        <w:ind w:left="1080" w:right="1299"/>
        <w:spacing w:after="0" w:line="251" w:lineRule="auto"/>
        <w:rPr>
          <w:sz w:val="20"/>
          <w:szCs w:val="20"/>
          <w:color w:val="auto"/>
        </w:rPr>
      </w:pPr>
      <w:r>
        <w:rPr>
          <w:rFonts w:ascii="Arial" w:cs="Arial" w:eastAsia="Arial" w:hAnsi="Arial"/>
          <w:sz w:val="15"/>
          <w:szCs w:val="15"/>
          <w:i w:val="1"/>
          <w:iCs w:val="1"/>
          <w:color w:val="auto"/>
        </w:rPr>
        <w:t>Un registre des actions sera disponible pour consultation par les actionnaires de la Société au siège social de la Société conformément aux dispositions de l’Article 430-3 de la Loi et moyennant un préavis raisonnable. Chaque actionnaire a le droit de consulter le registre pendant les heures ouvrables normales conformément aux dispositions de la Loi.</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Chaque actionnaire notifiera à la Société tout changement d’adresse par voie de lettre recommandée.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La Société pourra se prévaloir de la dernière adresse ainsi communiquée.</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La propriété des Actions résultera des inscriptions contenues dans ledit registre.</w:t>
      </w:r>
    </w:p>
    <w:p>
      <w:pPr>
        <w:spacing w:after="0" w:line="120" w:lineRule="exact"/>
        <w:rPr>
          <w:sz w:val="20"/>
          <w:szCs w:val="20"/>
          <w:color w:val="auto"/>
        </w:rPr>
      </w:pPr>
    </w:p>
    <w:p>
      <w:pPr>
        <w:ind w:left="1080" w:right="1359"/>
        <w:spacing w:after="0" w:line="259" w:lineRule="auto"/>
        <w:rPr>
          <w:sz w:val="20"/>
          <w:szCs w:val="20"/>
          <w:color w:val="auto"/>
        </w:rPr>
      </w:pPr>
      <w:r>
        <w:rPr>
          <w:rFonts w:ascii="Arial" w:cs="Arial" w:eastAsia="Arial" w:hAnsi="Arial"/>
          <w:sz w:val="15"/>
          <w:szCs w:val="15"/>
          <w:i w:val="1"/>
          <w:iCs w:val="1"/>
          <w:color w:val="auto"/>
        </w:rPr>
        <w:t>Toute personne qui est tenue de déclarer la propriété des Actions sur l’Annexe 13D ou 13G conformément à la Règle 13d-1 ou les changements dans cette propriété conformément à la Règle 13d-2, chacune telle qu’elle a été</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5" w:name="page76"/>
    <w:bookmarkEnd w:id="7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right="1639"/>
        <w:spacing w:after="0" w:line="243" w:lineRule="auto"/>
        <w:rPr>
          <w:sz w:val="20"/>
          <w:szCs w:val="20"/>
          <w:color w:val="auto"/>
        </w:rPr>
      </w:pPr>
      <w:r>
        <w:rPr>
          <w:rFonts w:ascii="Arial" w:cs="Arial" w:eastAsia="Arial" w:hAnsi="Arial"/>
          <w:sz w:val="15"/>
          <w:szCs w:val="15"/>
          <w:i w:val="1"/>
          <w:iCs w:val="1"/>
          <w:color w:val="auto"/>
        </w:rPr>
        <w:t>promulguée par la Securities and Exchange Commission des États-Unis en vertu du Securities Exchange Act de 1934, tel que modifié, doit notifier au Conseil d’Administration de la Société</w:t>
      </w:r>
    </w:p>
    <w:p>
      <w:pPr>
        <w:spacing w:after="0" w:line="1" w:lineRule="exact"/>
        <w:rPr>
          <w:sz w:val="20"/>
          <w:szCs w:val="20"/>
          <w:color w:val="auto"/>
        </w:rPr>
      </w:pPr>
    </w:p>
    <w:p>
      <w:pPr>
        <w:jc w:val="both"/>
        <w:ind w:left="1080" w:right="1239"/>
        <w:spacing w:after="0" w:line="227" w:lineRule="auto"/>
        <w:rPr>
          <w:sz w:val="20"/>
          <w:szCs w:val="20"/>
          <w:color w:val="auto"/>
        </w:rPr>
      </w:pPr>
      <w:r>
        <w:rPr>
          <w:rFonts w:ascii="Arial" w:cs="Arial" w:eastAsia="Arial" w:hAnsi="Arial"/>
          <w:sz w:val="15"/>
          <w:szCs w:val="15"/>
          <w:i w:val="1"/>
          <w:iCs w:val="1"/>
          <w:color w:val="auto"/>
        </w:rPr>
        <w:t>immédiatement après une acquisition ou une disposition à des fins déclarables et, en aucun cas plus tard que la date de dépôt de cette annexe 13D ou 13G, la proportion d’Actions détenue par la</w:t>
      </w:r>
    </w:p>
    <w:p>
      <w:pPr>
        <w:ind w:left="1080"/>
        <w:spacing w:after="0"/>
        <w:rPr>
          <w:sz w:val="20"/>
          <w:szCs w:val="20"/>
          <w:color w:val="auto"/>
        </w:rPr>
      </w:pPr>
      <w:r>
        <w:rPr>
          <w:rFonts w:ascii="Arial" w:cs="Arial" w:eastAsia="Arial" w:hAnsi="Arial"/>
          <w:sz w:val="15"/>
          <w:szCs w:val="15"/>
          <w:i w:val="1"/>
          <w:iCs w:val="1"/>
          <w:color w:val="auto"/>
        </w:rPr>
        <w:t>personne concernée suite à l’acquisition ou la disposition.</w:t>
      </w:r>
    </w:p>
    <w:p>
      <w:pPr>
        <w:spacing w:after="0" w:line="97" w:lineRule="exact"/>
        <w:rPr>
          <w:sz w:val="20"/>
          <w:szCs w:val="20"/>
          <w:color w:val="auto"/>
        </w:rPr>
      </w:pPr>
    </w:p>
    <w:p>
      <w:pPr>
        <w:jc w:val="both"/>
        <w:ind w:left="1080" w:right="1259"/>
        <w:spacing w:after="0" w:line="251" w:lineRule="auto"/>
        <w:rPr>
          <w:sz w:val="20"/>
          <w:szCs w:val="20"/>
          <w:color w:val="auto"/>
        </w:rPr>
      </w:pPr>
      <w:r>
        <w:rPr>
          <w:rFonts w:ascii="Arial" w:cs="Arial" w:eastAsia="Arial" w:hAnsi="Arial"/>
          <w:sz w:val="15"/>
          <w:szCs w:val="15"/>
          <w:i w:val="1"/>
          <w:iCs w:val="1"/>
          <w:color w:val="auto"/>
        </w:rPr>
        <w:t>Tout transfert d’Actions devra être inscrit au registre des actions conformément à la loi applicable. Le Conseil d’Administration de la Société peut déléguer ses pouvoirs en ce qui concerne l’inscription de ces transferts dans le registre des actions.</w:t>
      </w:r>
    </w:p>
    <w:p>
      <w:pPr>
        <w:spacing w:after="0" w:line="90" w:lineRule="exact"/>
        <w:rPr>
          <w:sz w:val="20"/>
          <w:szCs w:val="20"/>
          <w:color w:val="auto"/>
        </w:rPr>
      </w:pPr>
    </w:p>
    <w:p>
      <w:pPr>
        <w:ind w:left="1080" w:right="1159"/>
        <w:spacing w:after="0" w:line="251" w:lineRule="auto"/>
        <w:rPr>
          <w:sz w:val="20"/>
          <w:szCs w:val="20"/>
          <w:color w:val="auto"/>
        </w:rPr>
      </w:pPr>
      <w:r>
        <w:rPr>
          <w:rFonts w:ascii="Arial" w:cs="Arial" w:eastAsia="Arial" w:hAnsi="Arial"/>
          <w:sz w:val="15"/>
          <w:szCs w:val="15"/>
          <w:i w:val="1"/>
          <w:iCs w:val="1"/>
          <w:color w:val="auto"/>
        </w:rPr>
        <w:t>Chaque Action est indivisible. En cas de détention d’une Action par plus d’une personne, la Société a le droit de suspendre les droits attachés (à l’exception des droits d’information prévus par l’article 461-6 de la Loi) jusqu’à ce qu’une seule personne ait été désignée comme son détenteur envers la Société.</w:t>
      </w:r>
    </w:p>
    <w:p>
      <w:pPr>
        <w:spacing w:after="0" w:line="90" w:lineRule="exact"/>
        <w:rPr>
          <w:sz w:val="20"/>
          <w:szCs w:val="20"/>
          <w:color w:val="auto"/>
        </w:rPr>
      </w:pPr>
    </w:p>
    <w:p>
      <w:pPr>
        <w:ind w:left="1080" w:right="1099"/>
        <w:spacing w:after="0" w:line="243" w:lineRule="auto"/>
        <w:rPr>
          <w:sz w:val="20"/>
          <w:szCs w:val="20"/>
          <w:color w:val="auto"/>
        </w:rPr>
      </w:pPr>
      <w:r>
        <w:rPr>
          <w:rFonts w:ascii="Arial" w:cs="Arial" w:eastAsia="Arial" w:hAnsi="Arial"/>
          <w:sz w:val="15"/>
          <w:szCs w:val="15"/>
          <w:i w:val="1"/>
          <w:iCs w:val="1"/>
          <w:color w:val="auto"/>
        </w:rPr>
        <w:t>Lorsque les Actions sont enregistrées dans le registre des actionnaires au nom d’une ou plusieurs personnes sous le nom d’un système de règlement des titres ou d’un opérateur d’un tel système de règlement des titres ou d’un opérateur d’un tel système ou au nom d’un dépositaire professionnel de titres ou de tout autre dépositaire (ces systèmes, professionnels et autres dépositaires étant ci-après définis comme étant des “</w:t>
      </w:r>
      <w:r>
        <w:rPr>
          <w:rFonts w:ascii="Arial" w:cs="Arial" w:eastAsia="Arial" w:hAnsi="Arial"/>
          <w:sz w:val="15"/>
          <w:szCs w:val="15"/>
          <w:b w:val="1"/>
          <w:bCs w:val="1"/>
          <w:i w:val="1"/>
          <w:iCs w:val="1"/>
          <w:color w:val="auto"/>
        </w:rPr>
        <w:t>Dépositaires</w:t>
      </w:r>
      <w:r>
        <w:rPr>
          <w:rFonts w:ascii="Arial" w:cs="Arial" w:eastAsia="Arial" w:hAnsi="Arial"/>
          <w:sz w:val="15"/>
          <w:szCs w:val="15"/>
          <w:i w:val="1"/>
          <w:iCs w:val="1"/>
          <w:color w:val="auto"/>
        </w:rPr>
        <w:t>” et individuellement un “</w:t>
      </w:r>
      <w:r>
        <w:rPr>
          <w:rFonts w:ascii="Arial" w:cs="Arial" w:eastAsia="Arial" w:hAnsi="Arial"/>
          <w:sz w:val="15"/>
          <w:szCs w:val="15"/>
          <w:b w:val="1"/>
          <w:bCs w:val="1"/>
          <w:i w:val="1"/>
          <w:iCs w:val="1"/>
          <w:color w:val="auto"/>
        </w:rPr>
        <w:t>Dépositaire</w:t>
      </w:r>
      <w:r>
        <w:rPr>
          <w:rFonts w:ascii="Arial" w:cs="Arial" w:eastAsia="Arial" w:hAnsi="Arial"/>
          <w:sz w:val="15"/>
          <w:szCs w:val="15"/>
          <w:i w:val="1"/>
          <w:iCs w:val="1"/>
          <w:color w:val="auto"/>
        </w:rPr>
        <w:t>”) ou d’un sous-dépositaire désigné par un ou plusieurs Dépositaires(les “</w:t>
      </w:r>
      <w:r>
        <w:rPr>
          <w:rFonts w:ascii="Arial" w:cs="Arial" w:eastAsia="Arial" w:hAnsi="Arial"/>
          <w:sz w:val="15"/>
          <w:szCs w:val="15"/>
          <w:b w:val="1"/>
          <w:bCs w:val="1"/>
          <w:i w:val="1"/>
          <w:iCs w:val="1"/>
          <w:color w:val="auto"/>
        </w:rPr>
        <w:t>Détenteurs Indirects</w:t>
      </w:r>
      <w:r>
        <w:rPr>
          <w:rFonts w:ascii="Arial" w:cs="Arial" w:eastAsia="Arial" w:hAnsi="Arial"/>
          <w:sz w:val="15"/>
          <w:szCs w:val="15"/>
          <w:i w:val="1"/>
          <w:iCs w:val="1"/>
          <w:color w:val="auto"/>
        </w:rPr>
        <w:t>”), la Société, à condition d’avoir reçu un certificat en bonne et due forme du Dépositaire qui garde les Actions, permettra aux Détenteurs Indirects d’exercer les droits attachés à ces Actions, y compris l’admission et le vote aux assemblées générales, et considérera ces personnes comme étant des actionnaires pour les besoins de l’article 9. Le Conseil d’Administration peut déterminer les conditions formelles auxquelles ces certificats doivent se conformer.</w:t>
      </w:r>
    </w:p>
    <w:p>
      <w:pPr>
        <w:spacing w:after="0" w:line="96" w:lineRule="exact"/>
        <w:rPr>
          <w:sz w:val="20"/>
          <w:szCs w:val="20"/>
          <w:color w:val="auto"/>
        </w:rPr>
      </w:pPr>
    </w:p>
    <w:p>
      <w:pPr>
        <w:ind w:left="1080" w:right="1119"/>
        <w:spacing w:after="0" w:line="251" w:lineRule="auto"/>
        <w:rPr>
          <w:sz w:val="20"/>
          <w:szCs w:val="20"/>
          <w:color w:val="auto"/>
        </w:rPr>
      </w:pPr>
      <w:r>
        <w:rPr>
          <w:rFonts w:ascii="Arial" w:cs="Arial" w:eastAsia="Arial" w:hAnsi="Arial"/>
          <w:sz w:val="15"/>
          <w:szCs w:val="15"/>
          <w:i w:val="1"/>
          <w:iCs w:val="1"/>
          <w:color w:val="auto"/>
        </w:rPr>
        <w:t>Nonobstant ce qui précède, la Société fera des paiements, sous forme de dividendes ou autrement, en espèces, actions ou tout autre actif, uniquement dans les mains du Dépositaire ou du sous-dépositaire inscrit au registre des actions de la Société ou conformément à leurs instructions, et ce paiement libérera la Société de toutes ses obligations relatives à celui-ci.</w:t>
      </w:r>
    </w:p>
    <w:p>
      <w:pPr>
        <w:spacing w:after="0" w:line="88" w:lineRule="exact"/>
        <w:rPr>
          <w:sz w:val="20"/>
          <w:szCs w:val="20"/>
          <w:color w:val="auto"/>
        </w:rPr>
      </w:pPr>
    </w:p>
    <w:p>
      <w:pPr>
        <w:ind w:left="1080" w:right="1159"/>
        <w:spacing w:after="0" w:line="252" w:lineRule="auto"/>
        <w:rPr>
          <w:sz w:val="20"/>
          <w:szCs w:val="20"/>
          <w:color w:val="auto"/>
        </w:rPr>
      </w:pPr>
      <w:r>
        <w:rPr>
          <w:rFonts w:ascii="Arial" w:cs="Arial" w:eastAsia="Arial" w:hAnsi="Arial"/>
          <w:sz w:val="15"/>
          <w:szCs w:val="15"/>
          <w:b w:val="1"/>
          <w:bCs w:val="1"/>
          <w:i w:val="1"/>
          <w:iCs w:val="1"/>
          <w:color w:val="auto"/>
        </w:rPr>
        <w:t xml:space="preserve">Art. 8. Paiement des Actions. </w:t>
      </w:r>
      <w:r>
        <w:rPr>
          <w:rFonts w:ascii="Arial" w:cs="Arial" w:eastAsia="Arial" w:hAnsi="Arial"/>
          <w:sz w:val="15"/>
          <w:szCs w:val="15"/>
          <w:i w:val="1"/>
          <w:iCs w:val="1"/>
          <w:color w:val="auto"/>
        </w:rPr>
        <w:t>Les paiements sur les Actions non entièrement libérés à la date de la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souscription devront être effectués au moment et selon les conditions qui seront fixées de périodiquement par le Conseil d’Administration, conformément à la Loi. Toute somme appelée sur les Actions sera prélevée également sur toutes les Actions non encore libérées.</w:t>
      </w:r>
    </w:p>
    <w:p>
      <w:pPr>
        <w:spacing w:after="0" w:line="87" w:lineRule="exact"/>
        <w:rPr>
          <w:sz w:val="20"/>
          <w:szCs w:val="20"/>
          <w:color w:val="auto"/>
        </w:rPr>
      </w:pPr>
    </w:p>
    <w:p>
      <w:pPr>
        <w:ind w:left="1080" w:right="1099"/>
        <w:spacing w:after="0" w:line="244" w:lineRule="auto"/>
        <w:rPr>
          <w:sz w:val="20"/>
          <w:szCs w:val="20"/>
          <w:color w:val="auto"/>
        </w:rPr>
      </w:pPr>
      <w:r>
        <w:rPr>
          <w:rFonts w:ascii="Arial" w:cs="Arial" w:eastAsia="Arial" w:hAnsi="Arial"/>
          <w:sz w:val="15"/>
          <w:szCs w:val="15"/>
          <w:b w:val="1"/>
          <w:bCs w:val="1"/>
          <w:i w:val="1"/>
          <w:iCs w:val="1"/>
          <w:color w:val="auto"/>
        </w:rPr>
        <w:t xml:space="preserve">Art. 9. Augmentation et Réduction du Capital Social. </w:t>
      </w:r>
      <w:r>
        <w:rPr>
          <w:rFonts w:ascii="Arial" w:cs="Arial" w:eastAsia="Arial" w:hAnsi="Arial"/>
          <w:sz w:val="15"/>
          <w:szCs w:val="15"/>
          <w:i w:val="1"/>
          <w:iCs w:val="1"/>
          <w:color w:val="auto"/>
        </w:rPr>
        <w:t>Le capital social émis et le capital social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autorisé de la Société peut être augmenté ou réduit, en une ou en plusieurs fois, par résolution de l’assemblée générale des actionnaires votant aux conditions de quorum et de majorité déterminées par ces Statuts ou, le cas échéant, par la Loi pour toute modification des statuts. À moins d’être émises en vertu d’une décision du Conseil d’Administration ou d’un représentant dûment autorisé de celui-ci, suite aux pouvoirs conférés au Conseil d’Administration, des articles 5 et 6, les nouvelles Actions devant être souscrites par un apport en numéraire seront proposées par préférence aux actionnaires existants, au prorata de la part du capital social détenue par ces actionnaires. Le Conseil d’Administration, déterminera le délai dans lequel le droit préférentiel de souscription devra être exercé. Ce délai ne pourra pas être inférieur à trente (30) jours.</w:t>
      </w:r>
    </w:p>
    <w:p>
      <w:pPr>
        <w:spacing w:after="0" w:line="96" w:lineRule="exact"/>
        <w:rPr>
          <w:sz w:val="20"/>
          <w:szCs w:val="20"/>
          <w:color w:val="auto"/>
        </w:rPr>
      </w:pPr>
    </w:p>
    <w:p>
      <w:pPr>
        <w:ind w:left="1080" w:right="1119"/>
        <w:spacing w:after="0" w:line="251" w:lineRule="auto"/>
        <w:rPr>
          <w:sz w:val="20"/>
          <w:szCs w:val="20"/>
          <w:color w:val="auto"/>
        </w:rPr>
      </w:pPr>
      <w:r>
        <w:rPr>
          <w:rFonts w:ascii="Arial" w:cs="Arial" w:eastAsia="Arial" w:hAnsi="Arial"/>
          <w:sz w:val="15"/>
          <w:szCs w:val="15"/>
          <w:i w:val="1"/>
          <w:iCs w:val="1"/>
          <w:color w:val="auto"/>
        </w:rPr>
        <w:t>Nonobstant ce qui précède, l’assemblée générale des actionnaires, votant aux conditions de quorum et de majorité requises pour toute modification des Statuts pourra limiter ou révoquer le droit préférentiel de souscription, ou autoriser le Conseil d’Administration à agir ainsi en cas d’augmentation du capital social dans le cadre du capital autorisé.</w:t>
      </w:r>
    </w:p>
    <w:p>
      <w:pPr>
        <w:spacing w:after="0" w:line="90" w:lineRule="exact"/>
        <w:rPr>
          <w:sz w:val="20"/>
          <w:szCs w:val="20"/>
          <w:color w:val="auto"/>
        </w:rPr>
      </w:pPr>
    </w:p>
    <w:p>
      <w:pPr>
        <w:ind w:left="1080" w:right="1119"/>
        <w:spacing w:after="0" w:line="251" w:lineRule="auto"/>
        <w:rPr>
          <w:sz w:val="20"/>
          <w:szCs w:val="20"/>
          <w:color w:val="auto"/>
        </w:rPr>
      </w:pPr>
      <w:r>
        <w:rPr>
          <w:rFonts w:ascii="Arial" w:cs="Arial" w:eastAsia="Arial" w:hAnsi="Arial"/>
          <w:sz w:val="15"/>
          <w:szCs w:val="15"/>
          <w:i w:val="1"/>
          <w:iCs w:val="1"/>
          <w:color w:val="auto"/>
        </w:rPr>
        <w:t>Le droit préférentiel de souscription pourra aussi être révoqué individuellement par les actionnaires, ou par l’assemblée générale, votant aux conditions de quorum et de majorité requises pour les modifications des Statuts et à la condition que la suppression du droit de souscription préférentiel soit expressément mentionnée dans la liste des actionnaires présents.</w:t>
      </w:r>
    </w:p>
    <w:p>
      <w:pPr>
        <w:spacing w:after="0" w:line="90" w:lineRule="exact"/>
        <w:rPr>
          <w:sz w:val="20"/>
          <w:szCs w:val="20"/>
          <w:color w:val="auto"/>
        </w:rPr>
      </w:pPr>
    </w:p>
    <w:p>
      <w:pPr>
        <w:ind w:left="1080" w:right="1419"/>
        <w:spacing w:after="0" w:line="267" w:lineRule="auto"/>
        <w:rPr>
          <w:sz w:val="20"/>
          <w:szCs w:val="20"/>
          <w:color w:val="auto"/>
        </w:rPr>
      </w:pPr>
      <w:r>
        <w:rPr>
          <w:rFonts w:ascii="Arial" w:cs="Arial" w:eastAsia="Arial" w:hAnsi="Arial"/>
          <w:sz w:val="15"/>
          <w:szCs w:val="15"/>
          <w:i w:val="1"/>
          <w:iCs w:val="1"/>
          <w:color w:val="auto"/>
        </w:rPr>
        <w:t>Le droit de souscription préférentiel n’est pas applicable lorsque le capital social est augmenté par apports en nature.</w:t>
      </w:r>
    </w:p>
    <w:p>
      <w:pPr>
        <w:spacing w:after="0" w:line="76" w:lineRule="exact"/>
        <w:rPr>
          <w:sz w:val="20"/>
          <w:szCs w:val="20"/>
          <w:color w:val="auto"/>
        </w:rPr>
      </w:pPr>
    </w:p>
    <w:p>
      <w:pPr>
        <w:ind w:left="1080"/>
        <w:spacing w:after="0"/>
        <w:tabs>
          <w:tab w:leader="none" w:pos="4700" w:val="left"/>
        </w:tabs>
        <w:rPr>
          <w:sz w:val="20"/>
          <w:szCs w:val="20"/>
          <w:color w:val="auto"/>
        </w:rPr>
      </w:pPr>
      <w:r>
        <w:rPr>
          <w:rFonts w:ascii="Arial" w:cs="Arial" w:eastAsia="Arial" w:hAnsi="Arial"/>
          <w:sz w:val="15"/>
          <w:szCs w:val="15"/>
          <w:b w:val="1"/>
          <w:bCs w:val="1"/>
          <w:i w:val="1"/>
          <w:iCs w:val="1"/>
          <w:color w:val="auto"/>
        </w:rPr>
        <w:t>Art. 10. Acquisition ou Rachat d’Actions Propres.</w:t>
      </w:r>
      <w:r>
        <w:rPr>
          <w:sz w:val="20"/>
          <w:szCs w:val="20"/>
          <w:color w:val="auto"/>
        </w:rPr>
        <w:tab/>
      </w:r>
      <w:r>
        <w:rPr>
          <w:rFonts w:ascii="Arial" w:cs="Arial" w:eastAsia="Arial" w:hAnsi="Arial"/>
          <w:sz w:val="14"/>
          <w:szCs w:val="14"/>
          <w:i w:val="1"/>
          <w:iCs w:val="1"/>
          <w:color w:val="auto"/>
        </w:rPr>
        <w:t>La Société peut acquérir ou racheter ses</w:t>
      </w:r>
    </w:p>
    <w:p>
      <w:pPr>
        <w:spacing w:after="0" w:line="22" w:lineRule="exact"/>
        <w:rPr>
          <w:sz w:val="20"/>
          <w:szCs w:val="20"/>
          <w:color w:val="auto"/>
        </w:rPr>
      </w:pPr>
    </w:p>
    <w:p>
      <w:pPr>
        <w:ind w:left="1080" w:right="1139"/>
        <w:spacing w:after="0" w:line="243" w:lineRule="auto"/>
        <w:rPr>
          <w:sz w:val="20"/>
          <w:szCs w:val="20"/>
          <w:color w:val="auto"/>
        </w:rPr>
      </w:pPr>
      <w:r>
        <w:rPr>
          <w:rFonts w:ascii="Arial" w:cs="Arial" w:eastAsia="Arial" w:hAnsi="Arial"/>
          <w:sz w:val="15"/>
          <w:szCs w:val="15"/>
          <w:i w:val="1"/>
          <w:iCs w:val="1"/>
          <w:color w:val="auto"/>
        </w:rPr>
        <w:t>propres Actions conformément à la Loi Elle peut détenir les Actions ainsi acquises ou rachetées. Dans le présent article 10, les “Actions propres” correspondent aux Actions acquises ou rachetées et détenues par la Société.</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6" w:name="page77"/>
    <w:bookmarkEnd w:id="76"/>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1119"/>
        <w:spacing w:after="0" w:line="259" w:lineRule="auto"/>
        <w:rPr>
          <w:sz w:val="20"/>
          <w:szCs w:val="20"/>
          <w:color w:val="auto"/>
        </w:rPr>
      </w:pPr>
      <w:r>
        <w:rPr>
          <w:rFonts w:ascii="Arial" w:cs="Arial" w:eastAsia="Arial" w:hAnsi="Arial"/>
          <w:sz w:val="15"/>
          <w:szCs w:val="15"/>
          <w:i w:val="1"/>
          <w:iCs w:val="1"/>
          <w:color w:val="auto"/>
        </w:rPr>
        <w:t>Les droits de vote attachés aux Actions Propres sont suspendus et ne sont pas pris en compte dans la détermination du quorum et de la majorité aux assemblées générales des actionnaires. Le Conseil d’Administration est autorisé à suspendre le droit au dividende attaché aux Actions Propres. Dans ce cas, le Conseil d’Administration peut décider sur le bénéfice distribuable conformément à l’article 430-18 de la Loi.</w:t>
      </w:r>
    </w:p>
    <w:p>
      <w:pPr>
        <w:spacing w:after="0" w:line="149" w:lineRule="exact"/>
        <w:rPr>
          <w:sz w:val="20"/>
          <w:szCs w:val="20"/>
          <w:color w:val="auto"/>
        </w:rPr>
      </w:pPr>
    </w:p>
    <w:p>
      <w:pPr>
        <w:ind w:left="1380" w:right="1499"/>
        <w:spacing w:after="0" w:line="297" w:lineRule="auto"/>
        <w:rPr>
          <w:sz w:val="20"/>
          <w:szCs w:val="20"/>
          <w:color w:val="auto"/>
        </w:rPr>
      </w:pPr>
      <w:r>
        <w:rPr>
          <w:rFonts w:ascii="Arial" w:cs="Arial" w:eastAsia="Arial" w:hAnsi="Arial"/>
          <w:sz w:val="15"/>
          <w:szCs w:val="15"/>
          <w:b w:val="1"/>
          <w:bCs w:val="1"/>
          <w:i w:val="1"/>
          <w:iCs w:val="1"/>
          <w:color w:val="auto"/>
        </w:rPr>
        <w:t>Chapitre III. Administrateurs, Conseil d’</w:t>
      </w:r>
      <w:r>
        <w:rPr>
          <w:rFonts w:ascii="Arial" w:cs="Arial" w:eastAsia="Arial" w:hAnsi="Arial"/>
          <w:sz w:val="15"/>
          <w:szCs w:val="15"/>
          <w:b w:val="1"/>
          <w:bCs w:val="1"/>
          <w:i w:val="1"/>
          <w:iCs w:val="1"/>
          <w:color w:val="FF0000"/>
          <w:strike w:val="1"/>
        </w:rPr>
        <w:t>Administrtion</w:t>
      </w:r>
      <w:r>
        <w:rPr>
          <w:rFonts w:ascii="Arial" w:cs="Arial" w:eastAsia="Arial" w:hAnsi="Arial"/>
          <w:sz w:val="15"/>
          <w:szCs w:val="15"/>
          <w:i w:val="1"/>
          <w:iCs w:val="1"/>
          <w:u w:val="single" w:color="auto"/>
          <w:color w:val="0000FF"/>
        </w:rPr>
        <w:t>Administration</w:t>
      </w:r>
      <w:r>
        <w:rPr>
          <w:rFonts w:ascii="Arial" w:cs="Arial" w:eastAsia="Arial" w:hAnsi="Arial"/>
          <w:sz w:val="15"/>
          <w:szCs w:val="15"/>
          <w:b w:val="1"/>
          <w:bCs w:val="1"/>
          <w:i w:val="1"/>
          <w:iCs w:val="1"/>
          <w:color w:val="auto"/>
        </w:rPr>
        <w:t>, Commissaires aux comptes</w:t>
      </w:r>
    </w:p>
    <w:p>
      <w:pPr>
        <w:spacing w:after="0" w:line="58" w:lineRule="exact"/>
        <w:rPr>
          <w:sz w:val="20"/>
          <w:szCs w:val="20"/>
          <w:color w:val="auto"/>
        </w:rPr>
      </w:pPr>
    </w:p>
    <w:p>
      <w:pPr>
        <w:ind w:left="1080" w:right="1099"/>
        <w:spacing w:after="0" w:line="260" w:lineRule="auto"/>
        <w:rPr>
          <w:sz w:val="20"/>
          <w:szCs w:val="20"/>
          <w:color w:val="auto"/>
        </w:rPr>
      </w:pPr>
      <w:r>
        <w:rPr>
          <w:rFonts w:ascii="Arial" w:cs="Arial" w:eastAsia="Arial" w:hAnsi="Arial"/>
          <w:sz w:val="15"/>
          <w:szCs w:val="15"/>
          <w:b w:val="1"/>
          <w:bCs w:val="1"/>
          <w:i w:val="1"/>
          <w:iCs w:val="1"/>
          <w:color w:val="auto"/>
        </w:rPr>
        <w:t xml:space="preserve">Art. 11. Conseil d’Administration. </w:t>
      </w:r>
      <w:r>
        <w:rPr>
          <w:rFonts w:ascii="Arial" w:cs="Arial" w:eastAsia="Arial" w:hAnsi="Arial"/>
          <w:sz w:val="15"/>
          <w:szCs w:val="15"/>
          <w:i w:val="1"/>
          <w:iCs w:val="1"/>
          <w:color w:val="auto"/>
        </w:rPr>
        <w:t>La Société est dirigée par un conseil d’administration (le “</w:t>
      </w:r>
      <w:r>
        <w:rPr>
          <w:rFonts w:ascii="Arial" w:cs="Arial" w:eastAsia="Arial" w:hAnsi="Arial"/>
          <w:sz w:val="15"/>
          <w:szCs w:val="15"/>
          <w:b w:val="1"/>
          <w:bCs w:val="1"/>
          <w:i w:val="1"/>
          <w:iCs w:val="1"/>
          <w:color w:val="auto"/>
        </w:rPr>
        <w:t>Conseil d’Administration</w:t>
      </w:r>
      <w:r>
        <w:rPr>
          <w:rFonts w:ascii="Arial" w:cs="Arial" w:eastAsia="Arial" w:hAnsi="Arial"/>
          <w:sz w:val="15"/>
          <w:szCs w:val="15"/>
          <w:color w:val="auto"/>
        </w:rPr>
        <w:t>”) composé d’au moins trois (3) membres et au maximum de sept</w:t>
      </w:r>
    </w:p>
    <w:p>
      <w:pPr>
        <w:spacing w:after="0" w:line="1" w:lineRule="exact"/>
        <w:rPr>
          <w:sz w:val="20"/>
          <w:szCs w:val="20"/>
          <w:color w:val="auto"/>
        </w:rPr>
      </w:pPr>
    </w:p>
    <w:p>
      <w:pPr>
        <w:ind w:left="1080" w:right="1359" w:hanging="1"/>
        <w:spacing w:after="0" w:line="266" w:lineRule="auto"/>
        <w:tabs>
          <w:tab w:leader="none" w:pos="1335" w:val="left"/>
        </w:tabs>
        <w:numPr>
          <w:ilvl w:val="0"/>
          <w:numId w:val="63"/>
        </w:numPr>
        <w:rPr>
          <w:rFonts w:ascii="Arial" w:cs="Arial" w:eastAsia="Arial" w:hAnsi="Arial"/>
          <w:sz w:val="15"/>
          <w:szCs w:val="15"/>
          <w:color w:val="auto"/>
        </w:rPr>
      </w:pPr>
      <w:r>
        <w:rPr>
          <w:rFonts w:ascii="Arial" w:cs="Arial" w:eastAsia="Arial" w:hAnsi="Arial"/>
          <w:sz w:val="15"/>
          <w:szCs w:val="15"/>
          <w:color w:val="auto"/>
        </w:rPr>
        <w:t>membres (chacun d’entre eux désigné comme un “</w:t>
      </w:r>
      <w:r>
        <w:rPr>
          <w:rFonts w:ascii="Arial" w:cs="Arial" w:eastAsia="Arial" w:hAnsi="Arial"/>
          <w:sz w:val="15"/>
          <w:szCs w:val="15"/>
          <w:b w:val="1"/>
          <w:bCs w:val="1"/>
          <w:i w:val="1"/>
          <w:iCs w:val="1"/>
          <w:color w:val="auto"/>
        </w:rPr>
        <w:t>Administrateur</w:t>
      </w:r>
      <w:r>
        <w:rPr>
          <w:rFonts w:ascii="Arial" w:cs="Arial" w:eastAsia="Arial" w:hAnsi="Arial"/>
          <w:sz w:val="15"/>
          <w:szCs w:val="15"/>
          <w:color w:val="auto"/>
        </w:rPr>
        <w:t>”) qui ne devront pas être des actionnaires.</w:t>
      </w:r>
    </w:p>
    <w:p>
      <w:pPr>
        <w:spacing w:after="0" w:line="90" w:lineRule="exact"/>
        <w:rPr>
          <w:sz w:val="20"/>
          <w:szCs w:val="20"/>
          <w:color w:val="auto"/>
        </w:rPr>
      </w:pPr>
    </w:p>
    <w:p>
      <w:pPr>
        <w:ind w:left="1080" w:right="1259"/>
        <w:spacing w:after="0" w:line="259" w:lineRule="auto"/>
        <w:rPr>
          <w:sz w:val="20"/>
          <w:szCs w:val="20"/>
          <w:color w:val="auto"/>
        </w:rPr>
      </w:pPr>
      <w:r>
        <w:rPr>
          <w:rFonts w:ascii="Arial" w:cs="Arial" w:eastAsia="Arial" w:hAnsi="Arial"/>
          <w:sz w:val="15"/>
          <w:szCs w:val="15"/>
          <w:i w:val="1"/>
          <w:iCs w:val="1"/>
          <w:color w:val="auto"/>
        </w:rPr>
        <w:t>L’/Les Administrateur(s) est/sont nommé(s) par l’assemblée générale des actionnaires, qui fixe leur nombre et la durée de leur mandat, qui n’excédera pas six (6) ans et ils resteront en fonction jusqu’à ce que leurs successeurs soient élus. L’/Les Administrateur(s) peuvent être réélus pour des mandats successifs et peuvent être révoqués à tout moment, avec ou sans motif, par une résolution de l’assemblée générale des actionnaires.</w:t>
      </w:r>
    </w:p>
    <w:p>
      <w:pPr>
        <w:spacing w:after="0" w:line="83" w:lineRule="exact"/>
        <w:rPr>
          <w:sz w:val="20"/>
          <w:szCs w:val="20"/>
          <w:color w:val="auto"/>
        </w:rPr>
      </w:pPr>
    </w:p>
    <w:p>
      <w:pPr>
        <w:ind w:left="1080" w:right="1259"/>
        <w:spacing w:after="0" w:line="257" w:lineRule="auto"/>
        <w:rPr>
          <w:sz w:val="20"/>
          <w:szCs w:val="20"/>
          <w:color w:val="auto"/>
        </w:rPr>
      </w:pPr>
      <w:r>
        <w:rPr>
          <w:rFonts w:ascii="Arial" w:cs="Arial" w:eastAsia="Arial" w:hAnsi="Arial"/>
          <w:sz w:val="15"/>
          <w:szCs w:val="15"/>
          <w:i w:val="1"/>
          <w:iCs w:val="1"/>
          <w:color w:val="auto"/>
        </w:rPr>
        <w:t>Si une personne morale est nommée aux fonctions d’Administrateur, il devra désigner une personne physique en qualité de représentant permanent, qui représentera la personne morale en tant que membre du Conseil d’Administration, conformément à l’article 441-3 de la Loi. En cas de vacance au Conseil d’Administration, si applicable, l’/les Administrateur(s) restant(s) pourra/pourront se réunir et élire un administrateur pour remplir ce poste vacant à titre provisoire jusqu’à la prochaine assemblée générale des actionnaires.</w:t>
      </w:r>
    </w:p>
    <w:p>
      <w:pPr>
        <w:spacing w:after="0" w:line="95" w:lineRule="exact"/>
        <w:rPr>
          <w:sz w:val="20"/>
          <w:szCs w:val="20"/>
          <w:color w:val="auto"/>
        </w:rPr>
      </w:pPr>
    </w:p>
    <w:p>
      <w:pPr>
        <w:ind w:left="1080" w:right="1099"/>
        <w:spacing w:after="0" w:line="256" w:lineRule="auto"/>
        <w:rPr>
          <w:sz w:val="20"/>
          <w:szCs w:val="20"/>
          <w:color w:val="auto"/>
        </w:rPr>
      </w:pPr>
      <w:r>
        <w:rPr>
          <w:rFonts w:ascii="Arial" w:cs="Arial" w:eastAsia="Arial" w:hAnsi="Arial"/>
          <w:sz w:val="15"/>
          <w:szCs w:val="15"/>
          <w:b w:val="1"/>
          <w:bCs w:val="1"/>
          <w:i w:val="1"/>
          <w:iCs w:val="1"/>
          <w:color w:val="auto"/>
        </w:rPr>
        <w:t xml:space="preserve">Art. 12. Réunions du Conseil d’Administration. </w:t>
      </w:r>
      <w:r>
        <w:rPr>
          <w:rFonts w:ascii="Arial" w:cs="Arial" w:eastAsia="Arial" w:hAnsi="Arial"/>
          <w:sz w:val="15"/>
          <w:szCs w:val="15"/>
          <w:i w:val="1"/>
          <w:iCs w:val="1"/>
          <w:color w:val="auto"/>
        </w:rPr>
        <w:t>Le Conseil d’Administration choisira parmi ses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membres un président (le “</w:t>
      </w:r>
      <w:r>
        <w:rPr>
          <w:rFonts w:ascii="Arial" w:cs="Arial" w:eastAsia="Arial" w:hAnsi="Arial"/>
          <w:sz w:val="15"/>
          <w:szCs w:val="15"/>
          <w:b w:val="1"/>
          <w:bCs w:val="1"/>
          <w:i w:val="1"/>
          <w:iCs w:val="1"/>
          <w:color w:val="auto"/>
        </w:rPr>
        <w:t>Président</w:t>
      </w:r>
      <w:r>
        <w:rPr>
          <w:rFonts w:ascii="Arial" w:cs="Arial" w:eastAsia="Arial" w:hAnsi="Arial"/>
          <w:sz w:val="15"/>
          <w:szCs w:val="15"/>
          <w:i w:val="1"/>
          <w:iCs w:val="1"/>
          <w:color w:val="auto"/>
        </w:rPr>
        <w:t xml:space="preserve">”). Il pourra également choisir un secrétaire qui n’a pas besoin d’être Administrateur et qui sera responsable des </w:t>
      </w:r>
      <w:r>
        <w:rPr>
          <w:rFonts w:ascii="Arial" w:cs="Arial" w:eastAsia="Arial" w:hAnsi="Arial"/>
          <w:sz w:val="15"/>
          <w:szCs w:val="15"/>
          <w:color w:val="FF0000"/>
          <w:strike w:val="1"/>
        </w:rPr>
        <w:t>procèsverbaux</w:t>
      </w:r>
      <w:r>
        <w:rPr>
          <w:rFonts w:ascii="Arial" w:cs="Arial" w:eastAsia="Arial" w:hAnsi="Arial"/>
          <w:sz w:val="15"/>
          <w:szCs w:val="15"/>
          <w:i w:val="1"/>
          <w:iCs w:val="1"/>
          <w:u w:val="single" w:color="auto"/>
          <w:color w:val="0000FF"/>
        </w:rPr>
        <w:t>procès-verbaux</w:t>
      </w:r>
      <w:r>
        <w:rPr>
          <w:rFonts w:ascii="Arial" w:cs="Arial" w:eastAsia="Arial" w:hAnsi="Arial"/>
          <w:sz w:val="15"/>
          <w:szCs w:val="15"/>
          <w:i w:val="1"/>
          <w:iCs w:val="1"/>
          <w:color w:val="auto"/>
        </w:rPr>
        <w:t xml:space="preserve"> des réunions du Conseil d’Administration et des assemblées </w:t>
      </w:r>
      <w:r>
        <w:rPr>
          <w:rFonts w:ascii="Arial" w:cs="Arial" w:eastAsia="Arial" w:hAnsi="Arial"/>
          <w:sz w:val="15"/>
          <w:szCs w:val="15"/>
          <w:i w:val="1"/>
          <w:iCs w:val="1"/>
          <w:u w:val="single" w:color="auto"/>
          <w:color w:val="0000FF"/>
        </w:rPr>
        <w:t>générales</w:t>
      </w:r>
      <w:r>
        <w:rPr>
          <w:rFonts w:ascii="Arial" w:cs="Arial" w:eastAsia="Arial" w:hAnsi="Arial"/>
          <w:sz w:val="15"/>
          <w:szCs w:val="15"/>
          <w:i w:val="1"/>
          <w:iCs w:val="1"/>
          <w:color w:val="auto"/>
        </w:rPr>
        <w:t xml:space="preserve"> des actionnaires (le “</w:t>
      </w:r>
      <w:r>
        <w:rPr>
          <w:rFonts w:ascii="Arial" w:cs="Arial" w:eastAsia="Arial" w:hAnsi="Arial"/>
          <w:sz w:val="15"/>
          <w:szCs w:val="15"/>
          <w:b w:val="1"/>
          <w:bCs w:val="1"/>
          <w:i w:val="1"/>
          <w:iCs w:val="1"/>
          <w:color w:val="auto"/>
        </w:rPr>
        <w:t>Secrétaire</w:t>
      </w:r>
      <w:r>
        <w:rPr>
          <w:rFonts w:ascii="Arial" w:cs="Arial" w:eastAsia="Arial" w:hAnsi="Arial"/>
          <w:sz w:val="15"/>
          <w:szCs w:val="15"/>
          <w:i w:val="1"/>
          <w:iCs w:val="1"/>
          <w:color w:val="auto"/>
        </w:rPr>
        <w:t xml:space="preserve">”). Si le Secrétaire n’est pas un Administrateur, une telle personne devra observer les dispositions relatives à la confidentialité telles qu’énoncées à l’article 15 </w:t>
      </w:r>
      <w:r>
        <w:rPr>
          <w:rFonts w:ascii="Arial" w:cs="Arial" w:eastAsia="Arial" w:hAnsi="Arial"/>
          <w:sz w:val="15"/>
          <w:szCs w:val="15"/>
          <w:i w:val="1"/>
          <w:iCs w:val="1"/>
          <w:u w:val="single" w:color="auto"/>
          <w:color w:val="0000FF"/>
        </w:rPr>
        <w:t>des présents Statuts</w:t>
      </w:r>
      <w:r>
        <w:rPr>
          <w:rFonts w:ascii="Arial" w:cs="Arial" w:eastAsia="Arial" w:hAnsi="Arial"/>
          <w:sz w:val="15"/>
          <w:szCs w:val="15"/>
          <w:i w:val="1"/>
          <w:iCs w:val="1"/>
          <w:color w:val="auto"/>
        </w:rPr>
        <w:t xml:space="preserve"> </w:t>
      </w:r>
      <w:r>
        <w:rPr>
          <w:rFonts w:ascii="Arial" w:cs="Arial" w:eastAsia="Arial" w:hAnsi="Arial"/>
          <w:sz w:val="15"/>
          <w:szCs w:val="15"/>
          <w:color w:val="auto"/>
        </w:rPr>
        <w:t>sous la responsabilité du</w:t>
      </w:r>
      <w:r>
        <w:rPr>
          <w:rFonts w:ascii="Arial" w:cs="Arial" w:eastAsia="Arial" w:hAnsi="Arial"/>
          <w:sz w:val="15"/>
          <w:szCs w:val="15"/>
          <w:i w:val="1"/>
          <w:iCs w:val="1"/>
          <w:color w:val="auto"/>
        </w:rPr>
        <w:t xml:space="preserve"> </w:t>
      </w:r>
      <w:r>
        <w:rPr>
          <w:rFonts w:ascii="Arial" w:cs="Arial" w:eastAsia="Arial" w:hAnsi="Arial"/>
          <w:sz w:val="15"/>
          <w:szCs w:val="15"/>
          <w:color w:val="auto"/>
        </w:rPr>
        <w:t>Conseil d’Administration.</w:t>
      </w:r>
    </w:p>
    <w:p>
      <w:pPr>
        <w:spacing w:after="0" w:line="100" w:lineRule="exact"/>
        <w:rPr>
          <w:sz w:val="20"/>
          <w:szCs w:val="20"/>
          <w:color w:val="auto"/>
        </w:rPr>
      </w:pPr>
    </w:p>
    <w:p>
      <w:pPr>
        <w:ind w:left="1080" w:right="1779"/>
        <w:spacing w:after="0" w:line="283" w:lineRule="auto"/>
        <w:rPr>
          <w:sz w:val="20"/>
          <w:szCs w:val="20"/>
          <w:color w:val="auto"/>
        </w:rPr>
      </w:pPr>
      <w:r>
        <w:rPr>
          <w:rFonts w:ascii="Arial" w:cs="Arial" w:eastAsia="Arial" w:hAnsi="Arial"/>
          <w:sz w:val="15"/>
          <w:szCs w:val="15"/>
          <w:i w:val="1"/>
          <w:iCs w:val="1"/>
          <w:color w:val="auto"/>
        </w:rPr>
        <w:t>Le Conseil d’Administration se réunira sur convocation du Président. Une réunion du Conseil d’Administration devra être convoquée si deux Administrateurs le requièrent.</w:t>
      </w:r>
    </w:p>
    <w:p>
      <w:pPr>
        <w:spacing w:after="0" w:line="64" w:lineRule="exact"/>
        <w:rPr>
          <w:sz w:val="20"/>
          <w:szCs w:val="20"/>
          <w:color w:val="auto"/>
        </w:rPr>
      </w:pPr>
    </w:p>
    <w:p>
      <w:pPr>
        <w:ind w:left="1080" w:right="1219"/>
        <w:spacing w:after="0" w:line="262" w:lineRule="auto"/>
        <w:rPr>
          <w:sz w:val="20"/>
          <w:szCs w:val="20"/>
          <w:color w:val="auto"/>
        </w:rPr>
      </w:pPr>
      <w:r>
        <w:rPr>
          <w:rFonts w:ascii="Arial" w:cs="Arial" w:eastAsia="Arial" w:hAnsi="Arial"/>
          <w:sz w:val="15"/>
          <w:szCs w:val="15"/>
          <w:i w:val="1"/>
          <w:iCs w:val="1"/>
          <w:color w:val="auto"/>
        </w:rPr>
        <w:t xml:space="preserve">Le Président présidera toutes les réunions du Conseil d’Administration </w:t>
      </w:r>
      <w:r>
        <w:rPr>
          <w:rFonts w:ascii="Arial" w:cs="Arial" w:eastAsia="Arial" w:hAnsi="Arial"/>
          <w:sz w:val="15"/>
          <w:szCs w:val="15"/>
          <w:color w:val="FF0000"/>
        </w:rPr>
        <w:t>et des actionnaires</w:t>
      </w:r>
      <w:r>
        <w:rPr>
          <w:rFonts w:ascii="Arial" w:cs="Arial" w:eastAsia="Arial" w:hAnsi="Arial"/>
          <w:sz w:val="15"/>
          <w:szCs w:val="15"/>
          <w:i w:val="1"/>
          <w:iCs w:val="1"/>
          <w:color w:val="auto"/>
        </w:rPr>
        <w:t xml:space="preserve">, sauf </w:t>
      </w:r>
      <w:r>
        <w:rPr>
          <w:rFonts w:ascii="Arial" w:cs="Arial" w:eastAsia="Arial" w:hAnsi="Arial"/>
          <w:sz w:val="15"/>
          <w:szCs w:val="15"/>
          <w:color w:val="FF0000"/>
          <w:strike w:val="1"/>
        </w:rPr>
        <w:t>en</w:t>
      </w:r>
      <w:r>
        <w:rPr>
          <w:rFonts w:ascii="Arial" w:cs="Arial" w:eastAsia="Arial" w:hAnsi="Arial"/>
          <w:sz w:val="15"/>
          <w:szCs w:val="15"/>
          <w:i w:val="1"/>
          <w:iCs w:val="1"/>
          <w:u w:val="single" w:color="auto"/>
          <w:color w:val="0000FF"/>
        </w:rPr>
        <w:t>qu’en</w:t>
      </w:r>
      <w:r>
        <w:rPr>
          <w:rFonts w:ascii="Arial" w:cs="Arial" w:eastAsia="Arial" w:hAnsi="Arial"/>
          <w:sz w:val="15"/>
          <w:szCs w:val="15"/>
          <w:color w:val="FF0000"/>
        </w:rPr>
        <w:t xml:space="preserve"> </w:t>
      </w:r>
      <w:r>
        <w:rPr>
          <w:rFonts w:ascii="Arial" w:cs="Arial" w:eastAsia="Arial" w:hAnsi="Arial"/>
          <w:sz w:val="15"/>
          <w:szCs w:val="15"/>
          <w:i w:val="1"/>
          <w:iCs w:val="1"/>
          <w:color w:val="000000"/>
        </w:rPr>
        <w:t>son absence, le Conseil d’Administration</w:t>
      </w:r>
      <w:r>
        <w:rPr>
          <w:rFonts w:ascii="Arial" w:cs="Arial" w:eastAsia="Arial" w:hAnsi="Arial"/>
          <w:sz w:val="15"/>
          <w:szCs w:val="15"/>
          <w:color w:val="FF0000"/>
        </w:rPr>
        <w:t xml:space="preserve"> </w:t>
      </w:r>
      <w:r>
        <w:rPr>
          <w:rFonts w:ascii="Arial" w:cs="Arial" w:eastAsia="Arial" w:hAnsi="Arial"/>
          <w:sz w:val="15"/>
          <w:szCs w:val="15"/>
          <w:color w:val="FF0000"/>
          <w:strike w:val="1"/>
        </w:rPr>
        <w:t>désignera</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pourra désigner</w:t>
      </w:r>
      <w:r>
        <w:rPr>
          <w:rFonts w:ascii="Arial" w:cs="Arial" w:eastAsia="Arial" w:hAnsi="Arial"/>
          <w:sz w:val="15"/>
          <w:szCs w:val="15"/>
          <w:color w:val="FF0000"/>
        </w:rPr>
        <w:t xml:space="preserve"> </w:t>
      </w:r>
      <w:r>
        <w:rPr>
          <w:rFonts w:ascii="Arial" w:cs="Arial" w:eastAsia="Arial" w:hAnsi="Arial"/>
          <w:sz w:val="15"/>
          <w:szCs w:val="15"/>
          <w:i w:val="1"/>
          <w:iCs w:val="1"/>
          <w:color w:val="000000"/>
        </w:rPr>
        <w:t>un autre Administrateur</w:t>
      </w:r>
      <w:r>
        <w:rPr>
          <w:rFonts w:ascii="Arial" w:cs="Arial" w:eastAsia="Arial" w:hAnsi="Arial"/>
          <w:sz w:val="15"/>
          <w:szCs w:val="15"/>
          <w:color w:val="FF0000"/>
        </w:rPr>
        <w:t xml:space="preserve"> </w:t>
      </w:r>
      <w:r>
        <w:rPr>
          <w:rFonts w:ascii="Arial" w:cs="Arial" w:eastAsia="Arial" w:hAnsi="Arial"/>
          <w:sz w:val="15"/>
          <w:szCs w:val="15"/>
          <w:color w:val="FF0000"/>
          <w:strike w:val="1"/>
        </w:rPr>
        <w:t>comme président pro tempore à</w:t>
      </w:r>
      <w:r>
        <w:rPr>
          <w:rFonts w:ascii="Arial" w:cs="Arial" w:eastAsia="Arial" w:hAnsi="Arial"/>
          <w:sz w:val="15"/>
          <w:szCs w:val="15"/>
          <w:i w:val="1"/>
          <w:iCs w:val="1"/>
          <w:u w:val="single" w:color="auto"/>
          <w:color w:val="0000FF"/>
        </w:rPr>
        <w:t>pour présider</w:t>
      </w:r>
      <w:r>
        <w:rPr>
          <w:rFonts w:ascii="Arial" w:cs="Arial" w:eastAsia="Arial" w:hAnsi="Arial"/>
          <w:sz w:val="15"/>
          <w:szCs w:val="15"/>
          <w:color w:val="FF0000"/>
        </w:rPr>
        <w:t xml:space="preserve"> </w:t>
      </w:r>
      <w:r>
        <w:rPr>
          <w:rFonts w:ascii="Arial" w:cs="Arial" w:eastAsia="Arial" w:hAnsi="Arial"/>
          <w:sz w:val="15"/>
          <w:szCs w:val="15"/>
          <w:i w:val="1"/>
          <w:iCs w:val="1"/>
          <w:color w:val="000000"/>
        </w:rPr>
        <w:t>la</w:t>
      </w:r>
      <w:r>
        <w:rPr>
          <w:rFonts w:ascii="Arial" w:cs="Arial" w:eastAsia="Arial" w:hAnsi="Arial"/>
          <w:sz w:val="15"/>
          <w:szCs w:val="15"/>
          <w:color w:val="FF0000"/>
        </w:rPr>
        <w:t xml:space="preserve"> </w:t>
      </w:r>
      <w:r>
        <w:rPr>
          <w:rFonts w:ascii="Arial" w:cs="Arial" w:eastAsia="Arial" w:hAnsi="Arial"/>
          <w:sz w:val="15"/>
          <w:szCs w:val="15"/>
          <w:color w:val="FF0000"/>
          <w:strike w:val="1"/>
        </w:rPr>
        <w:t>majorité des personnes présentes ou</w:t>
      </w:r>
      <w:r>
        <w:rPr>
          <w:rFonts w:ascii="Arial" w:cs="Arial" w:eastAsia="Arial" w:hAnsi="Arial"/>
          <w:sz w:val="15"/>
          <w:szCs w:val="15"/>
          <w:color w:val="FF0000"/>
        </w:rPr>
        <w:t xml:space="preserve"> </w:t>
      </w:r>
      <w:r>
        <w:rPr>
          <w:rFonts w:ascii="Arial" w:cs="Arial" w:eastAsia="Arial" w:hAnsi="Arial"/>
          <w:sz w:val="15"/>
          <w:szCs w:val="15"/>
          <w:color w:val="FF0000"/>
          <w:strike w:val="1"/>
        </w:rPr>
        <w:t>représentées lors d’une telle</w:t>
      </w:r>
      <w:r>
        <w:rPr>
          <w:rFonts w:ascii="Arial" w:cs="Arial" w:eastAsia="Arial" w:hAnsi="Arial"/>
          <w:sz w:val="15"/>
          <w:szCs w:val="15"/>
          <w:color w:val="FF0000"/>
        </w:rPr>
        <w:t xml:space="preserve"> </w:t>
      </w:r>
      <w:r>
        <w:rPr>
          <w:rFonts w:ascii="Arial" w:cs="Arial" w:eastAsia="Arial" w:hAnsi="Arial"/>
          <w:sz w:val="15"/>
          <w:szCs w:val="15"/>
          <w:i w:val="1"/>
          <w:iCs w:val="1"/>
          <w:color w:val="000000"/>
        </w:rPr>
        <w:t>réunion.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-418465</wp:posOffset>
            </wp:positionV>
            <wp:extent cx="92202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22020" cy="6985"/>
                    </a:xfrm>
                    <a:prstGeom prst="rect">
                      <a:avLst/>
                    </a:prstGeom>
                    <a:noFill/>
                  </pic:spPr>
                </pic:pic>
              </a:graphicData>
            </a:graphic>
          </wp:anchor>
        </w:drawing>
      </w:r>
    </w:p>
    <w:p>
      <w:pPr>
        <w:spacing w:after="0" w:line="74" w:lineRule="exact"/>
        <w:rPr>
          <w:sz w:val="20"/>
          <w:szCs w:val="20"/>
          <w:color w:val="auto"/>
        </w:rPr>
      </w:pPr>
    </w:p>
    <w:p>
      <w:pPr>
        <w:ind w:left="1080" w:right="1179"/>
        <w:spacing w:after="0" w:line="261" w:lineRule="auto"/>
        <w:rPr>
          <w:sz w:val="20"/>
          <w:szCs w:val="20"/>
          <w:color w:val="auto"/>
        </w:rPr>
      </w:pPr>
      <w:r>
        <w:rPr>
          <w:rFonts w:ascii="Arial" w:cs="Arial" w:eastAsia="Arial" w:hAnsi="Arial"/>
          <w:sz w:val="15"/>
          <w:szCs w:val="15"/>
          <w:i w:val="1"/>
          <w:iCs w:val="1"/>
          <w:color w:val="auto"/>
        </w:rPr>
        <w:t>Sauf en cas d’urgence ou avec l’accord préalable de toutes les personnes autorisées à participer, une convocation écrite de toute réunion du Conseil d’administration sera donnée avec un préavis d’au moins vingt-quatre (24) heures. La convocation indiquera le lieu, la date et l’heure de la réunion, ainsi que l’ordre du jour et la nature des questions à traiter.</w:t>
      </w:r>
    </w:p>
    <w:p>
      <w:pPr>
        <w:spacing w:after="0" w:line="95" w:lineRule="exact"/>
        <w:rPr>
          <w:sz w:val="20"/>
          <w:szCs w:val="20"/>
          <w:color w:val="auto"/>
        </w:rPr>
      </w:pPr>
    </w:p>
    <w:p>
      <w:pPr>
        <w:jc w:val="both"/>
        <w:ind w:left="1080" w:right="1259"/>
        <w:spacing w:after="0" w:line="267" w:lineRule="auto"/>
        <w:rPr>
          <w:sz w:val="20"/>
          <w:szCs w:val="20"/>
          <w:color w:val="auto"/>
        </w:rPr>
      </w:pPr>
      <w:r>
        <w:rPr>
          <w:rFonts w:ascii="Arial" w:cs="Arial" w:eastAsia="Arial" w:hAnsi="Arial"/>
          <w:sz w:val="15"/>
          <w:szCs w:val="15"/>
          <w:i w:val="1"/>
          <w:iCs w:val="1"/>
          <w:color w:val="auto"/>
        </w:rPr>
        <w:t>Il pourra être passé outre cette convocation avec l’accord écrit unanime de tous les Administrateurs. Une convocation spéciale ne sera pas requise pour les réunions se tenant à une date et à un endroit déterminés dans un calendrier préalablement adopté par le Conseil d’Administration.</w:t>
      </w:r>
    </w:p>
    <w:p>
      <w:pPr>
        <w:spacing w:after="0" w:line="78" w:lineRule="exact"/>
        <w:rPr>
          <w:sz w:val="20"/>
          <w:szCs w:val="20"/>
          <w:color w:val="auto"/>
        </w:rPr>
      </w:pPr>
    </w:p>
    <w:p>
      <w:pPr>
        <w:ind w:left="1080" w:right="1539"/>
        <w:spacing w:after="0" w:line="283" w:lineRule="auto"/>
        <w:rPr>
          <w:sz w:val="20"/>
          <w:szCs w:val="20"/>
          <w:color w:val="auto"/>
        </w:rPr>
      </w:pPr>
      <w:r>
        <w:rPr>
          <w:rFonts w:ascii="Arial" w:cs="Arial" w:eastAsia="Arial" w:hAnsi="Arial"/>
          <w:sz w:val="15"/>
          <w:szCs w:val="15"/>
          <w:i w:val="1"/>
          <w:iCs w:val="1"/>
          <w:color w:val="auto"/>
        </w:rPr>
        <w:t>Les réunions du Conseil d’administration se tiendront à l’endroit indiqué dans la convocation à la réunion.</w:t>
      </w:r>
    </w:p>
    <w:p>
      <w:pPr>
        <w:spacing w:after="0" w:line="78" w:lineRule="exact"/>
        <w:rPr>
          <w:sz w:val="20"/>
          <w:szCs w:val="20"/>
          <w:color w:val="auto"/>
        </w:rPr>
      </w:pPr>
    </w:p>
    <w:p>
      <w:pPr>
        <w:ind w:left="1080" w:right="1159"/>
        <w:spacing w:after="0" w:line="283" w:lineRule="auto"/>
        <w:rPr>
          <w:sz w:val="20"/>
          <w:szCs w:val="20"/>
          <w:color w:val="auto"/>
        </w:rPr>
      </w:pPr>
      <w:r>
        <w:rPr>
          <w:rFonts w:ascii="Arial" w:cs="Arial" w:eastAsia="Arial" w:hAnsi="Arial"/>
          <w:sz w:val="15"/>
          <w:szCs w:val="15"/>
          <w:i w:val="1"/>
          <w:iCs w:val="1"/>
          <w:color w:val="auto"/>
        </w:rPr>
        <w:t>Tout Administrateur pourra se faire représenter aux réunions du Conseil d’Administration en désignant par écrit un autre Administrateur comme son mandataire.</w:t>
      </w:r>
    </w:p>
    <w:p>
      <w:pPr>
        <w:spacing w:after="0" w:line="78" w:lineRule="exact"/>
        <w:rPr>
          <w:sz w:val="20"/>
          <w:szCs w:val="20"/>
          <w:color w:val="auto"/>
        </w:rPr>
      </w:pPr>
    </w:p>
    <w:p>
      <w:pPr>
        <w:ind w:left="1080" w:right="1099"/>
        <w:spacing w:after="0" w:line="259" w:lineRule="auto"/>
        <w:rPr>
          <w:sz w:val="20"/>
          <w:szCs w:val="20"/>
          <w:color w:val="auto"/>
        </w:rPr>
      </w:pPr>
      <w:r>
        <w:rPr>
          <w:rFonts w:ascii="Arial" w:cs="Arial" w:eastAsia="Arial" w:hAnsi="Arial"/>
          <w:sz w:val="15"/>
          <w:szCs w:val="15"/>
          <w:i w:val="1"/>
          <w:iCs w:val="1"/>
          <w:color w:val="auto"/>
        </w:rPr>
        <w:t>Le quorum du Conseil d’Administration ou de l’un de ses Comités (tel que défini à l’article 16) correspond à la présence ou la représentation d’au moins cinquante pour cent (50%) des Administrateurs ou des membres du Comité, le cas échéant, en fonction (étant entendu que la présence ou la représentation d’au moins deux (2) membres du Conseil d’administration ou du Comité, le cas échéant, est requise).</w:t>
      </w:r>
    </w:p>
    <w:p>
      <w:pPr>
        <w:spacing w:after="0" w:line="83" w:lineRule="exact"/>
        <w:rPr>
          <w:sz w:val="20"/>
          <w:szCs w:val="20"/>
          <w:color w:val="auto"/>
        </w:rPr>
      </w:pPr>
    </w:p>
    <w:p>
      <w:pPr>
        <w:ind w:left="1080" w:right="1299"/>
        <w:spacing w:after="0" w:line="267" w:lineRule="auto"/>
        <w:rPr>
          <w:sz w:val="20"/>
          <w:szCs w:val="20"/>
          <w:color w:val="auto"/>
        </w:rPr>
      </w:pPr>
      <w:r>
        <w:rPr>
          <w:rFonts w:ascii="Arial" w:cs="Arial" w:eastAsia="Arial" w:hAnsi="Arial"/>
          <w:sz w:val="15"/>
          <w:szCs w:val="15"/>
          <w:i w:val="1"/>
          <w:iCs w:val="1"/>
          <w:color w:val="auto"/>
        </w:rPr>
        <w:t xml:space="preserve">Les décisions sont prises à la majorité des votes des Administrateurs présents ou représentés à la réunion. En cas d’égalité des voix, le </w:t>
      </w:r>
      <w:r>
        <w:rPr>
          <w:rFonts w:ascii="Arial" w:cs="Arial" w:eastAsia="Arial" w:hAnsi="Arial"/>
          <w:sz w:val="15"/>
          <w:szCs w:val="15"/>
          <w:color w:val="FF0000"/>
          <w:strike w:val="1"/>
        </w:rPr>
        <w:t>vote du Président sera prépondérant.</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Président, ou, le cas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échéant, le président pro tempore, aura voix prépondérante.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7" w:name="page78"/>
    <w:bookmarkEnd w:id="7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1219"/>
        <w:spacing w:after="0" w:line="259" w:lineRule="auto"/>
        <w:rPr>
          <w:sz w:val="20"/>
          <w:szCs w:val="20"/>
          <w:color w:val="auto"/>
        </w:rPr>
      </w:pPr>
      <w:r>
        <w:rPr>
          <w:rFonts w:ascii="Arial" w:cs="Arial" w:eastAsia="Arial" w:hAnsi="Arial"/>
          <w:sz w:val="15"/>
          <w:szCs w:val="15"/>
          <w:i w:val="1"/>
          <w:iCs w:val="1"/>
          <w:color w:val="auto"/>
        </w:rPr>
        <w:t>Un ou plusieurs Administrateurs peuvent participer à une réunion par conférence téléphonique, vidéoconférence ou tout moyen de télécommunication similaire permettant à plusieurs personnes y participant de communiquer simultanément l’une avec l’autre. De telles participations doivent être considérées comme équivalentes à une présence physique à une réunion tenue au siège social de la Société.</w:t>
      </w:r>
    </w:p>
    <w:p>
      <w:pPr>
        <w:spacing w:after="0" w:line="93" w:lineRule="exact"/>
        <w:rPr>
          <w:sz w:val="20"/>
          <w:szCs w:val="20"/>
          <w:color w:val="auto"/>
        </w:rPr>
      </w:pPr>
    </w:p>
    <w:p>
      <w:pPr>
        <w:ind w:left="1080" w:right="1139"/>
        <w:spacing w:after="0" w:line="256" w:lineRule="auto"/>
        <w:rPr>
          <w:sz w:val="20"/>
          <w:szCs w:val="20"/>
          <w:color w:val="auto"/>
        </w:rPr>
      </w:pPr>
      <w:r>
        <w:rPr>
          <w:rFonts w:ascii="Arial" w:cs="Arial" w:eastAsia="Arial" w:hAnsi="Arial"/>
          <w:sz w:val="15"/>
          <w:szCs w:val="15"/>
          <w:color w:val="FF0000"/>
          <w:strike w:val="1"/>
        </w:rPr>
        <w:t>Dans les cas requis par l’urgence, une</w:t>
      </w:r>
      <w:r>
        <w:rPr>
          <w:rFonts w:ascii="Arial" w:cs="Arial" w:eastAsia="Arial" w:hAnsi="Arial"/>
          <w:sz w:val="15"/>
          <w:szCs w:val="15"/>
          <w:i w:val="1"/>
          <w:iCs w:val="1"/>
          <w:u w:val="single" w:color="auto"/>
          <w:color w:val="0000FF"/>
        </w:rPr>
        <w:t>Une</w:t>
      </w:r>
      <w:r>
        <w:rPr>
          <w:rFonts w:ascii="Arial" w:cs="Arial" w:eastAsia="Arial" w:hAnsi="Arial"/>
          <w:sz w:val="15"/>
          <w:szCs w:val="15"/>
          <w:color w:val="FF0000"/>
        </w:rPr>
        <w:t xml:space="preserve"> </w:t>
      </w:r>
      <w:r>
        <w:rPr>
          <w:rFonts w:ascii="Arial" w:cs="Arial" w:eastAsia="Arial" w:hAnsi="Arial"/>
          <w:sz w:val="15"/>
          <w:szCs w:val="15"/>
          <w:i w:val="1"/>
          <w:iCs w:val="1"/>
          <w:color w:val="000000"/>
        </w:rPr>
        <w:t>décision écrite</w:t>
      </w:r>
      <w:r>
        <w:rPr>
          <w:rFonts w:ascii="Arial" w:cs="Arial" w:eastAsia="Arial" w:hAnsi="Arial"/>
          <w:sz w:val="15"/>
          <w:szCs w:val="15"/>
          <w:color w:val="FF0000"/>
        </w:rPr>
        <w:t xml:space="preserve"> </w:t>
      </w:r>
      <w:r>
        <w:rPr>
          <w:rFonts w:ascii="Arial" w:cs="Arial" w:eastAsia="Arial" w:hAnsi="Arial"/>
          <w:sz w:val="15"/>
          <w:szCs w:val="15"/>
          <w:color w:val="FF0000"/>
          <w:strike w:val="1"/>
        </w:rPr>
        <w:t>prise par voie circulaire et exprimée</w:t>
      </w:r>
      <w:r>
        <w:rPr>
          <w:rFonts w:ascii="Arial" w:cs="Arial" w:eastAsia="Arial" w:hAnsi="Arial"/>
          <w:sz w:val="15"/>
          <w:szCs w:val="15"/>
          <w:color w:val="FF0000"/>
        </w:rPr>
        <w:t xml:space="preserve"> </w:t>
      </w:r>
      <w:r>
        <w:rPr>
          <w:rFonts w:ascii="Arial" w:cs="Arial" w:eastAsia="Arial" w:hAnsi="Arial"/>
          <w:sz w:val="15"/>
          <w:szCs w:val="15"/>
          <w:color w:val="FF0000"/>
          <w:strike w:val="1"/>
        </w:rPr>
        <w:t>par câble, télécopie ou tout autre moyen de communication similaire</w:t>
      </w:r>
      <w:r>
        <w:rPr>
          <w:rFonts w:ascii="Arial" w:cs="Arial" w:eastAsia="Arial" w:hAnsi="Arial"/>
          <w:sz w:val="15"/>
          <w:szCs w:val="15"/>
          <w:i w:val="1"/>
          <w:iCs w:val="1"/>
          <w:color w:val="000000"/>
        </w:rPr>
        <w:t>, signée par tous les</w:t>
      </w:r>
      <w:r>
        <w:rPr>
          <w:rFonts w:ascii="Arial" w:cs="Arial" w:eastAsia="Arial" w:hAnsi="Arial"/>
          <w:sz w:val="15"/>
          <w:szCs w:val="15"/>
          <w:color w:val="FF0000"/>
        </w:rPr>
        <w:t xml:space="preserve"> </w:t>
      </w:r>
      <w:r>
        <w:rPr>
          <w:rFonts w:ascii="Arial" w:cs="Arial" w:eastAsia="Arial" w:hAnsi="Arial"/>
          <w:sz w:val="15"/>
          <w:szCs w:val="15"/>
          <w:color w:val="FF0000"/>
          <w:strike w:val="1"/>
        </w:rPr>
        <w:t>administrateurs</w:t>
      </w:r>
      <w:r>
        <w:rPr>
          <w:rFonts w:ascii="Arial" w:cs="Arial" w:eastAsia="Arial" w:hAnsi="Arial"/>
          <w:sz w:val="15"/>
          <w:szCs w:val="15"/>
          <w:i w:val="1"/>
          <w:iCs w:val="1"/>
          <w:u w:val="single" w:color="auto"/>
          <w:color w:val="0000FF"/>
        </w:rPr>
        <w:t>Administrateurs</w:t>
      </w:r>
      <w:r>
        <w:rPr>
          <w:rFonts w:ascii="Arial" w:cs="Arial" w:eastAsia="Arial" w:hAnsi="Arial"/>
          <w:sz w:val="15"/>
          <w:szCs w:val="15"/>
          <w:i w:val="1"/>
          <w:iCs w:val="1"/>
          <w:color w:val="000000"/>
        </w:rPr>
        <w:t>, est correcte et valable comme si elle avait été adoptée lors d’une</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réunion du </w:t>
      </w:r>
      <w:r>
        <w:rPr>
          <w:rFonts w:ascii="Arial" w:cs="Arial" w:eastAsia="Arial" w:hAnsi="Arial"/>
          <w:sz w:val="15"/>
          <w:szCs w:val="15"/>
          <w:color w:val="FF0000"/>
          <w:strike w:val="1"/>
        </w:rPr>
        <w:t>conseil d’administration</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Conseil d’Administration</w:t>
      </w:r>
      <w:r>
        <w:rPr>
          <w:rFonts w:ascii="Arial" w:cs="Arial" w:eastAsia="Arial" w:hAnsi="Arial"/>
          <w:sz w:val="15"/>
          <w:szCs w:val="15"/>
          <w:i w:val="1"/>
          <w:iCs w:val="1"/>
          <w:color w:val="000000"/>
        </w:rPr>
        <w:t xml:space="preserve"> </w:t>
      </w:r>
      <w:r>
        <w:rPr>
          <w:rFonts w:ascii="Arial" w:cs="Arial" w:eastAsia="Arial" w:hAnsi="Arial"/>
          <w:sz w:val="15"/>
          <w:szCs w:val="15"/>
          <w:color w:val="000000"/>
        </w:rPr>
        <w:t>dûment convoquée et tenue. Une</w:t>
      </w:r>
      <w:r>
        <w:rPr>
          <w:rFonts w:ascii="Arial" w:cs="Arial" w:eastAsia="Arial" w:hAnsi="Arial"/>
          <w:sz w:val="15"/>
          <w:szCs w:val="15"/>
          <w:i w:val="1"/>
          <w:iCs w:val="1"/>
          <w:color w:val="000000"/>
        </w:rPr>
        <w:t xml:space="preserve"> </w:t>
      </w:r>
      <w:r>
        <w:rPr>
          <w:rFonts w:ascii="Arial" w:cs="Arial" w:eastAsia="Arial" w:hAnsi="Arial"/>
          <w:sz w:val="15"/>
          <w:szCs w:val="15"/>
          <w:color w:val="000000"/>
        </w:rPr>
        <w:t>telle décision peut être consignée dans un document unique</w:t>
      </w:r>
      <w:r>
        <w:rPr>
          <w:rFonts w:ascii="Arial" w:cs="Arial" w:eastAsia="Arial" w:hAnsi="Arial"/>
          <w:sz w:val="15"/>
          <w:szCs w:val="15"/>
          <w:i w:val="1"/>
          <w:iCs w:val="1"/>
          <w:u w:val="single" w:color="auto"/>
          <w:color w:val="0000FF"/>
        </w:rPr>
        <w:t>, signée par tous les</w:t>
      </w:r>
      <w:r>
        <w:rPr>
          <w:rFonts w:ascii="Arial" w:cs="Arial" w:eastAsia="Arial" w:hAnsi="Arial"/>
          <w:sz w:val="15"/>
          <w:szCs w:val="15"/>
          <w:color w:val="000000"/>
        </w:rPr>
        <w:t xml:space="preserve"> </w:t>
      </w:r>
      <w:r>
        <w:rPr>
          <w:rFonts w:ascii="Arial" w:cs="Arial" w:eastAsia="Arial" w:hAnsi="Arial"/>
          <w:sz w:val="15"/>
          <w:szCs w:val="15"/>
          <w:i w:val="1"/>
          <w:iCs w:val="1"/>
          <w:u w:val="single" w:color="auto"/>
          <w:color w:val="0000FF"/>
        </w:rPr>
        <w:t>Administrateurs,</w:t>
      </w:r>
      <w:r>
        <w:rPr>
          <w:rFonts w:ascii="Arial" w:cs="Arial" w:eastAsia="Arial" w:hAnsi="Arial"/>
          <w:sz w:val="15"/>
          <w:szCs w:val="15"/>
          <w:i w:val="1"/>
          <w:iCs w:val="1"/>
          <w:color w:val="0000FF"/>
        </w:rPr>
        <w:t xml:space="preserve"> </w:t>
      </w:r>
      <w:r>
        <w:rPr>
          <w:rFonts w:ascii="Arial" w:cs="Arial" w:eastAsia="Arial" w:hAnsi="Arial"/>
          <w:sz w:val="15"/>
          <w:szCs w:val="15"/>
          <w:color w:val="000000"/>
        </w:rPr>
        <w:t>ou dans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plusieurs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documents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distincts ayant le même contenu et</w:t>
      </w:r>
      <w:r>
        <w:rPr>
          <w:rFonts w:ascii="Arial" w:cs="Arial" w:eastAsia="Arial" w:hAnsi="Arial"/>
          <w:sz w:val="15"/>
          <w:szCs w:val="15"/>
          <w:i w:val="1"/>
          <w:iCs w:val="1"/>
          <w:u w:val="single" w:color="auto"/>
          <w:color w:val="0000FF"/>
        </w:rPr>
        <w:t>identiques</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séparés,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chacun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d’eux étant</w:t>
      </w:r>
      <w:r>
        <w:rPr>
          <w:rFonts w:ascii="Arial" w:cs="Arial" w:eastAsia="Arial" w:hAnsi="Arial"/>
          <w:sz w:val="15"/>
          <w:szCs w:val="15"/>
          <w:i w:val="1"/>
          <w:iCs w:val="1"/>
          <w:u w:val="single" w:color="auto"/>
          <w:color w:val="0000FF"/>
        </w:rPr>
        <w:t>d’eux</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signé par un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ou plusieurs Administrateurs.</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Administrateur.</w:t>
      </w:r>
    </w:p>
    <w:p>
      <w:pPr>
        <w:spacing w:after="0" w:line="100" w:lineRule="exact"/>
        <w:rPr>
          <w:sz w:val="20"/>
          <w:szCs w:val="20"/>
          <w:color w:val="auto"/>
        </w:rPr>
      </w:pPr>
    </w:p>
    <w:p>
      <w:pPr>
        <w:ind w:left="1080" w:right="1339"/>
        <w:spacing w:after="0" w:line="283" w:lineRule="auto"/>
        <w:rPr>
          <w:sz w:val="20"/>
          <w:szCs w:val="20"/>
          <w:color w:val="auto"/>
        </w:rPr>
      </w:pPr>
      <w:r>
        <w:rPr>
          <w:rFonts w:ascii="Arial" w:cs="Arial" w:eastAsia="Arial" w:hAnsi="Arial"/>
          <w:sz w:val="15"/>
          <w:szCs w:val="15"/>
          <w:i w:val="1"/>
          <w:iCs w:val="1"/>
          <w:color w:val="auto"/>
        </w:rPr>
        <w:t>Les Administrateurs assument, en vertu de leur mandat, aucune responsabilité personnelle pour un engagement valablement pris par eux au nom de la Société.</w:t>
      </w:r>
    </w:p>
    <w:p>
      <w:pPr>
        <w:spacing w:after="0" w:line="64" w:lineRule="exact"/>
        <w:rPr>
          <w:sz w:val="20"/>
          <w:szCs w:val="20"/>
          <w:color w:val="auto"/>
        </w:rPr>
      </w:pPr>
    </w:p>
    <w:p>
      <w:pPr>
        <w:ind w:left="1080" w:right="1359"/>
        <w:spacing w:after="0" w:line="262" w:lineRule="auto"/>
        <w:rPr>
          <w:sz w:val="20"/>
          <w:szCs w:val="20"/>
          <w:color w:val="auto"/>
        </w:rPr>
      </w:pPr>
      <w:r>
        <w:rPr>
          <w:rFonts w:ascii="Arial" w:cs="Arial" w:eastAsia="Arial" w:hAnsi="Arial"/>
          <w:sz w:val="15"/>
          <w:szCs w:val="15"/>
          <w:b w:val="1"/>
          <w:bCs w:val="1"/>
          <w:i w:val="1"/>
          <w:iCs w:val="1"/>
          <w:color w:val="auto"/>
        </w:rPr>
        <w:t xml:space="preserve">Art. 13. Procès-verbaux du Conseil d’Administration. </w:t>
      </w:r>
      <w:r>
        <w:rPr>
          <w:rFonts w:ascii="Arial" w:cs="Arial" w:eastAsia="Arial" w:hAnsi="Arial"/>
          <w:sz w:val="15"/>
          <w:szCs w:val="15"/>
          <w:i w:val="1"/>
          <w:iCs w:val="1"/>
          <w:color w:val="auto"/>
        </w:rPr>
        <w:t>Les procès-verbaux de la réunion du</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Conseil d’Administration doivent être signés par </w:t>
      </w:r>
      <w:r>
        <w:rPr>
          <w:rFonts w:ascii="Arial" w:cs="Arial" w:eastAsia="Arial" w:hAnsi="Arial"/>
          <w:sz w:val="15"/>
          <w:szCs w:val="15"/>
          <w:color w:val="FF0000"/>
          <w:strike w:val="1"/>
        </w:rPr>
        <w:t>tous les Administrateurs présents et capables</w:t>
      </w:r>
      <w:r>
        <w:rPr>
          <w:rFonts w:ascii="Arial" w:cs="Arial" w:eastAsia="Arial" w:hAnsi="Arial"/>
          <w:sz w:val="15"/>
          <w:szCs w:val="15"/>
          <w:i w:val="1"/>
          <w:iCs w:val="1"/>
          <w:color w:val="auto"/>
        </w:rPr>
        <w:t xml:space="preserve"> </w:t>
      </w:r>
      <w:r>
        <w:rPr>
          <w:rFonts w:ascii="Arial" w:cs="Arial" w:eastAsia="Arial" w:hAnsi="Arial"/>
          <w:sz w:val="15"/>
          <w:szCs w:val="15"/>
          <w:color w:val="FF0000"/>
          <w:strike w:val="1"/>
        </w:rPr>
        <w:t xml:space="preserve">d’exercer leur droit de vote. Toutes les procurations y seront annexées. </w:t>
      </w:r>
      <w:r>
        <w:rPr>
          <w:rFonts w:ascii="Arial" w:cs="Arial" w:eastAsia="Arial" w:hAnsi="Arial"/>
          <w:sz w:val="15"/>
          <w:szCs w:val="15"/>
          <w:i w:val="1"/>
          <w:iCs w:val="1"/>
          <w:u w:val="single" w:color="auto"/>
          <w:color w:val="0000FF"/>
          <w:strike w:val="1"/>
        </w:rPr>
        <w:t>le Président ou le</w:t>
      </w:r>
      <w:r>
        <w:rPr>
          <w:rFonts w:ascii="Arial" w:cs="Arial" w:eastAsia="Arial" w:hAnsi="Arial"/>
          <w:sz w:val="15"/>
          <w:szCs w:val="15"/>
          <w:color w:val="FF0000"/>
          <w:strike w:val="1"/>
        </w:rPr>
        <w:t xml:space="preserve"> </w:t>
      </w:r>
      <w:r>
        <w:rPr>
          <w:rFonts w:ascii="Arial" w:cs="Arial" w:eastAsia="Arial" w:hAnsi="Arial"/>
          <w:sz w:val="15"/>
          <w:szCs w:val="15"/>
          <w:i w:val="1"/>
          <w:iCs w:val="1"/>
          <w:u w:val="single" w:color="auto"/>
          <w:color w:val="0000FF"/>
          <w:strike w:val="1"/>
        </w:rPr>
        <w:t>Secrétaire.</w:t>
      </w:r>
    </w:p>
    <w:p>
      <w:pPr>
        <w:spacing w:after="0" w:line="94" w:lineRule="exact"/>
        <w:rPr>
          <w:sz w:val="20"/>
          <w:szCs w:val="20"/>
          <w:color w:val="auto"/>
        </w:rPr>
      </w:pPr>
    </w:p>
    <w:p>
      <w:pPr>
        <w:ind w:left="1080" w:right="2159"/>
        <w:spacing w:after="0" w:line="283" w:lineRule="auto"/>
        <w:rPr>
          <w:sz w:val="20"/>
          <w:szCs w:val="20"/>
          <w:color w:val="auto"/>
        </w:rPr>
      </w:pPr>
      <w:r>
        <w:rPr>
          <w:rFonts w:ascii="Arial" w:cs="Arial" w:eastAsia="Arial" w:hAnsi="Arial"/>
          <w:sz w:val="15"/>
          <w:szCs w:val="15"/>
          <w:i w:val="1"/>
          <w:iCs w:val="1"/>
          <w:color w:val="auto"/>
        </w:rPr>
        <w:t>Les copies ou les extraits de ceux-ci doivent être certifiées par le Secrétaire du Conseil d’Administration.</w:t>
      </w:r>
    </w:p>
    <w:p>
      <w:pPr>
        <w:spacing w:after="0" w:line="76" w:lineRule="exact"/>
        <w:rPr>
          <w:sz w:val="20"/>
          <w:szCs w:val="20"/>
          <w:color w:val="auto"/>
        </w:rPr>
      </w:pPr>
    </w:p>
    <w:p>
      <w:pPr>
        <w:ind w:left="1080" w:right="1099"/>
        <w:spacing w:after="0" w:line="257" w:lineRule="auto"/>
        <w:rPr>
          <w:sz w:val="20"/>
          <w:szCs w:val="20"/>
          <w:color w:val="auto"/>
        </w:rPr>
      </w:pPr>
      <w:r>
        <w:rPr>
          <w:rFonts w:ascii="Arial" w:cs="Arial" w:eastAsia="Arial" w:hAnsi="Arial"/>
          <w:sz w:val="15"/>
          <w:szCs w:val="15"/>
          <w:b w:val="1"/>
          <w:bCs w:val="1"/>
          <w:i w:val="1"/>
          <w:iCs w:val="1"/>
          <w:color w:val="auto"/>
        </w:rPr>
        <w:t xml:space="preserve">Art. 14. Pouvoirs Généraux des Administrateurs. </w:t>
      </w:r>
      <w:r>
        <w:rPr>
          <w:rFonts w:ascii="Arial" w:cs="Arial" w:eastAsia="Arial" w:hAnsi="Arial"/>
          <w:sz w:val="15"/>
          <w:szCs w:val="15"/>
          <w:i w:val="1"/>
          <w:iCs w:val="1"/>
          <w:color w:val="auto"/>
        </w:rPr>
        <w:t>Le Conseil d’Administration est investi des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pouvoirs les plus étendus pour agir au nom et pour le compte de la Société et pour accomplir et autoriser tous les actes d’administration ou de disposition qui sont nécessaires ou utiles pour la réalisation de l’objet social de la Société. Tous les pouvoirs qui ne sont pas expressément réservés par la Loi ou par les présents Statuts à l’assemblée générale des actionnaires sont de la compétence du Conseil d’Administration.</w:t>
      </w:r>
    </w:p>
    <w:p>
      <w:pPr>
        <w:spacing w:after="0" w:line="88" w:lineRule="exact"/>
        <w:rPr>
          <w:sz w:val="20"/>
          <w:szCs w:val="20"/>
          <w:color w:val="auto"/>
        </w:rPr>
      </w:pPr>
    </w:p>
    <w:p>
      <w:pPr>
        <w:ind w:left="1080" w:right="1119"/>
        <w:spacing w:after="0" w:line="261" w:lineRule="auto"/>
        <w:rPr>
          <w:sz w:val="20"/>
          <w:szCs w:val="20"/>
          <w:color w:val="auto"/>
        </w:rPr>
      </w:pPr>
      <w:r>
        <w:rPr>
          <w:rFonts w:ascii="Arial" w:cs="Arial" w:eastAsia="Arial" w:hAnsi="Arial"/>
          <w:sz w:val="15"/>
          <w:szCs w:val="15"/>
          <w:i w:val="1"/>
          <w:iCs w:val="1"/>
          <w:color w:val="auto"/>
        </w:rPr>
        <w:t>Le Conseil d’Administration, peut librement décider de rembourser tout compte de prime d’émission ou les réserves disponibles ou les fonds disponibles sur le compte d’apport en capital (compte 115 “Apport en capitaux propres non rémunéré par des titres”) de la Société à ses actionnaires, conformément aux dispositions de la Loi.</w:t>
      </w:r>
    </w:p>
    <w:p>
      <w:pPr>
        <w:spacing w:after="0" w:line="93" w:lineRule="exact"/>
        <w:rPr>
          <w:sz w:val="20"/>
          <w:szCs w:val="20"/>
          <w:color w:val="auto"/>
        </w:rPr>
      </w:pPr>
    </w:p>
    <w:p>
      <w:pPr>
        <w:ind w:left="1080" w:right="1139"/>
        <w:spacing w:after="0" w:line="262" w:lineRule="auto"/>
        <w:rPr>
          <w:sz w:val="20"/>
          <w:szCs w:val="20"/>
          <w:color w:val="auto"/>
        </w:rPr>
      </w:pPr>
      <w:r>
        <w:rPr>
          <w:rFonts w:ascii="Arial" w:cs="Arial" w:eastAsia="Arial" w:hAnsi="Arial"/>
          <w:sz w:val="15"/>
          <w:szCs w:val="15"/>
          <w:b w:val="1"/>
          <w:bCs w:val="1"/>
          <w:i w:val="1"/>
          <w:iCs w:val="1"/>
          <w:color w:val="auto"/>
        </w:rPr>
        <w:t xml:space="preserve">Art. 15. Confidentialité. </w:t>
      </w:r>
      <w:r>
        <w:rPr>
          <w:rFonts w:ascii="Arial" w:cs="Arial" w:eastAsia="Arial" w:hAnsi="Arial"/>
          <w:sz w:val="15"/>
          <w:szCs w:val="15"/>
          <w:i w:val="1"/>
          <w:iCs w:val="1"/>
          <w:color w:val="auto"/>
        </w:rPr>
        <w:t>Après le terme de leur mandat, le(s) Administrateur(s) resteront tenus de ne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pas révéler les informations relatives à la Société qui pourraient contrevenir aux intérêts de cette dernière, sauf si la révélation de ces informations est requise par la loi ou l’intérêt public, conformément à et sous réserve des dispositions de l’Article 444-6 de la Loi.</w:t>
      </w:r>
    </w:p>
    <w:p>
      <w:pPr>
        <w:spacing w:after="0" w:line="92" w:lineRule="exact"/>
        <w:rPr>
          <w:sz w:val="20"/>
          <w:szCs w:val="20"/>
          <w:color w:val="auto"/>
        </w:rPr>
      </w:pPr>
    </w:p>
    <w:p>
      <w:pPr>
        <w:ind w:left="1080" w:right="1379"/>
        <w:spacing w:after="0" w:line="262" w:lineRule="auto"/>
        <w:rPr>
          <w:sz w:val="20"/>
          <w:szCs w:val="20"/>
          <w:color w:val="auto"/>
        </w:rPr>
      </w:pPr>
      <w:r>
        <w:rPr>
          <w:rFonts w:ascii="Arial" w:cs="Arial" w:eastAsia="Arial" w:hAnsi="Arial"/>
          <w:sz w:val="15"/>
          <w:szCs w:val="15"/>
          <w:b w:val="1"/>
          <w:bCs w:val="1"/>
          <w:i w:val="1"/>
          <w:iCs w:val="1"/>
          <w:color w:val="auto"/>
        </w:rPr>
        <w:t xml:space="preserve">Art.16. Comités, Délégation de Pouvoir. </w:t>
      </w:r>
      <w:r>
        <w:rPr>
          <w:rFonts w:ascii="Arial" w:cs="Arial" w:eastAsia="Arial" w:hAnsi="Arial"/>
          <w:sz w:val="15"/>
          <w:szCs w:val="15"/>
          <w:i w:val="1"/>
          <w:iCs w:val="1"/>
          <w:color w:val="auto"/>
        </w:rPr>
        <w:t>Le Conseil d’Administration peut nommer des comités,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incluant sans s’y limiter, un Comité Exécutif, un Comité d’Audit, un Comité de Nomination et de Gouvernance et un Comité de Compensation (un “</w:t>
      </w:r>
      <w:r>
        <w:rPr>
          <w:rFonts w:ascii="Arial" w:cs="Arial" w:eastAsia="Arial" w:hAnsi="Arial"/>
          <w:sz w:val="15"/>
          <w:szCs w:val="15"/>
          <w:b w:val="1"/>
          <w:bCs w:val="1"/>
          <w:i w:val="1"/>
          <w:iCs w:val="1"/>
          <w:color w:val="auto"/>
        </w:rPr>
        <w:t>Comité</w:t>
      </w:r>
      <w:r>
        <w:rPr>
          <w:rFonts w:ascii="Arial" w:cs="Arial" w:eastAsia="Arial" w:hAnsi="Arial"/>
          <w:sz w:val="15"/>
          <w:szCs w:val="15"/>
          <w:i w:val="1"/>
          <w:iCs w:val="1"/>
          <w:color w:val="auto"/>
        </w:rPr>
        <w:t>” et collectivement des “</w:t>
      </w:r>
      <w:r>
        <w:rPr>
          <w:rFonts w:ascii="Arial" w:cs="Arial" w:eastAsia="Arial" w:hAnsi="Arial"/>
          <w:sz w:val="15"/>
          <w:szCs w:val="15"/>
          <w:b w:val="1"/>
          <w:bCs w:val="1"/>
          <w:i w:val="1"/>
          <w:iCs w:val="1"/>
          <w:color w:val="auto"/>
        </w:rPr>
        <w:t>Comités</w:t>
      </w:r>
      <w:r>
        <w:rPr>
          <w:rFonts w:ascii="Arial" w:cs="Arial" w:eastAsia="Arial" w:hAnsi="Arial"/>
          <w:sz w:val="15"/>
          <w:szCs w:val="15"/>
          <w:i w:val="1"/>
          <w:iCs w:val="1"/>
          <w:color w:val="auto"/>
        </w:rPr>
        <w:t>”). Le Conseil d’Administration déterminera la composition et l’objet de chacun de ces Comités.</w:t>
      </w:r>
    </w:p>
    <w:p>
      <w:pPr>
        <w:spacing w:after="0" w:line="83" w:lineRule="exact"/>
        <w:rPr>
          <w:sz w:val="20"/>
          <w:szCs w:val="20"/>
          <w:color w:val="auto"/>
        </w:rPr>
      </w:pPr>
    </w:p>
    <w:p>
      <w:pPr>
        <w:ind w:left="1080" w:right="1219"/>
        <w:spacing w:after="0" w:line="259" w:lineRule="auto"/>
        <w:rPr>
          <w:sz w:val="20"/>
          <w:szCs w:val="20"/>
          <w:color w:val="auto"/>
        </w:rPr>
      </w:pPr>
      <w:r>
        <w:rPr>
          <w:rFonts w:ascii="Arial" w:cs="Arial" w:eastAsia="Arial" w:hAnsi="Arial"/>
          <w:sz w:val="15"/>
          <w:szCs w:val="15"/>
          <w:i w:val="1"/>
          <w:iCs w:val="1"/>
          <w:color w:val="auto"/>
        </w:rPr>
        <w:t>Le Conseil d’Administration peut déléguer ses pouvoirs relatifs à la conduite de la gestion et des affaires journalières de la Société à un ou plusieurs membres du Conseil d’Administration, gérants ou autre dirigeant qui n’ont pas besoin d’être actionnaire de la Société Actionnaire de la Société, y compris sous la forme d’un Comité Exécutif, selon les termes et les pouvoirs que le Conseil d’Administration déterminera.</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Le Conseil d’Administration pourra également déléguer ses pouvoirs de direction à un comité de</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direction ou à un directeur général, conformément aux et sous réserves des dispositions de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l’Article 441-11 de la Loi. Le Conseil d’Administration sera autorisé à déterminer les conditions de leur</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nomination, révocation, rémunérations (le cas échéant), durée de mandat et procédure décisionnelle.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Le Conseil d’Administration supervisera le comité de direction et le directeur général, le cas échéant.</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Les membres du comité de direction et le directeur général, le cas échéant, devront se conformer à la</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procédure de conflits d’intérêts prévue à l’Article 441-12 de la Loi, ainsi qu’aux obligations de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confidentialité prévues à l’Article 444-6 de la Loi.</w:t>
      </w:r>
    </w:p>
    <w:p>
      <w:pPr>
        <w:spacing w:after="0" w:line="120" w:lineRule="exact"/>
        <w:rPr>
          <w:sz w:val="20"/>
          <w:szCs w:val="20"/>
          <w:color w:val="auto"/>
        </w:rPr>
      </w:pPr>
    </w:p>
    <w:p>
      <w:pPr>
        <w:ind w:left="1080" w:right="1219"/>
        <w:spacing w:after="0" w:line="261" w:lineRule="auto"/>
        <w:rPr>
          <w:sz w:val="20"/>
          <w:szCs w:val="20"/>
          <w:color w:val="auto"/>
        </w:rPr>
      </w:pPr>
      <w:r>
        <w:rPr>
          <w:rFonts w:ascii="Arial" w:cs="Arial" w:eastAsia="Arial" w:hAnsi="Arial"/>
          <w:sz w:val="15"/>
          <w:szCs w:val="15"/>
          <w:i w:val="1"/>
          <w:iCs w:val="1"/>
          <w:color w:val="auto"/>
        </w:rPr>
        <w:t>Le Conseil d’Administration peut aussi conférer certains pouvoirs et/ou mandats spéciaux à un ou plusieurs membres du Conseil d’Administration ou à toute autre personne, qui n’a pas besoin d’être Administrateur ou actionnaire de la Société, agissant seul ou conjointement, selon les termes et avec les pouvoirs tels que déterminés par le Conseil d’Administration.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8" w:name="page79"/>
    <w:bookmarkEnd w:id="78"/>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1339"/>
        <w:spacing w:after="0" w:line="261" w:lineRule="auto"/>
        <w:rPr>
          <w:sz w:val="20"/>
          <w:szCs w:val="20"/>
          <w:color w:val="auto"/>
        </w:rPr>
      </w:pPr>
      <w:r>
        <w:rPr>
          <w:rFonts w:ascii="Arial" w:cs="Arial" w:eastAsia="Arial" w:hAnsi="Arial"/>
          <w:sz w:val="15"/>
          <w:szCs w:val="15"/>
          <w:i w:val="1"/>
          <w:iCs w:val="1"/>
          <w:color w:val="auto"/>
        </w:rPr>
        <w:t>Lorsque le Conseil d’Administration délègue son pouvoir pour assurer la gestion journalière comme l’autorise les présents Statuts, alors le Conseil d’Administration doit reporter chaque année à l’assemblée générale annuelle des actionnaires le salaire, les honoraires, et tout avantage accordé au/aux délégué(s).</w:t>
      </w:r>
    </w:p>
    <w:p>
      <w:pPr>
        <w:spacing w:after="0" w:line="93" w:lineRule="exact"/>
        <w:rPr>
          <w:sz w:val="20"/>
          <w:szCs w:val="20"/>
          <w:color w:val="auto"/>
        </w:rPr>
      </w:pPr>
    </w:p>
    <w:p>
      <w:pPr>
        <w:ind w:left="1080"/>
        <w:spacing w:after="0"/>
        <w:tabs>
          <w:tab w:leader="none" w:pos="3820" w:val="left"/>
        </w:tabs>
        <w:rPr>
          <w:sz w:val="20"/>
          <w:szCs w:val="20"/>
          <w:color w:val="auto"/>
        </w:rPr>
      </w:pPr>
      <w:r>
        <w:rPr>
          <w:rFonts w:ascii="Arial" w:cs="Arial" w:eastAsia="Arial" w:hAnsi="Arial"/>
          <w:sz w:val="15"/>
          <w:szCs w:val="15"/>
          <w:b w:val="1"/>
          <w:bCs w:val="1"/>
          <w:i w:val="1"/>
          <w:iCs w:val="1"/>
          <w:color w:val="auto"/>
        </w:rPr>
        <w:t>Art. 17. Représentation de la Société.</w:t>
      </w:r>
      <w:r>
        <w:rPr>
          <w:sz w:val="20"/>
          <w:szCs w:val="20"/>
          <w:color w:val="auto"/>
        </w:rPr>
        <w:tab/>
      </w:r>
      <w:r>
        <w:rPr>
          <w:rFonts w:ascii="Arial" w:cs="Arial" w:eastAsia="Arial" w:hAnsi="Arial"/>
          <w:sz w:val="15"/>
          <w:szCs w:val="15"/>
          <w:i w:val="1"/>
          <w:iCs w:val="1"/>
          <w:color w:val="auto"/>
        </w:rPr>
        <w:t>La Société sera engagée à l’égard des tiers par:</w:t>
      </w:r>
    </w:p>
    <w:p>
      <w:pPr>
        <w:spacing w:after="0" w:line="145" w:lineRule="exact"/>
        <w:rPr>
          <w:sz w:val="20"/>
          <w:szCs w:val="20"/>
          <w:color w:val="auto"/>
        </w:rPr>
      </w:pPr>
    </w:p>
    <w:p>
      <w:pPr>
        <w:ind w:left="1380" w:hanging="301"/>
        <w:spacing w:after="0"/>
        <w:tabs>
          <w:tab w:leader="none" w:pos="1380" w:val="left"/>
        </w:tabs>
        <w:numPr>
          <w:ilvl w:val="0"/>
          <w:numId w:val="64"/>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conjointe de deux administrateurs;</w:t>
      </w:r>
    </w:p>
    <w:p>
      <w:pPr>
        <w:spacing w:after="0" w:line="131" w:lineRule="exact"/>
        <w:rPr>
          <w:rFonts w:ascii="Arial" w:cs="Arial" w:eastAsia="Arial" w:hAnsi="Arial"/>
          <w:sz w:val="15"/>
          <w:szCs w:val="15"/>
          <w:i w:val="1"/>
          <w:iCs w:val="1"/>
          <w:u w:val="single" w:color="auto"/>
          <w:color w:val="0000FF"/>
        </w:rPr>
      </w:pPr>
    </w:p>
    <w:p>
      <w:pPr>
        <w:ind w:left="1380" w:right="1679" w:hanging="301"/>
        <w:spacing w:after="0" w:line="283" w:lineRule="auto"/>
        <w:tabs>
          <w:tab w:leader="none" w:pos="1380" w:val="left"/>
        </w:tabs>
        <w:numPr>
          <w:ilvl w:val="0"/>
          <w:numId w:val="64"/>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individuelle du/des membre(s) d’un comité de direction, si un tel comité a été constitué par le Conseil d’Administration; et</w:t>
      </w:r>
    </w:p>
    <w:p>
      <w:pPr>
        <w:spacing w:after="0" w:line="89" w:lineRule="exact"/>
        <w:rPr>
          <w:rFonts w:ascii="Arial" w:cs="Arial" w:eastAsia="Arial" w:hAnsi="Arial"/>
          <w:sz w:val="15"/>
          <w:szCs w:val="15"/>
          <w:i w:val="1"/>
          <w:iCs w:val="1"/>
          <w:u w:val="single" w:color="auto"/>
          <w:color w:val="0000FF"/>
        </w:rPr>
      </w:pPr>
    </w:p>
    <w:p>
      <w:pPr>
        <w:ind w:left="1380" w:right="1979" w:hanging="301"/>
        <w:spacing w:after="0" w:line="283" w:lineRule="auto"/>
        <w:tabs>
          <w:tab w:leader="none" w:pos="1380" w:val="left"/>
        </w:tabs>
        <w:numPr>
          <w:ilvl w:val="0"/>
          <w:numId w:val="64"/>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du directeur général, si un directeur général a été nommé par le Conseil d’Administration;</w:t>
      </w:r>
    </w:p>
    <w:p>
      <w:pPr>
        <w:spacing w:after="0" w:line="77" w:lineRule="exact"/>
        <w:rPr>
          <w:rFonts w:ascii="Arial" w:cs="Arial" w:eastAsia="Arial" w:hAnsi="Arial"/>
          <w:sz w:val="15"/>
          <w:szCs w:val="15"/>
          <w:i w:val="1"/>
          <w:iCs w:val="1"/>
          <w:u w:val="single" w:color="auto"/>
          <w:color w:val="0000FF"/>
        </w:rPr>
      </w:pPr>
    </w:p>
    <w:p>
      <w:pPr>
        <w:ind w:left="1380" w:right="1219" w:hanging="301"/>
        <w:spacing w:after="0" w:line="267" w:lineRule="auto"/>
        <w:tabs>
          <w:tab w:leader="none" w:pos="1380" w:val="left"/>
        </w:tabs>
        <w:numPr>
          <w:ilvl w:val="0"/>
          <w:numId w:val="64"/>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individuelle de toute autre personne à qui le Conseil d’Administration a délégué la gestion journalière de la Société conformément au présent article, et seulement dans le cadre de la gestion journalière;</w:t>
      </w:r>
    </w:p>
    <w:p>
      <w:pPr>
        <w:spacing w:after="0" w:line="100" w:lineRule="exact"/>
        <w:rPr>
          <w:rFonts w:ascii="Arial" w:cs="Arial" w:eastAsia="Arial" w:hAnsi="Arial"/>
          <w:sz w:val="15"/>
          <w:szCs w:val="15"/>
          <w:i w:val="1"/>
          <w:iCs w:val="1"/>
          <w:u w:val="single" w:color="auto"/>
          <w:color w:val="0000FF"/>
        </w:rPr>
      </w:pPr>
    </w:p>
    <w:p>
      <w:pPr>
        <w:ind w:left="1380" w:right="1159" w:hanging="301"/>
        <w:spacing w:after="0" w:line="283" w:lineRule="auto"/>
        <w:tabs>
          <w:tab w:leader="none" w:pos="1380" w:val="left"/>
        </w:tabs>
        <w:numPr>
          <w:ilvl w:val="0"/>
          <w:numId w:val="64"/>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individuelle de toute personne à laquelle l’autorité de signature a été déléguée par le Conseil d’Administration.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-1401445</wp:posOffset>
            </wp:positionV>
            <wp:extent cx="2540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56" w:lineRule="exact"/>
        <w:rPr>
          <w:sz w:val="20"/>
          <w:szCs w:val="20"/>
          <w:color w:val="auto"/>
        </w:rPr>
      </w:pPr>
    </w:p>
    <w:p>
      <w:pPr>
        <w:ind w:left="1080" w:right="1139"/>
        <w:spacing w:after="0" w:line="254" w:lineRule="auto"/>
        <w:rPr>
          <w:sz w:val="20"/>
          <w:szCs w:val="20"/>
          <w:color w:val="auto"/>
        </w:rPr>
      </w:pPr>
      <w:r>
        <w:rPr>
          <w:rFonts w:ascii="Arial" w:cs="Arial" w:eastAsia="Arial" w:hAnsi="Arial"/>
          <w:sz w:val="15"/>
          <w:szCs w:val="15"/>
          <w:b w:val="1"/>
          <w:bCs w:val="1"/>
          <w:i w:val="1"/>
          <w:iCs w:val="1"/>
          <w:color w:val="auto"/>
        </w:rPr>
        <w:t xml:space="preserve">Art. 18. Conflit d’Intérêts. </w:t>
      </w:r>
      <w:r>
        <w:rPr>
          <w:rFonts w:ascii="Arial" w:cs="Arial" w:eastAsia="Arial" w:hAnsi="Arial"/>
          <w:sz w:val="15"/>
          <w:szCs w:val="15"/>
          <w:i w:val="1"/>
          <w:iCs w:val="1"/>
          <w:color w:val="auto"/>
        </w:rPr>
        <w:t>Aucun contrat ou autre transaction entre la Société et toute autre société</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ou entreprise ne sera affecté ou invalidé du fait qu’un ou plusieurs Administrateurs, gérants, associés, membres, fondés de pouvoir ou employés de la Société ont un intérêt personnel ou en sont un administrateur, gérant, associé, membre, fondé de pouvoir ou employé d’une telle autre société ou entreprise. Sauf dispositions contraires ci-dessous, tout Administrateur, gérants, associés, membres, employés ou fondé de pouvoir valablement autorisé de la Société, en ce compris tout Administrateur qui remplira en même temps des fonctions de représentant valablement autorisé pour le compte d’une autre société ou firme avec laquelle la Société contractera ou entrera en toute relation d’affaire, ne sera pas, pour ce seul motif, automatiquement empêché de donner son avis ou d’agir quant à toutes opérations relatives à un tel contrat ou opération.</w:t>
      </w:r>
    </w:p>
    <w:p>
      <w:pPr>
        <w:spacing w:after="0" w:line="92"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i w:val="1"/>
          <w:iCs w:val="1"/>
          <w:color w:val="auto"/>
        </w:rPr>
        <w:t>Nonobstant ce qui précède, au cas où un Administrateur ou un dirigent de la Société aurait un intérêt personnel dans une transaction de la Société, autre que les transactions conclues dans des conditions normales et entrant dans le cadre de la gestion quotidienne de la Société, il/elle devra faire connaitre au Conseil d’Administration (s’il en existe un) cet intérêt personnel et ne devra pas examiner ou voter une telle transaction, et cette transaction et l’intérêt de cet transaction et l’intérêt de cet administrateur ou dirigent de la Société devront être rapportés à la prochaine assemblée générale des actionnaires.</w:t>
      </w:r>
    </w:p>
    <w:p>
      <w:pPr>
        <w:spacing w:after="0" w:line="97" w:lineRule="exact"/>
        <w:rPr>
          <w:sz w:val="20"/>
          <w:szCs w:val="20"/>
          <w:color w:val="auto"/>
        </w:rPr>
      </w:pPr>
    </w:p>
    <w:p>
      <w:pPr>
        <w:ind w:left="1080" w:right="1099"/>
        <w:spacing w:after="0" w:line="254" w:lineRule="auto"/>
        <w:rPr>
          <w:sz w:val="20"/>
          <w:szCs w:val="20"/>
          <w:color w:val="auto"/>
        </w:rPr>
      </w:pPr>
      <w:r>
        <w:rPr>
          <w:rFonts w:ascii="Arial" w:cs="Arial" w:eastAsia="Arial" w:hAnsi="Arial"/>
          <w:sz w:val="15"/>
          <w:szCs w:val="15"/>
          <w:i w:val="1"/>
          <w:iCs w:val="1"/>
          <w:color w:val="auto"/>
        </w:rPr>
        <w:t>La Société doit indemniser (ou, le cas échéant, avancer à) tout Administrateur et ses héritiers, exécuteurs et administrateurs testamentaires, de ses dépenses raisonnables en relation avec toute action, procès ou procédure à laquelle il/elle a pu être partie en raison de sa fonction passée ou actuelle de Administrateur, ou, à la demande de la Société, de toute autre société dans laquelle la Société est Actionnaire ou créancière et par laquelle il/elle n’est pas autorisé à être indemnisé, excepté en relation avec les affaires pour lesquelles il/elle est finalement déclaré(e) dans de telles actions, procès et procédures responsable d’une grosse négligence ou d’une faute grave. En cas de règlement amiable d’un conflit, des indemnités doivent être accordées uniquement dans les matières en relation avec le règlement amiable du conflit pour lesquelles, selon le conseiller juridique de la Société, la personne indemnisée n’a pas commis une telle violation de ses obligations. Le droit à indemnité ci-avant n’exclut pas d’autres droits que la personne concernée pourrait revendiquer.</w:t>
      </w:r>
    </w:p>
    <w:p>
      <w:pPr>
        <w:spacing w:after="0" w:line="97" w:lineRule="exact"/>
        <w:rPr>
          <w:sz w:val="20"/>
          <w:szCs w:val="20"/>
          <w:color w:val="auto"/>
        </w:rPr>
      </w:pPr>
    </w:p>
    <w:p>
      <w:pPr>
        <w:ind w:left="1080" w:right="1219"/>
        <w:spacing w:after="0" w:line="268" w:lineRule="auto"/>
        <w:rPr>
          <w:sz w:val="20"/>
          <w:szCs w:val="20"/>
          <w:color w:val="auto"/>
        </w:rPr>
      </w:pPr>
      <w:r>
        <w:rPr>
          <w:rFonts w:ascii="Arial" w:cs="Arial" w:eastAsia="Arial" w:hAnsi="Arial"/>
          <w:sz w:val="15"/>
          <w:szCs w:val="15"/>
          <w:b w:val="1"/>
          <w:bCs w:val="1"/>
          <w:i w:val="1"/>
          <w:iCs w:val="1"/>
          <w:color w:val="auto"/>
        </w:rPr>
        <w:t xml:space="preserve">Art. 19. Commissaires aux Comptes. </w:t>
      </w:r>
      <w:r>
        <w:rPr>
          <w:rFonts w:ascii="Arial" w:cs="Arial" w:eastAsia="Arial" w:hAnsi="Arial"/>
          <w:sz w:val="15"/>
          <w:szCs w:val="15"/>
          <w:i w:val="1"/>
          <w:iCs w:val="1"/>
          <w:color w:val="auto"/>
        </w:rPr>
        <w:t>Les comptes annuels de la Société seront audités par un ou</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plusieurs commissaires aux comptes, et, dans la mesure requise par la Loi, les règles et les règlements applicables, par un ou plusieurs réviseur(s) d’entreprises.</w:t>
      </w:r>
    </w:p>
    <w:p>
      <w:pPr>
        <w:spacing w:after="0" w:line="78"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i w:val="1"/>
          <w:iCs w:val="1"/>
          <w:color w:val="auto"/>
        </w:rPr>
        <w:t>Les commissaires aux comptes ou, le cas échéant, le réviseur d’entreprises indépendant seront nommés par décision de l’assemblée générale des actionnaires, selon le cas, qui déterminera la rémunération du commissaire aux comptes ou du réviseur d’entreprises indépendant et la durée de leur mandat. Les commissaires aux comptes resteront en fonction jusqu’à ce que leurs successeurs soient élus. Ils sont rééligibles à la fin de leur mandat et ils peuvent être révoqués à tout moment, avec ou sans motif, par décision de l’assemblée générale des actionnaires.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9" w:name="page80"/>
    <w:bookmarkEnd w:id="79"/>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Chapitre IV. Assemblée Générale des Actionnaires</w:t>
      </w:r>
    </w:p>
    <w:p>
      <w:pPr>
        <w:spacing w:after="0" w:line="132" w:lineRule="exact"/>
        <w:rPr>
          <w:sz w:val="20"/>
          <w:szCs w:val="20"/>
          <w:color w:val="auto"/>
        </w:rPr>
      </w:pPr>
    </w:p>
    <w:p>
      <w:pPr>
        <w:ind w:left="1080" w:right="1239"/>
        <w:spacing w:after="0" w:line="268" w:lineRule="auto"/>
        <w:rPr>
          <w:sz w:val="20"/>
          <w:szCs w:val="20"/>
          <w:color w:val="auto"/>
        </w:rPr>
      </w:pPr>
      <w:r>
        <w:rPr>
          <w:rFonts w:ascii="Arial" w:cs="Arial" w:eastAsia="Arial" w:hAnsi="Arial"/>
          <w:sz w:val="15"/>
          <w:szCs w:val="15"/>
          <w:b w:val="1"/>
          <w:bCs w:val="1"/>
          <w:i w:val="1"/>
          <w:iCs w:val="1"/>
          <w:color w:val="auto"/>
        </w:rPr>
        <w:t xml:space="preserve">Art. 20. Assemblée Générale des Actionnaires. </w:t>
      </w:r>
      <w:r>
        <w:rPr>
          <w:rFonts w:ascii="Arial" w:cs="Arial" w:eastAsia="Arial" w:hAnsi="Arial"/>
          <w:sz w:val="15"/>
          <w:szCs w:val="15"/>
          <w:i w:val="1"/>
          <w:iCs w:val="1"/>
          <w:color w:val="auto"/>
        </w:rPr>
        <w:t>L’assemblée générale annuelle sera tenue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conformément aux dispositions de l’article 450-8 de la Loi au siège social de la Société ou à un autre endroit tel qu’indiqué dans la convocation et à l’heure indiquée dans la convocation de l’assemblée.</w:t>
      </w:r>
    </w:p>
    <w:p>
      <w:pPr>
        <w:spacing w:after="0" w:line="89" w:lineRule="exact"/>
        <w:rPr>
          <w:sz w:val="20"/>
          <w:szCs w:val="20"/>
          <w:color w:val="auto"/>
        </w:rPr>
      </w:pPr>
    </w:p>
    <w:p>
      <w:pPr>
        <w:ind w:left="1080" w:right="1199"/>
        <w:spacing w:after="0" w:line="267" w:lineRule="auto"/>
        <w:rPr>
          <w:sz w:val="20"/>
          <w:szCs w:val="20"/>
          <w:color w:val="auto"/>
        </w:rPr>
      </w:pPr>
      <w:r>
        <w:rPr>
          <w:rFonts w:ascii="Arial" w:cs="Arial" w:eastAsia="Arial" w:hAnsi="Arial"/>
          <w:sz w:val="15"/>
          <w:szCs w:val="15"/>
          <w:i w:val="1"/>
          <w:iCs w:val="1"/>
          <w:color w:val="auto"/>
        </w:rPr>
        <w:t xml:space="preserve">Si ce jour est un jour férié au Luxembourg, l’assemblée se tiendra le premier jour ouvrable suivant. </w:t>
      </w:r>
      <w:r>
        <w:rPr>
          <w:rFonts w:ascii="Arial" w:cs="Arial" w:eastAsia="Arial" w:hAnsi="Arial"/>
          <w:sz w:val="15"/>
          <w:szCs w:val="15"/>
          <w:i w:val="1"/>
          <w:iCs w:val="1"/>
          <w:u w:val="single" w:color="auto"/>
          <w:color w:val="0000FF"/>
        </w:rPr>
        <w:t>Ces réunions seront valablement tenues si au moins 33 1/3 % du capital social émis de la Société est présent ou représenté.</w:t>
      </w:r>
    </w:p>
    <w:p>
      <w:pPr>
        <w:spacing w:after="0" w:line="76" w:lineRule="exact"/>
        <w:rPr>
          <w:sz w:val="20"/>
          <w:szCs w:val="20"/>
          <w:color w:val="auto"/>
        </w:rPr>
      </w:pPr>
    </w:p>
    <w:p>
      <w:pPr>
        <w:ind w:left="1080" w:right="1119"/>
        <w:spacing w:after="0" w:line="254" w:lineRule="auto"/>
        <w:rPr>
          <w:sz w:val="20"/>
          <w:szCs w:val="20"/>
          <w:color w:val="auto"/>
        </w:rPr>
      </w:pPr>
      <w:r>
        <w:rPr>
          <w:rFonts w:ascii="Arial" w:cs="Arial" w:eastAsia="Arial" w:hAnsi="Arial"/>
          <w:sz w:val="15"/>
          <w:szCs w:val="15"/>
          <w:b w:val="1"/>
          <w:bCs w:val="1"/>
          <w:i w:val="1"/>
          <w:iCs w:val="1"/>
          <w:color w:val="auto"/>
        </w:rPr>
        <w:t xml:space="preserve">Art. 21. Autres Assemblées Générales des Actionnaires. </w:t>
      </w:r>
      <w:r>
        <w:rPr>
          <w:rFonts w:ascii="Arial" w:cs="Arial" w:eastAsia="Arial" w:hAnsi="Arial"/>
          <w:sz w:val="15"/>
          <w:szCs w:val="15"/>
          <w:i w:val="1"/>
          <w:iCs w:val="1"/>
          <w:color w:val="auto"/>
        </w:rPr>
        <w:t>Le Conseil d’Administration peut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convoquer d’autres assemblées générales. De telles assemblées doivent être convoquées si les actionnaires représentant au moins dix (10) pour cent du capital social de la Société le requièrent par écrit avec indication de l’ordre du jour de la réunion prévue. Si l’assemblée générale n’est pas tenue dans le mois suivant la date prévue, elle peut être convoquée par un agent désigné par le juge-président le Tribunal d’Arrondissement, section des affaires commerciales et statuant en référé, et ce à la requête d’un ou plusieurs actionnaires représentant le quota des dix pour cent (10%). Les assemblées générales des actionnaires, y compris l’assemblée générale annuelle, peuvent se tenir à l’étranger chaque fois que se produiront des circonstances de force majeure qui seront appréciées souverainement par le Conseil d’Administration.</w:t>
      </w:r>
    </w:p>
    <w:p>
      <w:pPr>
        <w:spacing w:after="0" w:line="101" w:lineRule="exact"/>
        <w:rPr>
          <w:sz w:val="20"/>
          <w:szCs w:val="20"/>
          <w:color w:val="auto"/>
        </w:rPr>
      </w:pPr>
    </w:p>
    <w:p>
      <w:pPr>
        <w:ind w:left="1080" w:right="1499"/>
        <w:spacing w:after="0" w:line="286" w:lineRule="auto"/>
        <w:rPr>
          <w:sz w:val="20"/>
          <w:szCs w:val="20"/>
          <w:color w:val="auto"/>
        </w:rPr>
      </w:pPr>
      <w:r>
        <w:rPr>
          <w:rFonts w:ascii="Arial" w:cs="Arial" w:eastAsia="Arial" w:hAnsi="Arial"/>
          <w:sz w:val="15"/>
          <w:szCs w:val="15"/>
          <w:b w:val="1"/>
          <w:bCs w:val="1"/>
          <w:i w:val="1"/>
          <w:iCs w:val="1"/>
          <w:color w:val="auto"/>
        </w:rPr>
        <w:t xml:space="preserve">Art. 22. Pouvoirs de l’Assemblée Générale. </w:t>
      </w:r>
      <w:r>
        <w:rPr>
          <w:rFonts w:ascii="Arial" w:cs="Arial" w:eastAsia="Arial" w:hAnsi="Arial"/>
          <w:sz w:val="15"/>
          <w:szCs w:val="15"/>
          <w:i w:val="1"/>
          <w:iCs w:val="1"/>
          <w:color w:val="auto"/>
        </w:rPr>
        <w:t>Toute assemblée générale des actionnaires de la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Société régulièrement constituée représente l’ensemble des actionnaires.</w:t>
      </w:r>
    </w:p>
    <w:p>
      <w:pPr>
        <w:spacing w:after="0" w:line="75" w:lineRule="exact"/>
        <w:rPr>
          <w:sz w:val="20"/>
          <w:szCs w:val="20"/>
          <w:color w:val="auto"/>
        </w:rPr>
      </w:pPr>
    </w:p>
    <w:p>
      <w:pPr>
        <w:jc w:val="both"/>
        <w:ind w:left="1080" w:right="1439"/>
        <w:spacing w:after="0" w:line="267" w:lineRule="auto"/>
        <w:rPr>
          <w:sz w:val="20"/>
          <w:szCs w:val="20"/>
          <w:color w:val="auto"/>
        </w:rPr>
      </w:pPr>
      <w:r>
        <w:rPr>
          <w:rFonts w:ascii="Arial" w:cs="Arial" w:eastAsia="Arial" w:hAnsi="Arial"/>
          <w:sz w:val="15"/>
          <w:szCs w:val="15"/>
          <w:i w:val="1"/>
          <w:iCs w:val="1"/>
          <w:color w:val="auto"/>
        </w:rPr>
        <w:t>Sous réserve de tous les autres pouvoirs réservés au Conseil d’Administration ou par la Loi ou les Statuts, l’assemblée générale des actionnaires a le plus large pouvoir d’adopter, d’exécuter ou de ratifier tout acte relatif aux opérations de la Société.</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Les actionnaires ne doivent ni participer à ni interférer avec la direction de la Société.</w:t>
      </w:r>
    </w:p>
    <w:p>
      <w:pPr>
        <w:spacing w:after="0" w:line="132" w:lineRule="exact"/>
        <w:rPr>
          <w:sz w:val="20"/>
          <w:szCs w:val="20"/>
          <w:color w:val="auto"/>
        </w:rPr>
      </w:pPr>
    </w:p>
    <w:p>
      <w:pPr>
        <w:ind w:left="1080" w:right="1199"/>
        <w:spacing w:after="0" w:line="261" w:lineRule="auto"/>
        <w:rPr>
          <w:sz w:val="20"/>
          <w:szCs w:val="20"/>
          <w:color w:val="auto"/>
        </w:rPr>
      </w:pPr>
      <w:r>
        <w:rPr>
          <w:rFonts w:ascii="Arial" w:cs="Arial" w:eastAsia="Arial" w:hAnsi="Arial"/>
          <w:sz w:val="15"/>
          <w:szCs w:val="15"/>
          <w:i w:val="1"/>
          <w:iCs w:val="1"/>
          <w:color w:val="auto"/>
        </w:rPr>
        <w:t>Conformément aux dispositions du paragraphe 1 de l’article 450-1 (8)de la Loi, le Conseil d’Administration est autorisé à suspendre les droits de vote des actionnaires qui ne respectent pas leurs obligations en vertu des présents Statuts ou des dispositions de tout accord qui peut être conclu de temps à autre entre les actionnaires.</w:t>
      </w:r>
    </w:p>
    <w:p>
      <w:pPr>
        <w:spacing w:after="0" w:line="93" w:lineRule="exact"/>
        <w:rPr>
          <w:sz w:val="20"/>
          <w:szCs w:val="20"/>
          <w:color w:val="auto"/>
        </w:rPr>
      </w:pPr>
    </w:p>
    <w:p>
      <w:pPr>
        <w:ind w:left="1080" w:right="1179"/>
        <w:spacing w:after="0" w:line="268" w:lineRule="auto"/>
        <w:rPr>
          <w:sz w:val="20"/>
          <w:szCs w:val="20"/>
          <w:color w:val="auto"/>
        </w:rPr>
      </w:pPr>
      <w:r>
        <w:rPr>
          <w:rFonts w:ascii="Arial" w:cs="Arial" w:eastAsia="Arial" w:hAnsi="Arial"/>
          <w:sz w:val="15"/>
          <w:szCs w:val="15"/>
          <w:b w:val="1"/>
          <w:bCs w:val="1"/>
          <w:i w:val="1"/>
          <w:iCs w:val="1"/>
          <w:color w:val="auto"/>
        </w:rPr>
        <w:t xml:space="preserve">Art. 23. Procédure, Vote. </w:t>
      </w:r>
      <w:r>
        <w:rPr>
          <w:rFonts w:ascii="Arial" w:cs="Arial" w:eastAsia="Arial" w:hAnsi="Arial"/>
          <w:sz w:val="15"/>
          <w:szCs w:val="15"/>
          <w:i w:val="1"/>
          <w:iCs w:val="1"/>
          <w:color w:val="auto"/>
        </w:rPr>
        <w:t>L’assemblée générale des actionnaires se réunit sur convocation du</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Conseil d’Administration, ou du commissaire aux comptes en conformité avec le droit luxembourgeois et les présents Statuts.</w:t>
      </w:r>
    </w:p>
    <w:p>
      <w:pPr>
        <w:spacing w:after="0" w:line="78" w:lineRule="exact"/>
        <w:rPr>
          <w:sz w:val="20"/>
          <w:szCs w:val="20"/>
          <w:color w:val="auto"/>
        </w:rPr>
      </w:pPr>
    </w:p>
    <w:p>
      <w:pPr>
        <w:ind w:left="1080" w:right="1219"/>
        <w:spacing w:after="0" w:line="294" w:lineRule="auto"/>
        <w:rPr>
          <w:sz w:val="20"/>
          <w:szCs w:val="20"/>
          <w:color w:val="auto"/>
        </w:rPr>
      </w:pPr>
      <w:r>
        <w:rPr>
          <w:rFonts w:ascii="Arial" w:cs="Arial" w:eastAsia="Arial" w:hAnsi="Arial"/>
          <w:sz w:val="15"/>
          <w:szCs w:val="15"/>
          <w:i w:val="1"/>
          <w:iCs w:val="1"/>
          <w:color w:val="auto"/>
        </w:rPr>
        <w:t>La date d’enregistrement des assemblées générales est fixée par le Conseil d’Administration avant la date de l’assemblée générale (la “</w:t>
      </w:r>
      <w:r>
        <w:rPr>
          <w:rFonts w:ascii="Arial" w:cs="Arial" w:eastAsia="Arial" w:hAnsi="Arial"/>
          <w:sz w:val="15"/>
          <w:szCs w:val="15"/>
          <w:b w:val="1"/>
          <w:bCs w:val="1"/>
          <w:i w:val="1"/>
          <w:iCs w:val="1"/>
          <w:color w:val="auto"/>
        </w:rPr>
        <w:t>Date d’Enregistrement</w:t>
      </w:r>
      <w:r>
        <w:rPr>
          <w:rFonts w:ascii="Arial" w:cs="Arial" w:eastAsia="Arial" w:hAnsi="Arial"/>
          <w:sz w:val="15"/>
          <w:szCs w:val="15"/>
          <w:i w:val="1"/>
          <w:iCs w:val="1"/>
          <w:color w:val="auto"/>
        </w:rPr>
        <w:t>”).</w:t>
      </w:r>
    </w:p>
    <w:p>
      <w:pPr>
        <w:spacing w:after="0" w:line="62" w:lineRule="exact"/>
        <w:rPr>
          <w:sz w:val="20"/>
          <w:szCs w:val="20"/>
          <w:color w:val="auto"/>
        </w:rPr>
      </w:pPr>
    </w:p>
    <w:p>
      <w:pPr>
        <w:ind w:left="1080" w:right="1179"/>
        <w:spacing w:after="0" w:line="261" w:lineRule="auto"/>
        <w:rPr>
          <w:sz w:val="20"/>
          <w:szCs w:val="20"/>
          <w:color w:val="auto"/>
        </w:rPr>
      </w:pPr>
      <w:r>
        <w:rPr>
          <w:rFonts w:ascii="Arial" w:cs="Arial" w:eastAsia="Arial" w:hAnsi="Arial"/>
          <w:sz w:val="15"/>
          <w:szCs w:val="15"/>
          <w:i w:val="1"/>
          <w:iCs w:val="1"/>
          <w:color w:val="auto"/>
        </w:rPr>
        <w:t>Les actionnaires doivent notifier à la Société leur intention de participer à l’assemblée générale par voie postale ou par tout moyen électronique à l’adresse postale ou électronique indiquée dans la convocation, au plus tard le jour fixé par le Conseil d’Administration, qui ne doit pas intervenir avant la Date d’Enregistrement, indiquée dans la convocation.</w:t>
      </w:r>
    </w:p>
    <w:p>
      <w:pPr>
        <w:spacing w:after="0" w:line="95" w:lineRule="exact"/>
        <w:rPr>
          <w:sz w:val="20"/>
          <w:szCs w:val="20"/>
          <w:color w:val="auto"/>
        </w:rPr>
      </w:pPr>
    </w:p>
    <w:p>
      <w:pPr>
        <w:ind w:left="1080" w:right="1159"/>
        <w:spacing w:after="0" w:line="261" w:lineRule="auto"/>
        <w:rPr>
          <w:sz w:val="20"/>
          <w:szCs w:val="20"/>
          <w:color w:val="auto"/>
        </w:rPr>
      </w:pPr>
      <w:r>
        <w:rPr>
          <w:rFonts w:ascii="Arial" w:cs="Arial" w:eastAsia="Arial" w:hAnsi="Arial"/>
          <w:sz w:val="15"/>
          <w:szCs w:val="15"/>
          <w:i w:val="1"/>
          <w:iCs w:val="1"/>
          <w:color w:val="auto"/>
        </w:rPr>
        <w:t xml:space="preserve">Les documents devant être soumis aux actionnaires dans le cadre de l’assemblée générale seront publiés sur le site web de la Société ou </w:t>
      </w:r>
      <w:r>
        <w:rPr>
          <w:rFonts w:ascii="Arial" w:cs="Arial" w:eastAsia="Arial" w:hAnsi="Arial"/>
          <w:sz w:val="15"/>
          <w:szCs w:val="15"/>
          <w:color w:val="FF0000"/>
          <w:strike w:val="1"/>
        </w:rPr>
        <w:t>pourront être consultés</w:t>
      </w:r>
      <w:r>
        <w:rPr>
          <w:rFonts w:ascii="Arial" w:cs="Arial" w:eastAsia="Arial" w:hAnsi="Arial"/>
          <w:sz w:val="15"/>
          <w:szCs w:val="15"/>
          <w:i w:val="1"/>
          <w:iCs w:val="1"/>
          <w:u w:val="single" w:color="auto"/>
          <w:color w:val="0000FF"/>
        </w:rPr>
        <w:t>mis à disposition, à la demande d’un</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Actionnaire, pour consultation</w:t>
      </w:r>
      <w:r>
        <w:rPr>
          <w:rFonts w:ascii="Arial" w:cs="Arial" w:eastAsia="Arial" w:hAnsi="Arial"/>
          <w:sz w:val="15"/>
          <w:szCs w:val="15"/>
          <w:i w:val="1"/>
          <w:iCs w:val="1"/>
          <w:color w:val="0000FF"/>
        </w:rPr>
        <w:t xml:space="preserve"> </w:t>
      </w:r>
      <w:r>
        <w:rPr>
          <w:rFonts w:ascii="Arial" w:cs="Arial" w:eastAsia="Arial" w:hAnsi="Arial"/>
          <w:sz w:val="15"/>
          <w:szCs w:val="15"/>
          <w:color w:val="000000"/>
        </w:rPr>
        <w:t>au siège social de la Société,</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comme l’exige</w:t>
      </w:r>
      <w:r>
        <w:rPr>
          <w:rFonts w:ascii="Arial" w:cs="Arial" w:eastAsia="Arial" w:hAnsi="Arial"/>
          <w:sz w:val="15"/>
          <w:szCs w:val="15"/>
          <w:i w:val="1"/>
          <w:iCs w:val="1"/>
          <w:u w:val="single" w:color="auto"/>
          <w:color w:val="0000FF"/>
        </w:rPr>
        <w:t>conformément aux</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exigences de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la législation en vigueur.</w:t>
      </w:r>
    </w:p>
    <w:p>
      <w:pPr>
        <w:spacing w:after="0" w:line="84" w:lineRule="exact"/>
        <w:rPr>
          <w:sz w:val="20"/>
          <w:szCs w:val="20"/>
          <w:color w:val="auto"/>
        </w:rPr>
      </w:pPr>
    </w:p>
    <w:p>
      <w:pPr>
        <w:ind w:left="1080" w:right="1119"/>
        <w:spacing w:after="0" w:line="283" w:lineRule="auto"/>
        <w:rPr>
          <w:sz w:val="20"/>
          <w:szCs w:val="20"/>
          <w:color w:val="auto"/>
        </w:rPr>
      </w:pPr>
      <w:r>
        <w:rPr>
          <w:rFonts w:ascii="Arial" w:cs="Arial" w:eastAsia="Arial" w:hAnsi="Arial"/>
          <w:sz w:val="15"/>
          <w:szCs w:val="15"/>
          <w:i w:val="1"/>
          <w:iCs w:val="1"/>
          <w:color w:val="auto"/>
        </w:rPr>
        <w:t>La convocation envoyée aux actionnaires en conformité avec la Loi, spécifiera la date, l’heure, l’endroit ainsi que l’ordre du jour et la nature des questions devant être traitées lors de l’assemblée.</w:t>
      </w:r>
    </w:p>
    <w:p>
      <w:pPr>
        <w:spacing w:after="0" w:line="78" w:lineRule="exact"/>
        <w:rPr>
          <w:sz w:val="20"/>
          <w:szCs w:val="20"/>
          <w:color w:val="auto"/>
        </w:rPr>
      </w:pPr>
    </w:p>
    <w:p>
      <w:pPr>
        <w:ind w:left="1080" w:right="1179"/>
        <w:spacing w:after="0" w:line="261" w:lineRule="auto"/>
        <w:rPr>
          <w:sz w:val="20"/>
          <w:szCs w:val="20"/>
          <w:color w:val="auto"/>
        </w:rPr>
      </w:pPr>
      <w:r>
        <w:rPr>
          <w:rFonts w:ascii="Arial" w:cs="Arial" w:eastAsia="Arial" w:hAnsi="Arial"/>
          <w:sz w:val="15"/>
          <w:szCs w:val="15"/>
          <w:i w:val="1"/>
          <w:iCs w:val="1"/>
          <w:color w:val="auto"/>
        </w:rPr>
        <w:t>Un actionnaire peut agir à toute assemblée des actionnaires en désignant par écrit, en original ou par voie électronique (valable selon la loi Luxembourgeoise), en tant que son mandataire, une autre personne qui n’a pas besoin d’être actionnaire et en notifiant cette désignation par voie postale ou par tout moyen électronique à l’adresse postale ou électronique indiquée dans la convocation.</w:t>
      </w:r>
    </w:p>
    <w:p>
      <w:pPr>
        <w:spacing w:after="0" w:line="95" w:lineRule="exact"/>
        <w:rPr>
          <w:sz w:val="20"/>
          <w:szCs w:val="20"/>
          <w:color w:val="auto"/>
        </w:rPr>
      </w:pPr>
    </w:p>
    <w:p>
      <w:pPr>
        <w:ind w:left="1080" w:right="1159"/>
        <w:spacing w:after="0" w:line="267" w:lineRule="auto"/>
        <w:rPr>
          <w:sz w:val="20"/>
          <w:szCs w:val="20"/>
          <w:color w:val="auto"/>
        </w:rPr>
      </w:pPr>
      <w:r>
        <w:rPr>
          <w:rFonts w:ascii="Arial" w:cs="Arial" w:eastAsia="Arial" w:hAnsi="Arial"/>
          <w:sz w:val="15"/>
          <w:szCs w:val="15"/>
          <w:i w:val="1"/>
          <w:iCs w:val="1"/>
          <w:color w:val="auto"/>
        </w:rPr>
        <w:t xml:space="preserve">Le Conseil d’Administration peut déterminer toutes autres conditions qui doivent être remplies pour participer à une assemblée générale des actionnaires. </w:t>
      </w:r>
      <w:r>
        <w:rPr>
          <w:rFonts w:ascii="Arial" w:cs="Arial" w:eastAsia="Arial" w:hAnsi="Arial"/>
          <w:sz w:val="15"/>
          <w:szCs w:val="15"/>
          <w:i w:val="1"/>
          <w:iCs w:val="1"/>
          <w:u w:val="single" w:color="auto"/>
          <w:color w:val="0000FF"/>
        </w:rPr>
        <w:t>Le Président ou toute autre personne désignée</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par le Conseil d’Administration présidera l’assemblée générale des actionnaires.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0" w:name="page81"/>
    <w:bookmarkEnd w:id="8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319"/>
        <w:spacing w:after="0" w:line="260" w:lineRule="auto"/>
        <w:rPr>
          <w:sz w:val="20"/>
          <w:szCs w:val="20"/>
          <w:color w:val="auto"/>
        </w:rPr>
      </w:pPr>
      <w:r>
        <w:rPr>
          <w:rFonts w:ascii="Arial" w:cs="Arial" w:eastAsia="Arial" w:hAnsi="Arial"/>
          <w:sz w:val="15"/>
          <w:szCs w:val="15"/>
          <w:color w:val="FF0000"/>
          <w:strike w:val="1"/>
        </w:rPr>
        <w:t>Sauf disposition contraire de la Loi ou des présents Statuts, toutes les autres résolutions seront prises à la majorité simple des voix quel que soit le nombre d’Actions présentes ou représentées à l’assemblée.</w:t>
      </w:r>
    </w:p>
    <w:p>
      <w:pPr>
        <w:spacing w:after="0" w:line="84" w:lineRule="exact"/>
        <w:rPr>
          <w:sz w:val="20"/>
          <w:szCs w:val="20"/>
          <w:color w:val="auto"/>
        </w:rPr>
      </w:pPr>
    </w:p>
    <w:p>
      <w:pPr>
        <w:ind w:left="1080" w:right="1179"/>
        <w:spacing w:after="0" w:line="265" w:lineRule="auto"/>
        <w:rPr>
          <w:sz w:val="20"/>
          <w:szCs w:val="20"/>
          <w:color w:val="auto"/>
        </w:rPr>
      </w:pPr>
      <w:r>
        <w:rPr>
          <w:rFonts w:ascii="Arial" w:cs="Arial" w:eastAsia="Arial" w:hAnsi="Arial"/>
          <w:sz w:val="14"/>
          <w:szCs w:val="14"/>
          <w:i w:val="1"/>
          <w:iCs w:val="1"/>
          <w:u w:val="single" w:color="auto"/>
          <w:color w:val="0000FF"/>
        </w:rPr>
        <w:t>Les résolutions visant à modifier les présents Statuts ou à changer la nationalité de la Société, ainsi que les résolutions dont l’adoption est soumise, en vertu des présents Statuts ou de la Loi, au quorum et à la majorité requis pour modifier les Statuts, doivent être approuvées par au moins les deux tiers (2/3) des voix exprimées, conformément aux dispositions de l’article 450-3 de la Loi, lors d’une assemblée à laquelle au moins la moitié (</w:t>
      </w:r>
      <w:r>
        <w:rPr>
          <w:rFonts w:ascii="Arial" w:cs="Arial" w:eastAsia="Arial" w:hAnsi="Arial"/>
          <w:sz w:val="9"/>
          <w:szCs w:val="9"/>
          <w:i w:val="1"/>
          <w:iCs w:val="1"/>
          <w:u w:val="single" w:color="auto"/>
          <w:color w:val="0000FF"/>
        </w:rPr>
        <w:t>1</w:t>
      </w:r>
      <w:r>
        <w:rPr>
          <w:rFonts w:ascii="Arial" w:cs="Arial" w:eastAsia="Arial" w:hAnsi="Arial"/>
          <w:sz w:val="14"/>
          <w:szCs w:val="14"/>
          <w:i w:val="1"/>
          <w:iCs w:val="1"/>
          <w:u w:val="single" w:color="auto"/>
          <w:color w:val="0000FF"/>
        </w:rPr>
        <w:t>∕</w:t>
      </w:r>
      <w:r>
        <w:rPr>
          <w:rFonts w:ascii="Arial" w:cs="Arial" w:eastAsia="Arial" w:hAnsi="Arial"/>
          <w:sz w:val="9"/>
          <w:szCs w:val="9"/>
          <w:i w:val="1"/>
          <w:iCs w:val="1"/>
          <w:u w:val="single" w:color="auto"/>
          <w:color w:val="0000FF"/>
        </w:rPr>
        <w:t>2</w:t>
      </w:r>
      <w:r>
        <w:rPr>
          <w:rFonts w:ascii="Arial" w:cs="Arial" w:eastAsia="Arial" w:hAnsi="Arial"/>
          <w:sz w:val="14"/>
          <w:szCs w:val="14"/>
          <w:i w:val="1"/>
          <w:iCs w:val="1"/>
          <w:u w:val="single" w:color="auto"/>
          <w:color w:val="0000FF"/>
        </w:rPr>
        <w:t>) des actions émises et en circulation est présente ou</w:t>
      </w:r>
    </w:p>
    <w:p>
      <w:pPr>
        <w:spacing w:after="0" w:line="1" w:lineRule="exact"/>
        <w:rPr>
          <w:sz w:val="20"/>
          <w:szCs w:val="20"/>
          <w:color w:val="auto"/>
        </w:rPr>
      </w:pPr>
    </w:p>
    <w:p>
      <w:pPr>
        <w:ind w:left="1080" w:right="1279"/>
        <w:spacing w:after="0" w:line="251" w:lineRule="auto"/>
        <w:rPr>
          <w:sz w:val="20"/>
          <w:szCs w:val="20"/>
          <w:color w:val="auto"/>
        </w:rPr>
      </w:pPr>
      <w:r>
        <w:rPr>
          <w:rFonts w:ascii="Arial" w:cs="Arial" w:eastAsia="Arial" w:hAnsi="Arial"/>
          <w:sz w:val="15"/>
          <w:szCs w:val="15"/>
          <w:i w:val="1"/>
          <w:iCs w:val="1"/>
          <w:u w:val="single" w:color="auto"/>
          <w:color w:val="0000FF"/>
        </w:rPr>
        <w:t>représentée. Si ce quorum n’est pas atteint lors de la première assemblée, une seconde assemblée, avec le même ordre du jour, peut être convoquée conformément aux dispositions de la Loi, pour laquelle un quorum de 33</w:t>
      </w:r>
      <w:r>
        <w:rPr>
          <w:rFonts w:ascii="Arial" w:cs="Arial" w:eastAsia="Arial" w:hAnsi="Arial"/>
          <w:sz w:val="10"/>
          <w:szCs w:val="10"/>
          <w:i w:val="1"/>
          <w:iCs w:val="1"/>
          <w:u w:val="single" w:color="auto"/>
          <w:color w:val="0000FF"/>
        </w:rPr>
        <w:t>1</w:t>
      </w:r>
      <w:r>
        <w:rPr>
          <w:rFonts w:ascii="Arial" w:cs="Arial" w:eastAsia="Arial" w:hAnsi="Arial"/>
          <w:sz w:val="15"/>
          <w:szCs w:val="15"/>
          <w:i w:val="1"/>
          <w:iCs w:val="1"/>
          <w:u w:val="single" w:color="auto"/>
          <w:color w:val="0000FF"/>
        </w:rPr>
        <w:t>∕</w:t>
      </w:r>
      <w:r>
        <w:rPr>
          <w:rFonts w:ascii="Arial" w:cs="Arial" w:eastAsia="Arial" w:hAnsi="Arial"/>
          <w:sz w:val="10"/>
          <w:szCs w:val="10"/>
          <w:i w:val="1"/>
          <w:iCs w:val="1"/>
          <w:u w:val="single" w:color="auto"/>
          <w:color w:val="0000FF"/>
        </w:rPr>
        <w:t>3</w:t>
      </w:r>
      <w:r>
        <w:rPr>
          <w:rFonts w:ascii="Arial" w:cs="Arial" w:eastAsia="Arial" w:hAnsi="Arial"/>
          <w:sz w:val="15"/>
          <w:szCs w:val="15"/>
          <w:i w:val="1"/>
          <w:iCs w:val="1"/>
          <w:u w:val="single" w:color="auto"/>
          <w:color w:val="0000FF"/>
        </w:rPr>
        <w:t>% sera requis.</w:t>
      </w:r>
    </w:p>
    <w:p>
      <w:pPr>
        <w:spacing w:after="0" w:line="112" w:lineRule="exact"/>
        <w:rPr>
          <w:sz w:val="20"/>
          <w:szCs w:val="20"/>
          <w:color w:val="auto"/>
        </w:rPr>
      </w:pPr>
    </w:p>
    <w:p>
      <w:pPr>
        <w:ind w:left="1080" w:right="1339"/>
        <w:spacing w:after="0" w:line="285" w:lineRule="auto"/>
        <w:rPr>
          <w:sz w:val="20"/>
          <w:szCs w:val="20"/>
          <w:color w:val="auto"/>
        </w:rPr>
      </w:pPr>
      <w:r>
        <w:rPr>
          <w:rFonts w:ascii="Arial" w:cs="Arial" w:eastAsia="Arial" w:hAnsi="Arial"/>
          <w:sz w:val="15"/>
          <w:szCs w:val="15"/>
          <w:i w:val="1"/>
          <w:iCs w:val="1"/>
          <w:color w:val="auto"/>
        </w:rPr>
        <w:t>Toutes les autres décisions doivent être approuvées par l’assemblée générale des actionnaires à la majorité simple des voix exprimées, et un quorum de 33</w:t>
      </w:r>
      <w:r>
        <w:rPr>
          <w:rFonts w:ascii="Arial" w:cs="Arial" w:eastAsia="Arial" w:hAnsi="Arial"/>
          <w:sz w:val="21"/>
          <w:szCs w:val="21"/>
          <w:i w:val="1"/>
          <w:iCs w:val="1"/>
          <w:color w:val="auto"/>
          <w:vertAlign w:val="superscript"/>
        </w:rPr>
        <w:t>1</w:t>
      </w:r>
      <w:r>
        <w:rPr>
          <w:rFonts w:ascii="Arial" w:cs="Arial" w:eastAsia="Arial" w:hAnsi="Arial"/>
          <w:sz w:val="15"/>
          <w:szCs w:val="15"/>
          <w:i w:val="1"/>
          <w:iCs w:val="1"/>
          <w:color w:val="auto"/>
        </w:rPr>
        <w:t>∕</w:t>
      </w:r>
      <w:r>
        <w:rPr>
          <w:rFonts w:ascii="Arial" w:cs="Arial" w:eastAsia="Arial" w:hAnsi="Arial"/>
          <w:sz w:val="10"/>
          <w:szCs w:val="10"/>
          <w:i w:val="1"/>
          <w:iCs w:val="1"/>
          <w:color w:val="auto"/>
        </w:rPr>
        <w:t>3</w:t>
      </w:r>
      <w:r>
        <w:rPr>
          <w:rFonts w:ascii="Arial" w:cs="Arial" w:eastAsia="Arial" w:hAnsi="Arial"/>
          <w:sz w:val="15"/>
          <w:szCs w:val="15"/>
          <w:i w:val="1"/>
          <w:iCs w:val="1"/>
          <w:color w:val="auto"/>
        </w:rPr>
        <w:t>% sera requis.</w:t>
      </w:r>
    </w:p>
    <w:p>
      <w:pPr>
        <w:spacing w:after="0" w:line="4" w:lineRule="exact"/>
        <w:rPr>
          <w:sz w:val="20"/>
          <w:szCs w:val="20"/>
          <w:color w:val="auto"/>
        </w:rPr>
      </w:pPr>
    </w:p>
    <w:p>
      <w:pPr>
        <w:ind w:left="1080" w:right="1219"/>
        <w:spacing w:after="0" w:line="244" w:lineRule="auto"/>
        <w:rPr>
          <w:sz w:val="20"/>
          <w:szCs w:val="20"/>
          <w:color w:val="auto"/>
        </w:rPr>
      </w:pPr>
      <w:r>
        <w:rPr>
          <w:rFonts w:ascii="Arial" w:cs="Arial" w:eastAsia="Arial" w:hAnsi="Arial"/>
          <w:sz w:val="15"/>
          <w:szCs w:val="15"/>
          <w:i w:val="1"/>
          <w:iCs w:val="1"/>
          <w:color w:val="auto"/>
        </w:rPr>
        <w:t>Lors de l’organisation d’une assemblée générale, le Conseil d’Administration peut, à son entière discrétion, permettre la participation par voie électronique selon les suivantes: (i) transmission en temps réel de l’assemblée générale; (ii) communication dans les deux sens en temps réel permettant aux actionnaires de s’adresser à l’assemblée générale à distance; ou (iii) mécanisme permettant de voter, avant ou pendant l’assemblée générale, sans qu’il soit nécessaire de nommer un mandataire physiquement présent à l’assemblée.</w:t>
      </w:r>
    </w:p>
    <w:p>
      <w:pPr>
        <w:spacing w:after="0" w:line="97" w:lineRule="exact"/>
        <w:rPr>
          <w:sz w:val="20"/>
          <w:szCs w:val="20"/>
          <w:color w:val="auto"/>
        </w:rPr>
      </w:pPr>
    </w:p>
    <w:p>
      <w:pPr>
        <w:ind w:left="1080" w:right="1219"/>
        <w:spacing w:after="0" w:line="259" w:lineRule="auto"/>
        <w:rPr>
          <w:sz w:val="20"/>
          <w:szCs w:val="20"/>
          <w:color w:val="auto"/>
        </w:rPr>
      </w:pPr>
      <w:r>
        <w:rPr>
          <w:rFonts w:ascii="Arial" w:cs="Arial" w:eastAsia="Arial" w:hAnsi="Arial"/>
          <w:sz w:val="15"/>
          <w:szCs w:val="15"/>
          <w:i w:val="1"/>
          <w:iCs w:val="1"/>
          <w:color w:val="auto"/>
        </w:rPr>
        <w:t>Le Conseil d’Administration peut également déterminer que les actionnaires peuvent voter à distance par correspondance en remplissant un formulaire de vote fourni par la Société qui comprend les informations suivantes:</w:t>
      </w:r>
    </w:p>
    <w:p>
      <w:pPr>
        <w:spacing w:after="0" w:line="73" w:lineRule="exact"/>
        <w:rPr>
          <w:sz w:val="20"/>
          <w:szCs w:val="20"/>
          <w:color w:val="auto"/>
        </w:rPr>
      </w:pPr>
    </w:p>
    <w:p>
      <w:pPr>
        <w:ind w:left="1380" w:hanging="301"/>
        <w:spacing w:after="0"/>
        <w:tabs>
          <w:tab w:leader="none" w:pos="138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Le nom, l’adresse et toute autre information pertinente concernant l’actionnaire.</w:t>
      </w:r>
    </w:p>
    <w:p>
      <w:pPr>
        <w:spacing w:after="0" w:line="120" w:lineRule="exact"/>
        <w:rPr>
          <w:rFonts w:ascii="Arial" w:cs="Arial" w:eastAsia="Arial" w:hAnsi="Arial"/>
          <w:sz w:val="15"/>
          <w:szCs w:val="15"/>
          <w:i w:val="1"/>
          <w:iCs w:val="1"/>
          <w:u w:val="single" w:color="auto"/>
          <w:color w:val="0000FF"/>
        </w:rPr>
      </w:pPr>
    </w:p>
    <w:p>
      <w:pPr>
        <w:ind w:left="1380" w:hanging="301"/>
        <w:spacing w:after="0"/>
        <w:tabs>
          <w:tab w:leader="none" w:pos="138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Le nombre de votes que l’actionnaire souhaite émettre, le sens de ses votes ou son abstention.</w:t>
      </w:r>
    </w:p>
    <w:p>
      <w:pPr>
        <w:spacing w:after="0" w:line="109" w:lineRule="exact"/>
        <w:rPr>
          <w:rFonts w:ascii="Arial" w:cs="Arial" w:eastAsia="Arial" w:hAnsi="Arial"/>
          <w:sz w:val="15"/>
          <w:szCs w:val="15"/>
          <w:i w:val="1"/>
          <w:iCs w:val="1"/>
          <w:u w:val="single" w:color="auto"/>
          <w:color w:val="0000FF"/>
        </w:rPr>
      </w:pPr>
    </w:p>
    <w:p>
      <w:pPr>
        <w:ind w:left="1380" w:hanging="301"/>
        <w:spacing w:after="0"/>
        <w:tabs>
          <w:tab w:leader="none" w:pos="138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L’ordre du jour de l’assemblée contenant le projet de résolutions.</w:t>
      </w:r>
    </w:p>
    <w:p>
      <w:pPr>
        <w:spacing w:after="0" w:line="120" w:lineRule="exact"/>
        <w:rPr>
          <w:rFonts w:ascii="Arial" w:cs="Arial" w:eastAsia="Arial" w:hAnsi="Arial"/>
          <w:sz w:val="15"/>
          <w:szCs w:val="15"/>
          <w:i w:val="1"/>
          <w:iCs w:val="1"/>
          <w:u w:val="single" w:color="auto"/>
          <w:color w:val="0000FF"/>
        </w:rPr>
      </w:pPr>
    </w:p>
    <w:p>
      <w:pPr>
        <w:ind w:left="1380" w:right="1179" w:hanging="301"/>
        <w:spacing w:after="0" w:line="267" w:lineRule="auto"/>
        <w:tabs>
          <w:tab w:leader="none" w:pos="138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L’option de voter par procuration pour toute nouvelle résolution ou toute modification des résolutions dûment soumises à l’assemblée générale entre la date à laquelle l’actionnaire soumet son formulaire et la date de l’assemblée.</w:t>
      </w:r>
    </w:p>
    <w:p>
      <w:pPr>
        <w:spacing w:after="0" w:line="77" w:lineRule="exact"/>
        <w:rPr>
          <w:rFonts w:ascii="Arial" w:cs="Arial" w:eastAsia="Arial" w:hAnsi="Arial"/>
          <w:sz w:val="15"/>
          <w:szCs w:val="15"/>
          <w:i w:val="1"/>
          <w:iCs w:val="1"/>
          <w:u w:val="single" w:color="auto"/>
          <w:color w:val="0000FF"/>
        </w:rPr>
      </w:pPr>
    </w:p>
    <w:p>
      <w:pPr>
        <w:ind w:left="1380" w:hanging="301"/>
        <w:spacing w:after="0"/>
        <w:tabs>
          <w:tab w:leader="none" w:pos="138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de l’actionnaire.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-973455</wp:posOffset>
            </wp:positionV>
            <wp:extent cx="2540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100" w:lineRule="exact"/>
        <w:rPr>
          <w:sz w:val="20"/>
          <w:szCs w:val="20"/>
          <w:color w:val="auto"/>
        </w:rPr>
      </w:pPr>
    </w:p>
    <w:p>
      <w:pPr>
        <w:ind w:left="1080" w:right="1139"/>
        <w:spacing w:after="0" w:line="246" w:lineRule="auto"/>
        <w:rPr>
          <w:sz w:val="20"/>
          <w:szCs w:val="20"/>
          <w:color w:val="auto"/>
        </w:rPr>
      </w:pPr>
      <w:r>
        <w:rPr>
          <w:rFonts w:ascii="Arial" w:cs="Arial" w:eastAsia="Arial" w:hAnsi="Arial"/>
          <w:sz w:val="15"/>
          <w:szCs w:val="15"/>
          <w:i w:val="1"/>
          <w:iCs w:val="1"/>
          <w:color w:val="auto"/>
        </w:rPr>
        <w:t>Un actionnaire utilisant un formulaire de vote et qui n’est pas directement inscrit dans le registre des actionnaires doit annexer au formulaire de vote une confirmation de sa détention à compter de la Date d’Enregistrement conformément aux présents Statuts. Une fois soumis à la Société, les formulaires de vote ne peuvent ni être récupérés ni annulés, sauf si un actionnaire a inclu une procuration pour voter dans les circonstances envisagées dans le quatrième point ci-dessus, alors l’actionnaire peut annuler cette procuration ou donner de nouvelles instructions de vote en tenant compte des éléments pertinents par notification écrite telle que décrite dans la convocation, avant la date spécifiée dans le formulaire de vote.</w:t>
      </w:r>
    </w:p>
    <w:p>
      <w:pPr>
        <w:spacing w:after="0" w:line="96" w:lineRule="exact"/>
        <w:rPr>
          <w:sz w:val="20"/>
          <w:szCs w:val="20"/>
          <w:color w:val="auto"/>
        </w:rPr>
      </w:pPr>
    </w:p>
    <w:p>
      <w:pPr>
        <w:ind w:left="1080" w:right="1119"/>
        <w:spacing w:after="0" w:line="251" w:lineRule="auto"/>
        <w:rPr>
          <w:sz w:val="20"/>
          <w:szCs w:val="20"/>
          <w:color w:val="auto"/>
        </w:rPr>
      </w:pPr>
      <w:r>
        <w:rPr>
          <w:rFonts w:ascii="Arial" w:cs="Arial" w:eastAsia="Arial" w:hAnsi="Arial"/>
          <w:sz w:val="15"/>
          <w:szCs w:val="15"/>
          <w:i w:val="1"/>
          <w:iCs w:val="1"/>
          <w:color w:val="auto"/>
        </w:rPr>
        <w:t>Tout actionnaire qui participe à une assemblée générale de la Société par les moyens qui précèdent est réputé présent, sera pris en compte lors de la détermination du quorum et aura le droit de voter sur tous les points de l’ordre du jour de l’assemblée générale.</w:t>
      </w:r>
    </w:p>
    <w:p>
      <w:pPr>
        <w:spacing w:after="0" w:line="90" w:lineRule="exact"/>
        <w:rPr>
          <w:sz w:val="20"/>
          <w:szCs w:val="20"/>
          <w:color w:val="auto"/>
        </w:rPr>
      </w:pPr>
    </w:p>
    <w:p>
      <w:pPr>
        <w:ind w:left="1080" w:right="1479"/>
        <w:spacing w:after="0" w:line="259" w:lineRule="auto"/>
        <w:rPr>
          <w:sz w:val="20"/>
          <w:szCs w:val="20"/>
          <w:color w:val="auto"/>
        </w:rPr>
      </w:pPr>
      <w:r>
        <w:rPr>
          <w:rFonts w:ascii="Arial" w:cs="Arial" w:eastAsia="Arial" w:hAnsi="Arial"/>
          <w:sz w:val="15"/>
          <w:szCs w:val="15"/>
          <w:i w:val="1"/>
          <w:iCs w:val="1"/>
          <w:color w:val="auto"/>
        </w:rPr>
        <w:t>Le Conseil d’Administration peut adopter tout règlement et règle concernant la participation des actionnaires aux assemblées générales conformément à la Loi, y compris en ce qui concerne l’identification des actionnaires, les mandataires et la sécurité des communications électroniques.</w:t>
      </w:r>
    </w:p>
    <w:p>
      <w:pPr>
        <w:spacing w:after="0" w:line="82" w:lineRule="exact"/>
        <w:rPr>
          <w:sz w:val="20"/>
          <w:szCs w:val="20"/>
          <w:color w:val="auto"/>
        </w:rPr>
      </w:pPr>
    </w:p>
    <w:p>
      <w:pPr>
        <w:ind w:left="1080" w:right="1099"/>
        <w:spacing w:after="0" w:line="248" w:lineRule="auto"/>
        <w:rPr>
          <w:sz w:val="20"/>
          <w:szCs w:val="20"/>
          <w:color w:val="auto"/>
        </w:rPr>
      </w:pPr>
      <w:r>
        <w:rPr>
          <w:rFonts w:ascii="Arial" w:cs="Arial" w:eastAsia="Arial" w:hAnsi="Arial"/>
          <w:sz w:val="15"/>
          <w:szCs w:val="15"/>
          <w:color w:val="FF0000"/>
          <w:strike w:val="1"/>
        </w:rPr>
        <w:t>Toute résolution ayant pour objet de modifier les présents Statuts, de modifier la nationalité ou dont l’adoption est assujettie en vertu de présents Statuts ou, selon le cas, par la Loi aux conditions de quorum et de majorité fixées pour la modification des Statuts sera prise par les deux tiers des actionnaires représentant au moins la moitié du capital social émis de la Société.</w:t>
      </w:r>
    </w:p>
    <w:p>
      <w:pPr>
        <w:spacing w:after="0" w:line="269" w:lineRule="exact"/>
        <w:rPr>
          <w:sz w:val="20"/>
          <w:szCs w:val="20"/>
          <w:color w:val="auto"/>
        </w:rPr>
      </w:pPr>
    </w:p>
    <w:p>
      <w:pPr>
        <w:ind w:left="1080" w:right="1139"/>
        <w:spacing w:after="0" w:line="283" w:lineRule="auto"/>
        <w:rPr>
          <w:sz w:val="20"/>
          <w:szCs w:val="20"/>
          <w:color w:val="auto"/>
        </w:rPr>
      </w:pPr>
      <w:r>
        <w:rPr>
          <w:rFonts w:ascii="Arial" w:cs="Arial" w:eastAsia="Arial" w:hAnsi="Arial"/>
          <w:sz w:val="15"/>
          <w:szCs w:val="15"/>
          <w:i w:val="1"/>
          <w:iCs w:val="1"/>
          <w:color w:val="auto"/>
        </w:rPr>
        <w:t>Les engagements des actionnaires ne peuvent être augmentés qu’avec le consentement unanime des actionnaires.</w:t>
      </w:r>
    </w:p>
    <w:p>
      <w:pPr>
        <w:spacing w:after="0" w:line="78" w:lineRule="exact"/>
        <w:rPr>
          <w:sz w:val="20"/>
          <w:szCs w:val="20"/>
          <w:color w:val="auto"/>
        </w:rPr>
      </w:pPr>
    </w:p>
    <w:p>
      <w:pPr>
        <w:ind w:left="1080" w:right="1299"/>
        <w:spacing w:after="0" w:line="259" w:lineRule="auto"/>
        <w:rPr>
          <w:sz w:val="20"/>
          <w:szCs w:val="20"/>
          <w:color w:val="auto"/>
        </w:rPr>
      </w:pPr>
      <w:r>
        <w:rPr>
          <w:rFonts w:ascii="Arial" w:cs="Arial" w:eastAsia="Arial" w:hAnsi="Arial"/>
          <w:sz w:val="15"/>
          <w:szCs w:val="15"/>
          <w:i w:val="1"/>
          <w:iCs w:val="1"/>
          <w:color w:val="auto"/>
        </w:rPr>
        <w:t>Les actionnaires représentant un minimum de dix pour cent (10%) du capital social de la société peuvent demander par écrit que des points supplémentaires soient ajoutés à l’ordre du jour de toute assemblée générale.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1" w:name="page82"/>
    <w:bookmarkEnd w:id="81"/>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1219"/>
        <w:spacing w:after="0" w:line="283" w:lineRule="auto"/>
        <w:rPr>
          <w:sz w:val="20"/>
          <w:szCs w:val="20"/>
          <w:color w:val="auto"/>
        </w:rPr>
      </w:pPr>
      <w:r>
        <w:rPr>
          <w:rFonts w:ascii="Arial" w:cs="Arial" w:eastAsia="Arial" w:hAnsi="Arial"/>
          <w:sz w:val="15"/>
          <w:szCs w:val="15"/>
          <w:i w:val="1"/>
          <w:iCs w:val="1"/>
          <w:color w:val="auto"/>
        </w:rPr>
        <w:t>Une telle requête doit être adressée au siège social de la Société par courrier recommandé au moins cinq (5) jours avant la date à laquelle l’assemblée générale doit être tenue.</w:t>
      </w:r>
    </w:p>
    <w:p>
      <w:pPr>
        <w:spacing w:after="0" w:line="78" w:lineRule="exact"/>
        <w:rPr>
          <w:sz w:val="20"/>
          <w:szCs w:val="20"/>
          <w:color w:val="auto"/>
        </w:rPr>
      </w:pPr>
    </w:p>
    <w:p>
      <w:pPr>
        <w:ind w:left="1080" w:right="1139"/>
        <w:spacing w:after="0" w:line="267" w:lineRule="auto"/>
        <w:rPr>
          <w:sz w:val="20"/>
          <w:szCs w:val="20"/>
          <w:color w:val="auto"/>
        </w:rPr>
      </w:pPr>
      <w:r>
        <w:rPr>
          <w:rFonts w:ascii="Arial" w:cs="Arial" w:eastAsia="Arial" w:hAnsi="Arial"/>
          <w:sz w:val="15"/>
          <w:szCs w:val="15"/>
          <w:i w:val="1"/>
          <w:iCs w:val="1"/>
          <w:color w:val="auto"/>
        </w:rPr>
        <w:t>Si tous les actionnaires sont présents ou représentés à l’assemblée générale des actionnaires et déclarent avoir eu connaissance de l’ordre du jour de l’assemblée, l’assemblée pourra être tenue sans convocation préalable.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Un vote est attaché à chaque action.</w:t>
      </w:r>
    </w:p>
    <w:p>
      <w:pPr>
        <w:spacing w:after="0" w:line="120" w:lineRule="exact"/>
        <w:rPr>
          <w:sz w:val="20"/>
          <w:szCs w:val="20"/>
          <w:color w:val="auto"/>
        </w:rPr>
      </w:pPr>
    </w:p>
    <w:p>
      <w:pPr>
        <w:ind w:left="1080" w:right="1259"/>
        <w:spacing w:after="0" w:line="283" w:lineRule="auto"/>
        <w:rPr>
          <w:sz w:val="20"/>
          <w:szCs w:val="20"/>
          <w:color w:val="auto"/>
        </w:rPr>
      </w:pPr>
      <w:r>
        <w:rPr>
          <w:rFonts w:ascii="Arial" w:cs="Arial" w:eastAsia="Arial" w:hAnsi="Arial"/>
          <w:sz w:val="15"/>
          <w:szCs w:val="15"/>
          <w:i w:val="1"/>
          <w:iCs w:val="1"/>
          <w:color w:val="auto"/>
        </w:rPr>
        <w:t>Les copies ou les extraits des procès-verbaux de l’assemblée générale des actionnaires doivent être certifiées par le Président ou par le Secrétaire.</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Chapitre V. Année Sociale, Répartition des Bénéfices</w:t>
      </w:r>
    </w:p>
    <w:p>
      <w:pPr>
        <w:spacing w:after="0" w:line="132" w:lineRule="exact"/>
        <w:rPr>
          <w:sz w:val="20"/>
          <w:szCs w:val="20"/>
          <w:color w:val="auto"/>
        </w:rPr>
      </w:pPr>
    </w:p>
    <w:p>
      <w:pPr>
        <w:ind w:left="1080" w:right="1179"/>
        <w:spacing w:after="0" w:line="286" w:lineRule="auto"/>
        <w:rPr>
          <w:sz w:val="20"/>
          <w:szCs w:val="20"/>
          <w:color w:val="auto"/>
        </w:rPr>
      </w:pPr>
      <w:r>
        <w:rPr>
          <w:rFonts w:ascii="Arial" w:cs="Arial" w:eastAsia="Arial" w:hAnsi="Arial"/>
          <w:sz w:val="15"/>
          <w:szCs w:val="15"/>
          <w:b w:val="1"/>
          <w:bCs w:val="1"/>
          <w:i w:val="1"/>
          <w:iCs w:val="1"/>
          <w:color w:val="auto"/>
        </w:rPr>
        <w:t xml:space="preserve">Art. 24. Année Sociale. </w:t>
      </w:r>
      <w:r>
        <w:rPr>
          <w:rFonts w:ascii="Arial" w:cs="Arial" w:eastAsia="Arial" w:hAnsi="Arial"/>
          <w:sz w:val="15"/>
          <w:szCs w:val="15"/>
          <w:i w:val="1"/>
          <w:iCs w:val="1"/>
          <w:color w:val="auto"/>
        </w:rPr>
        <w:t>L’année sociale de la Société commence le premier jour du mois de Janvier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et finit le dernier jour du mois de Décembre de chaque année.</w:t>
      </w:r>
    </w:p>
    <w:p>
      <w:pPr>
        <w:spacing w:after="0" w:line="73" w:lineRule="exact"/>
        <w:rPr>
          <w:sz w:val="20"/>
          <w:szCs w:val="20"/>
          <w:color w:val="auto"/>
        </w:rPr>
      </w:pPr>
    </w:p>
    <w:p>
      <w:pPr>
        <w:ind w:left="1080" w:right="1339"/>
        <w:spacing w:after="0" w:line="268" w:lineRule="auto"/>
        <w:rPr>
          <w:sz w:val="20"/>
          <w:szCs w:val="20"/>
          <w:color w:val="auto"/>
        </w:rPr>
      </w:pPr>
      <w:r>
        <w:rPr>
          <w:rFonts w:ascii="Arial" w:cs="Arial" w:eastAsia="Arial" w:hAnsi="Arial"/>
          <w:sz w:val="15"/>
          <w:szCs w:val="15"/>
          <w:b w:val="1"/>
          <w:bCs w:val="1"/>
          <w:i w:val="1"/>
          <w:iCs w:val="1"/>
          <w:color w:val="auto"/>
        </w:rPr>
        <w:t xml:space="preserve">Art. 25. Approbation des Comptes Annuels. </w:t>
      </w:r>
      <w:r>
        <w:rPr>
          <w:rFonts w:ascii="Arial" w:cs="Arial" w:eastAsia="Arial" w:hAnsi="Arial"/>
          <w:sz w:val="15"/>
          <w:szCs w:val="15"/>
          <w:i w:val="1"/>
          <w:iCs w:val="1"/>
          <w:color w:val="auto"/>
        </w:rPr>
        <w:t>A la fin de chaque année sociale, les comptes sont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clôturés et le Conseil d’Administration dresse un inventaire des actifs et des passifs, le bilan et le compte de résultat conformément à la Loi.</w:t>
      </w:r>
    </w:p>
    <w:p>
      <w:pPr>
        <w:spacing w:after="0" w:line="78" w:lineRule="exact"/>
        <w:rPr>
          <w:sz w:val="20"/>
          <w:szCs w:val="20"/>
          <w:color w:val="auto"/>
        </w:rPr>
      </w:pPr>
    </w:p>
    <w:p>
      <w:pPr>
        <w:ind w:left="1080" w:right="1899"/>
        <w:spacing w:after="0" w:line="283" w:lineRule="auto"/>
        <w:rPr>
          <w:sz w:val="20"/>
          <w:szCs w:val="20"/>
          <w:color w:val="auto"/>
        </w:rPr>
      </w:pPr>
      <w:r>
        <w:rPr>
          <w:rFonts w:ascii="Arial" w:cs="Arial" w:eastAsia="Arial" w:hAnsi="Arial"/>
          <w:sz w:val="15"/>
          <w:szCs w:val="15"/>
          <w:i w:val="1"/>
          <w:iCs w:val="1"/>
          <w:color w:val="auto"/>
        </w:rPr>
        <w:t>Le bilan et le compte de résultat sont soumis à l’assemblée générale des actionnaires pour approbation.</w:t>
      </w:r>
    </w:p>
    <w:p>
      <w:pPr>
        <w:spacing w:after="0" w:line="76" w:lineRule="exact"/>
        <w:rPr>
          <w:sz w:val="20"/>
          <w:szCs w:val="20"/>
          <w:color w:val="auto"/>
        </w:rPr>
      </w:pPr>
    </w:p>
    <w:p>
      <w:pPr>
        <w:ind w:left="1080" w:right="1179"/>
        <w:spacing w:after="0" w:line="262" w:lineRule="auto"/>
        <w:rPr>
          <w:sz w:val="20"/>
          <w:szCs w:val="20"/>
          <w:color w:val="auto"/>
        </w:rPr>
      </w:pPr>
      <w:r>
        <w:rPr>
          <w:rFonts w:ascii="Arial" w:cs="Arial" w:eastAsia="Arial" w:hAnsi="Arial"/>
          <w:sz w:val="15"/>
          <w:szCs w:val="15"/>
          <w:b w:val="1"/>
          <w:bCs w:val="1"/>
          <w:i w:val="1"/>
          <w:iCs w:val="1"/>
          <w:color w:val="auto"/>
        </w:rPr>
        <w:t xml:space="preserve">Art. 26. </w:t>
      </w:r>
      <w:r>
        <w:rPr>
          <w:rFonts w:ascii="Arial" w:cs="Arial" w:eastAsia="Arial" w:hAnsi="Arial"/>
          <w:sz w:val="15"/>
          <w:szCs w:val="15"/>
          <w:i w:val="1"/>
          <w:iCs w:val="1"/>
          <w:color w:val="auto"/>
        </w:rPr>
        <w:t>Affectation des Bénéfices. Sur les bénéfices nets de la Société il sera prélevé cinq pour cent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(5 %) pour la formation d’un fonds de réserve légale. Ce prélèvement cesse d’être obligatoire lorsque et aussi longtemps que la réserve légale atteindra dix pour cent (10%) du capital social émis de la Société.</w:t>
      </w:r>
    </w:p>
    <w:p>
      <w:pPr>
        <w:spacing w:after="0" w:line="94" w:lineRule="exact"/>
        <w:rPr>
          <w:sz w:val="20"/>
          <w:szCs w:val="20"/>
          <w:color w:val="auto"/>
        </w:rPr>
      </w:pPr>
    </w:p>
    <w:p>
      <w:pPr>
        <w:ind w:left="1080" w:right="1119"/>
        <w:spacing w:after="0" w:line="261" w:lineRule="auto"/>
        <w:rPr>
          <w:sz w:val="20"/>
          <w:szCs w:val="20"/>
          <w:color w:val="auto"/>
        </w:rPr>
      </w:pPr>
      <w:r>
        <w:rPr>
          <w:rFonts w:ascii="Arial" w:cs="Arial" w:eastAsia="Arial" w:hAnsi="Arial"/>
          <w:sz w:val="15"/>
          <w:szCs w:val="15"/>
          <w:i w:val="1"/>
          <w:iCs w:val="1"/>
          <w:color w:val="auto"/>
        </w:rPr>
        <w:t>Sur recommandation du Conseil d’Administration, l’assemblée générale des actionnaires décide de l’affectation du solde des bénéfices annuels nets. Elle peut décider de verser la totalité ou une part du solde à un compte de réserve ou de provision, de le reporter à nouveau sur l’année financière suivante ou de le distribuer à l’/aux actionnaire(s) comme dividendes.</w:t>
      </w:r>
    </w:p>
    <w:p>
      <w:pPr>
        <w:spacing w:after="0" w:line="84"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i w:val="1"/>
          <w:iCs w:val="1"/>
          <w:color w:val="auto"/>
        </w:rPr>
        <w:t>Sous réserve des conditions fixées par la Loi et les présents Statuts, le Conseil d’Administration est autorisé à verser des acomptes sur dividendes. Le Conseil d’Administration, fixe le montant et la date du versement de ces acomptes sur dividendes. Toute prime d’émission, primes assimilées et autres réserves distribuables peuvent être distribuées librement aux actionnaires (également par acompte sur dividendes) par une résolution des actionnaires ou du Conseil d’Administration, sous réserve des dispositions de la Loi et des présents Statuts.</w:t>
      </w:r>
    </w:p>
    <w:p>
      <w:pPr>
        <w:spacing w:after="0" w:line="152"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Chapitre VI. Dissolution, Liquidation</w:t>
      </w:r>
    </w:p>
    <w:p>
      <w:pPr>
        <w:spacing w:after="0" w:line="132" w:lineRule="exact"/>
        <w:rPr>
          <w:sz w:val="20"/>
          <w:szCs w:val="20"/>
          <w:color w:val="auto"/>
        </w:rPr>
      </w:pPr>
    </w:p>
    <w:p>
      <w:pPr>
        <w:ind w:left="1080" w:right="1099"/>
        <w:spacing w:after="0" w:line="262" w:lineRule="auto"/>
        <w:rPr>
          <w:sz w:val="20"/>
          <w:szCs w:val="20"/>
          <w:color w:val="auto"/>
        </w:rPr>
      </w:pPr>
      <w:r>
        <w:rPr>
          <w:rFonts w:ascii="Arial" w:cs="Arial" w:eastAsia="Arial" w:hAnsi="Arial"/>
          <w:sz w:val="15"/>
          <w:szCs w:val="15"/>
          <w:b w:val="1"/>
          <w:bCs w:val="1"/>
          <w:i w:val="1"/>
          <w:iCs w:val="1"/>
          <w:color w:val="auto"/>
        </w:rPr>
        <w:t xml:space="preserve">Art. 27. Dissolution, Liquidation. </w:t>
      </w:r>
      <w:r>
        <w:rPr>
          <w:rFonts w:ascii="Arial" w:cs="Arial" w:eastAsia="Arial" w:hAnsi="Arial"/>
          <w:sz w:val="15"/>
          <w:szCs w:val="15"/>
          <w:i w:val="1"/>
          <w:iCs w:val="1"/>
          <w:color w:val="auto"/>
        </w:rPr>
        <w:t>Sur approbation affirmative du Conseil d’Administration, la Société</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peut être dissoute par une décision de l’assemblée générale des actionnaires délibérant aux mêmes conditions de quorum et de majorité que celles exigées pour la modification des Statuts, sauf dispositions contraires de la Loi.</w:t>
      </w:r>
    </w:p>
    <w:p>
      <w:pPr>
        <w:spacing w:after="0" w:line="94" w:lineRule="exact"/>
        <w:rPr>
          <w:sz w:val="20"/>
          <w:szCs w:val="20"/>
          <w:color w:val="auto"/>
        </w:rPr>
      </w:pPr>
    </w:p>
    <w:p>
      <w:pPr>
        <w:ind w:left="1080" w:right="1319"/>
        <w:spacing w:after="0" w:line="267" w:lineRule="auto"/>
        <w:rPr>
          <w:sz w:val="20"/>
          <w:szCs w:val="20"/>
          <w:color w:val="auto"/>
        </w:rPr>
      </w:pPr>
      <w:r>
        <w:rPr>
          <w:rFonts w:ascii="Arial" w:cs="Arial" w:eastAsia="Arial" w:hAnsi="Arial"/>
          <w:sz w:val="15"/>
          <w:szCs w:val="15"/>
          <w:i w:val="1"/>
          <w:iCs w:val="1"/>
          <w:color w:val="auto"/>
        </w:rPr>
        <w:t>En cas de dissolution de la Société, la liquidation s’effectuera par les soins d’un ou de plusieurs liquidateurs (personnes physiques ou morales), nommés par l’assemblée générale des actionnaires qui déterminera leurs pouvoirs et leurs rémunérations.</w:t>
      </w:r>
    </w:p>
    <w:p>
      <w:pPr>
        <w:spacing w:after="0" w:line="78" w:lineRule="exact"/>
        <w:rPr>
          <w:sz w:val="20"/>
          <w:szCs w:val="20"/>
          <w:color w:val="auto"/>
        </w:rPr>
      </w:pPr>
    </w:p>
    <w:p>
      <w:pPr>
        <w:ind w:left="1080" w:right="1179"/>
        <w:spacing w:after="0" w:line="267" w:lineRule="auto"/>
        <w:rPr>
          <w:sz w:val="20"/>
          <w:szCs w:val="20"/>
          <w:color w:val="auto"/>
        </w:rPr>
      </w:pPr>
      <w:r>
        <w:rPr>
          <w:rFonts w:ascii="Arial" w:cs="Arial" w:eastAsia="Arial" w:hAnsi="Arial"/>
          <w:sz w:val="15"/>
          <w:szCs w:val="15"/>
          <w:i w:val="1"/>
          <w:iCs w:val="1"/>
          <w:color w:val="auto"/>
        </w:rPr>
        <w:t>Après paiement de toutes les dettes et charges de la Société, tous les taxes et frais de liquidation compris, l’actif net restant sera reparti équitablement entre tous les actionnaires au prorata du nombre d’Actions qu’ils détiennent.</w:t>
      </w:r>
    </w:p>
    <w:p>
      <w:pPr>
        <w:spacing w:after="0" w:line="89" w:lineRule="exact"/>
        <w:rPr>
          <w:sz w:val="20"/>
          <w:szCs w:val="20"/>
          <w:color w:val="auto"/>
        </w:rPr>
      </w:pPr>
    </w:p>
    <w:p>
      <w:pPr>
        <w:ind w:left="1080" w:right="1139"/>
        <w:spacing w:after="0" w:line="261" w:lineRule="auto"/>
        <w:rPr>
          <w:sz w:val="20"/>
          <w:szCs w:val="20"/>
          <w:color w:val="auto"/>
        </w:rPr>
      </w:pPr>
      <w:r>
        <w:rPr>
          <w:rFonts w:ascii="Arial" w:cs="Arial" w:eastAsia="Arial" w:hAnsi="Arial"/>
          <w:sz w:val="15"/>
          <w:szCs w:val="15"/>
          <w:i w:val="1"/>
          <w:iCs w:val="1"/>
          <w:color w:val="auto"/>
        </w:rPr>
        <w:t>La demande de dissolution de la Société pour une juste cause peut toutefois être faite devant le tribunal. Sauf en cas de dissolution par ordonnance du tribunal, la dissolution de la Société ne peut avoir lieu qu’en vertu d’une résolution adoptée par l’assemblée générale conformément aux articles 22 et 23.</w:t>
      </w:r>
    </w:p>
    <w:p>
      <w:pPr>
        <w:spacing w:after="0" w:line="149"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Chapitre VII. Loi applicable</w:t>
      </w:r>
    </w:p>
    <w:p>
      <w:pPr>
        <w:spacing w:after="0" w:line="132" w:lineRule="exact"/>
        <w:rPr>
          <w:sz w:val="20"/>
          <w:szCs w:val="20"/>
          <w:color w:val="auto"/>
        </w:rPr>
      </w:pPr>
    </w:p>
    <w:p>
      <w:pPr>
        <w:ind w:left="1080" w:right="1339"/>
        <w:spacing w:after="0" w:line="286" w:lineRule="auto"/>
        <w:rPr>
          <w:sz w:val="20"/>
          <w:szCs w:val="20"/>
          <w:color w:val="auto"/>
        </w:rPr>
      </w:pPr>
      <w:r>
        <w:rPr>
          <w:rFonts w:ascii="Arial" w:cs="Arial" w:eastAsia="Arial" w:hAnsi="Arial"/>
          <w:sz w:val="15"/>
          <w:szCs w:val="15"/>
          <w:b w:val="1"/>
          <w:bCs w:val="1"/>
          <w:i w:val="1"/>
          <w:iCs w:val="1"/>
          <w:color w:val="auto"/>
        </w:rPr>
        <w:t xml:space="preserve">Art. 28. Loi applicable. </w:t>
      </w:r>
      <w:r>
        <w:rPr>
          <w:rFonts w:ascii="Arial" w:cs="Arial" w:eastAsia="Arial" w:hAnsi="Arial"/>
          <w:sz w:val="15"/>
          <w:szCs w:val="15"/>
          <w:i w:val="1"/>
          <w:iCs w:val="1"/>
          <w:color w:val="auto"/>
        </w:rPr>
        <w:t>Toutes les matières qui ne sont pas régies par les présents Statuts seront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réglées conformément au droit du Luxembourg.</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2" w:name="page83"/>
    <w:bookmarkEnd w:id="8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FF0000"/>
          <w:strike w:val="1"/>
        </w:rPr>
        <w:t>POUR STATUTS COORDONNES,</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FF0000"/>
          <w:strike w:val="1"/>
        </w:rPr>
        <w:t>Ettelbruck, le 4 mars 2025</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FF0000"/>
          <w:strike w:val="1"/>
        </w:rPr>
        <w:t>Le notaire (s.): Marc ELVINGER</w:t>
      </w:r>
    </w:p>
    <w:p>
      <w:pPr>
        <w:spacing w:after="0" w:line="91" w:lineRule="exact"/>
        <w:rPr>
          <w:sz w:val="20"/>
          <w:szCs w:val="20"/>
          <w:color w:val="auto"/>
        </w:rPr>
      </w:pPr>
    </w:p>
    <w:p>
      <w:pPr>
        <w:ind w:left="1080" w:right="1359"/>
        <w:spacing w:after="0" w:line="297" w:lineRule="auto"/>
        <w:rPr>
          <w:sz w:val="20"/>
          <w:szCs w:val="20"/>
          <w:color w:val="auto"/>
        </w:rPr>
      </w:pPr>
      <w:r>
        <w:rPr>
          <w:rFonts w:ascii="Arial" w:cs="Arial" w:eastAsia="Arial" w:hAnsi="Arial"/>
          <w:sz w:val="15"/>
          <w:szCs w:val="15"/>
          <w:color w:val="FF0000"/>
          <w:strike w:val="1"/>
        </w:rPr>
        <w:t xml:space="preserve">In case of discrepancies between the English and the French text, </w:t>
      </w:r>
      <w:r>
        <w:rPr>
          <w:rFonts w:ascii="Arial" w:cs="Arial" w:eastAsia="Arial" w:hAnsi="Arial"/>
          <w:sz w:val="15"/>
          <w:szCs w:val="15"/>
          <w:b w:val="1"/>
          <w:bCs w:val="1"/>
          <w:color w:val="FF0000"/>
          <w:strike w:val="1"/>
        </w:rPr>
        <w:t>the English version will</w:t>
      </w:r>
      <w:r>
        <w:rPr>
          <w:rFonts w:ascii="Arial" w:cs="Arial" w:eastAsia="Arial" w:hAnsi="Arial"/>
          <w:sz w:val="15"/>
          <w:szCs w:val="15"/>
          <w:color w:val="FF0000"/>
          <w:strike w:val="1"/>
        </w:rPr>
        <w:t xml:space="preserve"> </w:t>
      </w:r>
      <w:r>
        <w:rPr>
          <w:rFonts w:ascii="Arial" w:cs="Arial" w:eastAsia="Arial" w:hAnsi="Arial"/>
          <w:sz w:val="15"/>
          <w:szCs w:val="15"/>
          <w:b w:val="1"/>
          <w:bCs w:val="1"/>
          <w:color w:val="FF0000"/>
          <w:strike w:val="1"/>
        </w:rPr>
        <w:t>prevail.</w:t>
      </w:r>
    </w:p>
    <w:p>
      <w:pPr>
        <w:spacing w:after="0" w:line="58"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FF0000"/>
          <w:strike w:val="1"/>
        </w:rPr>
        <w:t xml:space="preserve">En cas de divergences entre le texte anglais et le texte français, </w:t>
      </w:r>
      <w:r>
        <w:rPr>
          <w:rFonts w:ascii="Arial" w:cs="Arial" w:eastAsia="Arial" w:hAnsi="Arial"/>
          <w:sz w:val="15"/>
          <w:szCs w:val="15"/>
          <w:b w:val="1"/>
          <w:bCs w:val="1"/>
          <w:color w:val="FF0000"/>
          <w:strike w:val="1"/>
        </w:rPr>
        <w:t>le texte anglais prévaudra.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5706745"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3" w:name="page84"/>
    <w:bookmarkEnd w:id="83"/>
    <w:p>
      <w:pPr>
        <w:ind w:left="40"/>
        <w:spacing w:after="0"/>
        <w:rPr>
          <w:sz w:val="20"/>
          <w:szCs w:val="20"/>
          <w:color w:val="auto"/>
        </w:rPr>
      </w:pPr>
      <w:r>
        <w:rPr>
          <w:rFonts w:ascii="Calibri" w:cs="Calibri" w:eastAsia="Calibri" w:hAnsi="Calibri"/>
          <w:sz w:val="12"/>
          <w:szCs w:val="12"/>
          <w:color w:val="003366"/>
        </w:rPr>
        <w:t>TABLE OF CONTENTS</w:t>
      </w:r>
    </w:p>
    <w:p>
      <w:pPr>
        <w:jc w:val="right"/>
        <w:ind w:right="4879"/>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53975</wp:posOffset>
            </wp:positionV>
            <wp:extent cx="4672330" cy="60458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672330" cy="60458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7282180</wp:posOffset>
            </wp:positionV>
            <wp:extent cx="5706745"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62" w:right="1440" w:bottom="1440" w:gutter="0" w:footer="0" w:header="0"/>
        </w:sectPr>
      </w:pPr>
    </w:p>
    <w:bookmarkStart w:id="84" w:name="page85"/>
    <w:bookmarkEnd w:id="84"/>
    <w:p>
      <w:pPr>
        <w:ind w:left="40"/>
        <w:spacing w:after="0"/>
        <w:rPr>
          <w:sz w:val="20"/>
          <w:szCs w:val="20"/>
          <w:color w:val="auto"/>
        </w:rPr>
      </w:pPr>
      <w:r>
        <w:rPr>
          <w:rFonts w:ascii="Calibri" w:cs="Calibri" w:eastAsia="Calibri" w:hAnsi="Calibri"/>
          <w:sz w:val="12"/>
          <w:szCs w:val="12"/>
          <w:color w:val="003366"/>
        </w:rPr>
        <w:t>TABLE OF CONTENTS</w:t>
      </w:r>
    </w:p>
    <w:p>
      <w:pPr>
        <w:jc w:val="right"/>
        <w:ind w:right="1219"/>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75565</wp:posOffset>
            </wp:positionV>
            <wp:extent cx="4672330" cy="60458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672330" cy="60458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7282180</wp:posOffset>
            </wp:positionV>
            <wp:extent cx="5706745"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62" w:right="1440" w:bottom="1440" w:gutter="0" w:footer="0" w:header="0"/>
        </w:sectPr>
      </w:pPr>
    </w:p>
    <w:bookmarkStart w:id="85" w:name="page86"/>
    <w:bookmarkEnd w:id="85"/>
    <w:p>
      <w:pPr>
        <w:ind w:left="40"/>
        <w:spacing w:after="0"/>
        <w:rPr>
          <w:sz w:val="20"/>
          <w:szCs w:val="20"/>
          <w:color w:val="auto"/>
        </w:rPr>
      </w:pPr>
      <w:r>
        <w:rPr>
          <w:rFonts w:ascii="Calibri" w:cs="Calibri" w:eastAsia="Calibri" w:hAnsi="Calibri"/>
          <w:sz w:val="12"/>
          <w:szCs w:val="12"/>
          <w:color w:val="003366"/>
        </w:rPr>
        <w:t>TABLE OF CONTENTS</w:t>
      </w:r>
    </w:p>
    <w:p>
      <w:pPr>
        <w:jc w:val="right"/>
        <w:ind w:right="6259"/>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53975</wp:posOffset>
            </wp:positionV>
            <wp:extent cx="4672330" cy="60458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672330" cy="60458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7282180</wp:posOffset>
            </wp:positionV>
            <wp:extent cx="5706745" cy="40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p>
      <w:pPr>
        <w:sectPr>
          <w:pgSz w:w="11900" w:h="16838" w:orient="portrait"/>
          <w:cols w:equalWidth="0" w:num="1">
            <w:col w:w="9019"/>
          </w:cols>
          <w:pgMar w:left="1440" w:top="62" w:right="1440" w:bottom="1440" w:gutter="0" w:footer="0" w:header="0"/>
        </w:sectPr>
      </w:pPr>
    </w:p>
    <w:bookmarkStart w:id="86" w:name="page87"/>
    <w:bookmarkEnd w:id="86"/>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201295</wp:posOffset>
            </wp:positionV>
            <wp:extent cx="4672330" cy="60458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672330" cy="60458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7364730</wp:posOffset>
            </wp:positionV>
            <wp:extent cx="5706745"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06745" cy="40005"/>
                    </a:xfrm>
                    <a:prstGeom prst="rect">
                      <a:avLst/>
                    </a:prstGeom>
                    <a:noFill/>
                  </pic:spPr>
                </pic:pic>
              </a:graphicData>
            </a:graphic>
          </wp:anchor>
        </w:drawing>
      </w:r>
    </w:p>
    <w:sectPr>
      <w:pgSz w:w="11900" w:h="16838" w:orient="portrait"/>
      <w:cols w:equalWidth="0" w:num="1">
        <w:col w:w="9019"/>
      </w:cols>
      <w:pgMar w:left="1440" w:top="1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3"/>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lowerRoman"/>
      <w:start w:val="2"/>
    </w:lvl>
  </w:abstractNum>
  <w:abstractNum w:abstractNumId="22">
    <w:nsid w:val="725A06FB"/>
    <w:multiLevelType w:val="hybridMultilevel"/>
    <w:lvl w:ilvl="0">
      <w:lvlJc w:val="left"/>
      <w:lvlText w:val="(%1)"/>
      <w:numFmt w:val="lowerRoman"/>
      <w:start w:val="2"/>
    </w:lvl>
  </w:abstractNum>
  <w:abstractNum w:abstractNumId="23">
    <w:nsid w:val="2CD89A32"/>
    <w:multiLevelType w:val="hybridMultilevel"/>
    <w:lvl w:ilvl="0">
      <w:lvlJc w:val="left"/>
      <w:lvlText w:val="(%1)"/>
      <w:numFmt w:val="decimal"/>
      <w:start w:val="10"/>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lowerRoman"/>
      <w:start w:val="6"/>
    </w:lvl>
  </w:abstractNum>
  <w:abstractNum w:abstractNumId="26">
    <w:nsid w:val="4B588F54"/>
    <w:multiLevelType w:val="hybridMultilevel"/>
    <w:lvl w:ilvl="0">
      <w:lvlJc w:val="left"/>
      <w:lvlText w:val="(%1)"/>
      <w:numFmt w:val="decimal"/>
      <w:start w:val="4"/>
    </w:lvl>
  </w:abstractNum>
  <w:abstractNum w:abstractNumId="27">
    <w:nsid w:val="542289EC"/>
    <w:multiLevelType w:val="hybridMultilevel"/>
    <w:lvl w:ilvl="0">
      <w:lvlJc w:val="left"/>
      <w:lvlText w:val="(%1)"/>
      <w:numFmt w:val="decimal"/>
    </w:lvl>
    <w:lvl w:ilvl="1">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6"/>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7"/>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2"/>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lowerRoman"/>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24"/>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lowerRoman"/>
      <w:start w:val="2"/>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à"/>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decimal"/>
      <w:start w:val="7"/>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2025-03-31T18:18:14Z</dcterms:created>
  <dcterms:modified xsi:type="dcterms:W3CDTF">2025-03-31T18:18:14Z</dcterms:modified>
</cp:coreProperties>
</file>