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SCHEDULE 14A INFORMATION</w:t>
      </w:r>
    </w:p>
    <w:p>
      <w:pPr>
        <w:spacing w:after="0" w:line="25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Proxy Statement Pursuant to Section 14(a) of the</w:t>
      </w: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167"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560" w:hanging="425"/>
        <w:spacing w:after="0"/>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0" w:lineRule="exact"/>
        <w:rPr>
          <w:rFonts w:ascii="Arial" w:cs="Arial" w:eastAsia="Arial" w:hAnsi="Arial"/>
          <w:sz w:val="18"/>
          <w:szCs w:val="18"/>
          <w:color w:val="auto"/>
        </w:rPr>
      </w:pPr>
    </w:p>
    <w:p>
      <w:pPr>
        <w:ind w:left="1560" w:hanging="425"/>
        <w:spacing w:after="0"/>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sz w:val="24"/>
          <w:szCs w:val="24"/>
          <w:color w:val="auto"/>
        </w:rPr>
      </w:pPr>
    </w:p>
    <w:p>
      <w:pPr>
        <w:ind w:left="1560" w:hanging="425"/>
        <w:spacing w:after="0"/>
        <w:tabs>
          <w:tab w:leader="none" w:pos="1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60" w:hanging="425"/>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60" w:hanging="425"/>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69215</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8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(Name of Registrant as Specified in its Charter)</w:t>
      </w:r>
    </w:p>
    <w:p>
      <w:pPr>
        <w:spacing w:after="0" w:line="21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69215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60" w:hanging="425"/>
        <w:spacing w:after="0"/>
        <w:tabs>
          <w:tab w:leader="none" w:pos="1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60" w:hanging="42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sz w:val="24"/>
          <w:szCs w:val="24"/>
          <w:color w:val="auto"/>
        </w:rPr>
      </w:pPr>
    </w:p>
    <w:p>
      <w:pPr>
        <w:ind w:left="1960" w:right="3939" w:hanging="825"/>
        <w:spacing w:after="0" w:line="239" w:lineRule="auto"/>
        <w:tabs>
          <w:tab w:leader="none" w:pos="1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 w:lineRule="exact"/>
        <w:rPr>
          <w:rFonts w:ascii="Arial" w:cs="Arial" w:eastAsia="Arial" w:hAnsi="Arial"/>
          <w:sz w:val="18"/>
          <w:szCs w:val="18"/>
          <w:color w:val="auto"/>
        </w:rPr>
      </w:pPr>
    </w:p>
    <w:p>
      <w:pPr>
        <w:ind w:left="1960" w:right="3579" w:hanging="825"/>
        <w:spacing w:after="0" w:line="239" w:lineRule="auto"/>
        <w:tabs>
          <w:tab w:leader="none" w:pos="1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 w:lineRule="exact"/>
        <w:rPr>
          <w:rFonts w:ascii="Arial" w:cs="Arial" w:eastAsia="Arial" w:hAnsi="Arial"/>
          <w:sz w:val="18"/>
          <w:szCs w:val="18"/>
          <w:color w:val="auto"/>
        </w:rPr>
      </w:pPr>
    </w:p>
    <w:p>
      <w:pPr>
        <w:ind w:left="1560" w:right="19" w:hanging="425"/>
        <w:spacing w:after="0" w:line="234"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4" w:lineRule="exact"/>
        <w:rPr>
          <w:rFonts w:ascii="Arial" w:cs="Arial" w:eastAsia="Arial" w:hAnsi="Arial"/>
          <w:sz w:val="18"/>
          <w:szCs w:val="18"/>
          <w:color w:val="auto"/>
        </w:rPr>
      </w:pPr>
    </w:p>
    <w:p>
      <w:pPr>
        <w:ind w:left="1560" w:hanging="42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-798830</wp:posOffset>
            </wp:positionV>
            <wp:extent cx="5426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607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-532765</wp:posOffset>
            </wp:positionV>
            <wp:extent cx="5426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607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-138430</wp:posOffset>
            </wp:positionV>
            <wp:extent cx="5426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-4445</wp:posOffset>
            </wp:positionV>
            <wp:extent cx="5426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ind w:left="1560" w:hanging="425"/>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6"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264" w:lineRule="exact"/>
        <w:rPr>
          <w:sz w:val="24"/>
          <w:szCs w:val="24"/>
          <w:color w:val="auto"/>
        </w:rPr>
      </w:pPr>
    </w:p>
    <w:p>
      <w:pPr>
        <w:ind w:left="2040" w:right="19" w:hanging="473"/>
        <w:spacing w:after="0" w:line="238" w:lineRule="auto"/>
        <w:tabs>
          <w:tab w:leader="none" w:pos="2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8"/>
          <w:szCs w:val="18"/>
          <w:color w:val="auto"/>
        </w:rPr>
      </w:pPr>
    </w:p>
    <w:p>
      <w:pPr>
        <w:ind w:left="1560" w:hanging="425"/>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-4445</wp:posOffset>
            </wp:positionV>
            <wp:extent cx="5426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ind w:left="1960" w:right="4919" w:hanging="825"/>
        <w:spacing w:after="0" w:line="239" w:lineRule="auto"/>
        <w:tabs>
          <w:tab w:leader="none" w:pos="157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 w:lineRule="exact"/>
        <w:rPr>
          <w:rFonts w:ascii="Arial" w:cs="Arial" w:eastAsia="Arial" w:hAnsi="Arial"/>
          <w:sz w:val="18"/>
          <w:szCs w:val="18"/>
          <w:color w:val="auto"/>
        </w:rPr>
      </w:pPr>
    </w:p>
    <w:p>
      <w:pPr>
        <w:ind w:left="1560" w:hanging="42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-138430</wp:posOffset>
            </wp:positionV>
            <wp:extent cx="5426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-4445</wp:posOffset>
            </wp:positionV>
            <wp:extent cx="5426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ind w:left="1960" w:right="7719" w:hanging="825"/>
        <w:spacing w:after="0" w:line="299" w:lineRule="auto"/>
        <w:tabs>
          <w:tab w:leader="none" w:pos="15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-35560</wp:posOffset>
            </wp:positionV>
            <wp:extent cx="5426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ectPr>
          <w:pgSz w:w="11900" w:h="16838" w:orient="portrait"/>
          <w:cols w:equalWidth="0" w:num="1">
            <w:col w:w="10139"/>
          </w:cols>
          <w:pgMar w:left="320" w:top="685" w:right="1440" w:bottom="147" w:gutter="0" w:footer="0" w:header="0"/>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132080</wp:posOffset>
            </wp:positionV>
            <wp:extent cx="170561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56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April 5,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Altisource Portfolio Solutions S.A. (the "Annual Meeting"), which will be held at the registered office of the Company located at 40, avenue Monterey, L-2163 Luxembourg City, Grand Duchy of Luxembourg on Tuesday, May 18, 2021, at 9:00 a.m. Central European Time. The accompanying materials provide details regarding admission to the Annual Meeting as well as the business to be conducted at the meeting.</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intend to hold the Annual Meeting in person, however, we are actively monitoring the protocols and restrictions that the Luxembourg government may implement in response to the COVID-19 pandemic that could prevent us from having an in-person meeting. If it is not possible to hold the Annual Meeting in person, or if we conclude that providing alternatives for access by remote communication is appropriate, we will announce alternative or additional arrangements as promptly as practicable, which may include conducting the Annual Meeting solely by means of remote attendance or conducting a hybrid Annual Meeting with alternatives for in-person or remote attendance. If you are planning to attend our Annual Meeting, please monitor protocols and restrictions implemented by the Luxembourg government and check our press releases at </w:t>
      </w:r>
      <w:r>
        <w:rPr>
          <w:rFonts w:ascii="Arial" w:cs="Arial" w:eastAsia="Arial" w:hAnsi="Arial"/>
          <w:sz w:val="18"/>
          <w:szCs w:val="18"/>
          <w:u w:val="single" w:color="auto"/>
          <w:color w:val="auto"/>
        </w:rPr>
        <w:t>http://ir.altisource.com/press-releases</w:t>
      </w:r>
      <w:r>
        <w:rPr>
          <w:rFonts w:ascii="Arial" w:cs="Arial" w:eastAsia="Arial" w:hAnsi="Arial"/>
          <w:sz w:val="18"/>
          <w:szCs w:val="18"/>
          <w:color w:val="auto"/>
        </w:rPr>
        <w:t xml:space="preserve"> for updated information.</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 or are limited to remote attendance.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08405" cy="419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jc w:val="center"/>
        <w:ind w:right="-19"/>
        <w:spacing w:after="0" w:line="234" w:lineRule="auto"/>
        <w:rPr>
          <w:sz w:val="20"/>
          <w:szCs w:val="20"/>
          <w:color w:val="auto"/>
        </w:rPr>
      </w:pPr>
      <w:r>
        <w:rPr>
          <w:rFonts w:ascii="Arial" w:cs="Arial" w:eastAsia="Arial" w:hAnsi="Arial"/>
          <w:sz w:val="18"/>
          <w:szCs w:val="18"/>
          <w:b w:val="1"/>
          <w:bCs w:val="1"/>
          <w:color w:val="auto"/>
        </w:rPr>
        <w:t>L-2163 Luxembourg City</w:t>
      </w:r>
    </w:p>
    <w:p>
      <w:pPr>
        <w:jc w:val="center"/>
        <w:ind w:right="-1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R.C.S. Luxembourg B 72 391</w:t>
      </w:r>
    </w:p>
    <w:p>
      <w:pPr>
        <w:spacing w:after="0" w:line="39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ind w:left="2200"/>
        <w:spacing w:after="0"/>
        <w:rPr>
          <w:sz w:val="20"/>
          <w:szCs w:val="20"/>
          <w:color w:val="auto"/>
        </w:rPr>
      </w:pPr>
      <w:r>
        <w:rPr>
          <w:rFonts w:ascii="Arial" w:cs="Arial" w:eastAsia="Arial" w:hAnsi="Arial"/>
          <w:sz w:val="18"/>
          <w:szCs w:val="18"/>
          <w:b w:val="1"/>
          <w:bCs w:val="1"/>
          <w:color w:val="auto"/>
        </w:rPr>
        <w:t>FOR THE ANNUAL MEETING OF SHAREHOLDERS TO BE HELD ON MAY 18,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18, 2021</w:t>
      </w:r>
    </w:p>
    <w:p>
      <w:pPr>
        <w:spacing w:after="0" w:line="21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0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 avenue Monterey</w:t>
      </w:r>
    </w:p>
    <w:p>
      <w:pPr>
        <w:ind w:left="1380"/>
        <w:spacing w:after="0" w:line="234"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ind w:left="1080" w:right="34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four (4) Directors to serve until the next annual meeting of shareholders or until their respective successors have been elected and qualified;</w:t>
      </w:r>
    </w:p>
    <w:p>
      <w:pPr>
        <w:spacing w:after="0" w:line="208" w:lineRule="exact"/>
        <w:rPr>
          <w:rFonts w:ascii="Arial" w:cs="Arial" w:eastAsia="Arial" w:hAnsi="Arial"/>
          <w:sz w:val="18"/>
          <w:szCs w:val="18"/>
          <w:color w:val="auto"/>
        </w:rPr>
      </w:pPr>
    </w:p>
    <w:p>
      <w:pPr>
        <w:jc w:val="both"/>
        <w:ind w:left="1080" w:right="22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2021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same period;</w:t>
      </w:r>
    </w:p>
    <w:p>
      <w:pPr>
        <w:spacing w:after="0" w:line="194"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Altisource Portfolio Solutions S.A.'s unconsolidated annual accounts prepared in accordance with accounting principles generally accepted in Luxembourg (the "Luxembourg Annual Accounts") for the year ended December 31, 2020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2020;</w:t>
      </w:r>
    </w:p>
    <w:p>
      <w:pPr>
        <w:spacing w:after="0" w:line="197" w:lineRule="exact"/>
        <w:rPr>
          <w:rFonts w:ascii="Arial" w:cs="Arial" w:eastAsia="Arial" w:hAnsi="Arial"/>
          <w:sz w:val="18"/>
          <w:szCs w:val="18"/>
          <w:color w:val="auto"/>
        </w:rPr>
      </w:pPr>
    </w:p>
    <w:p>
      <w:pPr>
        <w:ind w:left="1080" w:right="16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receive and approve the Directors' reports for the Luxembourg Statutory Accounts for the year ended December 31, 2020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2020;</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discharge each of the Directors of Altisource Portfolio Solutions S.A. for the performance of their mandates for the year ended December 31, 2020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 same period;</w:t>
      </w:r>
    </w:p>
    <w:p>
      <w:pPr>
        <w:spacing w:after="0" w:line="194" w:lineRule="exact"/>
        <w:rPr>
          <w:rFonts w:ascii="Arial" w:cs="Arial" w:eastAsia="Arial" w:hAnsi="Arial"/>
          <w:sz w:val="18"/>
          <w:szCs w:val="18"/>
          <w:color w:val="auto"/>
        </w:rPr>
      </w:pPr>
    </w:p>
    <w:p>
      <w:pPr>
        <w:ind w:left="1080" w:right="40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the proxy statement ("Say-on-Pay");</w:t>
      </w:r>
    </w:p>
    <w:p>
      <w:pPr>
        <w:spacing w:after="0" w:line="208"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the amendment of our 2009 Equity Incentive Plan (the "Plan") to increase the number of shares of common stock reserved for issuance under the Plan by an additional 1.7 million shares;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34" w:lineRule="exact"/>
        <w:rPr>
          <w:sz w:val="20"/>
          <w:szCs w:val="20"/>
          <w:color w:val="auto"/>
        </w:rPr>
      </w:pPr>
    </w:p>
    <w:p>
      <w:pPr>
        <w:ind w:left="1080" w:right="10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has fixed March 26, 2021 as the record date for the determination of shareholders entitled to notice of and to vote at the Annual Meeting.</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198"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6"/>
          <w:szCs w:val="16"/>
          <w:b w:val="1"/>
          <w:bCs w:val="1"/>
          <w:color w:val="auto"/>
        </w:rPr>
        <w:t>Even if you plan to attend the Annual Meeting, we</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 that you vote your shares in advance of the meeting pursuant to the instructions listed in the accompanying materials so that your vote will be counted if you are unable to attend or are limited to remote attendance.</w:t>
      </w:r>
    </w:p>
    <w:p>
      <w:pPr>
        <w:spacing w:after="0" w:line="172" w:lineRule="exact"/>
        <w:rPr>
          <w:rFonts w:ascii="Arial" w:cs="Arial" w:eastAsia="Arial" w:hAnsi="Arial"/>
          <w:sz w:val="16"/>
          <w:szCs w:val="16"/>
          <w:color w:val="auto"/>
        </w:rPr>
      </w:pPr>
    </w:p>
    <w:p>
      <w:pPr>
        <w:ind w:left="1080" w:right="280" w:hanging="532"/>
        <w:spacing w:after="0" w:line="27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proxy statement for our Annual Meeting and our annual report to shareholders on Form 10-K for the year ended December 31, 2020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accordance with Securities and Exchange Commission rules, you may also access our proxy statement and annual report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a website that does not identify or track visitors to the site, by entering the Control Number found on your Notice and Access Card, your proxy card or your email notification, as applicable.</w:t>
      </w:r>
    </w:p>
    <w:p>
      <w:pPr>
        <w:spacing w:after="0" w:line="185" w:lineRule="exact"/>
        <w:rPr>
          <w:rFonts w:ascii="Arial" w:cs="Arial" w:eastAsia="Arial" w:hAnsi="Arial"/>
          <w:sz w:val="16"/>
          <w:szCs w:val="16"/>
          <w:color w:val="auto"/>
        </w:rPr>
      </w:pPr>
    </w:p>
    <w:p>
      <w:pPr>
        <w:ind w:left="1080" w:right="160" w:hanging="532"/>
        <w:spacing w:after="0" w:line="21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197" w:lineRule="exact"/>
        <w:rPr>
          <w:rFonts w:ascii="Arial" w:cs="Arial" w:eastAsia="Arial" w:hAnsi="Arial"/>
          <w:sz w:val="18"/>
          <w:szCs w:val="18"/>
          <w:color w:val="auto"/>
        </w:rPr>
      </w:pPr>
    </w:p>
    <w:p>
      <w:pPr>
        <w:ind w:left="1080" w:right="120" w:hanging="532"/>
        <w:spacing w:after="0" w:line="23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the report of the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Consolidated Accounts and the report of the supervisory auditor (</w:t>
      </w:r>
      <w:r>
        <w:rPr>
          <w:rFonts w:ascii="Arial" w:cs="Arial" w:eastAsia="Arial" w:hAnsi="Arial"/>
          <w:sz w:val="18"/>
          <w:szCs w:val="18"/>
          <w:i w:val="1"/>
          <w:iCs w:val="1"/>
          <w:color w:val="auto"/>
        </w:rPr>
        <w:t>Commissaire aux</w:t>
      </w:r>
      <w:r>
        <w:rPr>
          <w:rFonts w:ascii="Arial" w:cs="Arial" w:eastAsia="Arial" w:hAnsi="Arial"/>
          <w:sz w:val="18"/>
          <w:szCs w:val="18"/>
          <w:color w:val="auto"/>
        </w:rPr>
        <w:t xml:space="preserve"> </w:t>
      </w:r>
      <w:r>
        <w:rPr>
          <w:rFonts w:ascii="Arial" w:cs="Arial" w:eastAsia="Arial" w:hAnsi="Arial"/>
          <w:sz w:val="18"/>
          <w:szCs w:val="18"/>
          <w:i w:val="1"/>
          <w:iCs w:val="1"/>
          <w:color w:val="auto"/>
        </w:rPr>
        <w:t>Comptes</w:t>
      </w:r>
      <w:r>
        <w:rPr>
          <w:rFonts w:ascii="Arial" w:cs="Arial" w:eastAsia="Arial" w:hAnsi="Arial"/>
          <w:sz w:val="18"/>
          <w:szCs w:val="18"/>
          <w:color w:val="auto"/>
        </w:rPr>
        <w:t>) for the Luxembourg Annual Accounts will be available for inspection at our registered office during business hours,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appointment, subject to sanitary limitations that may be imposed by the Luxembourg government, from May 4, 2021 until the conclusion of the Annual Meeting. Beginning May 4, 2021, copies will also be available to any shareholder who requests them by writing to our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226314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31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Gregory J. Ritts</w:t>
      </w: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pacing w:after="0"/>
        <w:rPr>
          <w:sz w:val="20"/>
          <w:szCs w:val="20"/>
          <w:color w:val="auto"/>
        </w:rPr>
      </w:pPr>
      <w:r>
        <w:rPr>
          <w:rFonts w:ascii="Arial" w:cs="Arial" w:eastAsia="Arial" w:hAnsi="Arial"/>
          <w:sz w:val="18"/>
          <w:szCs w:val="18"/>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PAGE</w:t>
            </w:r>
          </w:p>
        </w:tc>
      </w:tr>
      <w:tr>
        <w:trPr>
          <w:trHeight w:val="169"/>
        </w:trPr>
        <w:tc>
          <w:tcPr>
            <w:tcW w:w="1160" w:type="dxa"/>
            <w:vAlign w:val="bottom"/>
          </w:tcPr>
          <w:p>
            <w:pPr>
              <w:spacing w:after="0"/>
              <w:rPr>
                <w:sz w:val="14"/>
                <w:szCs w:val="14"/>
                <w:color w:val="auto"/>
              </w:rPr>
            </w:pPr>
          </w:p>
        </w:tc>
        <w:tc>
          <w:tcPr>
            <w:tcW w:w="1540" w:type="dxa"/>
            <w:vAlign w:val="bottom"/>
            <w:gridSpan w:val="3"/>
          </w:tcPr>
          <w:p>
            <w:pPr>
              <w:spacing w:after="0" w:line="169"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PROXY SUMMARY</w:t>
              </w:r>
            </w:hyperlink>
          </w:p>
        </w:tc>
        <w:tc>
          <w:tcPr>
            <w:tcW w:w="6780" w:type="dxa"/>
            <w:vAlign w:val="bottom"/>
            <w:gridSpan w:val="25"/>
          </w:tcPr>
          <w:p>
            <w:pPr>
              <w:spacing w:after="0"/>
              <w:rPr>
                <w:sz w:val="14"/>
                <w:szCs w:val="14"/>
                <w:color w:val="auto"/>
              </w:rPr>
            </w:pPr>
          </w:p>
        </w:tc>
        <w:tc>
          <w:tcPr>
            <w:tcW w:w="400" w:type="dxa"/>
            <w:vAlign w:val="bottom"/>
            <w:tcBorders>
              <w:top w:val="single" w:sz="8" w:color="auto"/>
            </w:tcBorders>
            <w:gridSpan w:val="4"/>
          </w:tcPr>
          <w:p>
            <w:pPr>
              <w:jc w:val="right"/>
              <w:ind w:right="60"/>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360" w:type="dxa"/>
            <w:vAlign w:val="bottom"/>
          </w:tcPr>
          <w:p>
            <w:pPr>
              <w:spacing w:after="0"/>
              <w:rPr>
                <w:sz w:val="14"/>
                <w:szCs w:val="1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ANNUAL MEETING OF SHAREHOLDERS</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136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PROPOSAL ONE: ELECTION OF DIRECTORS</w:t>
              </w:r>
            </w:hyperlink>
          </w:p>
        </w:tc>
        <w:tc>
          <w:tcPr>
            <w:tcW w:w="460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484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BOARD OF DIRECTORS AND CORPORATE GOVERNANCE</w:t>
              </w:r>
            </w:hyperlink>
          </w:p>
        </w:tc>
        <w:tc>
          <w:tcPr>
            <w:tcW w:w="348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BOARD OF DIRECTORS COMPENSATION</w:t>
              </w:r>
            </w:hyperlink>
          </w:p>
        </w:tc>
        <w:tc>
          <w:tcPr>
            <w:tcW w:w="4880" w:type="dxa"/>
            <w:vAlign w:val="bottom"/>
            <w:gridSpan w:val="18"/>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43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EXECUTIVE OFFICERS WHO ARE NOT DIRECTORS</w:t>
              </w:r>
            </w:hyperlink>
          </w:p>
        </w:tc>
        <w:tc>
          <w:tcPr>
            <w:tcW w:w="402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MANAGEMENT</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COMPENSATION DISCUSSION AND ANALYSIS</w:t>
              </w:r>
            </w:hyperlink>
          </w:p>
        </w:tc>
        <w:tc>
          <w:tcPr>
            <w:tcW w:w="2880" w:type="dxa"/>
            <w:vAlign w:val="bottom"/>
            <w:tcBorders>
              <w:top w:val="single" w:sz="8" w:color="0000EE"/>
            </w:tcBorders>
            <w:gridSpan w:val="7"/>
          </w:tcPr>
          <w:p>
            <w:pPr>
              <w:spacing w:after="0"/>
              <w:rPr>
                <w:sz w:val="24"/>
                <w:szCs w:val="24"/>
                <w:color w:val="auto"/>
              </w:rPr>
            </w:pPr>
          </w:p>
        </w:tc>
        <w:tc>
          <w:tcPr>
            <w:tcW w:w="160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COMPENSATION COMMITTEE REPORT</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3320" w:type="dxa"/>
            <w:vAlign w:val="bottom"/>
            <w:tcBorders>
              <w:top w:val="single" w:sz="8" w:color="0000EE"/>
            </w:tcBorders>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5000" w:type="dxa"/>
            <w:vAlign w:val="bottom"/>
            <w:gridSpan w:val="19"/>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PROPOSAL TWO: APPOINTMENT OF INDEPENDENT REGISTERED CERTIFIED PUBLIC</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2"/>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ACCOUNTING FIRM AND CERTIFIED AUDITOR</w:t>
              </w:r>
            </w:hyperlink>
          </w:p>
        </w:tc>
        <w:tc>
          <w:tcPr>
            <w:tcW w:w="3160" w:type="dxa"/>
            <w:vAlign w:val="bottom"/>
            <w:tcBorders>
              <w:top w:val="single" w:sz="8" w:color="0000EE"/>
            </w:tcBorders>
            <w:gridSpan w:val="8"/>
          </w:tcPr>
          <w:p>
            <w:pPr>
              <w:spacing w:after="0"/>
              <w:rPr>
                <w:sz w:val="15"/>
                <w:szCs w:val="15"/>
                <w:color w:val="auto"/>
              </w:rPr>
            </w:pPr>
          </w:p>
        </w:tc>
        <w:tc>
          <w:tcPr>
            <w:tcW w:w="112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60" w:type="dxa"/>
            <w:vAlign w:val="bottom"/>
          </w:tcPr>
          <w:p>
            <w:pPr>
              <w:spacing w:after="0"/>
              <w:rPr>
                <w:sz w:val="24"/>
                <w:szCs w:val="24"/>
                <w:color w:val="auto"/>
              </w:rPr>
            </w:pPr>
          </w:p>
        </w:tc>
        <w:tc>
          <w:tcPr>
            <w:tcW w:w="30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REPORT OF THE AUDIT COMMITTEE</w:t>
              </w:r>
            </w:hyperlink>
          </w:p>
        </w:tc>
        <w:tc>
          <w:tcPr>
            <w:tcW w:w="5240" w:type="dxa"/>
            <w:vAlign w:val="bottom"/>
            <w:gridSpan w:val="20"/>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EXTERNAL AUDITOR FEES</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136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778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PROPOSAL THREE: APPROVAL OF THE COMPANY'S LUXEMBOURG STATUTORY ACCOUNTS</w:t>
              </w:r>
            </w:hyperlink>
          </w:p>
        </w:tc>
        <w:tc>
          <w:tcPr>
            <w:tcW w:w="5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PROPOSAL FOUR: RECEIPT AND APPROVAL OF THE DIRECTORS' REPORTS FOR THE</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8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LUXEMBOURG STATUTORY ACCOUNTS AND RECEIPT OF THE SUPERVISORY AUDITOR'S</w:t>
              </w:r>
            </w:hyperlink>
          </w:p>
        </w:tc>
        <w:tc>
          <w:tcPr>
            <w:tcW w:w="5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REPORT FOR THE LUXEMBOURG ANNUAL ACCOUNTS</w:t>
              </w:r>
            </w:hyperlink>
          </w:p>
        </w:tc>
        <w:tc>
          <w:tcPr>
            <w:tcW w:w="352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60" w:type="dxa"/>
            <w:vAlign w:val="bottom"/>
          </w:tcPr>
          <w:p>
            <w:pPr>
              <w:spacing w:after="0"/>
              <w:rPr>
                <w:sz w:val="24"/>
                <w:szCs w:val="24"/>
                <w:color w:val="auto"/>
              </w:rPr>
            </w:pPr>
          </w:p>
        </w:tc>
        <w:tc>
          <w:tcPr>
            <w:tcW w:w="782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PROPOSAL FIVE: ALLOCATION OF THE RESULTS IN THE LUXEMBOURG ANNUAL ACCOUNTS</w:t>
              </w:r>
            </w:hyperlink>
          </w:p>
        </w:tc>
        <w:tc>
          <w:tcPr>
            <w:tcW w:w="5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714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77">
              <w:r>
                <w:rPr>
                  <w:rFonts w:ascii="Arial" w:cs="Arial" w:eastAsia="Arial" w:hAnsi="Arial"/>
                  <w:sz w:val="18"/>
                  <w:szCs w:val="18"/>
                  <w:color w:val="0000EE"/>
                  <w:w w:val="96"/>
                </w:rPr>
                <w:t>PROPOSAL SIX: DISCHARGE OF THE DIRECTORS AND THE SUPERVISORY AUDITOR</w:t>
              </w:r>
            </w:hyperlink>
          </w:p>
        </w:tc>
        <w:tc>
          <w:tcPr>
            <w:tcW w:w="11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PROPOSAL SEVEN: ADVISORY VOTE ON EXECUTIVE COMPENSATION ("SAY-ON-PAY")</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c>
          <w:tcPr>
            <w:tcW w:w="136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34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PROPOSAL EIGHT: APPROVE THE AMENDMENT OF OUR 2009 EQUITY INCENTIVE PLAN (THE</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7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"PLAN") TO INCREASE THE NUMBER OF SHARES OF COMMON STOCK RESERVED FOR</w:t>
              </w:r>
            </w:hyperlink>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ISSUANCE UNDER THE PLAN BY AN ADDITIONAL 1.7 MILLION SHARES</w:t>
              </w:r>
            </w:hyperlink>
          </w:p>
        </w:tc>
        <w:tc>
          <w:tcPr>
            <w:tcW w:w="780" w:type="dxa"/>
            <w:vAlign w:val="bottom"/>
            <w:gridSpan w:val="5"/>
          </w:tcPr>
          <w:p>
            <w:pPr>
              <w:spacing w:after="0"/>
              <w:rPr>
                <w:sz w:val="15"/>
                <w:szCs w:val="15"/>
                <w:color w:val="auto"/>
              </w:rPr>
            </w:pPr>
          </w:p>
        </w:tc>
        <w:tc>
          <w:tcPr>
            <w:tcW w:w="400" w:type="dxa"/>
            <w:vAlign w:val="bottom"/>
            <w:gridSpan w:val="4"/>
          </w:tcPr>
          <w:p>
            <w:pPr>
              <w:jc w:val="right"/>
              <w:ind w:right="60"/>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36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34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8320" w:type="dxa"/>
            <w:vAlign w:val="bottom"/>
            <w:gridSpan w:val="2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BUSINESS RELATIONSHIPS AND RELATED PERSON TRANSACTIONS</w:t>
              </w:r>
            </w:hyperlink>
          </w:p>
        </w:tc>
        <w:tc>
          <w:tcPr>
            <w:tcW w:w="400" w:type="dxa"/>
            <w:vAlign w:val="bottom"/>
            <w:gridSpan w:val="4"/>
          </w:tcPr>
          <w:p>
            <w:pPr>
              <w:jc w:val="right"/>
              <w:ind w:right="6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5780" w:type="dxa"/>
            <w:vAlign w:val="bottom"/>
            <w:tcBorders>
              <w:top w:val="single" w:sz="8" w:color="0000EE"/>
            </w:tcBorders>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SHAREHOLDER PROPOSALS</w:t>
              </w:r>
            </w:hyperlink>
          </w:p>
        </w:tc>
        <w:tc>
          <w:tcPr>
            <w:tcW w:w="25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1160" w:type="dxa"/>
            <w:vAlign w:val="bottom"/>
          </w:tcPr>
          <w:p>
            <w:pPr>
              <w:spacing w:after="0"/>
              <w:rPr>
                <w:sz w:val="24"/>
                <w:szCs w:val="24"/>
                <w:color w:val="auto"/>
              </w:rPr>
            </w:pPr>
          </w:p>
        </w:tc>
        <w:tc>
          <w:tcPr>
            <w:tcW w:w="2440" w:type="dxa"/>
            <w:vAlign w:val="bottom"/>
            <w:tcBorders>
              <w:top w:val="single" w:sz="8" w:color="0000EE"/>
            </w:tcBorders>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ANNUAL REPORTS</w:t>
              </w:r>
            </w:hyperlink>
          </w:p>
        </w:tc>
        <w:tc>
          <w:tcPr>
            <w:tcW w:w="5880" w:type="dxa"/>
            <w:vAlign w:val="bottom"/>
            <w:gridSpan w:val="21"/>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1580" w:type="dxa"/>
            <w:vAlign w:val="bottom"/>
            <w:tcBorders>
              <w:top w:val="single" w:sz="8" w:color="0000EE"/>
            </w:tcBorders>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MATTERS</w:t>
              </w:r>
            </w:hyperlink>
          </w:p>
        </w:tc>
        <w:tc>
          <w:tcPr>
            <w:tcW w:w="6740" w:type="dxa"/>
            <w:vAlign w:val="bottom"/>
            <w:gridSpan w:val="2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83</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1160" w:type="dxa"/>
            <w:vAlign w:val="bottom"/>
          </w:tcPr>
          <w:p>
            <w:pPr>
              <w:spacing w:after="0"/>
              <w:rPr>
                <w:sz w:val="24"/>
                <w:szCs w:val="24"/>
                <w:color w:val="auto"/>
              </w:rPr>
            </w:pPr>
          </w:p>
        </w:tc>
        <w:tc>
          <w:tcPr>
            <w:tcW w:w="1460" w:type="dxa"/>
            <w:vAlign w:val="bottom"/>
            <w:tcBorders>
              <w:top w:val="single" w:sz="8" w:color="0000EE"/>
            </w:tcBorders>
            <w:gridSpan w:val="2"/>
          </w:tcPr>
          <w:p>
            <w:pPr>
              <w:spacing w:after="0"/>
              <w:rPr>
                <w:sz w:val="24"/>
                <w:szCs w:val="24"/>
                <w:color w:val="auto"/>
              </w:rPr>
            </w:pPr>
          </w:p>
        </w:tc>
        <w:tc>
          <w:tcPr>
            <w:tcW w:w="3340" w:type="dxa"/>
            <w:vAlign w:val="bottom"/>
            <w:gridSpan w:val="13"/>
          </w:tcPr>
          <w:p>
            <w:pPr>
              <w:jc w:val="right"/>
              <w:ind w:right="2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information you should consider. Please read this entire proxy statement carefully before voting.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Information</w:t>
      </w:r>
    </w:p>
    <w:p>
      <w:pPr>
        <w:spacing w:after="0" w:line="23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Tuesday, May 18, 2021</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9:00 a.m. Central European Time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40, avenue Monterey, L-2163 Luxembourg City, Grand Duchy of Luxembourg</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 Date: March 26, 2021</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0" w:type="dxa"/>
            <w:vAlign w:val="bottom"/>
            <w:tcBorders>
              <w:top w:val="single" w:sz="8" w:color="auto"/>
            </w:tcBorders>
          </w:tcPr>
          <w:p>
            <w:pPr>
              <w:spacing w:after="0"/>
              <w:rPr>
                <w:sz w:val="15"/>
                <w:szCs w:val="15"/>
                <w:color w:val="auto"/>
              </w:rPr>
            </w:pPr>
          </w:p>
        </w:tc>
        <w:tc>
          <w:tcPr>
            <w:tcW w:w="8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More</w:t>
            </w:r>
          </w:p>
        </w:tc>
      </w:tr>
      <w:tr>
        <w:trPr>
          <w:trHeight w:val="221"/>
        </w:trPr>
        <w:tc>
          <w:tcPr>
            <w:tcW w:w="260" w:type="dxa"/>
            <w:vAlign w:val="bottom"/>
            <w:tcBorders>
              <w:bottom w:val="single" w:sz="8" w:color="auto"/>
            </w:tcBorders>
          </w:tcPr>
          <w:p>
            <w:pPr>
              <w:spacing w:after="0"/>
              <w:rPr>
                <w:sz w:val="19"/>
                <w:szCs w:val="19"/>
                <w:color w:val="auto"/>
              </w:rPr>
            </w:pPr>
          </w:p>
        </w:tc>
        <w:tc>
          <w:tcPr>
            <w:tcW w:w="8100" w:type="dxa"/>
            <w:vAlign w:val="bottom"/>
            <w:tcBorders>
              <w:bottom w:val="single" w:sz="8" w:color="auto"/>
            </w:tcBorders>
          </w:tcPr>
          <w:p>
            <w:pPr>
              <w:ind w:left="3500"/>
              <w:spacing w:after="0"/>
              <w:rPr>
                <w:sz w:val="20"/>
                <w:szCs w:val="20"/>
                <w:color w:val="auto"/>
              </w:rPr>
            </w:pPr>
            <w:r>
              <w:rPr>
                <w:rFonts w:ascii="Arial" w:cs="Arial" w:eastAsia="Arial" w:hAnsi="Arial"/>
                <w:sz w:val="18"/>
                <w:szCs w:val="18"/>
                <w:b w:val="1"/>
                <w:bCs w:val="1"/>
                <w:color w:val="auto"/>
              </w:rPr>
              <w:t>Proposals</w:t>
            </w:r>
          </w:p>
        </w:tc>
        <w:tc>
          <w:tcPr>
            <w:tcW w:w="2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Recommendation</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Information</w:t>
            </w:r>
          </w:p>
        </w:tc>
      </w:tr>
      <w:tr>
        <w:trPr>
          <w:trHeight w:val="199"/>
        </w:trPr>
        <w:tc>
          <w:tcPr>
            <w:tcW w:w="260" w:type="dxa"/>
            <w:vAlign w:val="bottom"/>
          </w:tcPr>
          <w:p>
            <w:pPr>
              <w:jc w:val="right"/>
              <w:ind w:right="12"/>
              <w:spacing w:after="0" w:line="199" w:lineRule="exact"/>
              <w:rPr>
                <w:sz w:val="20"/>
                <w:szCs w:val="20"/>
                <w:color w:val="auto"/>
              </w:rPr>
            </w:pPr>
            <w:r>
              <w:rPr>
                <w:rFonts w:ascii="Arial" w:cs="Arial" w:eastAsia="Arial" w:hAnsi="Arial"/>
                <w:sz w:val="18"/>
                <w:szCs w:val="18"/>
                <w:b w:val="1"/>
                <w:bCs w:val="1"/>
                <w:color w:val="auto"/>
                <w:w w:val="92"/>
              </w:rPr>
              <w:t>1.</w:t>
            </w:r>
          </w:p>
        </w:tc>
        <w:tc>
          <w:tcPr>
            <w:tcW w:w="8100" w:type="dxa"/>
            <w:vAlign w:val="bottom"/>
          </w:tcPr>
          <w:p>
            <w:pPr>
              <w:ind w:left="120"/>
              <w:spacing w:after="0" w:line="199" w:lineRule="exact"/>
              <w:rPr>
                <w:sz w:val="20"/>
                <w:szCs w:val="20"/>
                <w:color w:val="auto"/>
              </w:rPr>
            </w:pPr>
            <w:r>
              <w:rPr>
                <w:rFonts w:ascii="Arial" w:cs="Arial" w:eastAsia="Arial" w:hAnsi="Arial"/>
                <w:sz w:val="18"/>
                <w:szCs w:val="18"/>
                <w:color w:val="auto"/>
              </w:rPr>
              <w:t>Election of Directors</w:t>
            </w:r>
          </w:p>
        </w:tc>
        <w:tc>
          <w:tcPr>
            <w:tcW w:w="200" w:type="dxa"/>
            <w:vAlign w:val="bottom"/>
          </w:tcPr>
          <w:p>
            <w:pPr>
              <w:spacing w:after="0"/>
              <w:rPr>
                <w:sz w:val="17"/>
                <w:szCs w:val="17"/>
                <w:color w:val="auto"/>
              </w:rPr>
            </w:pPr>
          </w:p>
        </w:tc>
        <w:tc>
          <w:tcPr>
            <w:tcW w:w="1500" w:type="dxa"/>
            <w:vAlign w:val="bottom"/>
          </w:tcPr>
          <w:p>
            <w:pPr>
              <w:jc w:val="center"/>
              <w:ind w:left="92"/>
              <w:spacing w:after="0" w:line="199" w:lineRule="exact"/>
              <w:rPr>
                <w:sz w:val="20"/>
                <w:szCs w:val="20"/>
                <w:color w:val="auto"/>
              </w:rPr>
            </w:pPr>
            <w:r>
              <w:rPr>
                <w:rFonts w:ascii="Arial" w:cs="Arial" w:eastAsia="Arial" w:hAnsi="Arial"/>
                <w:sz w:val="18"/>
                <w:szCs w:val="18"/>
                <w:color w:val="auto"/>
                <w:w w:val="97"/>
              </w:rPr>
              <w:t>FOR each</w:t>
            </w:r>
          </w:p>
        </w:tc>
        <w:tc>
          <w:tcPr>
            <w:tcW w:w="200" w:type="dxa"/>
            <w:vAlign w:val="bottom"/>
          </w:tcPr>
          <w:p>
            <w:pPr>
              <w:spacing w:after="0"/>
              <w:rPr>
                <w:sz w:val="17"/>
                <w:szCs w:val="17"/>
                <w:color w:val="auto"/>
              </w:rPr>
            </w:pPr>
          </w:p>
        </w:tc>
        <w:tc>
          <w:tcPr>
            <w:tcW w:w="980" w:type="dxa"/>
            <w:vAlign w:val="bottom"/>
          </w:tcPr>
          <w:p>
            <w:pPr>
              <w:jc w:val="center"/>
              <w:spacing w:after="0" w:line="199" w:lineRule="exact"/>
              <w:rPr>
                <w:sz w:val="20"/>
                <w:szCs w:val="20"/>
                <w:color w:val="auto"/>
              </w:rPr>
            </w:pPr>
            <w:r>
              <w:rPr>
                <w:rFonts w:ascii="Arial" w:cs="Arial" w:eastAsia="Arial" w:hAnsi="Arial"/>
                <w:sz w:val="18"/>
                <w:szCs w:val="18"/>
                <w:color w:val="auto"/>
                <w:w w:val="98"/>
              </w:rPr>
              <w:t>Page 14</w:t>
            </w:r>
          </w:p>
        </w:tc>
      </w:tr>
      <w:tr>
        <w:trPr>
          <w:trHeight w:val="211"/>
        </w:trPr>
        <w:tc>
          <w:tcPr>
            <w:tcW w:w="26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nominee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46"/>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2.</w:t>
            </w:r>
          </w:p>
        </w:tc>
        <w:tc>
          <w:tcPr>
            <w:tcW w:w="8100" w:type="dxa"/>
            <w:vAlign w:val="bottom"/>
          </w:tcPr>
          <w:p>
            <w:pPr>
              <w:ind w:left="120"/>
              <w:spacing w:after="0"/>
              <w:rPr>
                <w:sz w:val="20"/>
                <w:szCs w:val="20"/>
                <w:color w:val="auto"/>
              </w:rPr>
            </w:pPr>
            <w:r>
              <w:rPr>
                <w:rFonts w:ascii="Arial" w:cs="Arial" w:eastAsia="Arial" w:hAnsi="Arial"/>
                <w:sz w:val="18"/>
                <w:szCs w:val="18"/>
                <w:color w:val="auto"/>
              </w:rPr>
              <w:t>Appointment of Independent Registered Certified Public Accounting Firm and Certified Auditor</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69</w:t>
            </w:r>
          </w:p>
        </w:tc>
      </w:tr>
      <w:tr>
        <w:trPr>
          <w:trHeight w:val="446"/>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3.</w:t>
            </w:r>
          </w:p>
        </w:tc>
        <w:tc>
          <w:tcPr>
            <w:tcW w:w="8100" w:type="dxa"/>
            <w:vAlign w:val="bottom"/>
          </w:tcPr>
          <w:p>
            <w:pPr>
              <w:ind w:left="120"/>
              <w:spacing w:after="0"/>
              <w:rPr>
                <w:sz w:val="20"/>
                <w:szCs w:val="20"/>
                <w:color w:val="auto"/>
              </w:rPr>
            </w:pPr>
            <w:r>
              <w:rPr>
                <w:rFonts w:ascii="Arial" w:cs="Arial" w:eastAsia="Arial" w:hAnsi="Arial"/>
                <w:sz w:val="18"/>
                <w:szCs w:val="18"/>
                <w:color w:val="auto"/>
              </w:rPr>
              <w:t>Approval of the Company's 2020 Statutory Accounts</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73</w:t>
            </w:r>
          </w:p>
        </w:tc>
      </w:tr>
      <w:tr>
        <w:trPr>
          <w:trHeight w:val="437"/>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4.</w:t>
            </w:r>
          </w:p>
        </w:tc>
        <w:tc>
          <w:tcPr>
            <w:tcW w:w="8100" w:type="dxa"/>
            <w:vAlign w:val="bottom"/>
          </w:tcPr>
          <w:p>
            <w:pPr>
              <w:ind w:left="120"/>
              <w:spacing w:after="0"/>
              <w:rPr>
                <w:sz w:val="20"/>
                <w:szCs w:val="20"/>
                <w:color w:val="auto"/>
              </w:rPr>
            </w:pPr>
            <w:r>
              <w:rPr>
                <w:rFonts w:ascii="Arial" w:cs="Arial" w:eastAsia="Arial" w:hAnsi="Arial"/>
                <w:sz w:val="18"/>
                <w:szCs w:val="18"/>
                <w:color w:val="auto"/>
                <w:w w:val="98"/>
              </w:rPr>
              <w:t>Receipt and Approval of the Directors' Reports for the Luxembourg Statutory Accounts and Receipt of</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74</w:t>
            </w:r>
          </w:p>
        </w:tc>
      </w:tr>
      <w:tr>
        <w:trPr>
          <w:trHeight w:val="211"/>
        </w:trPr>
        <w:tc>
          <w:tcPr>
            <w:tcW w:w="26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the Supervisory Auditor's Report for the Luxembourg Annual Accounts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45"/>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5.</w:t>
            </w:r>
          </w:p>
        </w:tc>
        <w:tc>
          <w:tcPr>
            <w:tcW w:w="8100" w:type="dxa"/>
            <w:vAlign w:val="bottom"/>
          </w:tcPr>
          <w:p>
            <w:pPr>
              <w:ind w:left="120"/>
              <w:spacing w:after="0"/>
              <w:rPr>
                <w:sz w:val="20"/>
                <w:szCs w:val="20"/>
                <w:color w:val="auto"/>
              </w:rPr>
            </w:pPr>
            <w:r>
              <w:rPr>
                <w:rFonts w:ascii="Arial" w:cs="Arial" w:eastAsia="Arial" w:hAnsi="Arial"/>
                <w:sz w:val="18"/>
                <w:szCs w:val="18"/>
                <w:color w:val="auto"/>
              </w:rPr>
              <w:t>Allocation of the Results in the Luxembourg Annual Accounts</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75</w:t>
            </w:r>
          </w:p>
        </w:tc>
      </w:tr>
      <w:tr>
        <w:trPr>
          <w:trHeight w:val="445"/>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6.</w:t>
            </w:r>
          </w:p>
        </w:tc>
        <w:tc>
          <w:tcPr>
            <w:tcW w:w="8100" w:type="dxa"/>
            <w:vAlign w:val="bottom"/>
          </w:tcPr>
          <w:p>
            <w:pPr>
              <w:ind w:left="120"/>
              <w:spacing w:after="0"/>
              <w:rPr>
                <w:sz w:val="20"/>
                <w:szCs w:val="20"/>
                <w:color w:val="auto"/>
              </w:rPr>
            </w:pPr>
            <w:r>
              <w:rPr>
                <w:rFonts w:ascii="Arial" w:cs="Arial" w:eastAsia="Arial" w:hAnsi="Arial"/>
                <w:sz w:val="18"/>
                <w:szCs w:val="18"/>
                <w:color w:val="auto"/>
              </w:rPr>
              <w:t>Discharge of the Directors and the Supervisory Auditor</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76</w:t>
            </w:r>
          </w:p>
        </w:tc>
      </w:tr>
      <w:tr>
        <w:trPr>
          <w:trHeight w:val="445"/>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7.</w:t>
            </w:r>
          </w:p>
        </w:tc>
        <w:tc>
          <w:tcPr>
            <w:tcW w:w="8100" w:type="dxa"/>
            <w:vAlign w:val="bottom"/>
          </w:tcPr>
          <w:p>
            <w:pPr>
              <w:ind w:left="120"/>
              <w:spacing w:after="0"/>
              <w:rPr>
                <w:sz w:val="20"/>
                <w:szCs w:val="20"/>
                <w:color w:val="auto"/>
              </w:rPr>
            </w:pPr>
            <w:r>
              <w:rPr>
                <w:rFonts w:ascii="Arial" w:cs="Arial" w:eastAsia="Arial" w:hAnsi="Arial"/>
                <w:sz w:val="18"/>
                <w:szCs w:val="18"/>
                <w:color w:val="auto"/>
              </w:rPr>
              <w:t>Advisory Vote on Executive Compensation ("Say-on-Pay")</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77</w:t>
            </w:r>
          </w:p>
        </w:tc>
      </w:tr>
      <w:tr>
        <w:trPr>
          <w:trHeight w:val="437"/>
        </w:trPr>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8.</w:t>
            </w:r>
          </w:p>
        </w:tc>
        <w:tc>
          <w:tcPr>
            <w:tcW w:w="8100" w:type="dxa"/>
            <w:vAlign w:val="bottom"/>
          </w:tcPr>
          <w:p>
            <w:pPr>
              <w:ind w:left="120"/>
              <w:spacing w:after="0"/>
              <w:rPr>
                <w:sz w:val="20"/>
                <w:szCs w:val="20"/>
                <w:color w:val="auto"/>
              </w:rPr>
            </w:pPr>
            <w:r>
              <w:rPr>
                <w:rFonts w:ascii="Arial" w:cs="Arial" w:eastAsia="Arial" w:hAnsi="Arial"/>
                <w:sz w:val="18"/>
                <w:szCs w:val="18"/>
                <w:color w:val="auto"/>
              </w:rPr>
              <w:t>Approve the amendment of our 2009 Equity Incentive Plan (the "Plan") to increase the number of</w:t>
            </w:r>
          </w:p>
        </w:tc>
        <w:tc>
          <w:tcPr>
            <w:tcW w:w="200" w:type="dxa"/>
            <w:vAlign w:val="bottom"/>
          </w:tcPr>
          <w:p>
            <w:pPr>
              <w:spacing w:after="0"/>
              <w:rPr>
                <w:sz w:val="24"/>
                <w:szCs w:val="24"/>
                <w:color w:val="auto"/>
              </w:rPr>
            </w:pPr>
          </w:p>
        </w:tc>
        <w:tc>
          <w:tcPr>
            <w:tcW w:w="1500" w:type="dxa"/>
            <w:vAlign w:val="bottom"/>
          </w:tcPr>
          <w:p>
            <w:pPr>
              <w:jc w:val="center"/>
              <w:ind w:left="92"/>
              <w:spacing w:after="0"/>
              <w:rPr>
                <w:sz w:val="20"/>
                <w:szCs w:val="20"/>
                <w:color w:val="auto"/>
              </w:rPr>
            </w:pPr>
            <w:r>
              <w:rPr>
                <w:rFonts w:ascii="Arial" w:cs="Arial" w:eastAsia="Arial" w:hAnsi="Arial"/>
                <w:sz w:val="18"/>
                <w:szCs w:val="18"/>
                <w:color w:val="auto"/>
                <w:w w:val="94"/>
              </w:rPr>
              <w:t>FOR</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Page 78</w:t>
            </w:r>
          </w:p>
        </w:tc>
      </w:tr>
      <w:tr>
        <w:trPr>
          <w:trHeight w:val="211"/>
        </w:trPr>
        <w:tc>
          <w:tcPr>
            <w:tcW w:w="26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shares of common stock reserved for issuance under the Plan by an additional 1.7 million shares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-2501265</wp:posOffset>
            </wp:positionV>
            <wp:extent cx="8572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-2089785</wp:posOffset>
            </wp:positionV>
            <wp:extent cx="8572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-1807210</wp:posOffset>
            </wp:positionV>
            <wp:extent cx="8572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-1524000</wp:posOffset>
            </wp:positionV>
            <wp:extent cx="8572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-1112520</wp:posOffset>
            </wp:positionV>
            <wp:extent cx="8572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-829945</wp:posOffset>
            </wp:positionV>
            <wp:extent cx="8572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-546735</wp:posOffset>
            </wp:positionV>
            <wp:extent cx="8572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-264160</wp:posOffset>
            </wp:positionV>
            <wp:extent cx="85725"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0287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Business Highlights</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Altisource®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2020 was a challenging year for Altisource. Our 2020 financial performance was negatively impacted by:</w:t>
      </w:r>
    </w:p>
    <w:p>
      <w:pPr>
        <w:spacing w:after="0" w:line="207"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Temporary servicer and government COVID-19 pandemic related measures to provide financial support to borrowers</w:t>
      </w:r>
    </w:p>
    <w:p>
      <w:pPr>
        <w:ind w:left="1080"/>
        <w:spacing w:after="0"/>
        <w:rPr>
          <w:rFonts w:ascii="Arial" w:cs="Arial" w:eastAsia="Arial" w:hAnsi="Arial"/>
          <w:sz w:val="18"/>
          <w:szCs w:val="18"/>
          <w:color w:val="auto"/>
        </w:rPr>
      </w:pPr>
      <w:r>
        <w:rPr>
          <w:rFonts w:ascii="Arial" w:cs="Arial" w:eastAsia="Arial" w:hAnsi="Arial"/>
          <w:sz w:val="16"/>
          <w:szCs w:val="16"/>
          <w:color w:val="auto"/>
        </w:rPr>
        <w:t>(i.e., foreclosure and eviction moratoriums and borrower forbearance plans), partially offset by growth in our origination business</w:t>
      </w:r>
    </w:p>
    <w:p>
      <w:pPr>
        <w:spacing w:after="0" w:line="234" w:lineRule="exact"/>
        <w:rPr>
          <w:rFonts w:ascii="Arial" w:cs="Arial" w:eastAsia="Arial" w:hAnsi="Arial"/>
          <w:sz w:val="18"/>
          <w:szCs w:val="18"/>
          <w:color w:val="auto"/>
        </w:rPr>
      </w:pPr>
    </w:p>
    <w:p>
      <w:pPr>
        <w:jc w:val="both"/>
        <w:ind w:left="1080" w:right="40" w:hanging="532"/>
        <w:spacing w:after="0" w:line="23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of Ocwen Financial Corporation's (together with its affiliates, "Ocwen") mortgage servicing rights ("MSR") investors directing it to transition field services, title and valuation referrals to that investor's captive vendors; we believe the transition of these referrals is largely complete</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Throughout the year, the Altisource team rose to address unprecedented adversity and performed well during periods of uncertainty. We focused on factors within our control. We aggressively reduced costs and simplified the organization, continuing these efforts into the first quarter of 2021.</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two strong core businesses—origination and default. We had strong revenue growth in our origination business, excluding our construction risk mitigation business that was impacted by the pandemic, and we forecast this strong growth to continue in 2021. Our countercyclical default business was adversely impacted by temporary pandemic-related government and servicer borrower relief measures and one of Ocwen's MSR investors directing Ocwen to refer business to that investor's captive vendors.</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Service revenue from customers other than Ocwen, New Residential Investment Corp. ("NRZ") and Front Yard Residential Corporation ("RESI") grew by 9% in 2020 compared to 2019; this reflects 47% growth from our origination business, excluding our construction risk mitigation business that was impacted by the pandemic, partially offset by the negative impact of COVID-19 on our default business.</w:t>
      </w:r>
    </w:p>
    <w:p>
      <w:pPr>
        <w:spacing w:after="0" w:line="20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Company's customer base continues to develop and grow increasing the potential backlog of default-related business which we anticipate will begin to be available to us in 2022 when we forecast that the default market returns to a more normal operating environment. The Company also has a robust unweighted sales pipeline of approximately $220 million.</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To address lower revenue in the default business, the Company aggressively reduced cash costs and simplified the organization; cash costs (other than outside fees and services, severance and fourth quarter 2020 bonus accrual reversals) were $12 million lower in the fourth quarter 2020 compared to the fourth quarter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Culture, Workforce and Diversity</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function by a set of core values communicated to our employees by management and available on our website. The following core values, which are regularly referenced in our employee communications, guide the conduct of Altisource and its employees:</w:t>
      </w:r>
    </w:p>
    <w:p>
      <w:pPr>
        <w:spacing w:after="0" w:line="187"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 all times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 results</w:t>
      </w:r>
    </w:p>
    <w:p>
      <w:pPr>
        <w:spacing w:after="0" w:line="211" w:lineRule="exact"/>
        <w:rPr>
          <w:rFonts w:ascii="Arial" w:cs="Arial" w:eastAsia="Arial" w:hAnsi="Arial"/>
          <w:sz w:val="18"/>
          <w:szCs w:val="18"/>
          <w:color w:val="auto"/>
        </w:rPr>
      </w:pPr>
    </w:p>
    <w:p>
      <w:pPr>
        <w:ind w:left="1080" w:right="60" w:hanging="532"/>
        <w:spacing w:after="0" w:line="26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 solutions to achieve our mission and generate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for our customers</w:t>
      </w:r>
    </w:p>
    <w:p>
      <w:pPr>
        <w:spacing w:after="0" w:line="1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 win as "One-Altisource"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 and serve</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adjusted our social and environmental engagement efforts in 2020 in response to the difficulties presented by the COVID-19 pandemic. We undertook many successful community support initiatives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including our participation in the "National Wreaths Across America" and the "Toys for Tots" programs to provide presents to children across the United States, food donations to soup kitchens in Uruguay and provide "Happiness Kits" to underprivileged children in India.</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We also sought to play our part in addressing climate change. During 2020, we continued with programs to reduce waste, paper, energy and water consumption. In 2021 we intend to continue to assess our real estate portfolio, telecommuting and transportation programs to further reduce our impact on the environment, even as employees potentially begin to return from remote work arrangements. In 2020, our Board of Directors approved the Company's Environmental Policy available at </w:t>
      </w:r>
      <w:r>
        <w:rPr>
          <w:rFonts w:ascii="Arial" w:cs="Arial" w:eastAsia="Arial" w:hAnsi="Arial"/>
          <w:sz w:val="18"/>
          <w:szCs w:val="18"/>
          <w:u w:val="single" w:color="auto"/>
          <w:color w:val="auto"/>
        </w:rPr>
        <w:t>http://www.altisource.com/environmental-policy</w:t>
      </w:r>
      <w:r>
        <w:rPr>
          <w:rFonts w:ascii="Arial" w:cs="Arial" w:eastAsia="Arial" w:hAnsi="Arial"/>
          <w:sz w:val="18"/>
          <w:szCs w:val="18"/>
          <w:color w:val="auto"/>
        </w:rPr>
        <w:t>. In 2021, our Board began receiving formal updates on our corporate responsibility initiatives and sustainability performance.</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default and origination businesses. We have a significant number of technology employees developing and maintaining our technology-enabled solutions. In the United States, in addition to supporting operations, a number of our employees fulfill roles that require professional licenses and work in the product, sales and marketing, and corporate functions. The India workforce is primarily comprised of teams supporting operations, technology, and corporate functions, while Uruguay supports several of the corporate functions. The executive management team is mostly based out of Luxembourg, our headquarters.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employed 2,726 employees across four continents: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132080</wp:posOffset>
            </wp:positionV>
            <wp:extent cx="5717540" cy="131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75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United States, 50% of the workforce self-identifies as members of an ethnic minority group. We believe that our globally diverse, inclusive, and collaborative workforce makes us a more innovative and creative company. We are an equal opportunity employer and prohibit any form of unlawful discrimination or harassment. At Altisource, everyone is valued and appreciated for their distinct contributions to the growth and sustainability of our business.</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undertook several workforce related initiatives in 2020 in response to declines in our default-related businesses. Our cost reduction measures included workforce reductions across our operations. As of December 31, 2020, our workforce was 17% lower than our workforce as of January 1, 2020. In the first quarter of 2021, we undertook further workforce reductions, including the elimination of certain executive positions, and reorganized certain of our businesses to reduce costs in response to the impact of the announced extension of the COVID-19 pandemic related measures to provide financial support to borrowers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Engagement</w:t>
      </w:r>
    </w:p>
    <w:p>
      <w:pPr>
        <w:spacing w:after="0" w:line="212"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We seek to engage with our shareholders and analysts through our quarterly earnings calls, which typically follow our quarterly financial filings with the Securities and Exchange Commission ("SEC"). Additionally, during 2020, we periodically met with analysts and shareholders. We met with shareholders that collectively represent an estimated 65% of our outstanding shares, to discuss a variety of Company matters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including strategy, business performance and operations, compensation practices, Board diversity and capital structure.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of our current directors have been nominated by the Board for reelection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Board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132080</wp:posOffset>
            </wp:positionV>
            <wp:extent cx="3891915" cy="1474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9191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also believes that having directors with a mix of tenure helps to maintain and leverage institutional knowledge while providing different experiences and perspectives.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132080</wp:posOffset>
            </wp:positionV>
            <wp:extent cx="2554605" cy="173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460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Board diversity has been an area of focus during 2020. Our Board and Nomination/Governance Committee addressed this subject at several meetings during the course of the year and undertook efforts to recruit a diverse director candidate with relevant experience in the mortgage industry, and this effort is ongoing into 2021.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Governance Practices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election of directors</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Majority of independent directors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Active shareholder engagement</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Shareholder meetings can be called by shareholders owning at least 10% of our share capital</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Share ownership requirements for non-management Directors and the Chief Executive Officer</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Annual Board and Committee self-evaluations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Regular executive sessions of independent directors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Regular executive sessions of the Audit Committee members with the Company's internal auditor</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Regular executive sessions of the Audit Committee members with the Company's external auditor</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Board engagement in long-term succession planning for executives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No shareholder rights plan ("poison pill")</w:t>
      </w:r>
    </w:p>
    <w:p>
      <w:pPr>
        <w:spacing w:after="0" w:line="212" w:lineRule="exact"/>
        <w:rPr>
          <w:sz w:val="20"/>
          <w:szCs w:val="20"/>
          <w:color w:val="auto"/>
        </w:rPr>
      </w:pPr>
    </w:p>
    <w:p>
      <w:pPr>
        <w:ind w:right="4980"/>
        <w:spacing w:after="0" w:line="485" w:lineRule="auto"/>
        <w:rPr>
          <w:sz w:val="20"/>
          <w:szCs w:val="20"/>
          <w:color w:val="auto"/>
        </w:rPr>
      </w:pPr>
      <w:r>
        <w:rPr>
          <w:sz w:val="1"/>
          <w:szCs w:val="1"/>
          <w:color w:val="auto"/>
        </w:rPr>
        <w:drawing>
          <wp:inline distT="0" distB="0" distL="0" distR="0">
            <wp:extent cx="85725" cy="1028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Board involved in corporate social responsibility and sustainability efforts </w:t>
      </w:r>
      <w:r>
        <w:rPr>
          <w:rFonts w:ascii="Arial" w:cs="Arial" w:eastAsia="Arial" w:hAnsi="Arial"/>
          <w:sz w:val="18"/>
          <w:szCs w:val="18"/>
          <w:u w:val="single" w:color="auto"/>
          <w:color w:val="auto"/>
        </w:rPr>
        <w:t>Executive Compensation Highlights</w:t>
      </w:r>
    </w:p>
    <w:p>
      <w:pPr>
        <w:spacing w:after="0"/>
        <w:rPr>
          <w:sz w:val="20"/>
          <w:szCs w:val="20"/>
          <w:color w:val="auto"/>
        </w:rPr>
      </w:pPr>
      <w:r>
        <w:rPr>
          <w:sz w:val="1"/>
          <w:szCs w:val="1"/>
          <w:color w:val="auto"/>
        </w:rPr>
        <w:drawing>
          <wp:inline distT="0" distB="0" distL="0" distR="0">
            <wp:extent cx="85725" cy="1028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Align executive compensation with the interests of our shareholders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Annual opportunity for shareholders to provide feedback through an advisory say on pay vote on executive compensation</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Based on a pay-for-performance philosophy</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Maintains a claw-back policy</w:t>
      </w:r>
    </w:p>
    <w:p>
      <w:pPr>
        <w:spacing w:after="0" w:line="212" w:lineRule="exact"/>
        <w:rPr>
          <w:sz w:val="20"/>
          <w:szCs w:val="20"/>
          <w:color w:val="auto"/>
        </w:rPr>
      </w:pPr>
    </w:p>
    <w:p>
      <w:pPr>
        <w:spacing w:after="0" w:line="242" w:lineRule="auto"/>
        <w:rPr>
          <w:sz w:val="20"/>
          <w:szCs w:val="20"/>
          <w:color w:val="auto"/>
        </w:rPr>
      </w:pPr>
      <w:r>
        <w:rPr>
          <w:sz w:val="1"/>
          <w:szCs w:val="1"/>
          <w:color w:val="auto"/>
        </w:rPr>
        <w:drawing>
          <wp:inline distT="0" distB="0" distL="0" distR="0">
            <wp:extent cx="85725" cy="1028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Eligibility for payment of annual incentive compensation is tied to business review effectiveness, compliance performance and leadership effectiveness</w:t>
      </w:r>
    </w:p>
    <w:p>
      <w:pPr>
        <w:spacing w:after="0" w:line="204" w:lineRule="exact"/>
        <w:rPr>
          <w:sz w:val="20"/>
          <w:szCs w:val="20"/>
          <w:color w:val="auto"/>
        </w:rPr>
      </w:pPr>
    </w:p>
    <w:p>
      <w:pPr>
        <w:spacing w:after="0"/>
        <w:rPr>
          <w:sz w:val="20"/>
          <w:szCs w:val="20"/>
          <w:color w:val="auto"/>
        </w:rPr>
      </w:pPr>
      <w:r>
        <w:rPr>
          <w:sz w:val="1"/>
          <w:szCs w:val="1"/>
          <w:color w:val="auto"/>
        </w:rPr>
        <w:drawing>
          <wp:inline distT="0" distB="0" distL="0" distR="0">
            <wp:extent cx="85725" cy="1028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Annual and long-term incentive compensation includes an equity component to align interests with those of shareholders</w:t>
      </w:r>
    </w:p>
    <w:p>
      <w:pPr>
        <w:spacing w:after="0" w:line="212" w:lineRule="exact"/>
        <w:rPr>
          <w:sz w:val="20"/>
          <w:szCs w:val="20"/>
          <w:color w:val="auto"/>
        </w:rPr>
      </w:pPr>
    </w:p>
    <w:p>
      <w:pPr>
        <w:ind w:left="5520" w:right="3880" w:hanging="5517"/>
        <w:spacing w:after="0"/>
        <w:rPr>
          <w:sz w:val="20"/>
          <w:szCs w:val="20"/>
          <w:color w:val="auto"/>
        </w:rPr>
      </w:pPr>
      <w:r>
        <w:rPr>
          <w:sz w:val="1"/>
          <w:szCs w:val="1"/>
          <w:color w:val="auto"/>
        </w:rPr>
        <w:drawing>
          <wp:inline distT="0" distB="0" distL="0" distR="0">
            <wp:extent cx="85725" cy="1028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8"/>
          <w:szCs w:val="18"/>
          <w:color w:val="auto"/>
        </w:rPr>
        <w:t xml:space="preserve"> Includes a component based on Company and market performance over several years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00"/>
          </w:cols>
          <w:pgMar w:left="320" w:top="143" w:right="7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made this proxy statement available to you on or about April 5, 2021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Tuesday, May 18, 2021, at 9:00 a.m. Central European Time for the purposes listed in the Notice of Annual 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5, 2021,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19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You are entitled to vote at the Annual Meeting, and any adjournment or postponement thereof, if you were a holder of our common stock at the close of business on March 26, 2021. At the close of business on March 26, 2021, there were 15,782,286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which means you hold your shares through an account with our transfer agent, American Stock Transfer &amp;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Trust Company, LLC, you may vote by one of the following options:</w:t>
      </w:r>
    </w:p>
    <w:p>
      <w:pPr>
        <w:spacing w:after="0" w:line="212" w:lineRule="exact"/>
        <w:rPr>
          <w:sz w:val="20"/>
          <w:szCs w:val="20"/>
          <w:color w:val="auto"/>
        </w:rPr>
      </w:pPr>
    </w:p>
    <w:p>
      <w:pPr>
        <w:ind w:left="1080" w:right="66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by following the instructions on your proxy card or the instructions that you received by email; or</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completing, dating, signing and returning a proxy card by mail.</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Your ability to vote over the Internet depends on the voting procedures of your bank or broker. If you vote over the Internet, your vote must be received by Altisource no later than 9:59 p.m. Central European Time (3:59 p.m. Eastern Time) on May 17, 2021 in order to allow sufficient time to tabulate the votes prior to the start of the meeting.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Shareholders may also vote in person at the meeting. All shareholders must present proof of share ownership as of the record date and valid government-issued photo identification to vote in person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86" w:lineRule="exact"/>
        <w:rPr>
          <w:sz w:val="20"/>
          <w:szCs w:val="20"/>
          <w:color w:val="auto"/>
        </w:rPr>
      </w:pPr>
    </w:p>
    <w:p>
      <w:pPr>
        <w:ind w:right="520"/>
        <w:spacing w:after="0" w:line="327" w:lineRule="auto"/>
        <w:rPr>
          <w:sz w:val="20"/>
          <w:szCs w:val="20"/>
          <w:color w:val="auto"/>
        </w:rPr>
      </w:pPr>
      <w:r>
        <w:rPr>
          <w:rFonts w:ascii="Arial" w:cs="Arial" w:eastAsia="Arial" w:hAnsi="Arial"/>
          <w:sz w:val="16"/>
          <w:szCs w:val="16"/>
          <w:b w:val="1"/>
          <w:bCs w:val="1"/>
          <w:color w:val="auto"/>
        </w:rPr>
        <w:t>Even if you plan to attend the Annual Meeting, we recommend that you vote your shares in advance of the meeting in one of the manners available to you so that your vote will be counted if later you are unable to attend or are limited to remote attendance.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Only our proposal related to the appointment of our independent registered certified public accounting firm is routine; all other proposals are expected to be "non-routine" proposals. Therefore, if you do not instruct your bank or broker how to vote your shares with respect to non-routine proposals, your shares will not be voted on the non-routine proposals.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Your proxy may be used only at the Annual Meeting and any adjournment or postponement thereof, and may not be used for any other meeting.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You have the power to revoke your proxy at any time before it is exercised by:</w:t>
      </w:r>
    </w:p>
    <w:p>
      <w:pPr>
        <w:spacing w:after="0" w:line="21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written notice, received by our Corporate Secretary at the following address:</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Gregory J. Ritts, Corporate Secretary</w:t>
      </w:r>
    </w:p>
    <w:p>
      <w:pPr>
        <w:ind w:left="1620"/>
        <w:spacing w:after="0" w:line="234" w:lineRule="auto"/>
        <w:rPr>
          <w:sz w:val="20"/>
          <w:szCs w:val="20"/>
          <w:color w:val="auto"/>
        </w:rPr>
      </w:pPr>
      <w:r>
        <w:rPr>
          <w:rFonts w:ascii="Arial" w:cs="Arial" w:eastAsia="Arial" w:hAnsi="Arial"/>
          <w:sz w:val="18"/>
          <w:szCs w:val="18"/>
          <w:color w:val="auto"/>
        </w:rPr>
        <w:t>Altisource Portfolio Solutions S.A.</w:t>
      </w:r>
    </w:p>
    <w:p>
      <w:pPr>
        <w:ind w:left="1620"/>
        <w:spacing w:after="0" w:line="235" w:lineRule="auto"/>
        <w:rPr>
          <w:sz w:val="20"/>
          <w:szCs w:val="20"/>
          <w:color w:val="auto"/>
        </w:rPr>
      </w:pPr>
      <w:r>
        <w:rPr>
          <w:rFonts w:ascii="Arial" w:cs="Arial" w:eastAsia="Arial" w:hAnsi="Arial"/>
          <w:sz w:val="18"/>
          <w:szCs w:val="18"/>
          <w:color w:val="auto"/>
        </w:rPr>
        <w:t>40, avenue Monterey</w:t>
      </w:r>
    </w:p>
    <w:p>
      <w:pPr>
        <w:ind w:left="1620"/>
        <w:spacing w:after="0" w:line="235" w:lineRule="auto"/>
        <w:rPr>
          <w:sz w:val="20"/>
          <w:szCs w:val="20"/>
          <w:color w:val="auto"/>
        </w:rPr>
      </w:pPr>
      <w:r>
        <w:rPr>
          <w:rFonts w:ascii="Arial" w:cs="Arial" w:eastAsia="Arial" w:hAnsi="Arial"/>
          <w:sz w:val="18"/>
          <w:szCs w:val="18"/>
          <w:color w:val="auto"/>
        </w:rPr>
        <w:t>L-2163 Luxembourg City</w:t>
      </w:r>
    </w:p>
    <w:p>
      <w:pPr>
        <w:ind w:left="1620"/>
        <w:spacing w:after="0"/>
        <w:rPr>
          <w:sz w:val="20"/>
          <w:szCs w:val="20"/>
          <w:color w:val="auto"/>
        </w:rPr>
      </w:pPr>
      <w:r>
        <w:rPr>
          <w:rFonts w:ascii="Arial" w:cs="Arial" w:eastAsia="Arial" w:hAnsi="Arial"/>
          <w:sz w:val="18"/>
          <w:szCs w:val="18"/>
          <w:color w:val="auto"/>
        </w:rPr>
        <w:t>Grand Duchy of Luxembourg;</w:t>
      </w:r>
    </w:p>
    <w:p>
      <w:pPr>
        <w:spacing w:after="0" w:line="225"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w:t>
      </w:r>
    </w:p>
    <w:p>
      <w:pPr>
        <w:spacing w:after="0" w:line="1" w:lineRule="exact"/>
        <w:rPr>
          <w:sz w:val="20"/>
          <w:szCs w:val="20"/>
          <w:color w:val="auto"/>
        </w:rPr>
      </w:pPr>
    </w:p>
    <w:p>
      <w:pPr>
        <w:ind w:right="20"/>
        <w:spacing w:after="0" w:line="201" w:lineRule="auto"/>
        <w:rPr>
          <w:sz w:val="20"/>
          <w:szCs w:val="20"/>
          <w:color w:val="auto"/>
        </w:rPr>
      </w:pPr>
      <w:r>
        <w:rPr>
          <w:rFonts w:ascii="Arial" w:cs="Arial" w:eastAsia="Arial" w:hAnsi="Arial"/>
          <w:sz w:val="18"/>
          <w:szCs w:val="18"/>
          <w:color w:val="auto"/>
        </w:rPr>
        <w:t>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issued and outstanding shares of common stock able to be voted, represented in person or by proxy, will constitute a quorum for the transaction of business at the Annual Meeting.</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Annual Meeting proposals will be approved if the votes cast in favor of the action exceed the votes cast against the action: (i) the proposal to approve the appointment of Mayer Hoffman McCann P.C. to be our independent registered certified public accounting firm for the year ending December 31, 2021 and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all statutory accounts as required by Luxembourg law for the same period; (ii) the proposal to approve the Luxembourg Statutory Accounts as of and for the year ended December 31, 2020; (iii) the proposal to receive and approve the Directors' reports for the Luxembourg Statutory Accounts for the year ended December 31, 2020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Luxembourg Annual Accounts for the same period; (iv) the proposal to allocate the results in the Luxembourg Annual Accounts for the year ended December 31, 2020; (v) the proposal to approve the discharge of each of the Directors of Altisource Portfolio Solutions S.A. for the performance of their mandates during the year ended December 31, 2020 and of the supervisory auditor (Commissaire aux Comptes) for the performance of her mandate for the same period; (vi) the proposal to approve amendment of our 2009 Equity Incentive Plan (the "Plan") to increase the number of shares of common stock reserved for issuance under the Plan by an additional 1.7 million shares; and (vii) any other matter properly submitted for your consideration at the Annual Meeting. Because the advisory vote to approve the compensation of Altisource's named executive officers as disclosed in the Proxy Statement ("Say-on-Pay") is non-binding and advisory in nature, there is no required number of votes that would constitute approval. While the results of the Say-on-Pay vote are not binding on the Company, our Board of Directors intends to carefully consider the shareholder votes resulting from the Say-on-Pay proposal.</w:t>
      </w:r>
    </w:p>
    <w:p>
      <w:pPr>
        <w:spacing w:after="0" w:line="213"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non-votes will not be counted in determining the number of votes cast in connection with the proposals on the agenda of the Annual Meeting.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132080</wp:posOffset>
            </wp:positionV>
            <wp:extent cx="113157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15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209" w:lineRule="exact"/>
        <w:rPr>
          <w:sz w:val="20"/>
          <w:szCs w:val="20"/>
          <w:color w:val="auto"/>
        </w:rPr>
      </w:pPr>
    </w:p>
    <w:p>
      <w:pPr>
        <w:ind w:right="780"/>
        <w:spacing w:after="0" w:line="299" w:lineRule="auto"/>
        <w:rPr>
          <w:sz w:val="20"/>
          <w:szCs w:val="20"/>
          <w:color w:val="auto"/>
        </w:rPr>
      </w:pPr>
      <w:r>
        <w:rPr>
          <w:rFonts w:ascii="Arial" w:cs="Arial" w:eastAsia="Arial" w:hAnsi="Arial"/>
          <w:sz w:val="16"/>
          <w:szCs w:val="16"/>
          <w:color w:val="auto"/>
        </w:rPr>
        <w:t>We are proposing the four (4) nominees listed below for election as Directors at the Annual Meeting until the next annual meeting of shareholders or until their respective successors have been elected and qualified, subject to their earlier death, resignation or removal.</w:t>
      </w:r>
    </w:p>
    <w:p>
      <w:pPr>
        <w:spacing w:after="0" w:line="16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209"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nominees for Director:</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5"/>
              </w:rPr>
              <w:t>Director</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rPr>
              <w:t>Committee Memberships</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6"/>
              </w:rPr>
              <w:t>Age</w:t>
            </w:r>
            <w:r>
              <w:rPr>
                <w:rFonts w:ascii="Arial" w:cs="Arial" w:eastAsia="Arial" w:hAnsi="Arial"/>
                <w:sz w:val="29"/>
                <w:szCs w:val="29"/>
                <w:b w:val="1"/>
                <w:bCs w:val="1"/>
                <w:color w:val="auto"/>
                <w:w w:val="86"/>
                <w:vertAlign w:val="superscript"/>
              </w:rPr>
              <w:t>(1)</w:t>
            </w:r>
          </w:p>
        </w:tc>
        <w:tc>
          <w:tcPr>
            <w:tcW w:w="80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Executive</w:t>
            </w:r>
          </w:p>
        </w:tc>
        <w:tc>
          <w:tcPr>
            <w:tcW w:w="100" w:type="dxa"/>
            <w:vAlign w:val="bottom"/>
          </w:tcPr>
          <w:p>
            <w:pPr>
              <w:spacing w:after="0"/>
              <w:rPr>
                <w:sz w:val="15"/>
                <w:szCs w:val="15"/>
                <w:color w:val="auto"/>
              </w:rPr>
            </w:pPr>
          </w:p>
        </w:tc>
        <w:tc>
          <w:tcPr>
            <w:tcW w:w="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5"/>
              </w:rPr>
              <w:t>Audit</w:t>
            </w:r>
          </w:p>
        </w:tc>
        <w:tc>
          <w:tcPr>
            <w:tcW w:w="10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Compensation</w:t>
            </w:r>
          </w:p>
        </w:tc>
        <w:tc>
          <w:tcPr>
            <w:tcW w:w="100" w:type="dxa"/>
            <w:vAlign w:val="bottom"/>
          </w:tcPr>
          <w:p>
            <w:pPr>
              <w:spacing w:after="0"/>
              <w:rPr>
                <w:sz w:val="15"/>
                <w:szCs w:val="15"/>
                <w:color w:val="auto"/>
              </w:rPr>
            </w:pPr>
          </w:p>
        </w:tc>
        <w:tc>
          <w:tcPr>
            <w:tcW w:w="110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7"/>
              </w:rPr>
              <w:t>Compliance</w:t>
            </w:r>
          </w:p>
        </w:tc>
        <w:tc>
          <w:tcPr>
            <w:tcW w:w="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Nom/Gov</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Since</w:t>
            </w: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Independent Committee</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Committee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9"/>
        </w:trPr>
        <w:tc>
          <w:tcPr>
            <w:tcW w:w="1020" w:type="dxa"/>
            <w:vAlign w:val="bottom"/>
            <w:tcBorders>
              <w:top w:val="single" w:sz="8" w:color="auto"/>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Scott E.</w:t>
            </w:r>
          </w:p>
        </w:tc>
        <w:tc>
          <w:tcPr>
            <w:tcW w:w="10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20" w:type="dxa"/>
            <w:vAlign w:val="bottom"/>
            <w:shd w:val="clear" w:color="auto" w:fill="CCEEFF"/>
          </w:tcPr>
          <w:p>
            <w:pPr>
              <w:ind w:left="180"/>
              <w:spacing w:after="0" w:line="240" w:lineRule="exact"/>
              <w:rPr>
                <w:sz w:val="20"/>
                <w:szCs w:val="20"/>
                <w:color w:val="auto"/>
              </w:rPr>
            </w:pPr>
            <w:r>
              <w:rPr>
                <w:rFonts w:ascii="Arial" w:cs="Arial" w:eastAsia="Arial" w:hAnsi="Arial"/>
                <w:sz w:val="17"/>
                <w:szCs w:val="17"/>
                <w:color w:val="auto"/>
              </w:rPr>
              <w:t>Burg</w:t>
            </w:r>
            <w:r>
              <w:rPr>
                <w:rFonts w:ascii="Arial" w:cs="Arial" w:eastAsia="Arial" w:hAnsi="Arial"/>
                <w:sz w:val="27"/>
                <w:szCs w:val="27"/>
                <w:color w:val="auto"/>
                <w:vertAlign w:val="superscript"/>
              </w:rPr>
              <w:t>(2)</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52"/>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20"/>
              <w:spacing w:after="0" w:line="206" w:lineRule="exact"/>
              <w:rPr>
                <w:sz w:val="20"/>
                <w:szCs w:val="20"/>
                <w:color w:val="auto"/>
              </w:rPr>
            </w:pPr>
            <w:r>
              <w:rPr>
                <w:rFonts w:ascii="Arial" w:cs="Arial" w:eastAsia="Arial" w:hAnsi="Arial"/>
                <w:sz w:val="18"/>
                <w:szCs w:val="18"/>
                <w:color w:val="auto"/>
              </w:rPr>
              <w:t>Joseph L.</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gridSpan w:val="2"/>
            <w:vMerge w:val="restart"/>
          </w:tcPr>
          <w:p>
            <w:pPr>
              <w:jc w:val="right"/>
              <w:ind w:right="232"/>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920" w:type="dxa"/>
            <w:vAlign w:val="bottom"/>
            <w:vMerge w:val="restart"/>
          </w:tcPr>
          <w:p>
            <w:pPr>
              <w:jc w:val="right"/>
              <w:ind w:right="197"/>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20" w:type="dxa"/>
            <w:vAlign w:val="bottom"/>
          </w:tcPr>
          <w:p>
            <w:pPr>
              <w:ind w:left="180"/>
              <w:spacing w:after="0" w:line="200" w:lineRule="exact"/>
              <w:rPr>
                <w:sz w:val="20"/>
                <w:szCs w:val="20"/>
                <w:color w:val="auto"/>
              </w:rPr>
            </w:pPr>
            <w:r>
              <w:rPr>
                <w:rFonts w:ascii="Arial" w:cs="Arial" w:eastAsia="Arial" w:hAnsi="Arial"/>
                <w:sz w:val="18"/>
                <w:szCs w:val="18"/>
                <w:color w:val="auto"/>
              </w:rPr>
              <w:t>Morettini</w:t>
            </w:r>
          </w:p>
        </w:tc>
        <w:tc>
          <w:tcPr>
            <w:tcW w:w="620" w:type="dxa"/>
            <w:vAlign w:val="bottom"/>
            <w:gridSpan w:val="2"/>
          </w:tcPr>
          <w:p>
            <w:pPr>
              <w:jc w:val="center"/>
              <w:ind w:left="32"/>
              <w:spacing w:after="0" w:line="200" w:lineRule="exact"/>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7"/>
                <w:szCs w:val="17"/>
                <w:color w:val="auto"/>
              </w:rPr>
            </w:pP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Roland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Müller-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20" w:type="dxa"/>
            <w:vAlign w:val="bottom"/>
            <w:shd w:val="clear" w:color="auto" w:fill="CCEEFF"/>
          </w:tcPr>
          <w:p>
            <w:pPr>
              <w:ind w:left="180"/>
              <w:spacing w:after="0" w:line="240" w:lineRule="exact"/>
              <w:rPr>
                <w:sz w:val="20"/>
                <w:szCs w:val="20"/>
                <w:color w:val="auto"/>
              </w:rPr>
            </w:pPr>
            <w:r>
              <w:rPr>
                <w:rFonts w:ascii="Arial" w:cs="Arial" w:eastAsia="Arial" w:hAnsi="Arial"/>
                <w:sz w:val="17"/>
                <w:szCs w:val="17"/>
                <w:color w:val="auto"/>
                <w:w w:val="95"/>
              </w:rPr>
              <w:t>Ineichen</w:t>
            </w:r>
            <w:r>
              <w:rPr>
                <w:rFonts w:ascii="Arial" w:cs="Arial" w:eastAsia="Arial" w:hAnsi="Arial"/>
                <w:sz w:val="27"/>
                <w:szCs w:val="27"/>
                <w:color w:val="auto"/>
                <w:w w:val="95"/>
                <w:vertAlign w:val="superscript"/>
              </w:rPr>
              <w:t>(3)</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2009</w:t>
            </w:r>
          </w:p>
        </w:tc>
        <w:tc>
          <w:tcPr>
            <w:tcW w:w="12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jc w:val="right"/>
              <w:ind w:right="212"/>
              <w:spacing w:after="0"/>
              <w:rPr>
                <w:sz w:val="20"/>
                <w:szCs w:val="20"/>
                <w:color w:val="auto"/>
              </w:rPr>
            </w:pPr>
            <w:r>
              <w:rPr>
                <w:rFonts w:ascii="Arial" w:cs="Arial" w:eastAsia="Arial" w:hAnsi="Arial"/>
                <w:sz w:val="15"/>
                <w:szCs w:val="15"/>
                <w:color w:val="auto"/>
              </w:rPr>
              <w:t>(4)</w:t>
            </w:r>
          </w:p>
        </w:tc>
        <w:tc>
          <w:tcPr>
            <w:tcW w:w="1020" w:type="dxa"/>
            <w:vAlign w:val="bottom"/>
            <w:gridSpan w:val="2"/>
            <w:shd w:val="clear" w:color="auto" w:fill="CCEEFF"/>
          </w:tcPr>
          <w:p>
            <w:pPr>
              <w:jc w:val="right"/>
              <w:ind w:right="212"/>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20"/>
              <w:spacing w:after="0" w:line="206" w:lineRule="exact"/>
              <w:rPr>
                <w:sz w:val="20"/>
                <w:szCs w:val="20"/>
                <w:color w:val="auto"/>
              </w:rPr>
            </w:pPr>
            <w:r>
              <w:rPr>
                <w:rFonts w:ascii="Arial" w:cs="Arial" w:eastAsia="Arial" w:hAnsi="Arial"/>
                <w:sz w:val="18"/>
                <w:szCs w:val="18"/>
                <w:color w:val="auto"/>
              </w:rPr>
              <w:t>William B.</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20" w:type="dxa"/>
            <w:vAlign w:val="bottom"/>
          </w:tcPr>
          <w:p>
            <w:pPr>
              <w:ind w:left="180"/>
              <w:spacing w:after="0"/>
              <w:rPr>
                <w:sz w:val="20"/>
                <w:szCs w:val="20"/>
                <w:color w:val="auto"/>
              </w:rPr>
            </w:pPr>
            <w:r>
              <w:rPr>
                <w:rFonts w:ascii="Arial" w:cs="Arial" w:eastAsia="Arial" w:hAnsi="Arial"/>
                <w:sz w:val="18"/>
                <w:szCs w:val="18"/>
                <w:color w:val="auto"/>
              </w:rPr>
              <w:t>Shepro</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2009</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-1035685</wp:posOffset>
            </wp:positionV>
            <wp:extent cx="85725"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-1035685</wp:posOffset>
            </wp:positionV>
            <wp:extent cx="85725"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-1061085</wp:posOffset>
            </wp:positionV>
            <wp:extent cx="85725"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-1035685</wp:posOffset>
            </wp:positionV>
            <wp:extent cx="85725"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-1035685</wp:posOffset>
            </wp:positionV>
            <wp:extent cx="85725"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-778510</wp:posOffset>
            </wp:positionV>
            <wp:extent cx="85725"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-778510</wp:posOffset>
            </wp:positionV>
            <wp:extent cx="85725"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-778510</wp:posOffset>
            </wp:positionV>
            <wp:extent cx="8572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-803910</wp:posOffset>
            </wp:positionV>
            <wp:extent cx="8572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-803910</wp:posOffset>
            </wp:positionV>
            <wp:extent cx="85725"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-367030</wp:posOffset>
            </wp:positionV>
            <wp:extent cx="85725"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-392430</wp:posOffset>
            </wp:positionV>
            <wp:extent cx="85725"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-392430</wp:posOffset>
            </wp:positionV>
            <wp:extent cx="8572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-367030</wp:posOffset>
            </wp:positionV>
            <wp:extent cx="85725"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-367030</wp:posOffset>
            </wp:positionV>
            <wp:extent cx="8572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-367030</wp:posOffset>
            </wp:positionV>
            <wp:extent cx="85725"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-109855</wp:posOffset>
            </wp:positionV>
            <wp:extent cx="8572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02870"/>
                    </a:xfrm>
                    <a:prstGeom prst="rect">
                      <a:avLst/>
                    </a:prstGeom>
                    <a:noFill/>
                  </pic:spPr>
                </pic:pic>
              </a:graphicData>
            </a:graphic>
          </wp:anchor>
        </w:drawing>
      </w:r>
    </w:p>
    <w:p>
      <w:pPr>
        <w:spacing w:after="0" w:line="65" w:lineRule="exact"/>
        <w:rPr>
          <w:sz w:val="20"/>
          <w:szCs w:val="20"/>
          <w:color w:val="auto"/>
        </w:rPr>
      </w:pPr>
    </w:p>
    <w:p>
      <w:pPr>
        <w:ind w:left="1680" w:hanging="549"/>
        <w:spacing w:after="0"/>
        <w:tabs>
          <w:tab w:leader="none" w:pos="16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As of March 26, 2021</w:t>
      </w:r>
    </w:p>
    <w:p>
      <w:pPr>
        <w:spacing w:after="0" w:line="5"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19"/>
        </w:numPr>
        <w:rPr>
          <w:rFonts w:ascii="Arial" w:cs="Arial" w:eastAsia="Arial" w:hAnsi="Arial"/>
          <w:sz w:val="23"/>
          <w:szCs w:val="23"/>
          <w:color w:val="auto"/>
          <w:vertAlign w:val="superscript"/>
        </w:rPr>
      </w:pPr>
      <w:r>
        <w:rPr>
          <w:rFonts w:ascii="Arial" w:cs="Arial" w:eastAsia="Arial" w:hAnsi="Arial"/>
          <w:sz w:val="14"/>
          <w:szCs w:val="14"/>
          <w:color w:val="auto"/>
        </w:rPr>
        <w:t>Lead Independent Director until August 31, 2020</w:t>
      </w:r>
    </w:p>
    <w:p>
      <w:pPr>
        <w:ind w:left="1680" w:hanging="549"/>
        <w:spacing w:after="0" w:line="183" w:lineRule="auto"/>
        <w:tabs>
          <w:tab w:leader="none" w:pos="1680" w:val="left"/>
        </w:tabs>
        <w:numPr>
          <w:ilvl w:val="0"/>
          <w:numId w:val="19"/>
        </w:numPr>
        <w:rPr>
          <w:rFonts w:ascii="Arial" w:cs="Arial" w:eastAsia="Arial" w:hAnsi="Arial"/>
          <w:sz w:val="23"/>
          <w:szCs w:val="23"/>
          <w:color w:val="auto"/>
          <w:vertAlign w:val="superscript"/>
        </w:rPr>
      </w:pPr>
      <w:r>
        <w:rPr>
          <w:rFonts w:ascii="Arial" w:cs="Arial" w:eastAsia="Arial" w:hAnsi="Arial"/>
          <w:sz w:val="14"/>
          <w:szCs w:val="14"/>
          <w:color w:val="auto"/>
        </w:rPr>
        <w:t>Lead Independent Director as of September 1, 2020</w:t>
      </w:r>
    </w:p>
    <w:p>
      <w:pPr>
        <w:ind w:left="1680" w:hanging="549"/>
        <w:spacing w:after="0" w:line="183" w:lineRule="auto"/>
        <w:tabs>
          <w:tab w:leader="none" w:pos="168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Committee Chairman</w:t>
      </w:r>
    </w:p>
    <w:p>
      <w:pPr>
        <w:spacing w:after="0" w:line="20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our nominees for Director are elected, we believe that the proposed Board composition will be well-balanced in terms of length of Director tenure between more experienced Directors and more recently appointed Directors.</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i w:val="1"/>
          <w:iCs w:val="1"/>
          <w:color w:val="auto"/>
        </w:rPr>
        <w:t xml:space="preserve">Scott E. Burg. </w:t>
      </w:r>
      <w:r>
        <w:rPr>
          <w:rFonts w:ascii="Arial" w:cs="Arial" w:eastAsia="Arial" w:hAnsi="Arial"/>
          <w:sz w:val="18"/>
          <w:szCs w:val="18"/>
          <w:color w:val="auto"/>
        </w:rPr>
        <w:t>Mr. Burg was appointed to the Board of Directors of Altisource in September 2018 and served as Lead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May 2019 through August 2020. Mr. Burg is the Chief Investment Officer and a Managing Partner 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132080</wp:posOffset>
            </wp:positionV>
            <wp:extent cx="113157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15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Chief Investment Officer and Managing Partner of Deer Park, Mr. Burg has financial expertise and deep experience in business advisory services and asset management, including real estate and mortgage-related investments, that make him financially literate, qualify him as a financial expert as defined by Nasdaq listing standards and SEC rules and provide the Board with important industry insight relevant to the Company's business strategy. Deer Park's position as an investor in the Company has provided Mr. Burg with a thorough understanding of our business and unique insight into the interests of our long-term investors.</w:t>
      </w:r>
    </w:p>
    <w:p>
      <w:pPr>
        <w:spacing w:after="0" w:line="191"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 xml:space="preserve">Joseph L. Morettini. </w:t>
      </w:r>
      <w:r>
        <w:rPr>
          <w:rFonts w:ascii="Arial" w:cs="Arial" w:eastAsia="Arial" w:hAnsi="Arial"/>
          <w:sz w:val="16"/>
          <w:szCs w:val="16"/>
          <w:color w:val="auto"/>
        </w:rPr>
        <w:t>Mr. Morettini was appointed to the Board of Directors of Altisource in May 2017. Mr. Morettini served as Partner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Nasdaq listing standards and SEC rules.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the Board of Directors of Altisource in July 2009 and as Lead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in September 2020. He also serves on the Board of Directors of ONE Swiss Bank SA, with offices in Geneva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Müller-Ineichen is financially literate and qualifies as a financial expert as defined by Nasdaq listing standards and SEC rules. Through his eleven plus years of service on our Board of Directors, Mr. Müller-Ineichen has developed a thorough understanding of our business and industry.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132080</wp:posOffset>
            </wp:positionV>
            <wp:extent cx="113157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315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20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8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Board of Directors met fifteen (15) times in 2020. Each Director attended at least seventy-five percent (75%) of the total number of meetings of the Board and the Committees on which they served.</w:t>
      </w:r>
    </w:p>
    <w:p>
      <w:pPr>
        <w:spacing w:after="0" w:line="209"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As a result of the COVID-19 pandemic, we converted our 2020 annual meeting to a remote meeting format. Although we do not have a formal policy regarding Director attendance at our annual meetings of shareholders, our Directors generally attend. However, two of our four Directors participated in the 2020 annual meeting, with our two United States resident Directors being prevented from traveling to Luxembourg due to the COVID-19 pandemic.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Nasdaq listing standards and applicable law.</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Nasdaq listing standards.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Mr. Shepro is deemed not to be independent because he serves as the Chief Executive Officer of Altisource.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Directors met in executive session of the Board of Directors without management five (5) times in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Chairman of the Board is an independent director. Mr. Shepro, our Chairman of the Board, is also our Chief Executive Officer, and, as a result, the Board believes that it is in the best interests of the Company and our shareholders to appoint a lead independent director. Mr. Müller-Ineichen has served as Lead Independent Director since September 2020.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 Mr. Burg served as Lead Independent Director from May 2019 through August 2020.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our Chairman.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 relationship with our independent registered certified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and certified auditor; (ii) provides assistance to our Board of Directors with respect to matters involving the accounting, auditing, financial reporting and internal control functions; (iii) establishes procedures for the receipt, retention and treatment of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members of the Audit Committee during 2020 were Messrs. Müller-Ineichen, Burg and Morettini,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December 2020. The Audit Committee met eleven (11) times in 2020. The Audit Committee met in executive session with the Company's internal and external auditors four (4) times, solely with the Company's internal auditors three (3) times and solely with the Company's external auditors four (4) times in 2020.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 oversees our compensation and employee benefit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2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210"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members of the Compensation Committee during 2020 were Messrs. Burg, Morettini and Müller-Ineichen, with Mr. Burg serving as the Chairman.</w:t>
      </w:r>
    </w:p>
    <w:p>
      <w:pPr>
        <w:spacing w:after="0" w:line="209"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2020. The Compensation Committee met eight (8) times in 2020.</w:t>
      </w:r>
    </w:p>
    <w:p>
      <w:pPr>
        <w:spacing w:after="0" w:line="16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or employee of the Company, and no member has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2020 fiscal year.</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the Board of Directors with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and evaluation 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2020 were Messrs. Burg,</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Morettini and Müller-Ineichen, with Mr. Morettini serving as the Chairman. Each member of the Compliance Committee is independent as defined by Nasdaq listing standards.</w:t>
      </w:r>
    </w:p>
    <w:p>
      <w:pPr>
        <w:spacing w:after="0" w:line="20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December 2020. The Compliance Committee met four (4) times in 2020.</w:t>
      </w:r>
    </w:p>
    <w:p>
      <w:pPr>
        <w:spacing w:after="0" w:line="16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209" w:lineRule="exact"/>
        <w:rPr>
          <w:sz w:val="20"/>
          <w:szCs w:val="20"/>
          <w:color w:val="auto"/>
        </w:rPr>
      </w:pPr>
    </w:p>
    <w:p>
      <w:pPr>
        <w:jc w:val="both"/>
        <w:ind w:right="500"/>
        <w:spacing w:after="0" w:line="299" w:lineRule="auto"/>
        <w:rPr>
          <w:sz w:val="20"/>
          <w:szCs w:val="20"/>
          <w:color w:val="auto"/>
        </w:rPr>
      </w:pPr>
      <w:r>
        <w:rPr>
          <w:rFonts w:ascii="Arial" w:cs="Arial" w:eastAsia="Arial" w:hAnsi="Arial"/>
          <w:sz w:val="16"/>
          <w:szCs w:val="16"/>
          <w:color w:val="auto"/>
        </w:rPr>
        <w:t>The members of the Nomination/Governance Committee during 2020 were Messrs. Burg, Morettini and Müller-Ineichen, with Mr. Morettini serving as the Chairman. Each member of the Nomination/Governance Committee is independent as defined by Nasdaq listing standards.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2020. The Nomination/Governance Committee met four (4) times in 2020.</w:t>
      </w:r>
    </w:p>
    <w:p>
      <w:pPr>
        <w:spacing w:after="0" w:line="21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20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8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will interview prospective nominees. After completing the evaluation and interviews,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2022 annual meeting of shareholders must be received at our registered office no later than December 6, 2021. Please see the "Shareholder Rights" and "Shareholder Proposals" sections for additional information regarding shareholder proposals.</w:t>
      </w:r>
    </w:p>
    <w:p>
      <w:pPr>
        <w:spacing w:after="0" w:line="21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Board diversity has been an area of focus during 2020, our Nomination/Governance Committee addressed this subject during the course of the year and undertook efforts to recruit a diverse director candidate with relevant experience in the mortgage industry. Our Nomination/Governance Committee will continue to focus on these efforts during 2021.</w:t>
      </w:r>
    </w:p>
    <w:p>
      <w:pPr>
        <w:spacing w:after="0" w:line="18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meetings of our Board and to otherwise assist the Board in handling matters that, in the opinion of the Chairman of the Board, should not be postponed until the next scheduled meeting of the Board. The members of our Executive Committee during 2020 were Messrs. Shepro and Müller-Ineichen, with Mr. Müller-Ineichen serving as the Chairman.</w:t>
      </w:r>
    </w:p>
    <w:p>
      <w:pPr>
        <w:spacing w:after="0" w:line="2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2020. The Executive Committee did not meet and took no action pursuant to written consent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21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Nomination/Governance Committee reviews our Corporate Governance Guidelines at least once a year and, if necessary, recommends changes to the Corporate Governance Guidelines to our Board of Directors.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 xml:space="preserve">Our Corporate Governance Guidelines were last reviewed by the Nomination/Governance Committee in December 2020.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w:t>
      </w:r>
    </w:p>
    <w:p>
      <w:pPr>
        <w:spacing w:after="0"/>
        <w:rPr>
          <w:sz w:val="20"/>
          <w:szCs w:val="20"/>
          <w:color w:val="auto"/>
        </w:rPr>
      </w:pPr>
      <w:r>
        <w:rPr>
          <w:rFonts w:ascii="Arial" w:cs="Arial" w:eastAsia="Arial" w:hAnsi="Arial"/>
          <w:sz w:val="18"/>
          <w:szCs w:val="18"/>
          <w:color w:val="auto"/>
        </w:rPr>
        <w:t>Luxembourg law. The following is a summary of our policies and practices that provide rights to our shareholders:</w:t>
      </w:r>
    </w:p>
    <w:p>
      <w:pPr>
        <w:spacing w:after="0" w:line="19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Altisource does not have a staggered board.</w:t>
      </w:r>
    </w:p>
    <w:p>
      <w:pPr>
        <w:ind w:left="1080" w:right="2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 ten percent (10%) of the Company's share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may nominate candidates for election to the Altisource Board and make other proposals for inclusion in the proxy statement, subject to completing certain formalities. Please see the "Shareholder Proposals" section for additional information.</w:t>
      </w:r>
    </w:p>
    <w:p>
      <w:pPr>
        <w:spacing w:after="0" w:line="2" w:lineRule="exact"/>
        <w:rPr>
          <w:rFonts w:ascii="Arial" w:cs="Arial" w:eastAsia="Arial" w:hAnsi="Arial"/>
          <w:sz w:val="18"/>
          <w:szCs w:val="18"/>
          <w:color w:val="auto"/>
        </w:rPr>
      </w:pPr>
    </w:p>
    <w:p>
      <w:pPr>
        <w:ind w:left="1080" w:right="28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 holders of at least ten percent (10%)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Altisource does not maintain a shareholder rights plan (sometimes called a "poison pill").</w:t>
      </w:r>
    </w:p>
    <w:p>
      <w:pPr>
        <w:spacing w:after="0" w:line="21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Board of Directors and its Committees monitor developments in governance best practices to assure that the Board continues to meet its commitment to represent shareholder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operation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18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4"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Chief Accounting Officer and the members of the Chief Financial Officer's financial leadership team. The Code of Business Conduct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 xml:space="preserve">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On an annual basis, the Board of Directors reviews and approves the Code of Business Conduct and Ethics and the Code of Ethics for Senior Financial Officers. The Code of Business Conduct and Ethics was last reviewed by the Board of Directors in March 2021 and the Code of Ethics for Senior Financial Officers was last reviewed by the Board of Directors in December 2020.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or otherwise disclosed in accordance with such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Our Audit Committee annually performs, and reports to the Board of Directors on, an enterprise risk assessment with management to review the principal risks that could adversely affect our business, and to monitor the steps management is taking to map and mitigate these risks. This enterprise risk assessment reviews: (i) operational risks; (ii) financial risks; (iii) legal and regulatory compliance risks; (iv) reputational risks;</w:t>
      </w:r>
    </w:p>
    <w:p>
      <w:pPr>
        <w:ind w:right="680" w:firstLine="8"/>
        <w:spacing w:after="0" w:line="239" w:lineRule="auto"/>
        <w:tabs>
          <w:tab w:leader="none" w:pos="2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technology risks; (vi) privacy risks; (vii) data security (including cybersecurity) risks; (viii) strategic risks; and (ix) other risks that could adversely affect our business.</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208"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Sustainability and Human Rights</w:t>
      </w:r>
    </w:p>
    <w:p>
      <w:pPr>
        <w:spacing w:after="0" w:line="234"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At Altisource, we believe in the value of improving the welfare of the communities in which we operate.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132080</wp:posOffset>
            </wp:positionV>
            <wp:extent cx="332613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contributing to the long-term success of our business. We undertake these efforts, many with employee support, through several initiatives.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2020, we supported several worthwhile nonprofit initiatives committed to assisting communities and individuals, including Habitat for Humanity International, an organization that helps revitalize homes and communities worldwide; the Carrington Charitable Foundation, an organization that provides free air transportation to post 9/11 combat veterans and families; the Silverton Foundation, a charity which provides mortgage and rent assistance to families with children in long-term hospital care or ongoing medical life-saving treatment; and H.O.M.E., a U.S. Bank program that donates one home per quarter to a military service member. We also assisted Junior Achievement Worldwide (through Ocwen Financial Corporation), the world's largest organization dedicated to helping young people understand the economics of life and the free enterprise system; and the Veterans Financial Services Advisory Council, a group formed by prominent leaders from housing, banking, finance and mortgage-related companies to address the ongoing needs of veterans and their families in search of support related to housing and critical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committed to respect for human rights as described in our Human Rights Statement available at </w:t>
      </w:r>
      <w:r>
        <w:rPr>
          <w:rFonts w:ascii="Arial" w:cs="Arial" w:eastAsia="Arial" w:hAnsi="Arial"/>
          <w:sz w:val="18"/>
          <w:szCs w:val="18"/>
          <w:u w:val="single" w:color="auto"/>
          <w:color w:val="auto"/>
        </w:rPr>
        <w:t>www.altisource.com/humanrights.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We recognize the scientific consensus that climate change is a reality and that human activities are responsible for increasing the concentration of heat-trapping gases in the atmosphere. We acknowledge that we have an impact on the environment through our operations and we are taking actions to reduce the negative impact that we have on the environment. To that end, in September 2020, our Board of Directors approved the Company's Environmental Policy available at </w:t>
      </w:r>
      <w:r>
        <w:rPr>
          <w:rFonts w:ascii="Arial" w:cs="Arial" w:eastAsia="Arial" w:hAnsi="Arial"/>
          <w:sz w:val="18"/>
          <w:szCs w:val="18"/>
          <w:u w:val="single" w:color="auto"/>
          <w:color w:val="auto"/>
        </w:rPr>
        <w:t>http://www.altisource.com/environmental-policy</w:t>
      </w:r>
      <w:r>
        <w:rPr>
          <w:rFonts w:ascii="Arial" w:cs="Arial" w:eastAsia="Arial" w:hAnsi="Arial"/>
          <w:sz w:val="18"/>
          <w:szCs w:val="18"/>
          <w:color w:val="auto"/>
        </w:rPr>
        <w:t xml:space="preserve"> . During 2020, we reduced the number of Company locations by 33% (a 43% reduction of total square footage) and continued our e-waste and recycling programs. In 2021, we will be evaluating our real estate portfolio, work-from-home, telecommuting and transportation programs to further reduce our impact on the environment.</w:t>
      </w:r>
    </w:p>
    <w:p>
      <w:pPr>
        <w:spacing w:after="0" w:line="20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Revenue Officer and other key operational executives. Our Board of Directors oversees the Corporate Responsibility Management Committee and receives regular updates on the effectiveness of our corporate responsibility initiatives.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for Non-Management Directors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20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86"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For the 2019 to 2020 service year, each of our non-management Directors who attended at least seventy-five percent (75%) of all meetings of the Board of Directors and Committees on which they served received 5,367 shares of our common stock at the end of the service year, based on an award value of $120,000 divided by the average of the high and low prices of the common stock as reported on the Nasdaq Global Select Market on May 21, 2019 (the first day of the 2019 to 2020 service year).</w:t>
      </w:r>
    </w:p>
    <w:p>
      <w:pPr>
        <w:spacing w:after="0" w:line="20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For the 2020 to 2021 service year, our non-management Directors who attend at least seventy-five percent (75%) of all meetings of the Board and Committees on which they serve will receive 12,786 shares of common stock at the end of the service year, based on an award value of $120,000, divided by the average of the high and low prices of the common stock as reported on the Nasdaq Global Select Market on May 20, 2020 (the first day of the 2020 to 2021 service year).</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 (4) equal installments, with the initial portion vesting on the date of the annual meeting following the award and vesting continuing on the dates of the next three (3) annual meetings.</w:t>
      </w:r>
    </w:p>
    <w:p>
      <w:pPr>
        <w:spacing w:after="0" w:line="20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209" w:lineRule="exact"/>
        <w:rPr>
          <w:sz w:val="20"/>
          <w:szCs w:val="20"/>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183"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35"/>
          <w:szCs w:val="35"/>
          <w:color w:val="auto"/>
          <w:vertAlign w:val="superscript"/>
        </w:rPr>
      </w:pPr>
      <w:r>
        <w:rPr>
          <w:rFonts w:ascii="Arial" w:cs="Arial" w:eastAsia="Arial" w:hAnsi="Arial"/>
          <w:sz w:val="18"/>
          <w:szCs w:val="18"/>
          <w:color w:val="auto"/>
        </w:rPr>
        <w:t>an additional $100,000 to the Chairman of the Board of Directors, if not a member of the Company's management</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71" w:lineRule="exact"/>
        <w:rPr>
          <w:rFonts w:ascii="Arial" w:cs="Arial" w:eastAsia="Arial" w:hAnsi="Arial"/>
          <w:sz w:val="35"/>
          <w:szCs w:val="35"/>
          <w:color w:val="auto"/>
          <w:vertAlign w:val="superscript"/>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additional $25,000 to the Audit Committee Chairman;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Chairman;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Chairman;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Chairman;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Chairman);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40" w:hanging="532"/>
        <w:spacing w:after="0" w:line="183" w:lineRule="auto"/>
        <w:tabs>
          <w:tab w:leader="none" w:pos="5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As a management Director, our current Chairman does not receive an annual retainer or any other additional compensation for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868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132080</wp:posOffset>
            </wp:positionV>
            <wp:extent cx="240030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003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chairman);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Chairman); and</w:t>
      </w:r>
    </w:p>
    <w:p>
      <w:pPr>
        <w:spacing w:after="0" w:line="198"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Chairman).</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also pays for, or reimburses our Directors for, their reasonable travel, lodging, food and other expenses related to their attendance at Board, Committee or shareholder meetings or other corporate functions. In response to the impacts from the COVID-19 pandemic, in April 2020 the cash compensation of the independent members of the Board was reduced by 50% for six months. As of October 2020, the cash compensation of the independent members of the Board was adjusted to 80% of the pre-reduction cash compensation.</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Director Compensation for 2020</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table summarizes (i) cash compensation earned in 2020 by each non-management member of our Board of Directors who served as a Director during 2020, (ii) stock awards made to our non-management Directors in 2020 for their service in the 2019 to 2020 service year and (iii) any other compensation received in 2020. Mr. Shepro, as a member of the Company's management, does not receive an annual retainer or any other additional compensation for his service on the Board of Directors.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Fees Earned</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Stock Awards</w:t>
            </w:r>
            <w:r>
              <w:rPr>
                <w:rFonts w:ascii="Arial" w:cs="Arial" w:eastAsia="Arial" w:hAnsi="Arial"/>
                <w:sz w:val="29"/>
                <w:szCs w:val="29"/>
                <w:b w:val="1"/>
                <w:bCs w:val="1"/>
                <w:color w:val="auto"/>
                <w:w w:val="92"/>
                <w:vertAlign w:val="superscript"/>
              </w:rPr>
              <w:t>(2)</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180"/>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1"/>
                <w:szCs w:val="21"/>
                <w:color w:val="auto"/>
              </w:rPr>
            </w:pPr>
          </w:p>
        </w:tc>
        <w:tc>
          <w:tcPr>
            <w:tcW w:w="1760" w:type="dxa"/>
            <w:vAlign w:val="bottom"/>
            <w:gridSpan w:val="2"/>
          </w:tcPr>
          <w:p>
            <w:pPr>
              <w:jc w:val="center"/>
              <w:ind w:right="300"/>
              <w:spacing w:after="0" w:line="243" w:lineRule="exact"/>
              <w:rPr>
                <w:sz w:val="20"/>
                <w:szCs w:val="20"/>
                <w:color w:val="auto"/>
              </w:rPr>
            </w:pPr>
            <w:r>
              <w:rPr>
                <w:rFonts w:ascii="Arial" w:cs="Arial" w:eastAsia="Arial" w:hAnsi="Arial"/>
                <w:sz w:val="17"/>
                <w:szCs w:val="17"/>
                <w:b w:val="1"/>
                <w:bCs w:val="1"/>
                <w:color w:val="auto"/>
                <w:w w:val="99"/>
              </w:rPr>
              <w:t>or Paid in Cash</w:t>
            </w:r>
            <w:r>
              <w:rPr>
                <w:rFonts w:ascii="Arial" w:cs="Arial" w:eastAsia="Arial" w:hAnsi="Arial"/>
                <w:sz w:val="28"/>
                <w:szCs w:val="28"/>
                <w:b w:val="1"/>
                <w:bCs w:val="1"/>
                <w:color w:val="auto"/>
                <w:w w:val="99"/>
                <w:vertAlign w:val="superscript"/>
              </w:rPr>
              <w:t>(1)</w:t>
            </w:r>
          </w:p>
        </w:tc>
        <w:tc>
          <w:tcPr>
            <w:tcW w:w="1660" w:type="dxa"/>
            <w:vAlign w:val="bottom"/>
            <w:gridSpan w:val="2"/>
            <w:vMerge w:val="continue"/>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Compensation</w:t>
            </w:r>
          </w:p>
        </w:tc>
        <w:tc>
          <w:tcPr>
            <w:tcW w:w="3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shd w:val="clear" w:color="auto" w:fill="CCEEFF"/>
          </w:tcPr>
          <w:p>
            <w:pPr>
              <w:ind w:left="20"/>
              <w:spacing w:after="0" w:line="236" w:lineRule="exact"/>
              <w:rPr>
                <w:sz w:val="20"/>
                <w:szCs w:val="20"/>
                <w:color w:val="auto"/>
              </w:rPr>
            </w:pPr>
            <w:r>
              <w:rPr>
                <w:rFonts w:ascii="Arial" w:cs="Arial" w:eastAsia="Arial" w:hAnsi="Arial"/>
                <w:sz w:val="17"/>
                <w:szCs w:val="17"/>
                <w:color w:val="auto"/>
              </w:rPr>
              <w:t>Scott E. Burg</w:t>
            </w:r>
            <w:r>
              <w:rPr>
                <w:rFonts w:ascii="Arial" w:cs="Arial" w:eastAsia="Arial" w:hAnsi="Arial"/>
                <w:sz w:val="27"/>
                <w:szCs w:val="27"/>
                <w:color w:val="auto"/>
                <w:vertAlign w:val="superscript"/>
              </w:rPr>
              <w:t>(3)</w:t>
            </w:r>
          </w:p>
        </w:tc>
        <w:tc>
          <w:tcPr>
            <w:tcW w:w="32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$65,800</w:t>
            </w:r>
          </w:p>
        </w:tc>
        <w:tc>
          <w:tcPr>
            <w:tcW w:w="300" w:type="dxa"/>
            <w:vAlign w:val="bottom"/>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$47,451</w:t>
            </w:r>
          </w:p>
        </w:tc>
        <w:tc>
          <w:tcPr>
            <w:tcW w:w="320" w:type="dxa"/>
            <w:vAlign w:val="bottom"/>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$113,251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line="243" w:lineRule="exact"/>
              <w:rPr>
                <w:sz w:val="20"/>
                <w:szCs w:val="20"/>
                <w:color w:val="auto"/>
              </w:rPr>
            </w:pPr>
            <w:r>
              <w:rPr>
                <w:rFonts w:ascii="Arial" w:cs="Arial" w:eastAsia="Arial" w:hAnsi="Arial"/>
                <w:sz w:val="17"/>
                <w:szCs w:val="17"/>
                <w:color w:val="auto"/>
              </w:rPr>
              <w:t>Joseph L. Morettini</w:t>
            </w:r>
            <w:r>
              <w:rPr>
                <w:rFonts w:ascii="Arial" w:cs="Arial" w:eastAsia="Arial" w:hAnsi="Arial"/>
                <w:sz w:val="28"/>
                <w:szCs w:val="28"/>
                <w:color w:val="auto"/>
                <w:vertAlign w:val="superscript"/>
              </w:rPr>
              <w:t>(4)</w:t>
            </w:r>
          </w:p>
        </w:tc>
        <w:tc>
          <w:tcPr>
            <w:tcW w:w="1780" w:type="dxa"/>
            <w:vAlign w:val="bottom"/>
            <w:gridSpan w:val="2"/>
          </w:tcPr>
          <w:p>
            <w:pPr>
              <w:jc w:val="center"/>
              <w:ind w:left="212"/>
              <w:spacing w:after="0"/>
              <w:rPr>
                <w:sz w:val="20"/>
                <w:szCs w:val="20"/>
                <w:color w:val="auto"/>
              </w:rPr>
            </w:pPr>
            <w:r>
              <w:rPr>
                <w:rFonts w:ascii="Arial" w:cs="Arial" w:eastAsia="Arial" w:hAnsi="Arial"/>
                <w:sz w:val="18"/>
                <w:szCs w:val="18"/>
                <w:color w:val="auto"/>
                <w:w w:val="98"/>
              </w:rPr>
              <w:t>$71,050</w:t>
            </w:r>
          </w:p>
        </w:tc>
        <w:tc>
          <w:tcPr>
            <w:tcW w:w="3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$47,451</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center"/>
              <w:ind w:left="12"/>
              <w:spacing w:after="0"/>
              <w:rPr>
                <w:sz w:val="20"/>
                <w:szCs w:val="20"/>
                <w:color w:val="auto"/>
              </w:rPr>
            </w:pPr>
            <w:r>
              <w:rPr>
                <w:rFonts w:ascii="Arial" w:cs="Arial" w:eastAsia="Arial" w:hAnsi="Arial"/>
                <w:sz w:val="18"/>
                <w:szCs w:val="18"/>
                <w:color w:val="auto"/>
                <w:w w:val="98"/>
              </w:rPr>
              <w:t>$118,501</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8"/>
                <w:szCs w:val="28"/>
                <w:color w:val="auto"/>
                <w:vertAlign w:val="superscript"/>
              </w:rPr>
              <w:t>(5)</w:t>
            </w:r>
          </w:p>
        </w:tc>
        <w:tc>
          <w:tcPr>
            <w:tcW w:w="17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8"/>
              </w:rPr>
              <w:t>$71,050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$46,371</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8"/>
              </w:rPr>
              <w:t>$117,421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80" w:right="140" w:hanging="549"/>
        <w:spacing w:after="0" w:line="225" w:lineRule="auto"/>
        <w:tabs>
          <w:tab w:leader="none" w:pos="16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2020, including amounts earned for service in the fourth quarter of 2020 and paid in the first quarter of 2021.</w:t>
      </w:r>
    </w:p>
    <w:p>
      <w:pPr>
        <w:spacing w:after="0" w:line="212" w:lineRule="exact"/>
        <w:rPr>
          <w:rFonts w:ascii="Arial" w:cs="Arial" w:eastAsia="Arial" w:hAnsi="Arial"/>
          <w:sz w:val="28"/>
          <w:szCs w:val="28"/>
          <w:color w:val="auto"/>
          <w:vertAlign w:val="superscript"/>
        </w:rPr>
      </w:pPr>
    </w:p>
    <w:p>
      <w:pPr>
        <w:ind w:left="1680" w:right="60" w:hanging="549"/>
        <w:spacing w:after="0" w:line="214"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Non-management Directors who attended at least seventy-five percent (75%) of all meetings of the Board of Directors and Committees on which they served for the 2019 to 2020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2020.</w:t>
      </w:r>
    </w:p>
    <w:p>
      <w:pPr>
        <w:spacing w:after="0" w:line="197" w:lineRule="exact"/>
        <w:rPr>
          <w:rFonts w:ascii="Arial" w:cs="Arial" w:eastAsia="Arial" w:hAnsi="Arial"/>
          <w:sz w:val="29"/>
          <w:szCs w:val="29"/>
          <w:color w:val="auto"/>
          <w:vertAlign w:val="superscript"/>
        </w:rPr>
      </w:pPr>
    </w:p>
    <w:p>
      <w:pPr>
        <w:ind w:left="1680" w:right="280" w:hanging="549"/>
        <w:spacing w:after="0" w:line="183"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On the date of his initial election to our Board of Directors, Mr. Burg received a one-time grant of 500 shares of common stock. This award vests in four (4) equal installments beginning on the date of the 2019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132080</wp:posOffset>
            </wp:positionV>
            <wp:extent cx="240030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30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680" w:right="140"/>
        <w:spacing w:after="0" w:line="238" w:lineRule="auto"/>
        <w:rPr>
          <w:sz w:val="20"/>
          <w:szCs w:val="20"/>
          <w:color w:val="auto"/>
        </w:rPr>
      </w:pPr>
      <w:r>
        <w:rPr>
          <w:rFonts w:ascii="Arial" w:cs="Arial" w:eastAsia="Arial" w:hAnsi="Arial"/>
          <w:sz w:val="18"/>
          <w:szCs w:val="18"/>
          <w:color w:val="auto"/>
        </w:rPr>
        <w:t>annual meeting of shareholders and the final two installments vesting on the dates of the 2021 and 2022 annual meetings of shareholders, subject to Mr. Burg's continued service on the Board. All cash compensation related to Mr. Burg's service as a Director is paid to STS Master Fund, Ltd.</w:t>
      </w:r>
    </w:p>
    <w:p>
      <w:pPr>
        <w:spacing w:after="0" w:line="208" w:lineRule="exact"/>
        <w:rPr>
          <w:sz w:val="20"/>
          <w:szCs w:val="20"/>
          <w:color w:val="auto"/>
        </w:rPr>
      </w:pPr>
    </w:p>
    <w:p>
      <w:pPr>
        <w:ind w:left="1680" w:right="660" w:hanging="549"/>
        <w:spacing w:after="0" w:line="205"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On the date of his initial election to our Board of Directors, Mr. Morettini received a one-time grant of 500 shares of common stock. This award vests in four (4) equal installments beginning on the date of the 2018 annual meeting of shareholders and the final installment vesting on the date of the 2021 annual meeting of shareholders, subject to Mr. Morettini's continued service on the Board.</w:t>
      </w:r>
    </w:p>
    <w:p>
      <w:pPr>
        <w:spacing w:after="0" w:line="210" w:lineRule="exact"/>
        <w:rPr>
          <w:rFonts w:ascii="Arial" w:cs="Arial" w:eastAsia="Arial" w:hAnsi="Arial"/>
          <w:sz w:val="29"/>
          <w:szCs w:val="29"/>
          <w:color w:val="auto"/>
          <w:vertAlign w:val="superscript"/>
        </w:rPr>
      </w:pPr>
    </w:p>
    <w:p>
      <w:pPr>
        <w:ind w:left="1680" w:right="100" w:hanging="549"/>
        <w:spacing w:after="0" w:line="214"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At Mr. Müller-Ineichen's election, his cash compensation was paid in euros for the first three quarters and Swiss francs for the fourth quarter using the following exchange rates that were in effect on the 15th day of the last month of the quarter for which the payment was made: for the first quarter, an exchange rate of 0.89940 euros to the U.S. dollar; for the second quarter, an exchange rate of 0.88693 euros to the U.S. dollar; for the third quarter, an exchange rate of 0.84246 euros to the U.S. dollar and for the fourth quarter, an exchange rate of 0.82281 Swiss francs to the U.S. dollar. The cash amounts reported herein are the U.S. dollar amounts prior to conversion to euros or Swiss francs.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Stock Ownership Requirements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non-management Director is required to attain and maintain stock ownership at a level equal to three times his or her annual cash retainer. The minimum number of shares is determined as of the latter of (i) the date of such person's initial election as a non-management director or (ii) the date when such person first became subject to this policy, if elected prior to the policy's adoption.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applicable minimum stock ownership requirements.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2020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333"/>
        </w:trPr>
        <w:tc>
          <w:tcPr>
            <w:tcW w:w="5260" w:type="dxa"/>
            <w:vAlign w:val="bottom"/>
          </w:tcPr>
          <w:p>
            <w:pPr>
              <w:ind w:left="24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Age</w:t>
            </w:r>
            <w:r>
              <w:rPr>
                <w:rFonts w:ascii="Arial" w:cs="Arial" w:eastAsia="Arial" w:hAnsi="Arial"/>
                <w:sz w:val="29"/>
                <w:szCs w:val="29"/>
                <w:b w:val="1"/>
                <w:bCs w:val="1"/>
                <w:color w:val="auto"/>
                <w:w w:val="90"/>
                <w:vertAlign w:val="superscript"/>
              </w:rPr>
              <w:t>(1)</w:t>
            </w:r>
          </w:p>
        </w:tc>
        <w:tc>
          <w:tcPr>
            <w:tcW w:w="2780" w:type="dxa"/>
            <w:vAlign w:val="bottom"/>
          </w:tcPr>
          <w:p>
            <w:pPr>
              <w:ind w:left="106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52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Gregory J. Ritts</w:t>
            </w: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52</w:t>
            </w:r>
          </w:p>
        </w:tc>
        <w:tc>
          <w:tcPr>
            <w:tcW w:w="220" w:type="dxa"/>
            <w:vAlign w:val="bottom"/>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Chief Legal and Compliance Officer</w:t>
            </w:r>
          </w:p>
        </w:tc>
      </w:tr>
      <w:tr>
        <w:trPr>
          <w:trHeight w:val="243"/>
        </w:trPr>
        <w:tc>
          <w:tcPr>
            <w:tcW w:w="5260" w:type="dxa"/>
            <w:vAlign w:val="bottom"/>
          </w:tcPr>
          <w:p>
            <w:pPr>
              <w:ind w:left="20"/>
              <w:spacing w:after="0" w:line="243" w:lineRule="exact"/>
              <w:rPr>
                <w:sz w:val="20"/>
                <w:szCs w:val="20"/>
                <w:color w:val="auto"/>
              </w:rPr>
            </w:pPr>
            <w:r>
              <w:rPr>
                <w:rFonts w:ascii="Arial" w:cs="Arial" w:eastAsia="Arial" w:hAnsi="Arial"/>
                <w:sz w:val="17"/>
                <w:szCs w:val="17"/>
                <w:color w:val="auto"/>
              </w:rPr>
              <w:t>Marcello Mastioni</w:t>
            </w:r>
            <w:r>
              <w:rPr>
                <w:rFonts w:ascii="Arial" w:cs="Arial" w:eastAsia="Arial" w:hAnsi="Arial"/>
                <w:sz w:val="28"/>
                <w:szCs w:val="28"/>
                <w:color w:val="auto"/>
                <w:vertAlign w:val="superscript"/>
              </w:rPr>
              <w:t>(2)</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03"/>
        </w:trPr>
        <w:tc>
          <w:tcPr>
            <w:tcW w:w="5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72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06"/>
        </w:trPr>
        <w:tc>
          <w:tcPr>
            <w:tcW w:w="5260" w:type="dxa"/>
            <w:vAlign w:val="bottom"/>
          </w:tcPr>
          <w:p>
            <w:pPr>
              <w:ind w:left="20"/>
              <w:spacing w:after="0" w:line="205" w:lineRule="exact"/>
              <w:rPr>
                <w:sz w:val="20"/>
                <w:szCs w:val="20"/>
                <w:color w:val="auto"/>
              </w:rPr>
            </w:pPr>
            <w:r>
              <w:rPr>
                <w:rFonts w:ascii="Arial" w:cs="Arial" w:eastAsia="Arial" w:hAnsi="Arial"/>
                <w:sz w:val="15"/>
                <w:szCs w:val="15"/>
                <w:color w:val="auto"/>
              </w:rPr>
              <w:t>Kevin J. Wilcox</w:t>
            </w:r>
            <w:r>
              <w:rPr>
                <w:rFonts w:ascii="Arial" w:cs="Arial" w:eastAsia="Arial" w:hAnsi="Arial"/>
                <w:sz w:val="23"/>
                <w:szCs w:val="23"/>
                <w:color w:val="auto"/>
                <w:vertAlign w:val="superscript"/>
              </w:rPr>
              <w:t>(3)</w:t>
            </w:r>
          </w:p>
        </w:tc>
        <w:tc>
          <w:tcPr>
            <w:tcW w:w="720" w:type="dxa"/>
            <w:vAlign w:val="bottom"/>
            <w:gridSpan w:val="2"/>
          </w:tcPr>
          <w:p>
            <w:pPr>
              <w:jc w:val="center"/>
              <w:ind w:left="132"/>
              <w:spacing w:after="0" w:line="206"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7"/>
                <w:szCs w:val="17"/>
                <w:color w:val="auto"/>
              </w:rPr>
            </w:pPr>
          </w:p>
        </w:tc>
        <w:tc>
          <w:tcPr>
            <w:tcW w:w="2780" w:type="dxa"/>
            <w:vAlign w:val="bottom"/>
          </w:tcPr>
          <w:p>
            <w:pPr>
              <w:ind w:left="20"/>
              <w:spacing w:after="0" w:line="206" w:lineRule="exact"/>
              <w:rPr>
                <w:sz w:val="20"/>
                <w:szCs w:val="20"/>
                <w:color w:val="auto"/>
              </w:rPr>
            </w:pPr>
            <w:r>
              <w:rPr>
                <w:rFonts w:ascii="Arial" w:cs="Arial" w:eastAsia="Arial" w:hAnsi="Arial"/>
                <w:sz w:val="18"/>
                <w:szCs w:val="18"/>
                <w:color w:val="auto"/>
              </w:rPr>
              <w:t>Chief Administration and Risk</w:t>
            </w:r>
          </w:p>
        </w:tc>
      </w:tr>
      <w:tr>
        <w:trPr>
          <w:trHeight w:val="211"/>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pacing w:after="0" w:line="85" w:lineRule="exact"/>
        <w:rPr>
          <w:sz w:val="20"/>
          <w:szCs w:val="20"/>
          <w:color w:val="auto"/>
        </w:rPr>
      </w:pPr>
    </w:p>
    <w:p>
      <w:pPr>
        <w:ind w:left="1680" w:hanging="549"/>
        <w:spacing w:after="0"/>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As of March 26, 2021</w:t>
      </w:r>
    </w:p>
    <w:p>
      <w:pPr>
        <w:spacing w:after="0" w:line="163"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Mr. Mastioni is currently under a three-month notice that his employment with the Company will end as of May 31, 2021</w:t>
      </w:r>
    </w:p>
    <w:p>
      <w:pPr>
        <w:spacing w:after="0" w:line="150"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Employment of Mr. Wilcox with the Company ended in April 2020</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that is not a Director is set forth below.</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has served as Chief Legal and Compliance Officer of Altisource since February 2018 and has served as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Marcello Mastioni. </w:t>
      </w:r>
      <w:r>
        <w:rPr>
          <w:rFonts w:ascii="Arial" w:cs="Arial" w:eastAsia="Arial" w:hAnsi="Arial"/>
          <w:sz w:val="18"/>
          <w:szCs w:val="18"/>
          <w:color w:val="auto"/>
        </w:rPr>
        <w:t>Mr. Mastioni has served as Chief Operating Officer of Altisource since March 2019. He previously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Real Estate Marketplace since joining 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w:t>
      </w:r>
    </w:p>
    <w:p>
      <w:pPr>
        <w:spacing w:after="0" w:line="19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b w:val="1"/>
          <w:bCs w:val="1"/>
          <w:i w:val="1"/>
          <w:iCs w:val="1"/>
          <w:color w:val="auto"/>
        </w:rPr>
        <w:t xml:space="preserve">Michelle D. Esterman. </w:t>
      </w:r>
      <w:r>
        <w:rPr>
          <w:rFonts w:ascii="Arial" w:cs="Arial" w:eastAsia="Arial" w:hAnsi="Arial"/>
          <w:sz w:val="16"/>
          <w:szCs w:val="16"/>
          <w:color w:val="auto"/>
        </w:rPr>
        <w:t>Ms. Esterman has served as Chief Financial Officer of Altisource since August 2018. She also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Altisource from March 2012 to October 2017 and as Executive Vice President, Finance of Altisource from October 2017 to August 2018. Before joining Altisource in March 2012, she served as Senior Manager, Audit &amp; Enterprise Risk Services for Deloitte since 2003, including a two-year rotation with Deloitte Touche Tohmatsu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Kevin J. Wilcox. </w:t>
      </w:r>
      <w:r>
        <w:rPr>
          <w:rFonts w:ascii="Arial" w:cs="Arial" w:eastAsia="Arial" w:hAnsi="Arial"/>
          <w:sz w:val="16"/>
          <w:szCs w:val="16"/>
          <w:color w:val="auto"/>
        </w:rPr>
        <w:t>Mr. Wilcox served as Chief Administration and Risk Officer of Altisource until his departure in April 15, 2020. Mr. Wilcox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Chief Administration Officer since August 2009 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21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Director and Named Executive Officer (as defined in "Compensation Discussion and Analysis") of Altisource; and</w:t>
      </w: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212"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(the "Exchange Act") and is based on an aggregate of 15,782,286 shares issued and outstanding as of March 26, 2021. Unless otherwise indicated in the footnotes below, the information is provided as of the record date, March 26, 2021.</w:t>
      </w:r>
    </w:p>
    <w:p>
      <w:pPr>
        <w:spacing w:after="0" w:line="177"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Unless otherwise noted, the address for contacting the Directors and Named Executive Officers listed below is: Altisource Portfolio Solutions S.A., 40, avenue Monterey, L-2163 Luxembourg City, Grand Duchy of Luxembourg.</w:t>
      </w:r>
    </w:p>
    <w:p>
      <w:pPr>
        <w:spacing w:after="0" w:line="393" w:lineRule="exact"/>
        <w:rPr>
          <w:sz w:val="20"/>
          <w:szCs w:val="20"/>
          <w:color w:val="auto"/>
        </w:rPr>
      </w:pPr>
    </w:p>
    <w:tbl>
      <w:tblPr>
        <w:tblLayout w:type="fixed"/>
        <w:tblInd w:w="1130" w:type="dxa"/>
        <w:tblCellMar>
          <w:top w:w="0" w:type="dxa"/>
          <w:left w:w="0" w:type="dxa"/>
          <w:bottom w:w="0" w:type="dxa"/>
          <w:right w:w="0" w:type="dxa"/>
        </w:tblCellMar>
      </w:tblPr>
      <w:tr>
        <w:trPr>
          <w:trHeight w:val="393"/>
        </w:trPr>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0" w:type="dxa"/>
            <w:vAlign w:val="bottom"/>
            <w:gridSpan w:val="2"/>
          </w:tcPr>
          <w:p>
            <w:pPr>
              <w:ind w:left="102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9"/>
                <w:szCs w:val="29"/>
                <w:b w:val="1"/>
                <w:bCs w:val="1"/>
                <w:color w:val="auto"/>
                <w:vertAlign w:val="superscript"/>
              </w:rPr>
              <w:t>(1)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Name of Beneficial Owner:</w:t>
            </w:r>
          </w:p>
        </w:tc>
        <w:tc>
          <w:tcPr>
            <w:tcW w:w="4800" w:type="dxa"/>
            <w:vAlign w:val="bottom"/>
            <w:gridSpan w:val="2"/>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4"/>
                <w:szCs w:val="24"/>
                <w:color w:val="auto"/>
              </w:rPr>
            </w:pPr>
          </w:p>
        </w:tc>
      </w:tr>
      <w:tr>
        <w:trPr>
          <w:trHeight w:val="236"/>
        </w:trPr>
        <w:tc>
          <w:tcPr>
            <w:tcW w:w="7040" w:type="dxa"/>
            <w:vAlign w:val="bottom"/>
            <w:tcBorders>
              <w:left w:val="single" w:sz="8" w:color="CCEEFF"/>
            </w:tcBorders>
            <w:gridSpan w:val="4"/>
            <w:shd w:val="clear" w:color="auto" w:fill="CCEEFF"/>
          </w:tcPr>
          <w:p>
            <w:pPr>
              <w:ind w:left="20"/>
              <w:spacing w:after="0" w:line="236"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6,000,709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38.02%</w:t>
            </w:r>
          </w:p>
        </w:tc>
      </w:tr>
      <w:tr>
        <w:trPr>
          <w:trHeight w:val="243"/>
        </w:trPr>
        <w:tc>
          <w:tcPr>
            <w:tcW w:w="7040" w:type="dxa"/>
            <w:vAlign w:val="bottom"/>
            <w:gridSpan w:val="4"/>
          </w:tcPr>
          <w:p>
            <w:pPr>
              <w:ind w:left="20"/>
              <w:spacing w:after="0" w:line="243"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3,745,890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23.74%</w:t>
            </w:r>
          </w:p>
        </w:tc>
      </w:tr>
      <w:tr>
        <w:trPr>
          <w:trHeight w:val="392"/>
        </w:trPr>
        <w:tc>
          <w:tcPr>
            <w:tcW w:w="704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7"/>
        </w:trPr>
        <w:tc>
          <w:tcPr>
            <w:tcW w:w="320" w:type="dxa"/>
            <w:vAlign w:val="bottom"/>
            <w:tcBorders>
              <w:left w:val="single" w:sz="8" w:color="CCEEFF"/>
            </w:tcBorders>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43"/>
        </w:trPr>
        <w:tc>
          <w:tcPr>
            <w:tcW w:w="7040" w:type="dxa"/>
            <w:vAlign w:val="bottom"/>
            <w:gridSpan w:val="4"/>
          </w:tcPr>
          <w:p>
            <w:pPr>
              <w:ind w:left="20"/>
              <w:spacing w:after="0" w:line="243" w:lineRule="exact"/>
              <w:rPr>
                <w:sz w:val="20"/>
                <w:szCs w:val="20"/>
                <w:color w:val="auto"/>
              </w:rPr>
            </w:pPr>
            <w:r>
              <w:rPr>
                <w:rFonts w:ascii="Arial" w:cs="Arial" w:eastAsia="Arial" w:hAnsi="Arial"/>
                <w:sz w:val="17"/>
                <w:szCs w:val="17"/>
                <w:color w:val="auto"/>
              </w:rPr>
              <w:t>Scott E. Burg</w:t>
            </w:r>
            <w:r>
              <w:rPr>
                <w:rFonts w:ascii="Arial" w:cs="Arial" w:eastAsia="Arial" w:hAnsi="Arial"/>
                <w:sz w:val="28"/>
                <w:szCs w:val="28"/>
                <w:color w:val="auto"/>
                <w:vertAlign w:val="superscript"/>
              </w:rPr>
              <w:t>(3)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3,746,015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23.74%</w:t>
            </w:r>
          </w:p>
        </w:tc>
      </w:tr>
      <w:tr>
        <w:trPr>
          <w:trHeight w:val="243"/>
        </w:trPr>
        <w:tc>
          <w:tcPr>
            <w:tcW w:w="7040" w:type="dxa"/>
            <w:vAlign w:val="bottom"/>
            <w:tcBorders>
              <w:left w:val="single" w:sz="8" w:color="CCEEFF"/>
            </w:tcBorders>
            <w:gridSpan w:val="4"/>
            <w:shd w:val="clear" w:color="auto" w:fill="CCEEFF"/>
          </w:tcPr>
          <w:p>
            <w:pPr>
              <w:ind w:left="20"/>
              <w:spacing w:after="0" w:line="243" w:lineRule="exact"/>
              <w:rPr>
                <w:sz w:val="20"/>
                <w:szCs w:val="20"/>
                <w:color w:val="auto"/>
              </w:rPr>
            </w:pPr>
            <w:r>
              <w:rPr>
                <w:rFonts w:ascii="Arial" w:cs="Arial" w:eastAsia="Arial" w:hAnsi="Arial"/>
                <w:sz w:val="17"/>
                <w:szCs w:val="17"/>
                <w:color w:val="auto"/>
              </w:rPr>
              <w:t>William B. Shepro</w:t>
            </w:r>
            <w:r>
              <w:rPr>
                <w:rFonts w:ascii="Arial" w:cs="Arial" w:eastAsia="Arial" w:hAnsi="Arial"/>
                <w:sz w:val="28"/>
                <w:szCs w:val="28"/>
                <w:color w:val="auto"/>
                <w:vertAlign w:val="superscript"/>
              </w:rPr>
              <w:t>(4)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712,578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r>
      <w:tr>
        <w:trPr>
          <w:trHeight w:val="243"/>
        </w:trPr>
        <w:tc>
          <w:tcPr>
            <w:tcW w:w="7040" w:type="dxa"/>
            <w:vAlign w:val="bottom"/>
            <w:gridSpan w:val="4"/>
          </w:tcPr>
          <w:p>
            <w:pPr>
              <w:ind w:left="20"/>
              <w:spacing w:after="0" w:line="243"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390,558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r>
      <w:tr>
        <w:trPr>
          <w:trHeight w:val="243"/>
        </w:trPr>
        <w:tc>
          <w:tcPr>
            <w:tcW w:w="7040" w:type="dxa"/>
            <w:vAlign w:val="bottom"/>
            <w:tcBorders>
              <w:left w:val="single" w:sz="8" w:color="CCEEFF"/>
            </w:tcBorders>
            <w:gridSpan w:val="4"/>
            <w:shd w:val="clear" w:color="auto" w:fill="CCEEFF"/>
          </w:tcPr>
          <w:p>
            <w:pPr>
              <w:ind w:left="20"/>
              <w:spacing w:after="0" w:line="243"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121,421</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43"/>
        </w:trPr>
        <w:tc>
          <w:tcPr>
            <w:tcW w:w="7040" w:type="dxa"/>
            <w:vAlign w:val="bottom"/>
            <w:gridSpan w:val="4"/>
          </w:tcPr>
          <w:p>
            <w:pPr>
              <w:ind w:left="20"/>
              <w:spacing w:after="0" w:line="243" w:lineRule="exact"/>
              <w:rPr>
                <w:sz w:val="20"/>
                <w:szCs w:val="20"/>
                <w:color w:val="auto"/>
              </w:rPr>
            </w:pPr>
            <w:r>
              <w:rPr>
                <w:rFonts w:ascii="Arial" w:cs="Arial" w:eastAsia="Arial" w:hAnsi="Arial"/>
                <w:sz w:val="17"/>
                <w:szCs w:val="17"/>
                <w:color w:val="auto"/>
              </w:rPr>
              <w:t>Marcello Mastioni</w:t>
            </w:r>
            <w:r>
              <w:rPr>
                <w:rFonts w:ascii="Arial" w:cs="Arial" w:eastAsia="Arial" w:hAnsi="Arial"/>
                <w:sz w:val="28"/>
                <w:szCs w:val="28"/>
                <w:color w:val="auto"/>
                <w:vertAlign w:val="superscript"/>
              </w:rPr>
              <w:t>(7)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88,837</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7040" w:type="dxa"/>
            <w:vAlign w:val="bottom"/>
            <w:tcBorders>
              <w:left w:val="single" w:sz="8" w:color="CCEEFF"/>
            </w:tcBorders>
            <w:gridSpan w:val="4"/>
            <w:shd w:val="clear" w:color="auto" w:fill="CCEEFF"/>
          </w:tcPr>
          <w:p>
            <w:pPr>
              <w:ind w:left="20"/>
              <w:spacing w:after="0" w:line="243" w:lineRule="exact"/>
              <w:rPr>
                <w:sz w:val="20"/>
                <w:szCs w:val="20"/>
                <w:color w:val="auto"/>
              </w:rPr>
            </w:pPr>
            <w:r>
              <w:rPr>
                <w:rFonts w:ascii="Arial" w:cs="Arial" w:eastAsia="Arial" w:hAnsi="Arial"/>
                <w:sz w:val="17"/>
                <w:szCs w:val="17"/>
                <w:color w:val="auto"/>
              </w:rPr>
              <w:t>Gregory J. Ritts</w:t>
            </w:r>
            <w:r>
              <w:rPr>
                <w:rFonts w:ascii="Arial" w:cs="Arial" w:eastAsia="Arial" w:hAnsi="Arial"/>
                <w:sz w:val="28"/>
                <w:szCs w:val="28"/>
                <w:color w:val="auto"/>
                <w:vertAlign w:val="superscript"/>
              </w:rPr>
              <w:t>(8)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57,199</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03"/>
        </w:trPr>
        <w:tc>
          <w:tcPr>
            <w:tcW w:w="70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Roland Müller-Ineichen</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39,001</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7040" w:type="dxa"/>
            <w:vAlign w:val="bottom"/>
            <w:tcBorders>
              <w:left w:val="single" w:sz="8" w:color="CCEEFF"/>
            </w:tcBorders>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Joseph L. Morettini</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15,768</w:t>
            </w:r>
          </w:p>
        </w:tc>
        <w:tc>
          <w:tcPr>
            <w:tcW w:w="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33"/>
        </w:trPr>
        <w:tc>
          <w:tcPr>
            <w:tcW w:w="7040" w:type="dxa"/>
            <w:vAlign w:val="bottom"/>
            <w:gridSpan w:val="4"/>
          </w:tcPr>
          <w:p>
            <w:pPr>
              <w:ind w:left="20"/>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5,171,377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32.77%</w:t>
            </w:r>
          </w:p>
        </w:tc>
      </w:tr>
      <w:tr>
        <w:trPr>
          <w:trHeight w:val="400"/>
        </w:trPr>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Less than one percent (1%)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8" w:lineRule="exact"/>
        <w:rPr>
          <w:sz w:val="20"/>
          <w:szCs w:val="20"/>
          <w:color w:val="auto"/>
        </w:rPr>
      </w:pPr>
    </w:p>
    <w:p>
      <w:pPr>
        <w:ind w:left="1680" w:hanging="549"/>
        <w:spacing w:after="0" w:line="220" w:lineRule="auto"/>
        <w:tabs>
          <w:tab w:leader="none" w:pos="16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26, 2021.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132080</wp:posOffset>
            </wp:positionV>
            <wp:extent cx="48863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86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hanging="549"/>
        <w:spacing w:after="0" w:line="222" w:lineRule="auto"/>
        <w:tabs>
          <w:tab w:leader="none" w:pos="16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13D/A filed with the SEC on January 9, 2020,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w:t>
      </w:r>
    </w:p>
    <w:p>
      <w:pPr>
        <w:spacing w:after="0" w:line="209" w:lineRule="exact"/>
        <w:rPr>
          <w:rFonts w:ascii="Arial" w:cs="Arial" w:eastAsia="Arial" w:hAnsi="Arial"/>
          <w:sz w:val="29"/>
          <w:szCs w:val="29"/>
          <w:color w:val="auto"/>
          <w:vertAlign w:val="superscript"/>
        </w:rPr>
      </w:pPr>
    </w:p>
    <w:p>
      <w:pPr>
        <w:ind w:left="1680" w:right="900" w:hanging="549"/>
        <w:spacing w:after="0" w:line="187" w:lineRule="auto"/>
        <w:tabs>
          <w:tab w:leader="none" w:pos="168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13D/A filed with the SEC on August 14, 2020 by Deer Park Road Management Company, LP ("Deer Park"), a limited partnership, on behalf of itself and Deer Park Road</w:t>
      </w:r>
    </w:p>
    <w:p>
      <w:pPr>
        <w:spacing w:after="0" w:line="1" w:lineRule="exact"/>
        <w:rPr>
          <w:rFonts w:ascii="Arial" w:cs="Arial" w:eastAsia="Arial" w:hAnsi="Arial"/>
          <w:sz w:val="28"/>
          <w:szCs w:val="28"/>
          <w:color w:val="auto"/>
          <w:vertAlign w:val="superscript"/>
        </w:rPr>
      </w:pPr>
    </w:p>
    <w:p>
      <w:pPr>
        <w:ind w:left="1680" w:right="60"/>
        <w:spacing w:after="0" w:line="235" w:lineRule="auto"/>
        <w:rPr>
          <w:rFonts w:ascii="Arial" w:cs="Arial" w:eastAsia="Arial" w:hAnsi="Arial"/>
          <w:sz w:val="28"/>
          <w:szCs w:val="28"/>
          <w:color w:val="auto"/>
          <w:vertAlign w:val="superscript"/>
        </w:rPr>
      </w:pPr>
      <w:r>
        <w:rPr>
          <w:rFonts w:ascii="Arial" w:cs="Arial" w:eastAsia="Arial" w:hAnsi="Arial"/>
          <w:sz w:val="18"/>
          <w:szCs w:val="18"/>
          <w:color w:val="auto"/>
        </w:rPr>
        <w:t>Management GP, LLC, Deer Park Road Corporation, Michael David Craig-Scheckman, AgateCreek LLC and Scott Edward Burg (collectively, the "Deer Park Reporting Persons"), Deer Park's holdings consist of 3,737,631 shares held for the account of STS Master Fund, Ltd., of which the Deer Park Reporting Persons share voting and dispositive power. Deer Park serves as investment adviser to STS Master Fund, Ltd., an exempted company organized under the laws of the Cayman Islands. On March 1, 2021, Mr. Burg transferred his ownership of 8,259 shares received from the Company in connection with his service as a non-management director of Altisource to STS Master Fund, Ltd. Mr. Burg currently owns 125 restricted shares that are scheduled to vest on or within 60 days after March 26, 2021. The total share amount of 3,746,015 listed for Mr. Burg in the table includes the 3,745,890 shares beneficially owned by Deer Park Road Management Company, LP. The business address of the Deer Park Reporting Persons is 1195 Bangtail Way, Steamboat Springs, Colorado 80487.</w:t>
      </w:r>
    </w:p>
    <w:p>
      <w:pPr>
        <w:spacing w:after="0" w:line="200" w:lineRule="exact"/>
        <w:rPr>
          <w:rFonts w:ascii="Arial" w:cs="Arial" w:eastAsia="Arial" w:hAnsi="Arial"/>
          <w:sz w:val="28"/>
          <w:szCs w:val="28"/>
          <w:color w:val="auto"/>
          <w:vertAlign w:val="superscript"/>
        </w:rPr>
      </w:pPr>
    </w:p>
    <w:p>
      <w:pPr>
        <w:ind w:left="1680" w:right="40" w:hanging="549"/>
        <w:spacing w:after="0" w:line="204" w:lineRule="auto"/>
        <w:tabs>
          <w:tab w:leader="none" w:pos="168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purchase 202,400 shares exercisable on or within 60 days after March 26, 2021 and 510,178 shares held by the William B. Shepro Revocable Trust (as to which Mr. and Mrs. Shepro share voting and dispositive power), of which 35,000 were purchased in the open market on April 29, 2015; 7,200 were purchased in the open market on</w:t>
      </w:r>
    </w:p>
    <w:p>
      <w:pPr>
        <w:spacing w:after="0" w:line="1" w:lineRule="exact"/>
        <w:rPr>
          <w:rFonts w:ascii="Arial" w:cs="Arial" w:eastAsia="Arial" w:hAnsi="Arial"/>
          <w:sz w:val="28"/>
          <w:szCs w:val="28"/>
          <w:color w:val="auto"/>
          <w:vertAlign w:val="superscript"/>
        </w:rPr>
      </w:pPr>
    </w:p>
    <w:p>
      <w:pPr>
        <w:ind w:left="1680" w:right="80"/>
        <w:spacing w:after="0" w:line="264" w:lineRule="auto"/>
        <w:rPr>
          <w:rFonts w:ascii="Arial" w:cs="Arial" w:eastAsia="Arial" w:hAnsi="Arial"/>
          <w:sz w:val="28"/>
          <w:szCs w:val="28"/>
          <w:color w:val="auto"/>
          <w:vertAlign w:val="superscript"/>
        </w:rPr>
      </w:pPr>
      <w:r>
        <w:rPr>
          <w:rFonts w:ascii="Arial" w:cs="Arial" w:eastAsia="Arial" w:hAnsi="Arial"/>
          <w:sz w:val="16"/>
          <w:szCs w:val="16"/>
          <w:color w:val="auto"/>
        </w:rPr>
        <w:t>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w:t>
      </w:r>
    </w:p>
    <w:p>
      <w:pPr>
        <w:ind w:left="1680"/>
        <w:spacing w:after="0" w:line="235" w:lineRule="auto"/>
        <w:rPr>
          <w:rFonts w:ascii="Arial" w:cs="Arial" w:eastAsia="Arial" w:hAnsi="Arial"/>
          <w:sz w:val="28"/>
          <w:szCs w:val="28"/>
          <w:color w:val="auto"/>
          <w:vertAlign w:val="superscript"/>
        </w:rPr>
      </w:pPr>
      <w:r>
        <w:rPr>
          <w:rFonts w:ascii="Arial" w:cs="Arial" w:eastAsia="Arial" w:hAnsi="Arial"/>
          <w:sz w:val="18"/>
          <w:szCs w:val="18"/>
          <w:color w:val="auto"/>
        </w:rPr>
        <w:t>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13,205 were acquired pursuant to the vesting of a restricted share unit award on February 12, 2019; 2,277 were acquired pursuant to the vesting of a restricted share award on April 7, 2019; 9,966 were acquired pursuant to the vesting of a restricted share award on April 15, 2019; 3,150 were purchased in the open market on October 30, 2019; 1,400 were purchased in the open market on November 14, 2019; 13,205 were acquired pursuant to the vesting of a restricted share unit award on February 12, 2020; 10,153 were acquired pursuant to the vesting of a restricted share unit award on February 25, 2020; 4,322 were acquired pursuant to the vesting of a restricted share unit award on March 21, 2020; 4,309 were acquired pursuant to the vesting of a restricted share unit award on April 7, 2020; 11,600 were purchased in the open market on August 12, 2020; 13,205 were acquired pursuant to the vesting of a restricted share unit award on February 12, 2021; 10,152 were acquired pursuant to the vesting of a restricted share unit award on February 25, 2021; 4,629 were acquired pursuant to the vesting of a restricted share unit award on February 26, 2021; 5,789 were acquired pursuant to the vesting of a performance-based restricted share unit award on February 27, 2021; and 4,322 were acquired pursuant to the vesting of a performance-based restricted share unit award on March 21, 2021.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132080</wp:posOffset>
            </wp:positionV>
            <wp:extent cx="48863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86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hanging="549"/>
        <w:spacing w:after="0" w:line="225" w:lineRule="auto"/>
        <w:tabs>
          <w:tab w:leader="none" w:pos="16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purchase 119,000 shares exercisable on or within 60 days after March 26, 2021 and 271,558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6,603 were acquired pursuant to the vesting of a restricted share unit award on February 12, 2019; 532 were acquired pursuant to the vesting of a restricted share award on April 7, 2019; 3,610 were acquired pursuant to the vesting of a restricted share award on April 15, 2019; 6,603 were acquired pursuant to the vesting of a restricted share unit award on February 12, 2020; 4,023 were acquired pursuant to the vesting of a restricted share unit award on February 25, 2020; 2,110 were acquired pursuant to the vesting of a restricted share unit award on March 21, 2020; 1,005 were acquired pursuant to the vesting of a restricted share unit award on April 7, 2020; and 21,446 were acquired pursuant to the vesting of a restricted share unit award on May 15, 2020.</w:t>
      </w:r>
    </w:p>
    <w:p>
      <w:pPr>
        <w:spacing w:after="0" w:line="215" w:lineRule="exact"/>
        <w:rPr>
          <w:rFonts w:ascii="Arial" w:cs="Arial" w:eastAsia="Arial" w:hAnsi="Arial"/>
          <w:sz w:val="29"/>
          <w:szCs w:val="29"/>
          <w:color w:val="auto"/>
          <w:vertAlign w:val="superscript"/>
        </w:rPr>
      </w:pPr>
    </w:p>
    <w:p>
      <w:pPr>
        <w:ind w:left="1680" w:hanging="549"/>
        <w:spacing w:after="0" w:line="239" w:lineRule="auto"/>
        <w:tabs>
          <w:tab w:leader="none" w:pos="168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purchase 89,013 shares exercisable on or within 60 days after March 26, 2021; 32,408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801 were acquired pursuant to the vesting of a restricted share unit award on February 12, 2019; 416 were acquired pursuant to the vesting of a restricted share award on April 7, 2019; 3,250 were acquired pursuant to the vesting of a restricted share award on April 15, 2019; 780 were purchased in the open market on October 30, 2019; 3,230 were acquired pursuant to the vesting of a restricted share unit award on January 29, 2020; 878 were acquired pursuant to the vesting of a restricted share unit award on February 12, 2020; 2,975 were acquired pursuant to the vesting of a restricted share unit award on February 25, 2020; 1,303 were acquired pursuant to the vesting of a restricted share unit award on March 21, 2020; 418 were acquired pursuant to the vesting of a restricted share unit award on April 7, 2020; 1,587 were acquired pursuant to the vesting of a restricted share unit award on January 24, 2021; 3,230 were acquired pursuant to the vesting of a restricted share unit award on January 29, 2021; 801 were acquired pursuant to the vesting of a restricted share unit award on February 12, 2021; 2,750 were acquired pursuant to the vesting of a restricted share unit award on February 25, 2021; 2,422 were acquired pursuant to the vesting of a restricted share unit award on February 26, 2021; and 1,205 were acquired pursuant to the vesting of a performance-based restricted share unit award on March 21, 2021.</w:t>
      </w:r>
    </w:p>
    <w:p>
      <w:pPr>
        <w:spacing w:after="0" w:line="201" w:lineRule="exact"/>
        <w:rPr>
          <w:rFonts w:ascii="Arial" w:cs="Arial" w:eastAsia="Arial" w:hAnsi="Arial"/>
          <w:sz w:val="28"/>
          <w:szCs w:val="28"/>
          <w:color w:val="auto"/>
          <w:vertAlign w:val="superscript"/>
        </w:rPr>
      </w:pPr>
    </w:p>
    <w:p>
      <w:pPr>
        <w:ind w:left="1680" w:hanging="549"/>
        <w:spacing w:after="0" w:line="224" w:lineRule="auto"/>
        <w:tabs>
          <w:tab w:leader="none" w:pos="16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purchase 36,698 shares exercisable on or within 60 days after March 26, 2021; 52,139 shares, of which 6,808 were acquired pursuant to the vesting of a restricted share award on August 1, 2018; 1,078 were acquired pursuant to the vesting of a restricted share unit award on February 12, 2019; 7,463 were acquired pursuant to the vesting of a restricted share award on August 1, 2019; 4,025 were acquired pursuant to the vesting of a restricted share unit award on November 12, 2019; 1,213 were acquired pursuant to the vesting of a restricted share unit award on February 12, 2020; 3,345 were acquired pursuant to the vesting of a restricted share unit award on February 25, 2020; 2,180 were acquired pursuant to the vesting of a restricted share unit award on March 21, 2020; 7,792 were acquired pursuant to the vesting of a restricted share unit award on August 3, 2020; 4,371 were acquired pursuant to the vesting of a restricted share unit award on November 12, 2020; 3,131 were acquired pursuant to the vesting of a restricted share unit award on January 24, 2021; 1,327 were acquired pursuant to the vesting of a restricted share unit award on February 12, 2021; 3,558 were acquired pursuant to the vesting of a restricted share unit award on February 25, 2021; 3,511 were acquired pursuant to the vesting of a restricted share unit award 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132080</wp:posOffset>
            </wp:positionV>
            <wp:extent cx="48863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86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spacing w:after="0" w:line="239" w:lineRule="auto"/>
        <w:rPr>
          <w:sz w:val="20"/>
          <w:szCs w:val="20"/>
          <w:color w:val="auto"/>
        </w:rPr>
      </w:pPr>
      <w:r>
        <w:rPr>
          <w:rFonts w:ascii="Arial" w:cs="Arial" w:eastAsia="Arial" w:hAnsi="Arial"/>
          <w:sz w:val="18"/>
          <w:szCs w:val="18"/>
          <w:color w:val="auto"/>
        </w:rPr>
        <w:t>February 26, 2021; and 2,337 were acquired pursuant to the vesting of a performance-based restricted share unit award on March 21, 2021.</w:t>
      </w:r>
    </w:p>
    <w:p>
      <w:pPr>
        <w:spacing w:after="0" w:line="209" w:lineRule="exact"/>
        <w:rPr>
          <w:sz w:val="20"/>
          <w:szCs w:val="20"/>
          <w:color w:val="auto"/>
        </w:rPr>
      </w:pPr>
    </w:p>
    <w:p>
      <w:pPr>
        <w:ind w:left="1680" w:hanging="549"/>
        <w:spacing w:after="0"/>
        <w:tabs>
          <w:tab w:leader="none" w:pos="168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purchase 31,432 shares exercisable on or within 60 days after March 26, 2021; 25,767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573 were acquired pursuant to the vesting of a restricted share unit award on February 12, 2019; 266 were acquired pursuant to the vesting of a restricted share award on April 7, 2019; 986 were acquired pursuant to the vesting of a restricted share award on April 15, 2019; 878 were acquired pursuant to the vesting of a restricted share award on July 27, 2019; 300 were purchased in the open market on October 29, 2019; 1,981 were acquired pursuant to the vesting of a restricted share award on November 13, 2019; 562 were acquired pursuant to the vesting of a restricted share unit award on February 12, 2020; 1,467 were acquired pursuant to the vesting of a restricted share unit award on February 25, 2020; 844 were acquired pursuant to the vesting of a restricted share unit award on March 21, 2020; 503 were acquired pursuant to the vesting of a restricted share unit award on April 7, 2020; 882 were acquired pursuant to the vesting of a restricted share unit award on July 27, 2020; 1,982 were acquired pursuant to the vesting of a restricted share unit award on November 13, 2020; 1,982 were acquired pursuant to the vesting of a restricted share unit award on January 24, 2021; 571 were acquired pursuant to the vesting of a restricted share unit award on February 12, 2021; 1,477 were acquired pursuant to the vesting of a restricted share unit award on February 25, 2021; 1,166 were acquired pursuant to the vesting of a restricted share unit award on February 26, 2021; and 855 were acquired pursuant to the vesting of a performance-based restricted share unit award on March 21,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7"/>
              </w:rPr>
              <w:t>Number of securities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1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to be issued upon</w:t>
            </w:r>
          </w:p>
        </w:tc>
        <w:tc>
          <w:tcPr>
            <w:tcW w:w="12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Weighted average</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w:t>
            </w:r>
          </w:p>
        </w:tc>
        <w:tc>
          <w:tcPr>
            <w:tcW w:w="12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price of</w:t>
            </w:r>
          </w:p>
        </w:tc>
        <w:tc>
          <w:tcPr>
            <w:tcW w:w="120" w:type="dxa"/>
            <w:vAlign w:val="bottom"/>
          </w:tcPr>
          <w:p>
            <w:pPr>
              <w:spacing w:after="0"/>
              <w:rPr>
                <w:sz w:val="17"/>
                <w:szCs w:val="17"/>
                <w:color w:val="auto"/>
              </w:rPr>
            </w:pPr>
          </w:p>
        </w:tc>
        <w:tc>
          <w:tcPr>
            <w:tcW w:w="2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Number of securities</w:t>
            </w:r>
          </w:p>
        </w:tc>
      </w:tr>
      <w:tr>
        <w:trPr>
          <w:trHeight w:val="203"/>
        </w:trPr>
        <w:tc>
          <w:tcPr>
            <w:tcW w:w="1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outstanding</w:t>
            </w:r>
          </w:p>
        </w:tc>
        <w:tc>
          <w:tcPr>
            <w:tcW w:w="12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outstanding options,</w:t>
            </w:r>
          </w:p>
        </w:tc>
        <w:tc>
          <w:tcPr>
            <w:tcW w:w="120" w:type="dxa"/>
            <w:vAlign w:val="bottom"/>
          </w:tcPr>
          <w:p>
            <w:pPr>
              <w:spacing w:after="0"/>
              <w:rPr>
                <w:sz w:val="17"/>
                <w:szCs w:val="17"/>
                <w:color w:val="auto"/>
              </w:rPr>
            </w:pPr>
          </w:p>
        </w:tc>
        <w:tc>
          <w:tcPr>
            <w:tcW w:w="2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6"/>
              </w:rPr>
              <w:t>remaining available for</w:t>
            </w:r>
          </w:p>
        </w:tc>
      </w:tr>
      <w:tr>
        <w:trPr>
          <w:trHeight w:val="203"/>
        </w:trPr>
        <w:tc>
          <w:tcPr>
            <w:tcW w:w="1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options,</w:t>
            </w:r>
          </w:p>
        </w:tc>
        <w:tc>
          <w:tcPr>
            <w:tcW w:w="12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warrants and</w:t>
            </w:r>
          </w:p>
        </w:tc>
        <w:tc>
          <w:tcPr>
            <w:tcW w:w="120" w:type="dxa"/>
            <w:vAlign w:val="bottom"/>
          </w:tcPr>
          <w:p>
            <w:pPr>
              <w:spacing w:after="0"/>
              <w:rPr>
                <w:sz w:val="17"/>
                <w:szCs w:val="17"/>
                <w:color w:val="auto"/>
              </w:rPr>
            </w:pPr>
          </w:p>
        </w:tc>
        <w:tc>
          <w:tcPr>
            <w:tcW w:w="2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6"/>
              </w:rPr>
              <w:t>future issuance under</w:t>
            </w:r>
          </w:p>
        </w:tc>
      </w:tr>
      <w:tr>
        <w:trPr>
          <w:trHeight w:val="221"/>
        </w:trPr>
        <w:tc>
          <w:tcPr>
            <w:tcW w:w="1120" w:type="dxa"/>
            <w:vAlign w:val="bottom"/>
          </w:tcPr>
          <w:p>
            <w:pPr>
              <w:spacing w:after="0"/>
              <w:rPr>
                <w:sz w:val="19"/>
                <w:szCs w:val="19"/>
                <w:color w:val="auto"/>
              </w:rPr>
            </w:pPr>
          </w:p>
        </w:tc>
        <w:tc>
          <w:tcPr>
            <w:tcW w:w="2560" w:type="dxa"/>
            <w:vAlign w:val="bottom"/>
          </w:tcPr>
          <w:p>
            <w:pPr>
              <w:ind w:left="72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warrants and rights</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rights</w:t>
            </w:r>
          </w:p>
        </w:tc>
        <w:tc>
          <w:tcPr>
            <w:tcW w:w="120" w:type="dxa"/>
            <w:vAlign w:val="bottom"/>
          </w:tcPr>
          <w:p>
            <w:pPr>
              <w:spacing w:after="0"/>
              <w:rPr>
                <w:sz w:val="19"/>
                <w:szCs w:val="19"/>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equity compensation plans</w:t>
            </w:r>
          </w:p>
        </w:tc>
      </w:tr>
      <w:tr>
        <w:trPr>
          <w:trHeight w:val="199"/>
        </w:trPr>
        <w:tc>
          <w:tcPr>
            <w:tcW w:w="1120" w:type="dxa"/>
            <w:vAlign w:val="bottom"/>
          </w:tcPr>
          <w:p>
            <w:pPr>
              <w:spacing w:after="0"/>
              <w:rPr>
                <w:sz w:val="17"/>
                <w:szCs w:val="17"/>
                <w:color w:val="auto"/>
              </w:rPr>
            </w:pPr>
          </w:p>
        </w:tc>
        <w:tc>
          <w:tcPr>
            <w:tcW w:w="2560" w:type="dxa"/>
            <w:vAlign w:val="bottom"/>
            <w:tcBorders>
              <w:top w:val="single" w:sz="8" w:color="auto"/>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Equity compensation plans</w:t>
            </w:r>
          </w:p>
        </w:tc>
        <w:tc>
          <w:tcPr>
            <w:tcW w:w="100" w:type="dxa"/>
            <w:vAlign w:val="bottom"/>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approved by security</w:t>
            </w:r>
          </w:p>
        </w:tc>
        <w:tc>
          <w:tcPr>
            <w:tcW w:w="1860" w:type="dxa"/>
            <w:vAlign w:val="bottom"/>
            <w:gridSpan w:val="2"/>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8"/>
              </w:rPr>
              <w:t>899,914</w:t>
            </w:r>
          </w:p>
        </w:tc>
        <w:tc>
          <w:tcPr>
            <w:tcW w:w="1940" w:type="dxa"/>
            <w:vAlign w:val="bottom"/>
            <w:gridSpan w:val="2"/>
            <w:shd w:val="clear" w:color="auto" w:fill="CCEEFF"/>
          </w:tcPr>
          <w:p>
            <w:pPr>
              <w:jc w:val="center"/>
              <w:ind w:left="32"/>
              <w:spacing w:after="0" w:line="202" w:lineRule="exact"/>
              <w:rPr>
                <w:sz w:val="20"/>
                <w:szCs w:val="20"/>
                <w:color w:val="auto"/>
              </w:rPr>
            </w:pPr>
            <w:r>
              <w:rPr>
                <w:rFonts w:ascii="Arial" w:cs="Arial" w:eastAsia="Arial" w:hAnsi="Arial"/>
                <w:sz w:val="18"/>
                <w:szCs w:val="18"/>
                <w:color w:val="auto"/>
                <w:w w:val="98"/>
              </w:rPr>
              <w:t>$32.47</w:t>
            </w:r>
          </w:p>
        </w:tc>
        <w:tc>
          <w:tcPr>
            <w:tcW w:w="2380" w:type="dxa"/>
            <w:vAlign w:val="bottom"/>
            <w:gridSpan w:val="2"/>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8"/>
              </w:rPr>
              <w:t>963,106</w:t>
            </w:r>
          </w:p>
        </w:tc>
        <w:tc>
          <w:tcPr>
            <w:tcW w:w="220" w:type="dxa"/>
            <w:vAlign w:val="bottom"/>
            <w:shd w:val="clear" w:color="auto" w:fill="CCEEFF"/>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25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holders</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30"/>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Delinquent Section 16(a) Reports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2020, except that the following Section 16 reports were filed late, each as a result of an administrative oversight: Michelle D. Esterman filed two late reports, which covered two transactions; Marcello Mastioni filed two late reports, which covered two transactions; Gregory J. Ritts filed one late report, which covered one transaction; William B. Shepro filed one late report, which covered one transaction and Scott E. Burg filed one late report, which covered one transaction.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each of the following:</w:t>
      </w:r>
    </w:p>
    <w:p>
      <w:pPr>
        <w:spacing w:after="0" w:line="21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executive compensation philosophy and the overall objectives of our executive compensation program;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compensation governance practices;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executive compensation review process;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elements of our executive compensation program; and</w:t>
      </w:r>
    </w:p>
    <w:p>
      <w:pPr>
        <w:spacing w:after="0" w:line="211"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decisions made in 2020 and the first quarter of 2021 with respect to the compensation of each of our named executive officers identified below (the "Named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2020 were:</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260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616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22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Chief Executive Officer</w:t>
            </w:r>
          </w:p>
        </w:tc>
      </w:tr>
      <w:tr>
        <w:trPr>
          <w:trHeight w:val="621"/>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Michelle D. Esterman</w:t>
            </w:r>
          </w:p>
        </w:tc>
        <w:tc>
          <w:tcPr>
            <w:tcW w:w="220" w:type="dxa"/>
            <w:vAlign w:val="bottom"/>
          </w:tcPr>
          <w:p>
            <w:pPr>
              <w:spacing w:after="0"/>
              <w:rPr>
                <w:sz w:val="24"/>
                <w:szCs w:val="24"/>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621"/>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Marcello Mastioni</w:t>
            </w:r>
          </w:p>
        </w:tc>
        <w:tc>
          <w:tcPr>
            <w:tcW w:w="220" w:type="dxa"/>
            <w:vAlign w:val="bottom"/>
            <w:shd w:val="clear" w:color="auto" w:fill="CCEEFF"/>
          </w:tcPr>
          <w:p>
            <w:pPr>
              <w:spacing w:after="0"/>
              <w:rPr>
                <w:sz w:val="24"/>
                <w:szCs w:val="24"/>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r>
      <w:tr>
        <w:trPr>
          <w:trHeight w:val="621"/>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Gregory J. Ritts</w:t>
            </w:r>
          </w:p>
        </w:tc>
        <w:tc>
          <w:tcPr>
            <w:tcW w:w="220" w:type="dxa"/>
            <w:vAlign w:val="bottom"/>
          </w:tcPr>
          <w:p>
            <w:pPr>
              <w:spacing w:after="0"/>
              <w:rPr>
                <w:sz w:val="24"/>
                <w:szCs w:val="24"/>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Chief Legal and Compliance Officer</w:t>
            </w:r>
          </w:p>
        </w:tc>
      </w:tr>
      <w:tr>
        <w:trPr>
          <w:trHeight w:val="66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Kevin J. Wilcox</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Administration and Risk Officer</w:t>
            </w:r>
          </w:p>
        </w:tc>
      </w:tr>
      <w:tr>
        <w:trPr>
          <w:trHeight w:val="108"/>
        </w:trPr>
        <w:tc>
          <w:tcPr>
            <w:tcW w:w="2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160" w:type="dxa"/>
            <w:vAlign w:val="bottom"/>
          </w:tcPr>
          <w:p>
            <w:pPr>
              <w:spacing w:after="0"/>
              <w:rPr>
                <w:sz w:val="9"/>
                <w:szCs w:val="9"/>
                <w:color w:val="auto"/>
              </w:rPr>
            </w:pPr>
          </w:p>
        </w:tc>
      </w:tr>
    </w:tbl>
    <w:p>
      <w:pPr>
        <w:spacing w:after="0" w:line="97" w:lineRule="exact"/>
        <w:rPr>
          <w:sz w:val="20"/>
          <w:szCs w:val="20"/>
          <w:color w:val="auto"/>
        </w:rPr>
      </w:pPr>
    </w:p>
    <w:p>
      <w:pPr>
        <w:ind w:left="1680" w:hanging="549"/>
        <w:spacing w:after="0"/>
        <w:tabs>
          <w:tab w:leader="none" w:pos="16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Employment of Mr. Wilcox with the Company ended on April 15,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and stakeholder value.</w:t>
      </w:r>
    </w:p>
    <w:p>
      <w:pPr>
        <w:spacing w:after="0" w:line="209"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Our compensation program is highly leveraged towards creating a pay-for-performance culture that promotes consistent, high-level financial performance and individual service longevity. We believe our compensation program rewards executives for Company and individual performance, encouraging focus on our annual and long-term business goals and aligning executives' interest with those of our shareholders.</w:t>
      </w:r>
    </w:p>
    <w:p>
      <w:pPr>
        <w:spacing w:after="0" w:line="17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Compensation Committee evaluates our executive compensation programs to ensure that we maintain our ability to attract and retain high quality talent in key positions and that compensation provided to Named Executive Officers remains competitive relative to the compensation paid to similarly situated executives of our peer companies.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three elements of our executive compensation plan are base salary, annual performance-based incentive, and long-term equity awards. As illustrated in the following pay mix graphs, 28% of our Chief Executive Officer's total compensation for 2020 and 45% of our other Named Executive Officers' total compensation for 2020 was base salary (fixed compensation) and the remainder of their compensation elements are either linked to annual performance incentives covering 2020 performance or are in the form of long-term equity awards granted in 2020. At target level of achievement, 25% of the total compensation of our Chief Executive Officer and 41% of the total compensation of other Named Executive Officers is base salary (fixed compensation) and the remainder of the compensation items are linked to annual performance or are in the form of long-term equity awards. These percentages exclude All Other Compensation as set forth in the Summary Compensation table below.</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146050</wp:posOffset>
            </wp:positionV>
            <wp:extent cx="5717540" cy="1543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75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Another key element of our executive compensation philosophy is the emphasis on equity compensation. We believe such a practice helps drive ownership and aligns executive interests to the long-term success of the Company. As illustrated in the graphs below, most of our Chief Executive Officer's (72%), and a substantial portion of our other Named Executive Officers' (55%) total compensation in 2020 was in the form of equity grants as compared to cash compensation. At target level of performance, 53% of our Chief Executive Officer's and 41% of our other Named Executive Officers' total compensation would be in the form of equity compensation. These percentages exclude All Other Compensation as set forth in the Summary Compensation table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vs.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146050</wp:posOffset>
            </wp:positionV>
            <wp:extent cx="5717540" cy="1543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75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2020, we faced significant challenges and lower revenues primarily owing to declines in our default business as a result of the COVID-19 pandemic and one of the MSR investors of our largest customer instructing that customer to redirect certain referrals from us to that investor's captive service provider. To address these reductions, we undertook cost reduction measures including changes to executive compensation as follows:</w:t>
      </w:r>
    </w:p>
    <w:p>
      <w:pPr>
        <w:spacing w:after="0" w:line="190" w:lineRule="exact"/>
        <w:rPr>
          <w:sz w:val="20"/>
          <w:szCs w:val="20"/>
          <w:color w:val="auto"/>
        </w:rPr>
      </w:pPr>
    </w:p>
    <w:p>
      <w:pPr>
        <w:ind w:left="1080" w:right="240" w:hanging="532"/>
        <w:spacing w:after="0" w:line="24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Reducing compensation</w:t>
      </w:r>
      <w:r>
        <w:rPr>
          <w:rFonts w:ascii="Arial" w:cs="Arial" w:eastAsia="Arial" w:hAnsi="Arial"/>
          <w:sz w:val="18"/>
          <w:szCs w:val="18"/>
          <w:color w:val="auto"/>
        </w:rPr>
        <w:t>—The compensation of each of our Named Executive Officers (except our Chief Executive Officer) was</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reduced by an amount equal to 25% of their base salary, and the base salary for our Chief Executive Officer was reduced by 40%, effective in April 2020 and continuing for a period of six months. There was no change in compensation for our Chief Administration and Risk Officer since his employment with the Company ceased in April 2020.</w:t>
      </w:r>
    </w:p>
    <w:p>
      <w:pPr>
        <w:spacing w:after="0" w:line="187" w:lineRule="exact"/>
        <w:rPr>
          <w:rFonts w:ascii="Arial" w:cs="Arial" w:eastAsia="Arial" w:hAnsi="Arial"/>
          <w:sz w:val="18"/>
          <w:szCs w:val="18"/>
          <w:color w:val="auto"/>
        </w:rPr>
      </w:pPr>
    </w:p>
    <w:p>
      <w:pPr>
        <w:ind w:left="1080" w:right="80" w:hanging="532"/>
        <w:spacing w:after="0" w:line="24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Reducing maximum level of achievement for annual incentive compensation and revising incentive compensation metrics</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elected to exercise its discretion to revise the 2020 annual incentive compensation program by establishing the maximum incentive compensation pool at 80% of target, as opposed to 175% of target previously approved in the plan and revising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80"/>
        <w:spacing w:after="0" w:line="271" w:lineRule="auto"/>
        <w:rPr>
          <w:sz w:val="20"/>
          <w:szCs w:val="20"/>
          <w:color w:val="auto"/>
        </w:rPr>
      </w:pPr>
      <w:r>
        <w:rPr>
          <w:rFonts w:ascii="Arial" w:cs="Arial" w:eastAsia="Arial" w:hAnsi="Arial"/>
          <w:sz w:val="16"/>
          <w:szCs w:val="16"/>
          <w:color w:val="auto"/>
        </w:rPr>
        <w:t>the applicable metrics to align with the Company's cost reduction priorities. Subsequently, the Compensation Committee further elected to exercise its discretion to establish the maximum incentive pool at 27.3% of target and to cause all 2020 annual incentive awards to be paid in RSUs. Based upon actual performance against the cost reduction objectives, the achievement level for 2020 annual incentives was 91.7% of the 27.3% target pool which equated to a payout of 25.0% of target for the Named Executive Officers (other than the Chief Administration and Risk Officer, who was not eligible for 2020 incentives, and the Chief Executive Officer). The Compensation Committee paid the Chief Executive Officer at 20% of the annual incentive target.</w:t>
      </w:r>
    </w:p>
    <w:p>
      <w:pPr>
        <w:spacing w:after="0" w:line="166" w:lineRule="exact"/>
        <w:rPr>
          <w:sz w:val="20"/>
          <w:szCs w:val="20"/>
          <w:color w:val="auto"/>
        </w:rPr>
      </w:pPr>
    </w:p>
    <w:p>
      <w:pPr>
        <w:ind w:left="1080" w:right="80" w:hanging="532"/>
        <w:spacing w:after="0" w:line="27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Reducing maximum level of achievement for long term incentive awards</w:t>
      </w:r>
      <w:r>
        <w:rPr>
          <w:rFonts w:ascii="Arial" w:cs="Arial" w:eastAsia="Arial" w:hAnsi="Arial"/>
          <w:sz w:val="16"/>
          <w:szCs w:val="16"/>
          <w:color w:val="auto"/>
        </w:rPr>
        <w:t>—The Compensation Committee elected to exercise its</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to revise the maximum level of achievement for 2020 performance in the 2019 and 2020 Long Term Incentive Plans ("LTIP") Type II awards at 80% of target, as opposed to the 150% previously approved in the plan, with the actual level of achievement to be determined by the Compensation Committee based on the level of achievement on the 2020 cost reduction objectives. Based upon actual performance against the cost reduction objectives, the Company's 2020 achievement level under the LTIP Type II award was 91.7% of the 80% maximum potential achievement, or 73.4% for the Named Executive Officers (other than the Chief Administration and Risk Officer, who was not eligible for 2020 incentives). The Type II RSU awards are not yet due to vest and the actual amount of Type II RSUs that vest will depend upon the performance against the established criteria.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details related to base salary, annual incentives and LTIP awards are provided in subsequent sections.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determining executive compensation for the fiscal year, our Compensation Committee considered, among other factors, the shareholder support that the "Say-on-Pay" proposal received at our annual meeting of shareholders in 2020 (with approximately seventy-two (72%) of voted shares supporting the Company's Named Executive Officer compensation structure) and continued to apply principles and a philosophy focused on pay-for-performance and the use of a compensation program designed to motivate the creation of long-term value.</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continued to evolve our executive compensation program in various areas over the past several years based on feedback that we received from our shareholders and other stakeholders.</w:t>
      </w:r>
    </w:p>
    <w:p>
      <w:pPr>
        <w:sectPr>
          <w:pgSz w:w="11900" w:h="16838" w:orient="portrait"/>
          <w:cols w:equalWidth="0" w:num="1">
            <w:col w:w="11200"/>
          </w:cols>
          <w:pgMar w:left="320" w:top="143" w:right="379" w:bottom="1440" w:gutter="0" w:footer="0" w:header="0"/>
        </w:sectPr>
      </w:pPr>
    </w:p>
    <w:p>
      <w:pPr>
        <w:spacing w:after="0" w:line="192"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Company should work toward </w:t>
      </w:r>
      <w:r>
        <w:rPr>
          <w:rFonts w:ascii="Arial" w:cs="Arial" w:eastAsia="Arial" w:hAnsi="Arial"/>
          <w:sz w:val="18"/>
          <w:szCs w:val="18"/>
          <w:b w:val="1"/>
          <w:bCs w:val="1"/>
          <w:color w:val="auto"/>
        </w:rPr>
        <w:t>creating ownership</w:t>
      </w:r>
      <w:r>
        <w:rPr>
          <w:rFonts w:ascii="Arial" w:cs="Arial" w:eastAsia="Arial" w:hAnsi="Arial"/>
          <w:sz w:val="18"/>
          <w:szCs w:val="18"/>
          <w:color w:val="auto"/>
        </w:rPr>
        <w:t xml:space="preserve"> across levels and align employee interest to long term value creation.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8890</wp:posOffset>
            </wp:positionV>
            <wp:extent cx="3505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Beginning in 2018, the Company amended its annual incentive payout methodology to pay a significant portion of the executives earned annual incentive based upon their scorecard performance, in time based RSU as opposed to all in cash. For the 2020 performance year, 100% of the earned annual incentives for our Named Executive Officers was paid in time based RSUs.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130175</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400" w:space="120"/>
            <w:col w:w="5680"/>
          </w:cols>
          <w:pgMar w:left="320" w:top="143" w:right="37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146685</wp:posOffset>
            </wp:positionV>
            <wp:extent cx="264858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Company's LTIP Type I performance-based RSUs awards are based on the </w:t>
      </w:r>
      <w:r>
        <w:rPr>
          <w:rFonts w:ascii="Arial" w:cs="Arial" w:eastAsia="Arial" w:hAnsi="Arial"/>
          <w:sz w:val="18"/>
          <w:szCs w:val="18"/>
          <w:b w:val="1"/>
          <w:bCs w:val="1"/>
          <w:color w:val="auto"/>
        </w:rPr>
        <w:t>same goals</w:t>
      </w:r>
      <w:r>
        <w:rPr>
          <w:rFonts w:ascii="Arial" w:cs="Arial" w:eastAsia="Arial" w:hAnsi="Arial"/>
          <w:sz w:val="18"/>
          <w:szCs w:val="18"/>
          <w:color w:val="auto"/>
        </w:rPr>
        <w:t xml:space="preserve"> as the annual incentive plan. In addition, each tranche vests if the executive's scorecard is a mere 50%. This structure, with similar metrics and performance period, provides </w:t>
      </w:r>
      <w:r>
        <w:rPr>
          <w:rFonts w:ascii="Arial" w:cs="Arial" w:eastAsia="Arial" w:hAnsi="Arial"/>
          <w:sz w:val="18"/>
          <w:szCs w:val="18"/>
          <w:b w:val="1"/>
          <w:bCs w:val="1"/>
          <w:color w:val="auto"/>
        </w:rPr>
        <w:t>two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awards for one achievement. </w:t>
      </w:r>
      <w:r>
        <w:rPr>
          <w:rFonts w:ascii="Arial" w:cs="Arial" w:eastAsia="Arial" w:hAnsi="Arial"/>
          <w:sz w:val="18"/>
          <w:szCs w:val="18"/>
          <w:color w:val="auto"/>
        </w:rPr>
        <w:t>At least half of award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goals that are </w:t>
      </w:r>
      <w:r>
        <w:rPr>
          <w:rFonts w:ascii="Arial" w:cs="Arial" w:eastAsia="Arial" w:hAnsi="Arial"/>
          <w:sz w:val="18"/>
          <w:szCs w:val="18"/>
          <w:b w:val="1"/>
          <w:bCs w:val="1"/>
          <w:color w:val="auto"/>
        </w:rPr>
        <w:t>not rigorous.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505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LTIP Type I performance-based RSU awards, which represent fifty (50%) percent of the target LTIP award, are primarily intended to serve as a retention tool through the grant of time-based RSUs. The Company, however, may withhold the LTIP Type I grant if the executive does not meet minimum performance standards in the given year. This contrasts with the annual incentive plan which is based upon the executive's performance against their scorecard with a percentage of the annual incentive earned typically paid in cash and a percentage paid in time-based RSUs (for 2020 calendar year's annual incentive, 100% of the annual incentive was paid in time-based RSUs).</w:t>
      </w:r>
    </w:p>
    <w:p>
      <w:pPr>
        <w:spacing w:after="0" w:line="191" w:lineRule="exact"/>
        <w:rPr>
          <w:sz w:val="20"/>
          <w:szCs w:val="20"/>
          <w:color w:val="auto"/>
        </w:rPr>
      </w:pPr>
    </w:p>
    <w:p>
      <w:pPr>
        <w:sectPr>
          <w:pgSz w:w="11900" w:h="16838" w:orient="portrait"/>
          <w:cols w:equalWidth="0" w:num="2">
            <w:col w:w="5300" w:space="420"/>
            <w:col w:w="5500"/>
          </w:cols>
          <w:pgMar w:left="320" w:top="143" w:right="359" w:bottom="1440" w:gutter="0" w:footer="0" w:header="0"/>
          <w:type w:val="continuous"/>
        </w:sectPr>
      </w:pPr>
    </w:p>
    <w:p>
      <w:pPr>
        <w:spacing w:after="0" w:line="32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only multi-year LTIP</w:t>
      </w:r>
      <w:r>
        <w:rPr>
          <w:rFonts w:ascii="Arial" w:cs="Arial" w:eastAsia="Arial" w:hAnsi="Arial"/>
          <w:sz w:val="16"/>
          <w:szCs w:val="16"/>
          <w:color w:val="auto"/>
        </w:rPr>
        <w:t xml:space="preserve"> performance measure is the </w:t>
      </w:r>
      <w:r>
        <w:rPr>
          <w:rFonts w:ascii="Arial" w:cs="Arial" w:eastAsia="Arial" w:hAnsi="Arial"/>
          <w:sz w:val="16"/>
          <w:szCs w:val="16"/>
          <w:b w:val="1"/>
          <w:bCs w:val="1"/>
          <w:color w:val="auto"/>
        </w:rPr>
        <w:t>Total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 Return </w:t>
      </w:r>
      <w:r>
        <w:rPr>
          <w:rFonts w:ascii="Arial" w:cs="Arial" w:eastAsia="Arial" w:hAnsi="Arial"/>
          <w:sz w:val="16"/>
          <w:szCs w:val="16"/>
          <w:color w:val="auto"/>
        </w:rPr>
        <w:t>("TSR")</w:t>
      </w:r>
      <w:r>
        <w:rPr>
          <w:rFonts w:ascii="Arial" w:cs="Arial" w:eastAsia="Arial" w:hAnsi="Arial"/>
          <w:sz w:val="16"/>
          <w:szCs w:val="16"/>
          <w:b w:val="1"/>
          <w:bCs w:val="1"/>
          <w:color w:val="auto"/>
        </w:rPr>
        <w:t xml:space="preserve"> modifier </w:t>
      </w:r>
      <w:r>
        <w:rPr>
          <w:rFonts w:ascii="Arial" w:cs="Arial" w:eastAsia="Arial" w:hAnsi="Arial"/>
          <w:sz w:val="16"/>
          <w:szCs w:val="16"/>
          <w:color w:val="auto"/>
        </w:rPr>
        <w:t>applied to Type II awards.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
        <w:spacing w:after="0" w:line="264" w:lineRule="auto"/>
        <w:rPr>
          <w:sz w:val="20"/>
          <w:szCs w:val="20"/>
          <w:color w:val="auto"/>
        </w:rPr>
      </w:pPr>
      <w:r>
        <w:rPr>
          <w:rFonts w:ascii="Arial" w:cs="Arial" w:eastAsia="Arial" w:hAnsi="Arial"/>
          <w:sz w:val="16"/>
          <w:szCs w:val="16"/>
          <w:color w:val="auto"/>
        </w:rPr>
        <w:t>The metrics for the LTIP Type II performance-based RSU awards, which represent fifty (50%) percent of the target LTIP award, are tied to</w:t>
      </w:r>
    </w:p>
    <w:p>
      <w:pPr>
        <w:ind w:left="2" w:right="20" w:hanging="2"/>
        <w:spacing w:after="0" w:line="236"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performance over a three-year period on key financial metrics, with the achievement level modified by (2) the TSR compared to the benchmark Russell 3000 stock market index during this period. In addition to the multi-year LTIP Type II performance measures, the LTIP Type I time-based RSUs and the payment of a significant portion of the earned annual incentive in time-based RSUs also serve to align executives' interests with shareholders over a multi-year period of time.</w:t>
      </w:r>
    </w:p>
    <w:p>
      <w:pPr>
        <w:spacing w:after="0" w:line="200" w:lineRule="exact"/>
        <w:rPr>
          <w:sz w:val="20"/>
          <w:szCs w:val="20"/>
          <w:color w:val="auto"/>
        </w:rPr>
      </w:pPr>
    </w:p>
    <w:p>
      <w:pPr>
        <w:sectPr>
          <w:pgSz w:w="11900" w:h="16838" w:orient="portrait"/>
          <w:cols w:equalWidth="0" w:num="2">
            <w:col w:w="5080" w:space="638"/>
            <w:col w:w="5502"/>
          </w:cols>
          <w:pgMar w:left="320" w:top="143" w:right="359" w:bottom="1440" w:gutter="0" w:footer="0" w:header="0"/>
          <w:type w:val="continuous"/>
        </w:sectPr>
      </w:pPr>
    </w:p>
    <w:p>
      <w:pPr>
        <w:spacing w:after="0" w:line="3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The adjusted Earnings Per Share ("EPS") and relative TSR goals for the LTIP Type II performance-based RSUs awards are </w:t>
      </w:r>
      <w:r>
        <w:rPr>
          <w:rFonts w:ascii="Arial" w:cs="Arial" w:eastAsia="Arial" w:hAnsi="Arial"/>
          <w:sz w:val="16"/>
          <w:szCs w:val="16"/>
          <w:b w:val="1"/>
          <w:bCs w:val="1"/>
          <w:color w:val="auto"/>
        </w:rPr>
        <w:t>undisclosed.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00" w:right="120"/>
        <w:spacing w:after="0" w:line="264" w:lineRule="auto"/>
        <w:rPr>
          <w:sz w:val="20"/>
          <w:szCs w:val="20"/>
          <w:color w:val="auto"/>
        </w:rPr>
      </w:pPr>
      <w:r>
        <w:rPr>
          <w:rFonts w:ascii="Arial" w:cs="Arial" w:eastAsia="Arial" w:hAnsi="Arial"/>
          <w:sz w:val="16"/>
          <w:szCs w:val="16"/>
          <w:color w:val="auto"/>
        </w:rPr>
        <w:t>The vesting of LTIP Type II performance-based RSU awards is typically linked to the average level of attainment of the adjusted EPS budget for each of the three years in the three-year period (provided, however, that for calendar year 2020 under the 2019 and 2020 LTIP plans, the adjusted EPS performance metric was replaced with an achieving a cost savings metric) with the achievement level modified by the TSR compared to the benchmark Russell 3000 stock market index during this period. The detailed methodology is explained in the Equity Award section of this proxy. Employees can typically earn between 0% to 225% of their target award depending on actual performance against both (1) the applicable financial metrics and</w:t>
      </w:r>
    </w:p>
    <w:p>
      <w:pPr>
        <w:spacing w:after="0" w:line="1" w:lineRule="exact"/>
        <w:rPr>
          <w:sz w:val="20"/>
          <w:szCs w:val="20"/>
          <w:color w:val="auto"/>
        </w:rPr>
      </w:pPr>
    </w:p>
    <w:p>
      <w:pPr>
        <w:ind w:left="200" w:right="260" w:hanging="2"/>
        <w:spacing w:after="0" w:line="239" w:lineRule="auto"/>
        <w:tabs>
          <w:tab w:leader="none" w:pos="4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TSR compared to the benchmark Russell 3000 stock market index over the three-year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130175</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340" w:space="180"/>
            <w:col w:w="5700"/>
          </w:cols>
          <w:pgMar w:left="320" w:top="143"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The Company should ensure sufficient </w:t>
      </w:r>
      <w:r>
        <w:rPr>
          <w:rFonts w:ascii="Arial" w:cs="Arial" w:eastAsia="Arial" w:hAnsi="Arial"/>
          <w:sz w:val="18"/>
          <w:szCs w:val="18"/>
          <w:b w:val="1"/>
          <w:bCs w:val="1"/>
          <w:color w:val="auto"/>
        </w:rPr>
        <w:t>rigor</w:t>
      </w:r>
      <w:r>
        <w:rPr>
          <w:rFonts w:ascii="Arial" w:cs="Arial" w:eastAsia="Arial" w:hAnsi="Arial"/>
          <w:sz w:val="18"/>
          <w:szCs w:val="18"/>
          <w:color w:val="auto"/>
        </w:rPr>
        <w:t xml:space="preserve"> while setting the performance goals for long term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alignment should be rigorous.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-521970</wp:posOffset>
            </wp:positionV>
            <wp:extent cx="264858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48585" cy="163195"/>
                    </a:xfrm>
                    <a:prstGeom prst="rect">
                      <a:avLst/>
                    </a:prstGeom>
                    <a:noFill/>
                  </pic:spPr>
                </pic:pic>
              </a:graphicData>
            </a:graphic>
          </wp:anchor>
        </w:drawing>
        <w:drawing>
          <wp:anchor simplePos="0" relativeHeight="251657728" behindDoc="1" locked="0" layoutInCell="0" allowOverlap="1">
            <wp:simplePos x="0" y="0"/>
            <wp:positionH relativeFrom="column">
              <wp:posOffset>125730</wp:posOffset>
            </wp:positionH>
            <wp:positionV relativeFrom="paragraph">
              <wp:posOffset>8890</wp:posOffset>
            </wp:positionV>
            <wp:extent cx="3505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The Company leverages stretch Adjusted EPS targets (and for calendar year 2020, cost savings metrics) and TSR to determine the number of LTIP Type II performance-based RSU awards that vest. To further align executives' interests with shareholders and to support executive retention, in 2020, the Company granted additional RSU awards to the current Named Executive Officers with 80% of the award vesting only if the Company's share price achieves certain ambitious levels over a period of time. In order for 10%, 30% and 40% of the award to vest, the Company's share price must increase by 55%, 93% and 171%, respectively, compared to the value at the time of grant.</w:t>
      </w:r>
    </w:p>
    <w:p>
      <w:pPr>
        <w:spacing w:after="0" w:line="21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establish rigorous pay for performance criteria by linking our annual incentives to the achievement of stretch annual financial goals and 50% of our LTIP to multi-year financial performance and TSR. For 2020, the Named Executive Officers were paid between 20% to 25% of their target annual incentive, based on the Board approved bonus pool funding level and the Company's performance on the applicable scorecard metrics which consisted of an aggressive cost reduction metric. The LTIP payouts target was also adjusted based upon the Board approved funding level and the Company's performance on the applicable scorecard metrics.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130175</wp:posOffset>
            </wp:positionV>
            <wp:extent cx="713613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4800" w:space="720"/>
            <w:col w:w="5720"/>
          </w:cols>
          <w:pgMar w:left="320" w:top="14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Practices</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compensation program maintains and continues to build upon the Company's executive compensation governance framework. In evaluating the design of this compensation program, our Compensation Committee considers whether such program discourages behavior that may result in unnecessary or excessive risk.</w:t>
      </w:r>
    </w:p>
    <w:p>
      <w:pPr>
        <w:sectPr>
          <w:pgSz w:w="11900" w:h="16838" w:orient="portrait"/>
          <w:cols w:equalWidth="0" w:num="1">
            <w:col w:w="11240"/>
          </w:cols>
          <w:pgMar w:left="320" w:top="143" w:right="339" w:bottom="1440" w:gutter="0" w:footer="0" w:header="0"/>
        </w:sectPr>
      </w:pPr>
    </w:p>
    <w:p>
      <w:pPr>
        <w:spacing w:after="0" w:line="19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Executive compensation based on pay-for-performance philosophy: We link a significant portion of our executive compensation to the achievement of pre-defined performance goals, through our performance-based annual incentive plan and LTIP. Our annual incentive plan is based upon performance against certain pre-established metrics. Such metrics typically include financial goals and key strategic initiatives, as well as satisfaction of certain individual performance metrics. Part of the annual incentive is paid in RSUs, with the Compensation Committee having the discretion to increase payment in RSUs up to 100% of the award value. By vesting the RSU component over a one to two-year period, employees are incentivized to perform over an extended period of time and balance the achievement of annual objectives with longer term corporate performance.</w:t>
      </w:r>
    </w:p>
    <w:p>
      <w:pPr>
        <w:spacing w:after="0" w:line="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b w:val="1"/>
          <w:bCs w:val="1"/>
          <w:color w:val="auto"/>
        </w:rPr>
        <w:t>Incorporate long term performance-based criterion while determining compensation</w:t>
      </w:r>
      <w:r>
        <w:rPr>
          <w:rFonts w:ascii="Arial" w:cs="Arial" w:eastAsia="Arial" w:hAnsi="Arial"/>
          <w:sz w:val="18"/>
          <w:szCs w:val="18"/>
          <w:color w:val="auto"/>
        </w:rPr>
        <w:t>: 50% of our LTIP rewards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based upon achievement of defined financial metrics and TSR (Company performance compared to the Russell 3000 stock market index) over a three-year period. The awards cliff vest three years after the grant date based upon performance against these metrics.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505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 hedging or pledging of our securities: 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No option repricing or repurchase of underwater options without shareholder approval</w:t>
      </w:r>
      <w:r>
        <w:rPr>
          <w:rFonts w:ascii="Arial" w:cs="Arial" w:eastAsia="Arial" w:hAnsi="Arial"/>
          <w:sz w:val="16"/>
          <w:szCs w:val="16"/>
          <w:color w:val="auto"/>
        </w:rPr>
        <w:t>: We do not reprice any of our underwater</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or approve repricing of any award that is underwater.</w:t>
      </w:r>
    </w:p>
    <w:p>
      <w:pPr>
        <w:spacing w:after="0" w:line="965" w:lineRule="exact"/>
        <w:rPr>
          <w:sz w:val="20"/>
          <w:szCs w:val="20"/>
          <w:color w:val="auto"/>
        </w:rPr>
      </w:pPr>
    </w:p>
    <w:p>
      <w:pPr>
        <w:sectPr>
          <w:pgSz w:w="11900" w:h="16838" w:orient="portrait"/>
          <w:cols w:equalWidth="0" w:num="2">
            <w:col w:w="5480" w:space="240"/>
            <w:col w:w="5520"/>
          </w:cols>
          <w:pgMar w:left="320" w:top="143" w:right="339" w:bottom="1440" w:gutter="0" w:footer="0" w:header="0"/>
          <w:type w:val="continuous"/>
        </w:sectPr>
      </w:pP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Use appropriate peer groups when establishing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established a peer group which helps benchmark our compensation practices. We review the peer group from time to time to ensure its relevance—the last revision of our peer group happened in the fourth calendar quarter of 2019. Peer group data is an important consideration used to set the overall compensation levels and pay mix for our Named Executive Officers.</w:t>
      </w:r>
    </w:p>
    <w:p>
      <w:pPr>
        <w:spacing w:after="0" w:line="20" w:lineRule="exact"/>
        <w:rPr>
          <w:sz w:val="20"/>
          <w:szCs w:val="20"/>
          <w:color w:val="auto"/>
        </w:rPr>
      </w:pPr>
      <w:r>
        <w:rPr>
          <w:sz w:val="20"/>
          <w:szCs w:val="20"/>
          <w:color w:val="auto"/>
        </w:rPr>
        <w:br w:type="column"/>
      </w:r>
    </w:p>
    <w:p>
      <w:pPr>
        <w:ind w:right="200"/>
        <w:spacing w:after="0" w:line="242" w:lineRule="auto"/>
        <w:rPr>
          <w:sz w:val="20"/>
          <w:szCs w:val="20"/>
          <w:color w:val="auto"/>
        </w:rPr>
      </w:pPr>
      <w:r>
        <w:rPr>
          <w:rFonts w:ascii="Arial" w:cs="Arial" w:eastAsia="Arial" w:hAnsi="Arial"/>
          <w:sz w:val="18"/>
          <w:szCs w:val="18"/>
          <w:b w:val="1"/>
          <w:bCs w:val="1"/>
          <w:color w:val="auto"/>
        </w:rPr>
        <w:t>No option backdating or discounting</w:t>
      </w:r>
      <w:r>
        <w:rPr>
          <w:rFonts w:ascii="Arial" w:cs="Arial" w:eastAsia="Arial" w:hAnsi="Arial"/>
          <w:sz w:val="18"/>
          <w:szCs w:val="18"/>
          <w:color w:val="auto"/>
        </w:rPr>
        <w:t>: We do not backdate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any option granted to the Named Executive Officers (or any employee). The exercise price of all options is the closing price of Altisource common stock as on the date of the grant (the date when these awards are approved).</w:t>
      </w:r>
    </w:p>
    <w:p>
      <w:pPr>
        <w:spacing w:after="0" w:line="599" w:lineRule="exact"/>
        <w:rPr>
          <w:sz w:val="20"/>
          <w:szCs w:val="20"/>
          <w:color w:val="auto"/>
        </w:rPr>
      </w:pPr>
    </w:p>
    <w:p>
      <w:pPr>
        <w:sectPr>
          <w:pgSz w:w="11900" w:h="16838" w:orient="portrait"/>
          <w:cols w:equalWidth="0" w:num="2">
            <w:col w:w="5460" w:space="260"/>
            <w:col w:w="5520"/>
          </w:cols>
          <w:pgMar w:left="320" w:top="143" w:right="3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146685</wp:posOffset>
            </wp:positionV>
            <wp:extent cx="264858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color w:val="auto"/>
        </w:rPr>
        <w:t xml:space="preserve">Higher weightage of equity compensation versus cash compensation at senior levels: </w:t>
      </w:r>
      <w:r>
        <w:rPr>
          <w:rFonts w:ascii="Arial" w:cs="Arial" w:eastAsia="Arial" w:hAnsi="Arial"/>
          <w:sz w:val="18"/>
          <w:szCs w:val="18"/>
          <w:color w:val="auto"/>
        </w:rPr>
        <w:t>Equity compensation is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significant components of our pay mix. This encourages our executives to create long-term stakeholder value and aligns their interest to the long-term success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Maintain an independent Compensation Committee: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is composed of independent Directors, who review and approve compensation related decisions for our Named Executive Officers. The Compensation Committee may from time to time consult with an independent compensation consultant as it deems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505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No excessive perquisites</w:t>
      </w:r>
      <w:r>
        <w:rPr>
          <w:rFonts w:ascii="Arial" w:cs="Arial" w:eastAsia="Arial" w:hAnsi="Arial"/>
          <w:sz w:val="18"/>
          <w:szCs w:val="18"/>
          <w:color w:val="auto"/>
        </w:rPr>
        <w:t>: We provide certain of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based in Luxembourg with limited perquisites based upon important business considerations. We consider the perquisites offered to our Named Executive Officers in Luxembourg important to attract qualified executives to relocate to Luxembourg.</w:t>
      </w:r>
    </w:p>
    <w:p>
      <w:pPr>
        <w:spacing w:after="0" w:line="2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Golden parachute excise tax protection</w:t>
      </w:r>
      <w:r>
        <w:rPr>
          <w:rFonts w:ascii="Arial" w:cs="Arial" w:eastAsia="Arial" w:hAnsi="Arial"/>
          <w:sz w:val="18"/>
          <w:szCs w:val="18"/>
          <w:color w:val="auto"/>
        </w:rPr>
        <w:t>: We do not provide golden</w:t>
      </w:r>
      <w:r>
        <w:rPr>
          <w:rFonts w:ascii="Arial" w:cs="Arial" w:eastAsia="Arial" w:hAnsi="Arial"/>
          <w:sz w:val="18"/>
          <w:szCs w:val="18"/>
          <w:b w:val="1"/>
          <w:bCs w:val="1"/>
          <w:color w:val="auto"/>
        </w:rPr>
        <w:t xml:space="preserve"> </w:t>
      </w:r>
      <w:r>
        <w:rPr>
          <w:rFonts w:ascii="Arial" w:cs="Arial" w:eastAsia="Arial" w:hAnsi="Arial"/>
          <w:sz w:val="18"/>
          <w:szCs w:val="18"/>
          <w:color w:val="auto"/>
        </w:rPr>
        <w:t>parachute excise tax gross-up protection for our executives.</w:t>
      </w:r>
    </w:p>
    <w:p>
      <w:pPr>
        <w:spacing w:after="0" w:line="986" w:lineRule="exact"/>
        <w:rPr>
          <w:sz w:val="20"/>
          <w:szCs w:val="20"/>
          <w:color w:val="auto"/>
        </w:rPr>
      </w:pPr>
    </w:p>
    <w:p>
      <w:pPr>
        <w:sectPr>
          <w:pgSz w:w="11900" w:h="16838" w:orient="portrait"/>
          <w:cols w:equalWidth="0" w:num="2">
            <w:col w:w="5500" w:space="220"/>
            <w:col w:w="5480"/>
          </w:cols>
          <w:pgMar w:left="320" w:top="143" w:right="379" w:bottom="1440" w:gutter="0" w:footer="0" w:header="0"/>
          <w:type w:val="continuous"/>
        </w:sectPr>
      </w:pPr>
    </w:p>
    <w:p>
      <w:pPr>
        <w:spacing w:after="0" w:line="16" w:lineRule="exact"/>
        <w:rPr>
          <w:sz w:val="20"/>
          <w:szCs w:val="20"/>
          <w:color w:val="auto"/>
        </w:rPr>
      </w:pPr>
    </w:p>
    <w:p>
      <w:pPr>
        <w:ind w:right="3200"/>
        <w:spacing w:after="0"/>
        <w:rPr>
          <w:sz w:val="20"/>
          <w:szCs w:val="20"/>
          <w:color w:val="auto"/>
        </w:rPr>
      </w:pPr>
      <w:r>
        <w:rPr>
          <w:rFonts w:ascii="Arial" w:cs="Arial" w:eastAsia="Arial" w:hAnsi="Arial"/>
          <w:sz w:val="18"/>
          <w:szCs w:val="18"/>
          <w:b w:val="1"/>
          <w:bCs w:val="1"/>
          <w:color w:val="auto"/>
        </w:rPr>
        <w:t>Maintain a claw-back policy</w:t>
      </w:r>
      <w:r>
        <w:rPr>
          <w:rFonts w:ascii="Arial" w:cs="Arial" w:eastAsia="Arial" w:hAnsi="Arial"/>
          <w:sz w:val="18"/>
          <w:szCs w:val="18"/>
          <w:color w:val="auto"/>
        </w:rPr>
        <w:t>: Our claw back policy provides that the</w:t>
      </w:r>
      <w:r>
        <w:rPr>
          <w:rFonts w:ascii="Arial" w:cs="Arial" w:eastAsia="Arial" w:hAnsi="Arial"/>
          <w:sz w:val="18"/>
          <w:szCs w:val="18"/>
          <w:b w:val="1"/>
          <w:bCs w:val="1"/>
          <w:color w:val="auto"/>
        </w:rPr>
        <w:t xml:space="preserve"> Guarantee salary increases </w:t>
      </w:r>
      <w:r>
        <w:rPr>
          <w:rFonts w:ascii="Arial" w:cs="Arial" w:eastAsia="Arial" w:hAnsi="Arial"/>
          <w:sz w:val="18"/>
          <w:szCs w:val="18"/>
          <w:color w:val="auto"/>
        </w:rPr>
        <w:t>Company may seek to recoup incentive compensation paid to current or former executive officers in the event of their willful commission of a material error, fraud or misconduct resulting in: (i) one or more financial restatements; (ii) material reputational harm to, or adverse publicity of, the Company; or (iii) the Company terminating the executive officer for cause. This policy also provides that the Company may extend its provisions and apply them to other senior employees who are not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Maintain stock ownership and retention guidelines for Chief</w:t>
      </w:r>
      <w:r>
        <w:rPr>
          <w:sz w:val="20"/>
          <w:szCs w:val="20"/>
          <w:color w:val="auto"/>
        </w:rPr>
        <w:tab/>
      </w:r>
      <w:r>
        <w:rPr>
          <w:rFonts w:ascii="Arial" w:cs="Arial" w:eastAsia="Arial" w:hAnsi="Arial"/>
          <w:sz w:val="16"/>
          <w:szCs w:val="16"/>
          <w:b w:val="1"/>
          <w:bCs w:val="1"/>
          <w:color w:val="auto"/>
        </w:rPr>
        <w:t>Offer a supplemental executive retirement program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w:t>
      </w:r>
      <w:r>
        <w:rPr>
          <w:rFonts w:ascii="Arial" w:cs="Arial" w:eastAsia="Arial" w:hAnsi="Arial"/>
          <w:sz w:val="18"/>
          <w:szCs w:val="18"/>
          <w:color w:val="auto"/>
        </w:rPr>
        <w:t>: The Board of Directors instituted a requirement for</w:t>
      </w:r>
    </w:p>
    <w:p>
      <w:pPr>
        <w:spacing w:after="0" w:line="234" w:lineRule="auto"/>
        <w:rPr>
          <w:sz w:val="20"/>
          <w:szCs w:val="20"/>
          <w:color w:val="auto"/>
        </w:rPr>
      </w:pPr>
      <w:r>
        <w:rPr>
          <w:rFonts w:ascii="Arial" w:cs="Arial" w:eastAsia="Arial" w:hAnsi="Arial"/>
          <w:sz w:val="18"/>
          <w:szCs w:val="18"/>
          <w:color w:val="auto"/>
        </w:rPr>
        <w:t>our Chief Executive Officer that he beneficially own Altisource stock</w:t>
      </w:r>
    </w:p>
    <w:p>
      <w:pPr>
        <w:spacing w:after="0" w:line="235" w:lineRule="auto"/>
        <w:rPr>
          <w:sz w:val="20"/>
          <w:szCs w:val="20"/>
          <w:color w:val="auto"/>
        </w:rPr>
      </w:pPr>
      <w:r>
        <w:rPr>
          <w:rFonts w:ascii="Arial" w:cs="Arial" w:eastAsia="Arial" w:hAnsi="Arial"/>
          <w:sz w:val="18"/>
          <w:szCs w:val="18"/>
          <w:color w:val="auto"/>
        </w:rPr>
        <w:t>equal to at least three times the Chief Executive Officer's annual 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 With respect to equity grants made after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January 1, 2013, we generally have the right to cancel outstanding</w:t>
      </w:r>
    </w:p>
    <w:p>
      <w:pPr>
        <w:spacing w:after="0" w:line="234" w:lineRule="auto"/>
        <w:rPr>
          <w:sz w:val="20"/>
          <w:szCs w:val="20"/>
          <w:color w:val="auto"/>
        </w:rPr>
      </w:pPr>
      <w:r>
        <w:rPr>
          <w:rFonts w:ascii="Arial" w:cs="Arial" w:eastAsia="Arial" w:hAnsi="Arial"/>
          <w:sz w:val="18"/>
          <w:szCs w:val="18"/>
          <w:color w:val="auto"/>
        </w:rPr>
        <w:t>equity awards and recover realized gains if an executive breaches</w:t>
      </w:r>
    </w:p>
    <w:p>
      <w:pPr>
        <w:spacing w:after="0" w:line="235" w:lineRule="auto"/>
        <w:rPr>
          <w:sz w:val="20"/>
          <w:szCs w:val="20"/>
          <w:color w:val="auto"/>
        </w:rPr>
      </w:pPr>
      <w:r>
        <w:rPr>
          <w:rFonts w:ascii="Arial" w:cs="Arial" w:eastAsia="Arial" w:hAnsi="Arial"/>
          <w:sz w:val="18"/>
          <w:szCs w:val="18"/>
          <w:color w:val="auto"/>
        </w:rPr>
        <w:t>certain restrictive covenants within two years following departure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Compensation Review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w:t>
      </w:r>
    </w:p>
    <w:p>
      <w:pPr>
        <w:spacing w:after="0" w:line="23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Compensation Committee is responsible for overseeing our executive compensation program, including base salaries, non-equity and equity incentive compensation, equity awards, including those under our LTIP,</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20"/>
        <w:spacing w:after="0" w:line="239" w:lineRule="auto"/>
        <w:rPr>
          <w:sz w:val="20"/>
          <w:szCs w:val="20"/>
          <w:color w:val="auto"/>
        </w:rPr>
      </w:pPr>
      <w:r>
        <w:rPr>
          <w:rFonts w:ascii="Arial" w:cs="Arial" w:eastAsia="Arial" w:hAnsi="Arial"/>
          <w:sz w:val="18"/>
          <w:szCs w:val="18"/>
          <w:color w:val="auto"/>
        </w:rPr>
        <w:t>and executive benefits. The Compensation Committee determines the compensation of our Chief Executive Officer and approves the compensation of our Named Executive Officers.</w:t>
      </w:r>
    </w:p>
    <w:p>
      <w:pPr>
        <w:spacing w:after="0" w:line="20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Compensation Committee reviews the compensation of our Chief Executive Officer and our Named Executive Officers periodically to determine whether compensation changes are appropriate, and may make changes to target total compensation opportunities from time to time. To make decisions that are informed by market practices, the Compensation Committee, typically in consultation with its independent compensation consultant, periodically conducts benchmarking analysis among peer companies that are comparable in size, industry and other attributes and that may compete with Altisource for qualified talent.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 Historically, our Chief Executive Officer and Chief Administration and Risk Officer generally attended Compensation Committee meetings, except that they were not present during any voting or deliberations related to their own compensation. These executives actively participated in performance determinations and compensation discussions for other executive officers, including making recommendations to the Compensation Committee as to the amount and form of compensation. Since the departure of our Chief Administration and Risk Officer in April 2020, our Chief Executive Officer has continued to attend Compensation Committee meetings in the same manner.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21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20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Among other services, from time to time the Compensation Committee engages a compensation consultant to review the peer group used to benchmark executive and director pay to ensure the comparisons remain meaningful and relevant. In 2019, the Compensation Committee engaged Exequity, our independent compensation consultant, to conduct a review of the Company's peer group for purposes of compensation analysis and comparison. The Compensation Committee did not engage an independent compensation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consultant in 2020. Based on Exequity's review and recommendation, we made certain changes to our peer group.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peer group currently consists of the following sixteen (16) companies:</w:t>
      </w:r>
    </w:p>
    <w:p>
      <w:pPr>
        <w:spacing w:after="0" w:line="21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Black Knight Financial Services,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Ellie Mae, Inc.</w:t>
      </w:r>
    </w:p>
    <w:p>
      <w:pPr>
        <w:ind w:left="1080" w:hanging="532"/>
        <w:spacing w:after="0" w:line="23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Everi Holdings, Inc.</w:t>
      </w: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FedNat Holding Company</w:t>
      </w:r>
    </w:p>
    <w:p>
      <w:pPr>
        <w:ind w:left="1080" w:hanging="532"/>
        <w:spacing w:after="0" w:line="23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GreenSky, Inc.</w:t>
      </w: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 Mortgage Holdings,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Cooper Group, Inc.</w:t>
      </w:r>
    </w:p>
    <w:p>
      <w:pPr>
        <w:ind w:left="1080" w:hanging="532"/>
        <w:spacing w:after="0" w:line="23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NMI Holdings, Inc.</w:t>
      </w: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PennyMac Financial Services,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Radian Group Inc.</w:t>
      </w:r>
    </w:p>
    <w:p>
      <w:pPr>
        <w:ind w:left="1080" w:hanging="532"/>
        <w:spacing w:after="0" w:line="23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RealPage, Inc.</w:t>
      </w: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Redfin Corporation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Regional Management Corp.</w:t>
      </w: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Virtusa Corp.</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Zillow Group,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current annual compensation package for our Named Executive Officers primarily consists of three elements:</w:t>
      </w:r>
    </w:p>
    <w:p>
      <w:pPr>
        <w:sectPr>
          <w:pgSz w:w="11900" w:h="16838" w:orient="portrait"/>
          <w:cols w:equalWidth="0" w:num="1">
            <w:col w:w="11200"/>
          </w:cols>
          <w:pgMar w:left="320" w:top="143" w:right="37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Compensation Element</w:t>
            </w:r>
          </w:p>
        </w:tc>
        <w:tc>
          <w:tcPr>
            <w:tcW w:w="200" w:type="dxa"/>
            <w:vAlign w:val="bottom"/>
          </w:tcPr>
          <w:p>
            <w:pPr>
              <w:spacing w:after="0"/>
              <w:rPr>
                <w:sz w:val="15"/>
                <w:szCs w:val="15"/>
                <w:color w:val="auto"/>
              </w:rPr>
            </w:pPr>
          </w:p>
        </w:tc>
        <w:tc>
          <w:tcPr>
            <w:tcW w:w="36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Characteristics</w:t>
            </w:r>
          </w:p>
        </w:tc>
      </w:tr>
      <w:tr>
        <w:trPr>
          <w:trHeight w:val="208"/>
        </w:trPr>
        <w:tc>
          <w:tcPr>
            <w:tcW w:w="3620" w:type="dxa"/>
            <w:vAlign w:val="bottom"/>
          </w:tcPr>
          <w:p>
            <w:pPr>
              <w:spacing w:after="0"/>
              <w:rPr>
                <w:sz w:val="20"/>
                <w:szCs w:val="20"/>
                <w:color w:val="auto"/>
              </w:rPr>
            </w:pPr>
            <w:r>
              <w:rPr>
                <w:rFonts w:ascii="Arial" w:cs="Arial" w:eastAsia="Arial" w:hAnsi="Arial"/>
                <w:sz w:val="18"/>
                <w:szCs w:val="18"/>
                <w:color w:val="auto"/>
              </w:rPr>
              <w:t>Base Salary</w:t>
            </w: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Competitive fixed compensation</w:t>
            </w:r>
          </w:p>
        </w:tc>
      </w:tr>
      <w:tr>
        <w:trPr>
          <w:trHeight w:val="599"/>
        </w:trPr>
        <w:tc>
          <w:tcPr>
            <w:tcW w:w="3620" w:type="dxa"/>
            <w:vAlign w:val="bottom"/>
          </w:tcPr>
          <w:p>
            <w:pPr>
              <w:spacing w:after="0"/>
              <w:rPr>
                <w:sz w:val="20"/>
                <w:szCs w:val="20"/>
                <w:color w:val="auto"/>
              </w:rPr>
            </w:pPr>
            <w:r>
              <w:rPr>
                <w:rFonts w:ascii="Arial" w:cs="Arial" w:eastAsia="Arial" w:hAnsi="Arial"/>
                <w:sz w:val="18"/>
                <w:szCs w:val="18"/>
                <w:color w:val="auto"/>
              </w:rPr>
              <w:t>Annual Incentive Pay</w:t>
            </w: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Performance based compensation, typically</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8"/>
              </w:rPr>
              <w:t>paid in a combination of cash and time-based</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RSUs (for calendar year 2020, paid solely in</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RSUs), linked to achievement of annual</w:t>
            </w:r>
          </w:p>
        </w:tc>
      </w:tr>
      <w:tr>
        <w:trPr>
          <w:trHeight w:val="211"/>
        </w:trPr>
        <w:tc>
          <w:tcPr>
            <w:tcW w:w="36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performance goals.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2885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Provide fixed compensation that is commensurate with the executive's scope of responsibility, experience and performance.</w:t>
      </w:r>
    </w:p>
    <w:p>
      <w:pPr>
        <w:spacing w:after="0" w:line="1" w:lineRule="exact"/>
        <w:rPr>
          <w:sz w:val="20"/>
          <w:szCs w:val="20"/>
          <w:color w:val="auto"/>
        </w:rPr>
      </w:pPr>
    </w:p>
    <w:p>
      <w:pPr>
        <w:ind w:left="220" w:right="260" w:hanging="216"/>
        <w:spacing w:after="0" w:line="238" w:lineRule="auto"/>
        <w:rPr>
          <w:sz w:val="20"/>
          <w:szCs w:val="20"/>
          <w:color w:val="auto"/>
        </w:rPr>
      </w:pPr>
      <w:r>
        <w:rPr>
          <w:rFonts w:ascii="Arial" w:cs="Arial" w:eastAsia="Arial" w:hAnsi="Arial"/>
          <w:sz w:val="18"/>
          <w:szCs w:val="18"/>
          <w:color w:val="auto"/>
        </w:rPr>
        <w:t>– Align the executive's compensation with the Company's strategic business and financial goals</w:t>
      </w:r>
    </w:p>
    <w:p>
      <w:pPr>
        <w:spacing w:after="0" w:line="194" w:lineRule="exact"/>
        <w:rPr>
          <w:sz w:val="20"/>
          <w:szCs w:val="20"/>
          <w:color w:val="auto"/>
        </w:rPr>
      </w:pPr>
    </w:p>
    <w:p>
      <w:pPr>
        <w:ind w:left="220" w:hanging="216"/>
        <w:spacing w:after="0" w:line="275" w:lineRule="auto"/>
        <w:rPr>
          <w:sz w:val="20"/>
          <w:szCs w:val="20"/>
          <w:color w:val="auto"/>
        </w:rPr>
      </w:pPr>
      <w:r>
        <w:rPr>
          <w:rFonts w:ascii="Arial" w:cs="Arial" w:eastAsia="Arial" w:hAnsi="Arial"/>
          <w:sz w:val="16"/>
          <w:szCs w:val="16"/>
          <w:color w:val="auto"/>
        </w:rPr>
        <w:t>– Incentive creation of shareholder value and retention of high performing executives through a portion of the earned incentive paid in time-based RSUs</w:t>
      </w:r>
    </w:p>
    <w:p>
      <w:pPr>
        <w:sectPr>
          <w:pgSz w:w="11900" w:h="16838" w:orient="portrait"/>
          <w:cols w:equalWidth="0" w:num="2">
            <w:col w:w="7420" w:space="220"/>
            <w:col w:w="3560"/>
          </w:cols>
          <w:pgMar w:left="320" w:top="143" w:right="37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146685</wp:posOffset>
            </wp:positionV>
            <wp:extent cx="264858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Compensation Element</w:t>
            </w:r>
          </w:p>
        </w:tc>
        <w:tc>
          <w:tcPr>
            <w:tcW w:w="200" w:type="dxa"/>
            <w:vAlign w:val="bottom"/>
          </w:tcPr>
          <w:p>
            <w:pPr>
              <w:spacing w:after="0"/>
              <w:rPr>
                <w:sz w:val="15"/>
                <w:szCs w:val="15"/>
                <w:color w:val="auto"/>
              </w:rPr>
            </w:pPr>
          </w:p>
        </w:tc>
        <w:tc>
          <w:tcPr>
            <w:tcW w:w="36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Characteristics</w:t>
            </w:r>
          </w:p>
        </w:tc>
      </w:tr>
      <w:tr>
        <w:trPr>
          <w:trHeight w:val="199"/>
        </w:trPr>
        <w:tc>
          <w:tcPr>
            <w:tcW w:w="3620" w:type="dxa"/>
            <w:vAlign w:val="bottom"/>
          </w:tcPr>
          <w:p>
            <w:pPr>
              <w:spacing w:after="0" w:line="199" w:lineRule="exact"/>
              <w:rPr>
                <w:sz w:val="20"/>
                <w:szCs w:val="20"/>
                <w:color w:val="auto"/>
              </w:rPr>
            </w:pPr>
            <w:r>
              <w:rPr>
                <w:rFonts w:ascii="Arial" w:cs="Arial" w:eastAsia="Arial" w:hAnsi="Arial"/>
                <w:sz w:val="18"/>
                <w:szCs w:val="18"/>
                <w:color w:val="auto"/>
              </w:rPr>
              <w:t>Long Term Incentive Plan</w:t>
            </w:r>
          </w:p>
        </w:tc>
        <w:tc>
          <w:tcPr>
            <w:tcW w:w="3800" w:type="dxa"/>
            <w:vAlign w:val="bottom"/>
            <w:gridSpan w:val="2"/>
          </w:tcPr>
          <w:p>
            <w:pPr>
              <w:ind w:left="200"/>
              <w:spacing w:after="0" w:line="199" w:lineRule="exact"/>
              <w:rPr>
                <w:sz w:val="20"/>
                <w:szCs w:val="20"/>
                <w:color w:val="auto"/>
              </w:rPr>
            </w:pPr>
            <w:r>
              <w:rPr>
                <w:rFonts w:ascii="Arial" w:cs="Arial" w:eastAsia="Arial" w:hAnsi="Arial"/>
                <w:sz w:val="18"/>
                <w:szCs w:val="18"/>
                <w:color w:val="auto"/>
              </w:rPr>
              <w:t>Multi-year performance and time-based</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compensation paid in RSUs. The</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performance based RSUs are tied to the</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Company's-performance against established</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performance goals as modified by the</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Company's share price performance</w:t>
            </w:r>
          </w:p>
        </w:tc>
      </w:tr>
      <w:tr>
        <w:trPr>
          <w:trHeight w:val="203"/>
        </w:trPr>
        <w:tc>
          <w:tcPr>
            <w:tcW w:w="3620" w:type="dxa"/>
            <w:vAlign w:val="bottom"/>
          </w:tcPr>
          <w:p>
            <w:pPr>
              <w:spacing w:after="0"/>
              <w:rPr>
                <w:sz w:val="17"/>
                <w:szCs w:val="17"/>
                <w:color w:val="auto"/>
              </w:rPr>
            </w:pPr>
          </w:p>
        </w:tc>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compared to the Russell 3000 stock market</w:t>
            </w:r>
          </w:p>
        </w:tc>
      </w:tr>
      <w:tr>
        <w:trPr>
          <w:trHeight w:val="211"/>
        </w:trPr>
        <w:tc>
          <w:tcPr>
            <w:tcW w:w="362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Arial" w:cs="Arial" w:eastAsia="Arial" w:hAnsi="Arial"/>
                <w:sz w:val="18"/>
                <w:szCs w:val="18"/>
                <w:color w:val="auto"/>
              </w:rPr>
              <w:t>index, over a three-year period.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22885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ind w:right="180" w:hanging="216"/>
        <w:spacing w:after="0" w:line="237" w:lineRule="auto"/>
        <w:rPr>
          <w:sz w:val="20"/>
          <w:szCs w:val="20"/>
          <w:color w:val="auto"/>
        </w:rPr>
      </w:pPr>
      <w:r>
        <w:rPr>
          <w:rFonts w:ascii="Arial" w:cs="Arial" w:eastAsia="Arial" w:hAnsi="Arial"/>
          <w:sz w:val="18"/>
          <w:szCs w:val="18"/>
          <w:color w:val="auto"/>
        </w:rPr>
        <w:t>– Incentivize the achievement of strategic business objectives designed to increase long-term shareholder and stakeholder value</w:t>
      </w:r>
    </w:p>
    <w:p>
      <w:pPr>
        <w:spacing w:after="0" w:line="194" w:lineRule="exact"/>
        <w:rPr>
          <w:sz w:val="20"/>
          <w:szCs w:val="20"/>
          <w:color w:val="auto"/>
        </w:rPr>
      </w:pPr>
    </w:p>
    <w:p>
      <w:pPr>
        <w:ind w:right="140" w:hanging="216"/>
        <w:spacing w:after="0" w:line="238" w:lineRule="auto"/>
        <w:rPr>
          <w:sz w:val="20"/>
          <w:szCs w:val="20"/>
          <w:color w:val="auto"/>
        </w:rPr>
      </w:pPr>
      <w:r>
        <w:rPr>
          <w:rFonts w:ascii="Arial" w:cs="Arial" w:eastAsia="Arial" w:hAnsi="Arial"/>
          <w:sz w:val="18"/>
          <w:szCs w:val="18"/>
          <w:color w:val="auto"/>
        </w:rPr>
        <w:t>– Provide a direct correlation between executive wealth creation opportunity and stock price performance</w:t>
      </w:r>
    </w:p>
    <w:p>
      <w:pPr>
        <w:spacing w:after="0" w:line="194" w:lineRule="exact"/>
        <w:rPr>
          <w:sz w:val="20"/>
          <w:szCs w:val="20"/>
          <w:color w:val="auto"/>
        </w:rPr>
      </w:pPr>
    </w:p>
    <w:p>
      <w:pPr>
        <w:ind w:right="260" w:hanging="216"/>
        <w:spacing w:after="0" w:line="239" w:lineRule="auto"/>
        <w:rPr>
          <w:sz w:val="20"/>
          <w:szCs w:val="20"/>
          <w:color w:val="auto"/>
        </w:rPr>
      </w:pPr>
      <w:r>
        <w:rPr>
          <w:rFonts w:ascii="Arial" w:cs="Arial" w:eastAsia="Arial" w:hAnsi="Arial"/>
          <w:sz w:val="18"/>
          <w:szCs w:val="18"/>
          <w:color w:val="auto"/>
        </w:rPr>
        <w:t>– Support the retention of high-performing executives</w:t>
      </w:r>
    </w:p>
    <w:p>
      <w:pPr>
        <w:spacing w:after="0" w:line="200" w:lineRule="exact"/>
        <w:rPr>
          <w:sz w:val="20"/>
          <w:szCs w:val="20"/>
          <w:color w:val="auto"/>
        </w:rPr>
      </w:pPr>
    </w:p>
    <w:p>
      <w:pPr>
        <w:sectPr>
          <w:pgSz w:w="11900" w:h="16838" w:orient="portrait"/>
          <w:cols w:equalWidth="0" w:num="2">
            <w:col w:w="7420" w:space="440"/>
            <w:col w:w="3360"/>
          </w:cols>
          <w:pgMar w:left="320" w:top="143" w:right="359" w:bottom="1440" w:gutter="0" w:footer="0" w:header="0"/>
          <w:type w:val="continuous"/>
        </w:sectPr>
      </w:pPr>
    </w:p>
    <w:p>
      <w:pPr>
        <w:spacing w:after="0" w:line="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Beginning with the 2018 service year, we restructured our annual incentive compensation to replace a significant portion of our cash-based incentive compensation with compensation paid in time-based RSUs and have continued this practice since then. We emphasize performance-based pay and long-term equity compensation because of: (i) the direct link that equity compensation provides between shareholder interests and the interests of our executives, and (ii) the employee retention characteristics that equity compensation provides by ensuring a regular cascade of retention values that vests incrementally over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Detailed Review of Compensation Components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 salaries for our Named Executive Officers are established based on individual qualifications and job responsibilities while using a market-based approach that considers compensation levels for similar positions at companies in our peer group. The Compensation Committee sets the base salary for our Chief Executive Officer and approves the base salaries for all other Named Executive Officers.</w:t>
      </w:r>
    </w:p>
    <w:p>
      <w:pPr>
        <w:spacing w:after="0" w:line="2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under article L.223-1 of the Luxembourg Labor Code, compensation owed pursuant to an employment agreement for Luxembourg-based employees is required to be adapted based upon the cost-of-living index in the Grand Duchy of Luxembourg. Effective January 1, 2020, there was a required two and a half percent (2.5%) increase in compensation pursuant to this law. On this date, the base salaries for our Named Executive Officers (other than Ms. Esterman, who does not reside in Luxembourg and is not subject to a Luxembourg employment agreement) and the incentive compensation target for the Chief Executive Officer was adjusted accordingly.</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Effective April 1, 2020 and continuing until October 5, 2020, as part of the Company's efforts to reduce costs in response to the COVID-19 pandemic and other major events outside of the Company's control, Mr. Shepro agreed to temporarily reduce his base salary by 40% while each of Ms. Esterman, Mr. Mastioni and Mr. Ritts agreed to temporarily reduce their compensation in an amount equal to 25% of their respective base salaries. While the reductions for Mr. Shepro, Mr. Mastioni and Ms. Esterman were affected through reductions in base salary, for Mr. Ritts, an amount equivalent to 25% of his base salary for this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period was adjusted from his annual incentive compensation. There was no change in compensation for our Chief Administration and Risk Officer, however, since his employment with the Company ceased in April 2020.</w:t>
      </w:r>
    </w:p>
    <w:p>
      <w:pPr>
        <w:spacing w:after="0" w:line="20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 and Mr. Mastioni, whose salary is set and paid in euros). Please see the Summary Compensation Table under "Executive Compensation" for additional information regarding the base salaries of our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3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Pursuant to our annual incentive plan, a participant earns annual incentive compensation subject to award guidelines as determined by the Compensation Committee.</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believe that the use of well-defined objective goals linked to the annual incentives ensures the right alignment of individual rewards with shareholder interest and incents the Named Executive Officers (and other eligible employees) to achieve or exceed our strategic plan creating long term shareholder value. As in prior years, in 2020, this was intended to be accomplished by utilizing a scorecard methodology which would ensure a substantial majority of the awards are tied to financial performance metrics developed through the annual strategic planning and budgeting process and designed to enhance Company performance and long-term shareholder value.</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2020 annual incentive compensation scorecard metrics for the Named Executive Officers (other than the Chief Administration and Risk Officer) were initially established by the Compensation Committee in January 2020. The initial scorecard metrics established certain revenue and Adjusted Earnings Before Interest, Taxes, Depreciation, and Amortization ("EBITDA") targets for each of the Named Executive Officers and other direct reports of the Chief Executive Officer, with additional metrics related to strategic initiatives applied to the Chief Executive Officer, Chief Financial Officer and Chief Legal and Compliance Officer. The Chief Administration and Risk Officer was not eligible for 2020 incentives.</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October 2020, the Compensation Committee revisited the previously adopted 2020 annual incentive compensation scorecard metrics due to the impact of temporary servicer and government COVID-19 related measures to provide financial support to borrowers (i.e., foreclosure and eviction moratoriums and borrower forbearance plans), and one of Ocwen's MSR investors directing it to transition default field services, title and valuation referrals to that investor's captive vendors. The Board of Directors and the Compensation Committee determined that the previously adopted 2020 annual incentive compensation scorecard metrics no longer aligned with the strategic priorities of the Company and adopted a revised 2020 annual incentive scorecard metric to reflect the Company's cost reduction priorities. The revised 2020 scorecard replaced scorecard metrics tied to annual financial goals with the development of, and progress against, a plan to reduce Company costs by $50 million. The new metrics emphasized reducing costs to address the rapidly evolving business and market environment. These scorecard changes provided a formulaic approach to the application of discretion in response to the crises, were broad-based, and designed to incentivize the right behaviors during the crises.</w:t>
      </w:r>
    </w:p>
    <w:p>
      <w:pPr>
        <w:spacing w:after="0" w:line="21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addition to revising the scorecard metrics, the Compensation Committee reduced the maximum incentive pool under the annual incentive compensation program for 2020 to 80% of target. The Compensation Committee retained discretion to determine the scorecard achievement level and incentive pool funding percentage if the achievement level on the cost reduction objectives was less than 100%.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the end of 2020, the Company had developed a plan and was on target to achieve cost reductions equal to 91.7% of the proposed</w:t>
      </w:r>
    </w:p>
    <w:p>
      <w:pPr>
        <w:ind w:right="300"/>
        <w:spacing w:after="0" w:line="299" w:lineRule="auto"/>
        <w:rPr>
          <w:sz w:val="20"/>
          <w:szCs w:val="20"/>
          <w:color w:val="auto"/>
        </w:rPr>
      </w:pPr>
      <w:r>
        <w:rPr>
          <w:rFonts w:ascii="Arial" w:cs="Arial" w:eastAsia="Arial" w:hAnsi="Arial"/>
          <w:sz w:val="16"/>
          <w:szCs w:val="16"/>
          <w:color w:val="auto"/>
        </w:rPr>
        <w:t>$50 million cost reduction goal. Based upon the achievement being less than 100%, the Compensation Committee exercised its discretion to further revise the maximum incentive pool to 27.3%. The Compensation Committee then applied the 91.7% achievement level to the 27.3%</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revised incentive pool, resulting in a payout of 25.0% of target for Named Executive Officers, except the Chief Executive Officer, whose payout was set at 20.0% of target for 2020 and the Chief Administration and Risk Officer who was not eligible for 2020 incentives.</w:t>
      </w:r>
    </w:p>
    <w:p>
      <w:pPr>
        <w:spacing w:after="0" w:line="209"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Board of Directors and the Compensation Committee also exercised their discretion to modify the initial 60% cash and 40% RSU composition of the annual incentive awards to increase the portion of the 2020 annual incentive compensation paid in RSUs to 100%. The portion of the RSUs that replaced the cash portion of the annual incentive award cliff vest on the first anniversary of the grant date; the remainder of the RSUs in the award cliff vest in equal tranches on the first and second anniversaries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Compensation Allocation</w:t>
      </w:r>
    </w:p>
    <w:p>
      <w:pPr>
        <w:spacing w:after="0" w:line="23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table below reflects the percentage of each executive's target and actual total annual compensation that was allocated to each of base salary and annual incentive compensation in 2020:</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Annual</w:t>
            </w:r>
          </w:p>
        </w:tc>
      </w:t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Base Salary %</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 %</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Base Salary %</w:t>
            </w: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Compensation %</w:t>
            </w:r>
          </w:p>
        </w:tc>
      </w:t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of Target Total</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Target Total</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of Actual Total</w:t>
            </w: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Actual Total</w:t>
            </w:r>
          </w:p>
        </w:tc>
      </w:t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Annual</w:t>
            </w:r>
          </w:p>
        </w:tc>
      </w:tr>
      <w:tr>
        <w:trPr>
          <w:trHeight w:val="162"/>
        </w:trPr>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Compensation</w:t>
            </w:r>
          </w:p>
        </w:tc>
      </w:tr>
      <w:tr>
        <w:trPr>
          <w:trHeight w:val="17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2020</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2020</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2020</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2020</w:t>
            </w:r>
          </w:p>
        </w:tc>
        <w:tc>
          <w:tcPr>
            <w:tcW w:w="220" w:type="dxa"/>
            <w:vAlign w:val="bottom"/>
          </w:tcPr>
          <w:p>
            <w:pPr>
              <w:spacing w:after="0"/>
              <w:rPr>
                <w:sz w:val="15"/>
                <w:szCs w:val="15"/>
                <w:color w:val="auto"/>
              </w:rPr>
            </w:pPr>
          </w:p>
        </w:tc>
      </w:tr>
      <w:tr>
        <w:trPr>
          <w:trHeight w:val="196"/>
        </w:trPr>
        <w:tc>
          <w:tcPr>
            <w:tcW w:w="1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2940" w:type="dxa"/>
            <w:vAlign w:val="bottom"/>
            <w:gridSpan w:val="2"/>
            <w:shd w:val="clear" w:color="auto" w:fill="CCEEFF"/>
          </w:tcPr>
          <w:p>
            <w:pPr>
              <w:jc w:val="center"/>
              <w:ind w:left="1692"/>
              <w:spacing w:after="0" w:line="196" w:lineRule="exact"/>
              <w:rPr>
                <w:sz w:val="20"/>
                <w:szCs w:val="20"/>
                <w:color w:val="auto"/>
              </w:rPr>
            </w:pPr>
            <w:r>
              <w:rPr>
                <w:rFonts w:ascii="Arial" w:cs="Arial" w:eastAsia="Arial" w:hAnsi="Arial"/>
                <w:sz w:val="18"/>
                <w:szCs w:val="18"/>
                <w:color w:val="auto"/>
                <w:w w:val="99"/>
              </w:rPr>
              <w:t>40%</w:t>
            </w:r>
          </w:p>
        </w:tc>
        <w:tc>
          <w:tcPr>
            <w:tcW w:w="142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9"/>
              </w:rPr>
              <w:t>60%</w:t>
            </w:r>
          </w:p>
        </w:tc>
        <w:tc>
          <w:tcPr>
            <w:tcW w:w="140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4"/>
              </w:rPr>
              <w:t>73%</w:t>
            </w:r>
          </w:p>
        </w:tc>
        <w:tc>
          <w:tcPr>
            <w:tcW w:w="1500" w:type="dxa"/>
            <w:vAlign w:val="bottom"/>
            <w:gridSpan w:val="2"/>
            <w:shd w:val="clear" w:color="auto" w:fill="CCEEFF"/>
          </w:tcPr>
          <w:p>
            <w:pPr>
              <w:jc w:val="center"/>
              <w:ind w:left="138"/>
              <w:spacing w:after="0" w:line="196" w:lineRule="exact"/>
              <w:rPr>
                <w:sz w:val="20"/>
                <w:szCs w:val="20"/>
                <w:color w:val="auto"/>
              </w:rPr>
            </w:pPr>
            <w:r>
              <w:rPr>
                <w:rFonts w:ascii="Arial" w:cs="Arial" w:eastAsia="Arial" w:hAnsi="Arial"/>
                <w:sz w:val="18"/>
                <w:szCs w:val="18"/>
                <w:color w:val="auto"/>
                <w:w w:val="99"/>
              </w:rPr>
              <w:t>27%</w:t>
            </w:r>
          </w:p>
        </w:tc>
        <w:tc>
          <w:tcPr>
            <w:tcW w:w="220" w:type="dxa"/>
            <w:vAlign w:val="bottom"/>
            <w:shd w:val="clear" w:color="auto" w:fill="CCEEFF"/>
          </w:tcPr>
          <w:p>
            <w:pPr>
              <w:spacing w:after="0"/>
              <w:rPr>
                <w:sz w:val="17"/>
                <w:szCs w:val="17"/>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Michelle D.</w:t>
            </w: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1620" w:type="dxa"/>
            <w:vAlign w:val="bottom"/>
          </w:tcPr>
          <w:p>
            <w:pPr>
              <w:ind w:left="200"/>
              <w:spacing w:after="0" w:line="200" w:lineRule="exact"/>
              <w:rPr>
                <w:sz w:val="20"/>
                <w:szCs w:val="20"/>
                <w:color w:val="auto"/>
              </w:rPr>
            </w:pPr>
            <w:r>
              <w:rPr>
                <w:rFonts w:ascii="Arial" w:cs="Arial" w:eastAsia="Arial" w:hAnsi="Arial"/>
                <w:sz w:val="18"/>
                <w:szCs w:val="18"/>
                <w:color w:val="auto"/>
              </w:rPr>
              <w:t>Esterman</w:t>
            </w:r>
          </w:p>
        </w:tc>
        <w:tc>
          <w:tcPr>
            <w:tcW w:w="2940" w:type="dxa"/>
            <w:vAlign w:val="bottom"/>
            <w:gridSpan w:val="2"/>
          </w:tcPr>
          <w:p>
            <w:pPr>
              <w:jc w:val="center"/>
              <w:ind w:left="1692"/>
              <w:spacing w:after="0" w:line="200" w:lineRule="exact"/>
              <w:rPr>
                <w:sz w:val="20"/>
                <w:szCs w:val="20"/>
                <w:color w:val="auto"/>
              </w:rPr>
            </w:pPr>
            <w:r>
              <w:rPr>
                <w:rFonts w:ascii="Arial" w:cs="Arial" w:eastAsia="Arial" w:hAnsi="Arial"/>
                <w:sz w:val="18"/>
                <w:szCs w:val="18"/>
                <w:color w:val="auto"/>
                <w:w w:val="99"/>
              </w:rPr>
              <w:t>61%</w:t>
            </w:r>
          </w:p>
        </w:tc>
        <w:tc>
          <w:tcPr>
            <w:tcW w:w="1420" w:type="dxa"/>
            <w:vAlign w:val="bottom"/>
            <w:gridSpan w:val="2"/>
          </w:tcPr>
          <w:p>
            <w:pPr>
              <w:jc w:val="center"/>
              <w:ind w:left="132"/>
              <w:spacing w:after="0" w:line="200" w:lineRule="exact"/>
              <w:rPr>
                <w:sz w:val="20"/>
                <w:szCs w:val="20"/>
                <w:color w:val="auto"/>
              </w:rPr>
            </w:pPr>
            <w:r>
              <w:rPr>
                <w:rFonts w:ascii="Arial" w:cs="Arial" w:eastAsia="Arial" w:hAnsi="Arial"/>
                <w:sz w:val="18"/>
                <w:szCs w:val="18"/>
                <w:color w:val="auto"/>
                <w:w w:val="99"/>
              </w:rPr>
              <w:t>39%</w:t>
            </w:r>
          </w:p>
        </w:tc>
        <w:tc>
          <w:tcPr>
            <w:tcW w:w="1400" w:type="dxa"/>
            <w:vAlign w:val="bottom"/>
            <w:gridSpan w:val="2"/>
          </w:tcPr>
          <w:p>
            <w:pPr>
              <w:jc w:val="center"/>
              <w:ind w:left="132"/>
              <w:spacing w:after="0" w:line="200" w:lineRule="exact"/>
              <w:rPr>
                <w:sz w:val="20"/>
                <w:szCs w:val="20"/>
                <w:color w:val="auto"/>
              </w:rPr>
            </w:pPr>
            <w:r>
              <w:rPr>
                <w:rFonts w:ascii="Arial" w:cs="Arial" w:eastAsia="Arial" w:hAnsi="Arial"/>
                <w:sz w:val="18"/>
                <w:szCs w:val="18"/>
                <w:color w:val="auto"/>
                <w:w w:val="94"/>
              </w:rPr>
              <w:t>84%</w:t>
            </w:r>
          </w:p>
        </w:tc>
        <w:tc>
          <w:tcPr>
            <w:tcW w:w="1500" w:type="dxa"/>
            <w:vAlign w:val="bottom"/>
            <w:gridSpan w:val="2"/>
          </w:tcPr>
          <w:p>
            <w:pPr>
              <w:jc w:val="center"/>
              <w:ind w:left="138"/>
              <w:spacing w:after="0" w:line="200" w:lineRule="exact"/>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7"/>
                <w:szCs w:val="17"/>
                <w:color w:val="auto"/>
              </w:rPr>
            </w:pPr>
          </w:p>
        </w:tc>
      </w:tr>
      <w:tr>
        <w:trPr>
          <w:trHeight w:val="203"/>
        </w:trPr>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Marcello Mastioni</w:t>
            </w:r>
          </w:p>
        </w:tc>
        <w:tc>
          <w:tcPr>
            <w:tcW w:w="2940" w:type="dxa"/>
            <w:vAlign w:val="bottom"/>
            <w:gridSpan w:val="2"/>
            <w:shd w:val="clear" w:color="auto" w:fill="CCEEFF"/>
          </w:tcPr>
          <w:p>
            <w:pPr>
              <w:jc w:val="center"/>
              <w:ind w:left="1692"/>
              <w:spacing w:after="0" w:line="202" w:lineRule="exact"/>
              <w:rPr>
                <w:sz w:val="20"/>
                <w:szCs w:val="20"/>
                <w:color w:val="auto"/>
              </w:rPr>
            </w:pPr>
            <w:r>
              <w:rPr>
                <w:rFonts w:ascii="Arial" w:cs="Arial" w:eastAsia="Arial" w:hAnsi="Arial"/>
                <w:sz w:val="18"/>
                <w:szCs w:val="18"/>
                <w:color w:val="auto"/>
                <w:w w:val="99"/>
              </w:rPr>
              <w:t>60%</w:t>
            </w:r>
          </w:p>
        </w:tc>
        <w:tc>
          <w:tcPr>
            <w:tcW w:w="142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9"/>
              </w:rPr>
              <w:t>40%</w:t>
            </w:r>
          </w:p>
        </w:tc>
        <w:tc>
          <w:tcPr>
            <w:tcW w:w="140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4"/>
              </w:rPr>
              <w:t>83%</w:t>
            </w:r>
          </w:p>
        </w:tc>
        <w:tc>
          <w:tcPr>
            <w:tcW w:w="1500" w:type="dxa"/>
            <w:vAlign w:val="bottom"/>
            <w:gridSpan w:val="2"/>
            <w:shd w:val="clear" w:color="auto" w:fill="CCEEFF"/>
          </w:tcPr>
          <w:p>
            <w:pPr>
              <w:jc w:val="center"/>
              <w:ind w:left="138"/>
              <w:spacing w:after="0" w:line="202" w:lineRule="exact"/>
              <w:rPr>
                <w:sz w:val="20"/>
                <w:szCs w:val="20"/>
                <w:color w:val="auto"/>
              </w:rPr>
            </w:pPr>
            <w:r>
              <w:rPr>
                <w:rFonts w:ascii="Arial" w:cs="Arial" w:eastAsia="Arial" w:hAnsi="Arial"/>
                <w:sz w:val="18"/>
                <w:szCs w:val="18"/>
                <w:color w:val="auto"/>
                <w:w w:val="99"/>
              </w:rPr>
              <w:t>17%</w:t>
            </w:r>
          </w:p>
        </w:tc>
        <w:tc>
          <w:tcPr>
            <w:tcW w:w="220" w:type="dxa"/>
            <w:vAlign w:val="bottom"/>
            <w:shd w:val="clear" w:color="auto" w:fill="CCEEFF"/>
          </w:tcPr>
          <w:p>
            <w:pPr>
              <w:spacing w:after="0"/>
              <w:rPr>
                <w:sz w:val="17"/>
                <w:szCs w:val="17"/>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Gregory J. Ritts</w:t>
            </w:r>
          </w:p>
        </w:tc>
        <w:tc>
          <w:tcPr>
            <w:tcW w:w="2940" w:type="dxa"/>
            <w:vAlign w:val="bottom"/>
            <w:gridSpan w:val="2"/>
          </w:tcPr>
          <w:p>
            <w:pPr>
              <w:jc w:val="center"/>
              <w:ind w:left="1692"/>
              <w:spacing w:after="0"/>
              <w:rPr>
                <w:sz w:val="20"/>
                <w:szCs w:val="20"/>
                <w:color w:val="auto"/>
              </w:rPr>
            </w:pPr>
            <w:r>
              <w:rPr>
                <w:rFonts w:ascii="Arial" w:cs="Arial" w:eastAsia="Arial" w:hAnsi="Arial"/>
                <w:sz w:val="18"/>
                <w:szCs w:val="18"/>
                <w:color w:val="auto"/>
                <w:w w:val="99"/>
              </w:rPr>
              <w:t>65%</w:t>
            </w:r>
          </w:p>
        </w:tc>
        <w:tc>
          <w:tcPr>
            <w:tcW w:w="142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35%</w:t>
            </w:r>
          </w:p>
        </w:tc>
        <w:tc>
          <w:tcPr>
            <w:tcW w:w="140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100%</w:t>
            </w:r>
          </w:p>
        </w:tc>
        <w:tc>
          <w:tcPr>
            <w:tcW w:w="1500" w:type="dxa"/>
            <w:vAlign w:val="bottom"/>
            <w:gridSpan w:val="2"/>
          </w:tcPr>
          <w:p>
            <w:pPr>
              <w:jc w:val="center"/>
              <w:ind w:left="138"/>
              <w:spacing w:after="0" w:line="243"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3"/>
                <w:szCs w:val="13"/>
                <w:color w:val="auto"/>
              </w:rPr>
              <w:t>(1)</w:t>
            </w:r>
          </w:p>
        </w:tc>
        <w:tc>
          <w:tcPr>
            <w:tcW w:w="220" w:type="dxa"/>
            <w:vAlign w:val="bottom"/>
          </w:tcPr>
          <w:p>
            <w:pPr>
              <w:spacing w:after="0"/>
              <w:rPr>
                <w:sz w:val="21"/>
                <w:szCs w:val="21"/>
                <w:color w:val="auto"/>
              </w:rPr>
            </w:pPr>
          </w:p>
        </w:tc>
      </w:tr>
      <w:tr>
        <w:trPr>
          <w:trHeight w:val="243"/>
        </w:trPr>
        <w:tc>
          <w:tcPr>
            <w:tcW w:w="162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(2)</w:t>
            </w:r>
          </w:p>
        </w:tc>
        <w:tc>
          <w:tcPr>
            <w:tcW w:w="2940" w:type="dxa"/>
            <w:vAlign w:val="bottom"/>
            <w:gridSpan w:val="2"/>
            <w:shd w:val="clear" w:color="auto" w:fill="CCEEFF"/>
          </w:tcPr>
          <w:p>
            <w:pPr>
              <w:jc w:val="center"/>
              <w:ind w:left="1692"/>
              <w:spacing w:after="0"/>
              <w:rPr>
                <w:sz w:val="20"/>
                <w:szCs w:val="20"/>
                <w:color w:val="auto"/>
              </w:rPr>
            </w:pPr>
            <w:r>
              <w:rPr>
                <w:rFonts w:ascii="Arial" w:cs="Arial" w:eastAsia="Arial" w:hAnsi="Arial"/>
                <w:sz w:val="18"/>
                <w:szCs w:val="18"/>
                <w:color w:val="auto"/>
                <w:w w:val="95"/>
              </w:rPr>
              <w:t>100%</w:t>
            </w:r>
          </w:p>
        </w:tc>
        <w:tc>
          <w:tcPr>
            <w:tcW w:w="14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c>
          <w:tcPr>
            <w:tcW w:w="14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100%</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r>
      <w:tr>
        <w:trPr>
          <w:trHeight w:val="108"/>
        </w:trPr>
        <w:tc>
          <w:tcPr>
            <w:tcW w:w="162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19" w:lineRule="exact"/>
        <w:rPr>
          <w:sz w:val="20"/>
          <w:szCs w:val="20"/>
          <w:color w:val="auto"/>
        </w:rPr>
      </w:pPr>
    </w:p>
    <w:p>
      <w:pPr>
        <w:ind w:left="1680" w:hanging="549"/>
        <w:spacing w:after="0" w:line="197" w:lineRule="auto"/>
        <w:tabs>
          <w:tab w:leader="none" w:pos="168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Ritts' Annual Incentive Compensation was reduced by $58,620, which is equal to 25% of his base compensation for the period April 1, 2020 to October 4, 2020. In lieu of the reduction in base salary Mr. Ritts elected for this amount to be adjusted against his earned 2020 incentive</w:t>
      </w:r>
    </w:p>
    <w:p>
      <w:pPr>
        <w:spacing w:after="0" w:line="209" w:lineRule="exact"/>
        <w:rPr>
          <w:rFonts w:ascii="Arial" w:cs="Arial" w:eastAsia="Arial" w:hAnsi="Arial"/>
          <w:sz w:val="29"/>
          <w:szCs w:val="29"/>
          <w:color w:val="auto"/>
          <w:vertAlign w:val="superscript"/>
        </w:rPr>
      </w:pPr>
    </w:p>
    <w:p>
      <w:pPr>
        <w:ind w:right="80" w:firstLine="1131"/>
        <w:spacing w:after="0" w:line="343" w:lineRule="auto"/>
        <w:tabs>
          <w:tab w:leader="none" w:pos="1663"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Employment of Mr. Wilcox with the Company ended in April 2020 and he was not eligible for 2020 incentive compensation Scorecard development for 2020, along with these subsequent changes, is detailed in the next section.</w:t>
      </w:r>
    </w:p>
    <w:p>
      <w:pPr>
        <w:spacing w:after="0" w:line="64"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18"/>
          <w:szCs w:val="18"/>
          <w:u w:val="single" w:color="auto"/>
          <w:color w:val="auto"/>
        </w:rPr>
        <w:t>Personal Scorecards of our Named Executive Officers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annual incentive compensation awarded to these executives. During the development of the corporate scorecard each year, the Board of Directors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in evaluating whether to approve these amendments/exceptions to the corporate scorecard, the Board of Directors considers whether they are appropriate in light of changes to the business, the market or other relevant factors during the year, including the effect that such amendment/exception would have on our Named Executive Officers' personal scorecards, and whether the rationale for the amendment/exception relates to factor(s) beyond the Named Executive Officers' control or is due to decisions taken in the overall best interests of the Company and its shareholders.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Corporate Scorecard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2020 annual corporate scorecard was initially established by the Board of Directors on January 24, 2020. The initial scorecard metrics</w:t>
      </w:r>
    </w:p>
    <w:p>
      <w:pPr>
        <w:spacing w:after="0" w:line="234" w:lineRule="auto"/>
        <w:rPr>
          <w:sz w:val="20"/>
          <w:szCs w:val="20"/>
          <w:color w:val="auto"/>
        </w:rPr>
      </w:pPr>
      <w:r>
        <w:rPr>
          <w:rFonts w:ascii="Arial" w:cs="Arial" w:eastAsia="Arial" w:hAnsi="Arial"/>
          <w:sz w:val="18"/>
          <w:szCs w:val="18"/>
          <w:color w:val="auto"/>
        </w:rPr>
        <w:t>included: (i) service revenue broken into two components: (a) Ocwen/NRZ revenue ($378.63 million) and (b) other customers' revenue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($113.345 million); and (ii) Altisource adjusted EBITDA ($62.617 million), with additional metrics related to strategic initiatives applied to the Chief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Chief Financial Officer and Chief Legal and Compliance Officer. The corporate scorecard was revised on October 1, 2020 due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the impact of temporary servicer and government COVID-19 related measures to provide financial support to borrowers (i.e., foreclosure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eviction moratoriums and borrower forbearance plans), and one of Ocwen's MSR investors directing it to transition field services, title and</w:t>
      </w:r>
    </w:p>
    <w:p>
      <w:pPr>
        <w:spacing w:after="0"/>
        <w:rPr>
          <w:sz w:val="20"/>
          <w:szCs w:val="20"/>
          <w:color w:val="auto"/>
        </w:rPr>
      </w:pPr>
      <w:r>
        <w:rPr>
          <w:rFonts w:ascii="Arial" w:cs="Arial" w:eastAsia="Arial" w:hAnsi="Arial"/>
          <w:sz w:val="16"/>
          <w:szCs w:val="16"/>
          <w:color w:val="auto"/>
        </w:rPr>
        <w:t>valuation referrals to that investor's captive vendors. The Board of Directors determined that the previously adopted 2020 corporate scorecard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metrics no longer aligned with the strategic priorities of the Company and adopted a revised 2020 scorecard to reflect the Company's cost</w:t>
      </w:r>
    </w:p>
    <w:p>
      <w:pPr>
        <w:spacing w:after="0"/>
        <w:rPr>
          <w:sz w:val="20"/>
          <w:szCs w:val="20"/>
          <w:color w:val="auto"/>
        </w:rPr>
      </w:pPr>
      <w:r>
        <w:rPr>
          <w:rFonts w:ascii="Arial" w:cs="Arial" w:eastAsia="Arial" w:hAnsi="Arial"/>
          <w:sz w:val="16"/>
          <w:szCs w:val="16"/>
          <w:color w:val="auto"/>
        </w:rPr>
        <w:t>reduction priority. The revised 2020 corporate scorecard replaced scorecard metrics tied to annual financial goals with the development of,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progress against, a plan to reduce Company costs by $50 million.</w:t>
      </w:r>
    </w:p>
    <w:p>
      <w:pPr>
        <w:spacing w:after="0" w:line="21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personal annual scorecards for the Chief Executive Officer and the other Named Executive Officers are tied to the corporate scorecard; provided, however, that the personal scorecard for each of the Chief Executive Officer, Chief Financial Officer and Chief Legal and Compliance Officer included a strategic initiatives metric. The Board of Directors and Compensation Committee revisited the previously adopted 2020 personal scorecard metrics in connection with the revision of the 2020 annual corporate scorecard to align the personal scorecards with the revised corporate scorecard. The Board of Directors and Compensation Committee determined that the previously adopted 2020 scorecard metrics no longer aligned with the strategic priorities of the Company and adopted a revised 2020 scorecard to reflect the Company's cost reduction priority. The revised 2020 scorecard replaced scorecard metrics tied to annual financial goals with the development of, and progress against, a plan to reduce Company costs by $50 million. The Compensation Committee also defined the annual incentive pool funding and capped the maximum bonus payable to the Named Executive Officers, as described in the Incentive Compensation section.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revised 2020 personal scorecards for our Chief Executive Officer and other Named Executive Officers (other than the Chief Administration and Risk Officer, who was not eligible for 2020 incentives) that were approved by Board of Directors and the Compensation Committee, with corresponding level of achievement are as follows: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16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34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2020 Scorecard Elements</w:t>
            </w:r>
          </w:p>
        </w:tc>
        <w:tc>
          <w:tcPr>
            <w:tcW w:w="220" w:type="dxa"/>
            <w:vAlign w:val="bottom"/>
          </w:tcPr>
          <w:p>
            <w:pPr>
              <w:spacing w:after="0"/>
              <w:rPr>
                <w:sz w:val="19"/>
                <w:szCs w:val="19"/>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Weighted Average Achievement</w:t>
            </w:r>
          </w:p>
        </w:tc>
      </w:tr>
      <w:tr>
        <w:trPr>
          <w:trHeight w:val="199"/>
        </w:trPr>
        <w:tc>
          <w:tcPr>
            <w:tcW w:w="166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William B. Shepro,</w:t>
            </w:r>
          </w:p>
        </w:tc>
        <w:tc>
          <w:tcPr>
            <w:tcW w:w="820" w:type="dxa"/>
            <w:vAlign w:val="bottom"/>
            <w:gridSpan w:val="2"/>
            <w:shd w:val="clear" w:color="auto" w:fill="CCEEFF"/>
          </w:tcPr>
          <w:p>
            <w:pPr>
              <w:jc w:val="center"/>
              <w:ind w:left="152"/>
              <w:spacing w:after="0" w:line="199" w:lineRule="exact"/>
              <w:rPr>
                <w:sz w:val="20"/>
                <w:szCs w:val="20"/>
                <w:color w:val="auto"/>
              </w:rPr>
            </w:pPr>
            <w:r>
              <w:rPr>
                <w:rFonts w:ascii="Arial" w:cs="Arial" w:eastAsia="Arial" w:hAnsi="Arial"/>
                <w:sz w:val="18"/>
                <w:szCs w:val="18"/>
                <w:color w:val="auto"/>
                <w:w w:val="97"/>
              </w:rPr>
              <w:t>85.0%</w:t>
            </w: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Development of and progress against the</w:t>
            </w:r>
          </w:p>
        </w:tc>
        <w:tc>
          <w:tcPr>
            <w:tcW w:w="2880" w:type="dxa"/>
            <w:vAlign w:val="bottom"/>
            <w:gridSpan w:val="2"/>
            <w:shd w:val="clear" w:color="auto" w:fill="CCEEFF"/>
          </w:tcPr>
          <w:p>
            <w:pPr>
              <w:jc w:val="center"/>
              <w:ind w:left="132"/>
              <w:spacing w:after="0" w:line="199" w:lineRule="exact"/>
              <w:rPr>
                <w:sz w:val="20"/>
                <w:szCs w:val="20"/>
                <w:color w:val="auto"/>
              </w:rPr>
            </w:pPr>
            <w:r>
              <w:rPr>
                <w:rFonts w:ascii="Arial" w:cs="Arial" w:eastAsia="Arial" w:hAnsi="Arial"/>
                <w:sz w:val="18"/>
                <w:szCs w:val="18"/>
                <w:color w:val="auto"/>
                <w:w w:val="97"/>
              </w:rPr>
              <w:t>77.9%</w:t>
            </w: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Executive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to reduce Company costs</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million, in order to achieve 2021</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199"/>
        </w:trPr>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adjusted EBITDA margins of 15%)</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445"/>
        </w:trPr>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15.0%</w:t>
            </w:r>
          </w:p>
        </w:tc>
        <w:tc>
          <w:tcPr>
            <w:tcW w:w="2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Initiatives</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7"/>
              </w:rPr>
              <w:t>13.8%</w:t>
            </w:r>
          </w:p>
        </w:tc>
      </w:tr>
      <w:tr>
        <w:trPr>
          <w:trHeight w:val="446"/>
        </w:trPr>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8"/>
              </w:rPr>
              <w:t>100.0%</w:t>
            </w: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7"/>
              </w:rPr>
              <w:t>91.7%</w:t>
            </w:r>
          </w:p>
        </w:tc>
      </w:tr>
      <w:tr>
        <w:trPr>
          <w:trHeight w:val="449"/>
        </w:trPr>
        <w:tc>
          <w:tcPr>
            <w:tcW w:w="1660" w:type="dxa"/>
            <w:vAlign w:val="bottom"/>
          </w:tcPr>
          <w:p>
            <w:pPr>
              <w:ind w:left="20"/>
              <w:spacing w:after="0"/>
              <w:rPr>
                <w:sz w:val="20"/>
                <w:szCs w:val="20"/>
                <w:color w:val="auto"/>
              </w:rPr>
            </w:pPr>
            <w:r>
              <w:rPr>
                <w:rFonts w:ascii="Arial" w:cs="Arial" w:eastAsia="Arial" w:hAnsi="Arial"/>
                <w:sz w:val="18"/>
                <w:szCs w:val="18"/>
                <w:color w:val="auto"/>
              </w:rPr>
              <w:t>Michelle D.</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97"/>
              </w:rPr>
              <w:t>85.0%</w:t>
            </w:r>
          </w:p>
        </w:tc>
        <w:tc>
          <w:tcPr>
            <w:tcW w:w="2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Development of and progress against the</w:t>
            </w: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97"/>
              </w:rPr>
              <w:t>77.9%</w:t>
            </w:r>
          </w:p>
        </w:tc>
      </w:tr>
      <w:tr>
        <w:trPr>
          <w:trHeight w:val="203"/>
        </w:trPr>
        <w:tc>
          <w:tcPr>
            <w:tcW w:w="1660" w:type="dxa"/>
            <w:vAlign w:val="bottom"/>
          </w:tcPr>
          <w:p>
            <w:pPr>
              <w:ind w:left="20"/>
              <w:spacing w:after="0" w:line="202" w:lineRule="exact"/>
              <w:rPr>
                <w:sz w:val="20"/>
                <w:szCs w:val="20"/>
                <w:color w:val="auto"/>
              </w:rPr>
            </w:pPr>
            <w:r>
              <w:rPr>
                <w:rFonts w:ascii="Arial" w:cs="Arial" w:eastAsia="Arial" w:hAnsi="Arial"/>
                <w:sz w:val="18"/>
                <w:szCs w:val="18"/>
                <w:color w:val="auto"/>
              </w:rPr>
              <w:t>Esterman, Chief</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plan to reduce Company costs</w:t>
            </w:r>
          </w:p>
        </w:tc>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660" w:type="dxa"/>
            <w:vAlign w:val="bottom"/>
          </w:tcPr>
          <w:p>
            <w:pPr>
              <w:ind w:left="20"/>
              <w:spacing w:after="0" w:line="202" w:lineRule="exact"/>
              <w:rPr>
                <w:sz w:val="20"/>
                <w:szCs w:val="20"/>
                <w:color w:val="auto"/>
              </w:rPr>
            </w:pPr>
            <w:r>
              <w:rPr>
                <w:rFonts w:ascii="Arial" w:cs="Arial" w:eastAsia="Arial" w:hAnsi="Arial"/>
                <w:sz w:val="18"/>
                <w:szCs w:val="18"/>
                <w:color w:val="auto"/>
              </w:rPr>
              <w:t>Financial Officer</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(~$50 million, in order to achieve 2021</w:t>
            </w:r>
          </w:p>
        </w:tc>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1"/>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adjusted EBITDA margins of 15%)</w:t>
            </w: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445"/>
        </w:trPr>
        <w:tc>
          <w:tcPr>
            <w:tcW w:w="1660" w:type="dxa"/>
            <w:vAlign w:val="bottom"/>
          </w:tcPr>
          <w:p>
            <w:pPr>
              <w:spacing w:after="0"/>
              <w:rPr>
                <w:sz w:val="24"/>
                <w:szCs w:val="24"/>
                <w:color w:val="auto"/>
              </w:rPr>
            </w:pP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97"/>
              </w:rPr>
              <w:t>15.0%</w:t>
            </w:r>
          </w:p>
        </w:tc>
        <w:tc>
          <w:tcPr>
            <w:tcW w:w="2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Strategic Initiatives</w:t>
            </w: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97"/>
              </w:rPr>
              <w:t>13.8%</w:t>
            </w:r>
          </w:p>
        </w:tc>
      </w:tr>
      <w:tr>
        <w:trPr>
          <w:trHeight w:val="434"/>
        </w:trPr>
        <w:tc>
          <w:tcPr>
            <w:tcW w:w="166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100.0%</w:t>
            </w:r>
          </w:p>
        </w:tc>
        <w:tc>
          <w:tcPr>
            <w:tcW w:w="3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7"/>
              </w:rPr>
              <w:t>91.7%</w:t>
            </w:r>
          </w:p>
        </w:tc>
      </w:tr>
      <w:tr>
        <w:trPr>
          <w:trHeight w:val="44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Marcello Mastioni,</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100.0%</w:t>
            </w: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Development of and progress against the</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7"/>
              </w:rPr>
              <w:t>91.7%</w:t>
            </w: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Operating</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to reduce Company costs</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million, in order to achieve 2021</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199"/>
        </w:trPr>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adjusted EBITDA margins of 15%)</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44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Gregory J. Ritts,</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85.0%</w:t>
            </w:r>
          </w:p>
        </w:tc>
        <w:tc>
          <w:tcPr>
            <w:tcW w:w="2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Development of and progress against the</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7"/>
              </w:rPr>
              <w:t>77.9%</w:t>
            </w: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Legal and</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to reduce Company costs</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203"/>
        </w:trPr>
        <w:tc>
          <w:tcPr>
            <w:tcW w:w="1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Compliance Officer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million, in order to achieve 2021</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199"/>
        </w:trPr>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adjusted EBITDA margins of 15%)</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445"/>
        </w:trPr>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15.0%</w:t>
            </w:r>
          </w:p>
        </w:tc>
        <w:tc>
          <w:tcPr>
            <w:tcW w:w="2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Strategic Initiatives</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7"/>
              </w:rPr>
              <w:t>13.8%</w:t>
            </w:r>
          </w:p>
        </w:tc>
      </w:tr>
      <w:tr>
        <w:trPr>
          <w:trHeight w:val="445"/>
        </w:trPr>
        <w:tc>
          <w:tcPr>
            <w:tcW w:w="1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100.0%</w:t>
            </w:r>
          </w:p>
        </w:tc>
        <w:tc>
          <w:tcPr>
            <w:tcW w:w="2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7"/>
              </w:rPr>
              <w:t>91.7%</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Evaluation</w:t>
      </w: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2020, our Named Executive Officers (except the Chief Executive Officer, who was evaluated by the Compensation Committee and Chief Administration and Risk Officer, whose employment with the Company terminated in April 2020) were evaluated by the Chief Executive Officer on whether the executives made positive contributions to the creation of long-term value for our shareholders and other stakeholders.</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order to achieve 100% of their earned annual incentive (determined by their individual scorecards), our Named Executive Officers needed to obtain an affirmative answer to questions that intended to corroborate their contribution towards three key parameters, namely:</w:t>
      </w:r>
    </w:p>
    <w:p>
      <w:pPr>
        <w:spacing w:after="0" w:line="20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w:t>
      </w:r>
    </w:p>
    <w:p>
      <w:pPr>
        <w:spacing w:after="0" w:line="21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and Reporting Responsibility</w:t>
      </w:r>
    </w:p>
    <w:p>
      <w:pPr>
        <w:spacing w:after="0" w:line="19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Leadership Effectiveness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43" w:right="5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Named Executive Officers not making positive contributions on any of these parameters would lose a portion of their earned incentive as detailed below:</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Modifier used on total</w:t>
            </w:r>
          </w:p>
        </w:tc>
      </w:tr>
      <w:tr>
        <w:trPr>
          <w:trHeight w:val="221"/>
        </w:trPr>
        <w:tc>
          <w:tcPr>
            <w:tcW w:w="6580" w:type="dxa"/>
            <w:vAlign w:val="bottom"/>
          </w:tcPr>
          <w:p>
            <w:pPr>
              <w:ind w:left="2840"/>
              <w:spacing w:after="0"/>
              <w:rPr>
                <w:sz w:val="20"/>
                <w:szCs w:val="20"/>
                <w:color w:val="auto"/>
              </w:rPr>
            </w:pPr>
            <w:r>
              <w:rPr>
                <w:rFonts w:ascii="Arial" w:cs="Arial" w:eastAsia="Arial" w:hAnsi="Arial"/>
                <w:sz w:val="18"/>
                <w:szCs w:val="18"/>
                <w:b w:val="1"/>
                <w:bCs w:val="1"/>
                <w:color w:val="auto"/>
              </w:rPr>
              <w:t>Responses</w:t>
            </w:r>
          </w:p>
        </w:tc>
        <w:tc>
          <w:tcPr>
            <w:tcW w:w="22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Scorecard achievement</w:t>
            </w:r>
          </w:p>
        </w:tc>
      </w:tr>
      <w:tr>
        <w:trPr>
          <w:trHeight w:val="199"/>
        </w:trPr>
        <w:tc>
          <w:tcPr>
            <w:tcW w:w="6580" w:type="dxa"/>
            <w:vAlign w:val="bottom"/>
            <w:tcBorders>
              <w:top w:val="single" w:sz="8" w:color="auto"/>
            </w:tcBorders>
          </w:tcPr>
          <w:p>
            <w:pPr>
              <w:ind w:left="20"/>
              <w:spacing w:after="0" w:line="199" w:lineRule="exact"/>
              <w:rPr>
                <w:sz w:val="20"/>
                <w:szCs w:val="20"/>
                <w:color w:val="auto"/>
              </w:rPr>
            </w:pPr>
            <w:r>
              <w:rPr>
                <w:rFonts w:ascii="Arial" w:cs="Arial" w:eastAsia="Arial" w:hAnsi="Arial"/>
                <w:sz w:val="18"/>
                <w:szCs w:val="18"/>
                <w:color w:val="auto"/>
              </w:rPr>
              <w:t>"No" to all three parameters</w:t>
            </w:r>
          </w:p>
        </w:tc>
        <w:tc>
          <w:tcPr>
            <w:tcW w:w="220" w:type="dxa"/>
            <w:vAlign w:val="bottom"/>
          </w:tcPr>
          <w:p>
            <w:pPr>
              <w:spacing w:after="0"/>
              <w:rPr>
                <w:sz w:val="17"/>
                <w:szCs w:val="17"/>
                <w:color w:val="auto"/>
              </w:rPr>
            </w:pPr>
          </w:p>
        </w:tc>
        <w:tc>
          <w:tcPr>
            <w:tcW w:w="1960" w:type="dxa"/>
            <w:vAlign w:val="bottom"/>
            <w:tcBorders>
              <w:top w:val="single" w:sz="8" w:color="auto"/>
            </w:tcBorders>
          </w:tcPr>
          <w:p>
            <w:pPr>
              <w:jc w:val="right"/>
              <w:ind w:right="592"/>
              <w:spacing w:after="0" w:line="19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"Yes" to one parameter</w:t>
            </w:r>
          </w:p>
        </w:tc>
        <w:tc>
          <w:tcPr>
            <w:tcW w:w="2180" w:type="dxa"/>
            <w:vAlign w:val="bottom"/>
            <w:gridSpan w:val="2"/>
          </w:tcPr>
          <w:p>
            <w:pPr>
              <w:jc w:val="right"/>
              <w:ind w:right="592"/>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"Yes" to two parameters</w:t>
            </w:r>
          </w:p>
        </w:tc>
        <w:tc>
          <w:tcPr>
            <w:tcW w:w="2180" w:type="dxa"/>
            <w:vAlign w:val="bottom"/>
            <w:gridSpan w:val="2"/>
          </w:tcPr>
          <w:p>
            <w:pPr>
              <w:jc w:val="right"/>
              <w:ind w:right="592"/>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r>
      <w:tr>
        <w:trPr>
          <w:trHeight w:val="211"/>
        </w:trPr>
        <w:tc>
          <w:tcPr>
            <w:tcW w:w="6580" w:type="dxa"/>
            <w:vAlign w:val="bottom"/>
          </w:tcPr>
          <w:p>
            <w:pPr>
              <w:ind w:left="20"/>
              <w:spacing w:after="0"/>
              <w:rPr>
                <w:sz w:val="20"/>
                <w:szCs w:val="20"/>
                <w:color w:val="auto"/>
              </w:rPr>
            </w:pPr>
            <w:r>
              <w:rPr>
                <w:rFonts w:ascii="Arial" w:cs="Arial" w:eastAsia="Arial" w:hAnsi="Arial"/>
                <w:sz w:val="18"/>
                <w:szCs w:val="18"/>
                <w:color w:val="auto"/>
              </w:rPr>
              <w:t>"Yes" to all three parameters</w:t>
            </w:r>
          </w:p>
        </w:tc>
        <w:tc>
          <w:tcPr>
            <w:tcW w:w="2180" w:type="dxa"/>
            <w:vAlign w:val="bottom"/>
            <w:gridSpan w:val="2"/>
          </w:tcPr>
          <w:p>
            <w:pPr>
              <w:jc w:val="right"/>
              <w:ind w:right="59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Chief Executive Officer, and for the Chief Executive Officer, the Compensation Committee, made an affirmative determination that the Named Executive Officers met all three parameters.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Annual Incentive Payout Determinations</w:t>
      </w:r>
    </w:p>
    <w:p>
      <w:pPr>
        <w:spacing w:after="0" w:line="212"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The Chief Executive Officer's annual scorecard performance was determined by the Compensation Committee, taking into consideration whether the Company's performance and corresponding incentive results present a fair representation of the Chief Executive Officer's performance.</w:t>
      </w:r>
    </w:p>
    <w:p>
      <w:pPr>
        <w:spacing w:after="0" w:line="20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For our Named Executive Officers other than the Chief Executive Officer (and the Chief Administration and Risk Officer who was not eligible for 2020 incentives), the Chief Executive Officer made recommendations for annual scorecard performance based on the level of achievement on the cost reduction goal that was set for the Company for 2020.</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described above, the 91.7% achievement level was applied to this revised bonus pool, resulting in a payout of 25.0% of target for the Named Executive Officers, other than the Chief Executive Officer whose payout was set at 20.0% of target for 2020 and the Chief Administration and Risk Officer who was not eligible for 2020 incentives. The payout was made in RSUs and no cash incentive was paid to the Named Executive Officers for the 2020 performance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basis for the calculation of the 2020 incentive awards for each of the Named Executive Officers (except</w:t>
      </w:r>
    </w:p>
    <w:p>
      <w:pPr>
        <w:spacing w:after="0"/>
        <w:rPr>
          <w:sz w:val="20"/>
          <w:szCs w:val="20"/>
          <w:color w:val="auto"/>
        </w:rPr>
      </w:pPr>
      <w:r>
        <w:rPr>
          <w:rFonts w:ascii="Arial" w:cs="Arial" w:eastAsia="Arial" w:hAnsi="Arial"/>
          <w:sz w:val="18"/>
          <w:szCs w:val="18"/>
          <w:color w:val="auto"/>
        </w:rPr>
        <w:t>Mr. Wilcox, who resigned from the Company effective April 15, 2020 and was not eligible for any incentive compensation for 2020):</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2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tcPr>
          <w:p>
            <w:pPr>
              <w:ind w:left="440"/>
              <w:spacing w:after="0"/>
              <w:rPr>
                <w:sz w:val="20"/>
                <w:szCs w:val="20"/>
                <w:color w:val="auto"/>
              </w:rPr>
            </w:pPr>
            <w:r>
              <w:rPr>
                <w:rFonts w:ascii="Arial" w:cs="Arial" w:eastAsia="Arial" w:hAnsi="Arial"/>
                <w:sz w:val="18"/>
                <w:szCs w:val="18"/>
                <w:b w:val="1"/>
                <w:bCs w:val="1"/>
                <w:color w:val="auto"/>
              </w:rPr>
              <w:t>2020 Target</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2020 Incentive</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 RSUs</w:t>
            </w:r>
          </w:p>
        </w:tc>
      </w:tr>
      <w:tr>
        <w:trPr>
          <w:trHeight w:val="243"/>
        </w:trPr>
        <w:tc>
          <w:tcPr>
            <w:tcW w:w="4200" w:type="dxa"/>
            <w:vAlign w:val="bottom"/>
            <w:gridSpan w:val="2"/>
          </w:tcPr>
          <w:p>
            <w:pPr>
              <w:ind w:left="18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Incentive Opportunity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Actuals</w:t>
            </w:r>
          </w:p>
        </w:tc>
        <w:tc>
          <w:tcPr>
            <w:tcW w:w="880" w:type="dxa"/>
            <w:vAlign w:val="bottom"/>
          </w:tcPr>
          <w:p>
            <w:pPr>
              <w:jc w:val="right"/>
              <w:spacing w:after="0" w:line="243" w:lineRule="exact"/>
              <w:rPr>
                <w:sz w:val="20"/>
                <w:szCs w:val="20"/>
                <w:color w:val="auto"/>
              </w:rPr>
            </w:pPr>
            <w:r>
              <w:rPr>
                <w:rFonts w:ascii="Arial" w:cs="Arial" w:eastAsia="Arial" w:hAnsi="Arial"/>
                <w:sz w:val="17"/>
                <w:szCs w:val="17"/>
                <w:b w:val="1"/>
                <w:bCs w:val="1"/>
                <w:color w:val="auto"/>
                <w:w w:val="97"/>
              </w:rPr>
              <w:t>Granted</w:t>
            </w:r>
            <w:r>
              <w:rPr>
                <w:rFonts w:ascii="Arial" w:cs="Arial" w:eastAsia="Arial" w:hAnsi="Arial"/>
                <w:sz w:val="28"/>
                <w:szCs w:val="28"/>
                <w:b w:val="1"/>
                <w:bCs w:val="1"/>
                <w:color w:val="auto"/>
                <w:w w:val="97"/>
                <w:vertAlign w:val="superscript"/>
              </w:rPr>
              <w:t>(1)</w:t>
            </w:r>
          </w:p>
        </w:tc>
      </w:tr>
      <w:tr>
        <w:trPr>
          <w:trHeight w:val="199"/>
        </w:trPr>
        <w:tc>
          <w:tcPr>
            <w:tcW w:w="4200" w:type="dxa"/>
            <w:vAlign w:val="bottom"/>
            <w:tcBorders>
              <w:top w:val="single" w:sz="8" w:color="auto"/>
            </w:tcBorders>
            <w:gridSpan w:val="2"/>
          </w:tcPr>
          <w:p>
            <w:pPr>
              <w:ind w:left="20"/>
              <w:spacing w:after="0" w:line="199" w:lineRule="exact"/>
              <w:rPr>
                <w:sz w:val="20"/>
                <w:szCs w:val="20"/>
                <w:color w:val="auto"/>
              </w:rPr>
            </w:pPr>
            <w:r>
              <w:rPr>
                <w:rFonts w:ascii="Arial" w:cs="Arial" w:eastAsia="Arial" w:hAnsi="Arial"/>
                <w:sz w:val="18"/>
                <w:szCs w:val="18"/>
                <w:color w:val="auto"/>
              </w:rPr>
              <w:t>William B. Shepro</w:t>
            </w:r>
          </w:p>
        </w:tc>
        <w:tc>
          <w:tcPr>
            <w:tcW w:w="220" w:type="dxa"/>
            <w:vAlign w:val="bottom"/>
          </w:tcPr>
          <w:p>
            <w:pPr>
              <w:spacing w:after="0"/>
              <w:rPr>
                <w:sz w:val="17"/>
                <w:szCs w:val="17"/>
                <w:color w:val="auto"/>
              </w:rPr>
            </w:pPr>
          </w:p>
        </w:tc>
        <w:tc>
          <w:tcPr>
            <w:tcW w:w="580" w:type="dxa"/>
            <w:vAlign w:val="bottom"/>
            <w:tcBorders>
              <w:top w:val="single" w:sz="8" w:color="auto"/>
            </w:tcBorders>
          </w:tcPr>
          <w:p>
            <w:pPr>
              <w:ind w:left="440"/>
              <w:spacing w:after="0" w:line="199"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32"/>
              <w:spacing w:after="0" w:line="199" w:lineRule="exact"/>
              <w:rPr>
                <w:sz w:val="20"/>
                <w:szCs w:val="20"/>
                <w:color w:val="auto"/>
              </w:rPr>
            </w:pPr>
            <w:r>
              <w:rPr>
                <w:rFonts w:ascii="Arial" w:cs="Arial" w:eastAsia="Arial" w:hAnsi="Arial"/>
                <w:sz w:val="18"/>
                <w:szCs w:val="18"/>
                <w:color w:val="auto"/>
                <w:w w:val="99"/>
              </w:rPr>
              <w:t>1,259,961</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2"/>
              <w:spacing w:after="0" w:line="199" w:lineRule="exact"/>
              <w:rPr>
                <w:sz w:val="20"/>
                <w:szCs w:val="20"/>
                <w:color w:val="auto"/>
              </w:rPr>
            </w:pPr>
            <w:r>
              <w:rPr>
                <w:rFonts w:ascii="Arial" w:cs="Arial" w:eastAsia="Arial" w:hAnsi="Arial"/>
                <w:sz w:val="18"/>
                <w:szCs w:val="18"/>
                <w:color w:val="auto"/>
                <w:w w:val="98"/>
              </w:rPr>
              <w:t>251,992</w:t>
            </w:r>
          </w:p>
        </w:tc>
        <w:tc>
          <w:tcPr>
            <w:tcW w:w="220" w:type="dxa"/>
            <w:vAlign w:val="bottom"/>
          </w:tcPr>
          <w:p>
            <w:pPr>
              <w:spacing w:after="0"/>
              <w:rPr>
                <w:sz w:val="17"/>
                <w:szCs w:val="17"/>
                <w:color w:val="auto"/>
              </w:rPr>
            </w:pPr>
          </w:p>
        </w:tc>
        <w:tc>
          <w:tcPr>
            <w:tcW w:w="880" w:type="dxa"/>
            <w:vAlign w:val="bottom"/>
            <w:tcBorders>
              <w:top w:val="single" w:sz="8" w:color="auto"/>
            </w:tcBorders>
          </w:tcPr>
          <w:p>
            <w:pPr>
              <w:jc w:val="right"/>
              <w:ind w:right="93"/>
              <w:spacing w:after="0" w:line="199" w:lineRule="exact"/>
              <w:rPr>
                <w:sz w:val="20"/>
                <w:szCs w:val="20"/>
                <w:color w:val="auto"/>
              </w:rPr>
            </w:pPr>
            <w:r>
              <w:rPr>
                <w:rFonts w:ascii="Arial" w:cs="Arial" w:eastAsia="Arial" w:hAnsi="Arial"/>
                <w:sz w:val="18"/>
                <w:szCs w:val="18"/>
                <w:color w:val="auto"/>
              </w:rPr>
              <w:t>23,853</w:t>
            </w:r>
          </w:p>
        </w:tc>
      </w:tr>
      <w:tr>
        <w:trPr>
          <w:trHeight w:val="203"/>
        </w:trPr>
        <w:tc>
          <w:tcPr>
            <w:tcW w:w="4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8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280,000</w:t>
            </w:r>
          </w:p>
        </w:tc>
        <w:tc>
          <w:tcPr>
            <w:tcW w:w="2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70,000</w:t>
            </w:r>
          </w:p>
        </w:tc>
        <w:tc>
          <w:tcPr>
            <w:tcW w:w="220" w:type="dxa"/>
            <w:vAlign w:val="bottom"/>
          </w:tcPr>
          <w:p>
            <w:pPr>
              <w:spacing w:after="0"/>
              <w:rPr>
                <w:sz w:val="17"/>
                <w:szCs w:val="17"/>
                <w:color w:val="auto"/>
              </w:rPr>
            </w:pPr>
          </w:p>
        </w:tc>
        <w:tc>
          <w:tcPr>
            <w:tcW w:w="8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6,626</w:t>
            </w:r>
          </w:p>
        </w:tc>
      </w:tr>
      <w:tr>
        <w:trPr>
          <w:trHeight w:val="202"/>
        </w:trPr>
        <w:tc>
          <w:tcPr>
            <w:tcW w:w="4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Marcello Mastioni</w:t>
            </w:r>
          </w:p>
        </w:tc>
        <w:tc>
          <w:tcPr>
            <w:tcW w:w="220" w:type="dxa"/>
            <w:vAlign w:val="bottom"/>
          </w:tcPr>
          <w:p>
            <w:pPr>
              <w:spacing w:after="0"/>
              <w:rPr>
                <w:sz w:val="17"/>
                <w:szCs w:val="17"/>
                <w:color w:val="auto"/>
              </w:rPr>
            </w:pPr>
          </w:p>
        </w:tc>
        <w:tc>
          <w:tcPr>
            <w:tcW w:w="5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344,400</w:t>
            </w:r>
          </w:p>
        </w:tc>
        <w:tc>
          <w:tcPr>
            <w:tcW w:w="2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86,100</w:t>
            </w:r>
          </w:p>
        </w:tc>
        <w:tc>
          <w:tcPr>
            <w:tcW w:w="220" w:type="dxa"/>
            <w:vAlign w:val="bottom"/>
          </w:tcPr>
          <w:p>
            <w:pPr>
              <w:spacing w:after="0"/>
              <w:rPr>
                <w:sz w:val="17"/>
                <w:szCs w:val="17"/>
                <w:color w:val="auto"/>
              </w:rPr>
            </w:pPr>
          </w:p>
        </w:tc>
        <w:tc>
          <w:tcPr>
            <w:tcW w:w="8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9,918</w:t>
            </w:r>
          </w:p>
        </w:tc>
      </w:tr>
      <w:tr>
        <w:trPr>
          <w:trHeight w:val="30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Gregory J. Ritts</w:t>
            </w:r>
          </w:p>
        </w:tc>
        <w:tc>
          <w:tcPr>
            <w:tcW w:w="1820" w:type="dxa"/>
            <w:vAlign w:val="bottom"/>
          </w:tcPr>
          <w:p>
            <w:pPr>
              <w:spacing w:after="0"/>
              <w:rPr>
                <w:sz w:val="24"/>
                <w:szCs w:val="24"/>
                <w:color w:val="auto"/>
              </w:rPr>
            </w:pP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24"/>
                <w:szCs w:val="24"/>
                <w:color w:val="auto"/>
              </w:rPr>
            </w:pPr>
          </w:p>
        </w:tc>
        <w:tc>
          <w:tcPr>
            <w:tcW w:w="880" w:type="dxa"/>
            <w:vAlign w:val="bottom"/>
          </w:tcPr>
          <w:p>
            <w:pPr>
              <w:jc w:val="right"/>
              <w:spacing w:after="0" w:line="308" w:lineRule="exact"/>
              <w:rPr>
                <w:sz w:val="20"/>
                <w:szCs w:val="20"/>
                <w:color w:val="auto"/>
              </w:rPr>
            </w:pPr>
            <w:r>
              <w:rPr>
                <w:rFonts w:ascii="Arial" w:cs="Arial" w:eastAsia="Arial" w:hAnsi="Arial"/>
                <w:sz w:val="18"/>
                <w:szCs w:val="18"/>
                <w:color w:val="auto"/>
              </w:rPr>
              <w:t>131</w:t>
            </w:r>
            <w:r>
              <w:rPr>
                <w:rFonts w:ascii="Arial" w:cs="Arial" w:eastAsia="Arial" w:hAnsi="Arial"/>
                <w:sz w:val="29"/>
                <w:szCs w:val="29"/>
                <w:color w:val="auto"/>
                <w:vertAlign w:val="superscript"/>
              </w:rPr>
              <w:t>(2)</w:t>
            </w:r>
          </w:p>
        </w:tc>
      </w:tr>
    </w:tbl>
    <w:p>
      <w:pPr>
        <w:spacing w:after="0" w:line="219" w:lineRule="exact"/>
        <w:rPr>
          <w:sz w:val="20"/>
          <w:szCs w:val="20"/>
          <w:color w:val="auto"/>
        </w:rPr>
      </w:pPr>
    </w:p>
    <w:p>
      <w:pPr>
        <w:ind w:left="1680" w:right="620" w:hanging="549"/>
        <w:spacing w:after="0" w:line="183" w:lineRule="auto"/>
        <w:tabs>
          <w:tab w:leader="none" w:pos="16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The number of RSUs was determined based on the Company's average share closing price for the 30 trading days preceding the grant date ($10.56).</w:t>
      </w:r>
    </w:p>
    <w:p>
      <w:pPr>
        <w:spacing w:after="0" w:line="208" w:lineRule="exact"/>
        <w:rPr>
          <w:rFonts w:ascii="Arial" w:cs="Arial" w:eastAsia="Arial" w:hAnsi="Arial"/>
          <w:sz w:val="29"/>
          <w:szCs w:val="29"/>
          <w:color w:val="auto"/>
          <w:vertAlign w:val="superscript"/>
        </w:rPr>
      </w:pPr>
    </w:p>
    <w:p>
      <w:pPr>
        <w:ind w:left="1680" w:right="80" w:hanging="549"/>
        <w:spacing w:after="0" w:line="197" w:lineRule="auto"/>
        <w:tabs>
          <w:tab w:leader="none" w:pos="16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Mr. Ritts' payout has been reduced by $58,620, which is equal to 25% of his base compensation for the period April 1, 2020 to October 4, 2020. In lieu of the reduction in base salary, Mr. Ritts elected for this amount to be adjusted against his earned 2020 incentive.</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Target incentive opportunities are set in U.S. dollars, other than for Mr. Mastioni, for whom the incentive is set in euros. To arrive at the grant size for Mr. Mastioni, the spot rate as on the date of the grant was used.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Annual Incentive Compensation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Company's 2021 corporate scorecard was approved by the Board of Directors on December 17, 2020. Based on subsequent extensions by the government of borrower relief measures due to the on-going nature of the COVID-19 pandemic, the Board of Directors approved a revised 2021 corporate scorecard on March 23, 2021.</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personal annual scorecards for the Chief Executive Officer and the other Named Executive Officers were tied to the 2021 corporate scorecard initially approved by the Board and included: (i) service revenue; (ii) adjusted EBITDA; and (iii) the successful completion of strategic initiatives (for the Chief Executive Officer, the Chief Financial Officer and the Chief Legal and Compliance Officer).</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March 23, 2021, the Board of Directors exercised its discretion to revise the 2021 corporate scorecard. On the same day, the Compensation Committee revised the annual scorecards for the Chief Executive Officer, the Chief Financial Officer and the Chief Legal and Compliance Officer to include the service revenue and adjusted EBITDA metrics from the revised corporate scorecard and to delete the successful completion of strategic initiatives metric. The 2021 annual scorecards applicable to the Chief Financial Officer and the Chief Legal and Compliance Officer were also revised to include metrics related to relevant support function costs. The 2021 annual scorecard for the Chief Operating Officer was not revised.</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the first quarter of 2021, the Compensation Committee also approved continuing the payout methodology for our Named Executive Officers' 2021 service year annual incentive awards with 40% of the award to be paid in RSUs and 60% to be paid in cash, with the actual percentage of RSUs and cash to be determined at the discretion of the Board of Directors. This methodology reflects our philosophy of having an employee compensation structure that emphasizes pay for performance with a meaningful component of the annual incentive compensation grant paid in time-based equity grants (as opposed to all cash) to drive further alignment with shareholders and long-term retention. The Board of Directors further revised the annual incentive process to adopt a new methodology for determining the annual incentive pool for the Named Executive Officers and other employees eligible for an annual incentive. The Board adopted a variable annual incentive pool, with the size of the pool being subject to change by an amount equal to 25% of any increase or decrease of Adjusted EBITDA calculated based on (1) service revenue differences from budget multiplied by the budgeted Adjusted EBITDA margin excluding common and corporate costs multiplied by 12.5% and</w:t>
      </w:r>
    </w:p>
    <w:p>
      <w:pPr>
        <w:spacing w:after="0" w:line="1" w:lineRule="exact"/>
        <w:rPr>
          <w:sz w:val="20"/>
          <w:szCs w:val="20"/>
          <w:color w:val="auto"/>
        </w:rPr>
      </w:pPr>
    </w:p>
    <w:p>
      <w:pPr>
        <w:ind w:firstLine="8"/>
        <w:spacing w:after="0" w:line="239" w:lineRule="auto"/>
        <w:tabs>
          <w:tab w:leader="none" w:pos="2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differences from budget times 12.5%. If certain minimums are not achieved for the applicable metrics, the Board will set the annual incentive pool in its discretion.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Equity Incentive Plan</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Altisource provides long-term equity incentive opportunities for eligible employees, including our Named Executive Officers, under our 2009 Equity Incentive Plan. The Compensation Committee administers the 2009 Equity Incentive Plan, which was adopted prior to the spin out of the Company from Ocwen in August 2009 and subsequently ratified by the Altisource Board of Directors on September 22, 2009.</w:t>
      </w:r>
    </w:p>
    <w:p>
      <w:pPr>
        <w:spacing w:after="0" w:line="20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Equity awards to our Named Executive Officers are generally provided in the form of restricted shares, RSUs or stock options. As part of the Company's LTIP, a portion of the award is tied to performance against established financial targets and against the Russell 3000 stock market index, each over a three-year period. The Compensation Committee also grants awards subject to time-based vesting to encourage retention and align the recipients' interests with those of the shareholders of the Company.</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Award agreements typically include a covenant not to disclose our confidential information, and non-competition and non-solicitation covenants, typically for a minimum period of two (2) years following the end of the recipient's employment with the Company.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our Named Executive Officers</w:t>
      </w:r>
    </w:p>
    <w:p>
      <w:pPr>
        <w:spacing w:after="0" w:line="21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the first quarter of 2020, equity awards were made to each of our Named Executive Officers under the Company's applicable LTIP for the service year, reflecting the Company's transition toward a more regular annual equity grant practice.</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detailed below, during this period, equity grants were also made to our Named Executive Officers based on various considerations, including attracting new talent, meeting special retention objectives or other reasons our Compensation Committee deemed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Long-Term Incentive Plan Awards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January 2020, the Board of Directors, upon recommendation of the Compensation Committee, approved the 2020 LTIP for our Named Executive Officers, except for the Chief Executive Officer and the Chief Administration and Risk Officer. In February 2020, the Compensation Committee approved the 2020 LTIP for the Chief Executive Officer. The Chief Administration and Risk Officer was not eligible for 2020 incentives. The Board of Directors provided for the 2020 LTIP equity awards to be comprised equally of two types of RSUs—Type I and Type II.</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Type I RSUs are primarily time-based and vest in three equal annual increments on the first three anniversaries of the grant date, with each year's vesting subject to the Named Executive Officer meeting a minimum performance level of 50% on his or her annual scorecard for the previous service year. These awards are settled in shares or, at the Company's option, cash, subject to continued employment unless otherwise provided in the applicable award agreement.</w:t>
      </w:r>
    </w:p>
    <w:p>
      <w:pPr>
        <w:spacing w:after="0" w:line="20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award of Type II performance-based RSUs is determined in a two-step process. First, the Type II performance-based RSUs will have the opportunity to vest based on the degree of achievement of pre-established goals tied to the 2020-2022 adjusted EPS goals (a non-U.S. GAAP measure). Depending on performance versus the adjusted EPS goals, Type II performance-based RSUs will have the opportunity to vest between zero percent (0%) and up to one hundred fifty percent (150%) of the initial target levels (the "Initial Award Size"). In the second step, this award will be modified based on TSR compared to the Russell 3000 stock market index during the performance period (2020-2022), resulting in a final earned award that can range between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illustrated in the graphic below, adjusted EPS and relative TSR results determine the portion of earned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132080</wp:posOffset>
            </wp:positionV>
            <wp:extent cx="5511800" cy="591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1180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2020 LTIP equity awards were designed to incent the achievement of financial goals and stock-price appreciation over a multi-year period, thereby supporting a long-term focus, as well as to better align with market practice and support the retention of our executives.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approvals, the 2020 LTIP equity awards were approved for our Named Executive Officers, as follows: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Performance-Based  Performance-Based</w:t>
            </w:r>
          </w:p>
        </w:tc>
      </w:tr>
      <w:tr>
        <w:trPr>
          <w:trHeight w:val="221"/>
        </w:trPr>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Target 2020</w:t>
            </w:r>
          </w:p>
        </w:tc>
        <w:tc>
          <w:tcPr>
            <w:tcW w:w="1660" w:type="dxa"/>
            <w:vAlign w:val="bottom"/>
          </w:tcPr>
          <w:p>
            <w:pPr>
              <w:jc w:val="right"/>
              <w:ind w:right="413"/>
              <w:spacing w:after="0"/>
              <w:rPr>
                <w:sz w:val="20"/>
                <w:szCs w:val="20"/>
                <w:color w:val="auto"/>
              </w:rPr>
            </w:pPr>
            <w:r>
              <w:rPr>
                <w:rFonts w:ascii="Arial" w:cs="Arial" w:eastAsia="Arial" w:hAnsi="Arial"/>
                <w:sz w:val="18"/>
                <w:szCs w:val="18"/>
                <w:b w:val="1"/>
                <w:bCs w:val="1"/>
                <w:color w:val="auto"/>
              </w:rPr>
              <w:t>RSUs at</w:t>
            </w:r>
          </w:p>
        </w:tc>
        <w:tc>
          <w:tcPr>
            <w:tcW w:w="200" w:type="dxa"/>
            <w:vAlign w:val="bottom"/>
          </w:tcPr>
          <w:p>
            <w:pPr>
              <w:spacing w:after="0"/>
              <w:rPr>
                <w:sz w:val="19"/>
                <w:szCs w:val="19"/>
                <w:color w:val="auto"/>
              </w:rPr>
            </w:pPr>
          </w:p>
        </w:tc>
        <w:tc>
          <w:tcPr>
            <w:tcW w:w="1880" w:type="dxa"/>
            <w:vAlign w:val="bottom"/>
            <w:gridSpan w:val="2"/>
          </w:tcPr>
          <w:p>
            <w:pPr>
              <w:ind w:left="500"/>
              <w:spacing w:after="0"/>
              <w:rPr>
                <w:sz w:val="20"/>
                <w:szCs w:val="20"/>
                <w:color w:val="auto"/>
              </w:rPr>
            </w:pPr>
            <w:r>
              <w:rPr>
                <w:rFonts w:ascii="Arial" w:cs="Arial" w:eastAsia="Arial" w:hAnsi="Arial"/>
                <w:sz w:val="18"/>
                <w:szCs w:val="18"/>
                <w:b w:val="1"/>
                <w:bCs w:val="1"/>
                <w:color w:val="auto"/>
              </w:rPr>
              <w:t>RSUs at</w:t>
            </w:r>
          </w:p>
        </w:tc>
      </w:tr>
      <w:tr>
        <w:trPr>
          <w:trHeight w:val="243"/>
        </w:trPr>
        <w:tc>
          <w:tcPr>
            <w:tcW w:w="37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Award Value</w:t>
            </w:r>
          </w:p>
        </w:tc>
        <w:tc>
          <w:tcPr>
            <w:tcW w:w="220" w:type="dxa"/>
            <w:vAlign w:val="bottom"/>
          </w:tcPr>
          <w:p>
            <w:pPr>
              <w:spacing w:after="0"/>
              <w:rPr>
                <w:sz w:val="21"/>
                <w:szCs w:val="21"/>
                <w:color w:val="auto"/>
              </w:rPr>
            </w:pPr>
          </w:p>
        </w:tc>
        <w:tc>
          <w:tcPr>
            <w:tcW w:w="1660" w:type="dxa"/>
            <w:vAlign w:val="bottom"/>
            <w:tcBorders>
              <w:bottom w:val="single" w:sz="8" w:color="auto"/>
            </w:tcBorders>
          </w:tcPr>
          <w:p>
            <w:pPr>
              <w:jc w:val="right"/>
              <w:ind w:right="53"/>
              <w:spacing w:after="0" w:line="243" w:lineRule="exact"/>
              <w:rPr>
                <w:sz w:val="20"/>
                <w:szCs w:val="20"/>
                <w:color w:val="auto"/>
              </w:rPr>
            </w:pPr>
            <w:r>
              <w:rPr>
                <w:rFonts w:ascii="Arial" w:cs="Arial" w:eastAsia="Arial" w:hAnsi="Arial"/>
                <w:sz w:val="17"/>
                <w:szCs w:val="17"/>
                <w:b w:val="1"/>
                <w:bCs w:val="1"/>
                <w:color w:val="auto"/>
              </w:rPr>
              <w:t>Target—Type I</w:t>
            </w:r>
            <w:r>
              <w:rPr>
                <w:rFonts w:ascii="Arial" w:cs="Arial" w:eastAsia="Arial" w:hAnsi="Arial"/>
                <w:sz w:val="28"/>
                <w:szCs w:val="28"/>
                <w:b w:val="1"/>
                <w:bCs w:val="1"/>
                <w:color w:val="auto"/>
                <w:vertAlign w:val="superscript"/>
              </w:rPr>
              <w:t>(1)</w:t>
            </w:r>
          </w:p>
        </w:tc>
        <w:tc>
          <w:tcPr>
            <w:tcW w:w="200" w:type="dxa"/>
            <w:vAlign w:val="bottom"/>
          </w:tcPr>
          <w:p>
            <w:pPr>
              <w:spacing w:after="0"/>
              <w:rPr>
                <w:sz w:val="21"/>
                <w:szCs w:val="21"/>
                <w:color w:val="auto"/>
              </w:rPr>
            </w:pPr>
          </w:p>
        </w:tc>
        <w:tc>
          <w:tcPr>
            <w:tcW w:w="1660" w:type="dxa"/>
            <w:vAlign w:val="bottom"/>
            <w:tcBorders>
              <w:bottom w:val="single" w:sz="8" w:color="auto"/>
            </w:tcBorders>
          </w:tcPr>
          <w:p>
            <w:pPr>
              <w:jc w:val="right"/>
              <w:ind w:right="13"/>
              <w:spacing w:after="0" w:line="243" w:lineRule="exact"/>
              <w:rPr>
                <w:sz w:val="20"/>
                <w:szCs w:val="20"/>
                <w:color w:val="auto"/>
              </w:rPr>
            </w:pPr>
            <w:r>
              <w:rPr>
                <w:rFonts w:ascii="Arial" w:cs="Arial" w:eastAsia="Arial" w:hAnsi="Arial"/>
                <w:sz w:val="17"/>
                <w:szCs w:val="17"/>
                <w:b w:val="1"/>
                <w:bCs w:val="1"/>
                <w:color w:val="auto"/>
              </w:rPr>
              <w:t>Target—Type II</w:t>
            </w:r>
            <w:r>
              <w:rPr>
                <w:rFonts w:ascii="Arial" w:cs="Arial" w:eastAsia="Arial" w:hAnsi="Arial"/>
                <w:sz w:val="28"/>
                <w:szCs w:val="28"/>
                <w:b w:val="1"/>
                <w:bCs w:val="1"/>
                <w:color w:val="auto"/>
                <w:vertAlign w:val="superscript"/>
              </w:rPr>
              <w:t>(1)</w:t>
            </w:r>
          </w:p>
        </w:tc>
        <w:tc>
          <w:tcPr>
            <w:tcW w:w="220" w:type="dxa"/>
            <w:vAlign w:val="bottom"/>
          </w:tcPr>
          <w:p>
            <w:pPr>
              <w:spacing w:after="0"/>
              <w:rPr>
                <w:sz w:val="21"/>
                <w:szCs w:val="21"/>
                <w:color w:val="auto"/>
              </w:rPr>
            </w:pPr>
          </w:p>
        </w:tc>
      </w:tr>
      <w:tr>
        <w:trPr>
          <w:trHeight w:val="196"/>
        </w:trPr>
        <w:tc>
          <w:tcPr>
            <w:tcW w:w="3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$1,259,961</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73"/>
              <w:spacing w:after="0" w:line="196" w:lineRule="exact"/>
              <w:rPr>
                <w:sz w:val="20"/>
                <w:szCs w:val="20"/>
                <w:color w:val="auto"/>
              </w:rPr>
            </w:pPr>
            <w:r>
              <w:rPr>
                <w:rFonts w:ascii="Arial" w:cs="Arial" w:eastAsia="Arial" w:hAnsi="Arial"/>
                <w:sz w:val="18"/>
                <w:szCs w:val="18"/>
                <w:color w:val="auto"/>
              </w:rPr>
              <w:t>32,880</w:t>
            </w:r>
          </w:p>
        </w:tc>
        <w:tc>
          <w:tcPr>
            <w:tcW w:w="1860" w:type="dxa"/>
            <w:vAlign w:val="bottom"/>
            <w:gridSpan w:val="2"/>
            <w:shd w:val="clear" w:color="auto" w:fill="CCEEFF"/>
          </w:tcPr>
          <w:p>
            <w:pPr>
              <w:jc w:val="right"/>
              <w:ind w:right="453"/>
              <w:spacing w:after="0" w:line="196" w:lineRule="exact"/>
              <w:rPr>
                <w:sz w:val="20"/>
                <w:szCs w:val="20"/>
                <w:color w:val="auto"/>
              </w:rPr>
            </w:pPr>
            <w:r>
              <w:rPr>
                <w:rFonts w:ascii="Arial" w:cs="Arial" w:eastAsia="Arial" w:hAnsi="Arial"/>
                <w:sz w:val="18"/>
                <w:szCs w:val="18"/>
                <w:color w:val="auto"/>
              </w:rPr>
              <w:t>32,880</w:t>
            </w:r>
          </w:p>
        </w:tc>
        <w:tc>
          <w:tcPr>
            <w:tcW w:w="220" w:type="dxa"/>
            <w:vAlign w:val="bottom"/>
            <w:shd w:val="clear" w:color="auto" w:fill="CCEEFF"/>
          </w:tcPr>
          <w:p>
            <w:pPr>
              <w:spacing w:after="0"/>
              <w:rPr>
                <w:sz w:val="17"/>
                <w:szCs w:val="17"/>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$280,000</w:t>
            </w:r>
          </w:p>
        </w:tc>
        <w:tc>
          <w:tcPr>
            <w:tcW w:w="220" w:type="dxa"/>
            <w:vAlign w:val="bottom"/>
          </w:tcPr>
          <w:p>
            <w:pPr>
              <w:spacing w:after="0"/>
              <w:rPr>
                <w:sz w:val="17"/>
                <w:szCs w:val="17"/>
                <w:color w:val="auto"/>
              </w:rPr>
            </w:pPr>
          </w:p>
        </w:tc>
        <w:tc>
          <w:tcPr>
            <w:tcW w:w="16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7,369</w:t>
            </w:r>
          </w:p>
        </w:tc>
        <w:tc>
          <w:tcPr>
            <w:tcW w:w="1860" w:type="dxa"/>
            <w:vAlign w:val="bottom"/>
            <w:gridSpan w:val="2"/>
          </w:tcPr>
          <w:p>
            <w:pPr>
              <w:jc w:val="right"/>
              <w:ind w:right="453"/>
              <w:spacing w:after="0" w:line="202" w:lineRule="exact"/>
              <w:rPr>
                <w:sz w:val="20"/>
                <w:szCs w:val="20"/>
                <w:color w:val="auto"/>
              </w:rPr>
            </w:pPr>
            <w:r>
              <w:rPr>
                <w:rFonts w:ascii="Arial" w:cs="Arial" w:eastAsia="Arial" w:hAnsi="Arial"/>
                <w:sz w:val="18"/>
                <w:szCs w:val="18"/>
                <w:color w:val="auto"/>
              </w:rPr>
              <w:t>7,369</w:t>
            </w:r>
          </w:p>
        </w:tc>
        <w:tc>
          <w:tcPr>
            <w:tcW w:w="220" w:type="dxa"/>
            <w:vAlign w:val="bottom"/>
          </w:tcPr>
          <w:p>
            <w:pPr>
              <w:spacing w:after="0"/>
              <w:rPr>
                <w:sz w:val="17"/>
                <w:szCs w:val="17"/>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Marcello Mastioni</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$366,240</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9,638</w:t>
            </w:r>
          </w:p>
        </w:tc>
        <w:tc>
          <w:tcPr>
            <w:tcW w:w="1860" w:type="dxa"/>
            <w:vAlign w:val="bottom"/>
            <w:gridSpan w:val="2"/>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9,638</w:t>
            </w:r>
          </w:p>
        </w:tc>
        <w:tc>
          <w:tcPr>
            <w:tcW w:w="220" w:type="dxa"/>
            <w:vAlign w:val="bottom"/>
            <w:shd w:val="clear" w:color="auto" w:fill="CCEEFF"/>
          </w:tcPr>
          <w:p>
            <w:pPr>
              <w:spacing w:after="0"/>
              <w:rPr>
                <w:sz w:val="17"/>
                <w:szCs w:val="17"/>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8"/>
                <w:szCs w:val="18"/>
                <w:color w:val="auto"/>
              </w:rPr>
              <w:t>Gregory J. Ritts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18"/>
                <w:szCs w:val="18"/>
                <w:color w:val="auto"/>
              </w:rPr>
            </w:pPr>
          </w:p>
        </w:tc>
        <w:tc>
          <w:tcPr>
            <w:tcW w:w="1660" w:type="dxa"/>
            <w:vAlign w:val="bottom"/>
          </w:tcPr>
          <w:p>
            <w:pPr>
              <w:jc w:val="right"/>
              <w:ind w:right="473"/>
              <w:spacing w:after="0"/>
              <w:rPr>
                <w:sz w:val="20"/>
                <w:szCs w:val="20"/>
                <w:color w:val="auto"/>
              </w:rPr>
            </w:pPr>
            <w:r>
              <w:rPr>
                <w:rFonts w:ascii="Arial" w:cs="Arial" w:eastAsia="Arial" w:hAnsi="Arial"/>
                <w:sz w:val="18"/>
                <w:szCs w:val="18"/>
                <w:color w:val="auto"/>
              </w:rPr>
              <w:t>6,316</w:t>
            </w:r>
          </w:p>
        </w:tc>
        <w:tc>
          <w:tcPr>
            <w:tcW w:w="1860" w:type="dxa"/>
            <w:vAlign w:val="bottom"/>
            <w:gridSpan w:val="2"/>
          </w:tcPr>
          <w:p>
            <w:pPr>
              <w:jc w:val="right"/>
              <w:ind w:right="453"/>
              <w:spacing w:after="0"/>
              <w:rPr>
                <w:sz w:val="20"/>
                <w:szCs w:val="20"/>
                <w:color w:val="auto"/>
              </w:rPr>
            </w:pPr>
            <w:r>
              <w:rPr>
                <w:rFonts w:ascii="Arial" w:cs="Arial" w:eastAsia="Arial" w:hAnsi="Arial"/>
                <w:sz w:val="18"/>
                <w:szCs w:val="18"/>
                <w:color w:val="auto"/>
              </w:rPr>
              <w:t>6,316</w:t>
            </w:r>
          </w:p>
        </w:tc>
        <w:tc>
          <w:tcPr>
            <w:tcW w:w="220" w:type="dxa"/>
            <w:vAlign w:val="bottom"/>
          </w:tcPr>
          <w:p>
            <w:pPr>
              <w:spacing w:after="0"/>
              <w:rPr>
                <w:sz w:val="18"/>
                <w:szCs w:val="18"/>
                <w:color w:val="auto"/>
              </w:rPr>
            </w:pPr>
          </w:p>
        </w:tc>
      </w:tr>
    </w:tbl>
    <w:p>
      <w:pPr>
        <w:spacing w:after="0" w:line="208" w:lineRule="exact"/>
        <w:rPr>
          <w:sz w:val="20"/>
          <w:szCs w:val="20"/>
          <w:color w:val="auto"/>
        </w:rPr>
      </w:pPr>
    </w:p>
    <w:p>
      <w:pPr>
        <w:ind w:left="1680" w:right="40" w:hanging="549"/>
        <w:spacing w:after="0" w:line="207" w:lineRule="auto"/>
        <w:tabs>
          <w:tab w:leader="none" w:pos="1680" w:val="left"/>
        </w:tabs>
        <w:numPr>
          <w:ilvl w:val="0"/>
          <w:numId w:val="47"/>
        </w:numPr>
        <w:rPr>
          <w:rFonts w:ascii="Arial" w:cs="Arial" w:eastAsia="Arial" w:hAnsi="Arial"/>
          <w:sz w:val="28"/>
          <w:szCs w:val="28"/>
          <w:color w:val="auto"/>
          <w:vertAlign w:val="superscript"/>
        </w:rPr>
      </w:pPr>
      <w:r>
        <w:rPr>
          <w:rFonts w:ascii="Arial" w:cs="Arial" w:eastAsia="Arial" w:hAnsi="Arial"/>
          <w:sz w:val="17"/>
          <w:szCs w:val="17"/>
          <w:color w:val="auto"/>
        </w:rPr>
        <w:t>Based on a price per share of $19.16, the average closing price of our common stock over the 30 trading days preceding the February 27, 2020 grant date for Mr. Shepro and a price per share of $19.00, the average closing price of our common stock over the 30 trading days preceding the January 24, 2020 grant date for the other Named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Mr. Wilcox did not receive a grant in 2020 due to his previously announced separation on April 15, 2020.</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elected to exercise its discretion to revise the maximum level of achievement for 2020 performance in the 2019 and 2020 LTIP Type II awards at 80% of target, as opposed to the 150% previously approved in the plan, with the actual level of achievement to be determined by the Compensation Committee based on the level of achievement on the 2020 cost reduction objectives. Such change was necessitated by the two major events outside of the Company's control that significantly impacted Altisource's revenue and earnings in 2020 and beyond, as described in earlier sections. In response to these events, the Company reset its priorities and was focused on addressing the inherent risks arising out of these events and building a strong foundation to capitalize on the potential opportunities that lies ahead of the Company. The alignment of the LTIP Type II performance metrics to these priorities ensured that the Named Executive Officers were focused on driving long term success for the Company.</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Based upon actual performance against the cost reduction objectives, the Company's 2020 achievement level under the LTIP Type II award was 91.7% of the 80% maximum potential achievement, or 73.4% for the Named Executive Officers (other than the Chief Administration and Risk Officer, who was not eligible for 2020 incentives). Performance may be further modified by TSR against the Russell 3000 stock market index for the applicable three-year performance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Long-Term Incentive Plan Awards</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March 2021, the Board of Directors and the Compensation Committee approved the 2021 LTIP. The structure of the LTIP was similar to the awards made in 2019 and 2020, comprising equally of two types of performance-based RSUs—Type I and Type II.</w:t>
      </w:r>
    </w:p>
    <w:p>
      <w:pPr>
        <w:spacing w:after="0" w:line="20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Type I RSUs will vest in three equal annual increments on the first three anniversaries of the grant date, subject to the executive officer meeting a minimum performance level of 50% on his or her annual scorecard for the previous service year. These awards will be settled in shares or, at the Company's option, cash, subject to continued employment unless otherwise provided in the applicable award agreement.</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award of Type II performance-based RSUs will be determined in a two-step process. First, the Type II performance-based RSUs will have the opportunity to vest based on the degree of achievement of pre-established goals tied to the 2021-2023 adjusted EPS goals (a non-U.S. GAAP measure). Depending 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performance versus the adjusted EPS goals, Type II performance-based RSUs will have the opportunity to vest between zero percent (0%) and up to one hundred fifty percent (150%) of the initial target levels (the "Initial Award Size"). In the second step, this award will be modified based on TSR compared to the Russell 3000 stock market index during the performance period (2021-2023), resulting in a final earned award that can range between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award size for the Named Executive Officers was derived as a percentage of their target annual incentive divided by a stock price of $15 per share. The Compensation Committee used $15 per share, rather than the closing price of our common stock over the 30 trading days preceding the grant date as used in prior years ($10.56), to determine the number of shares granted to reduce shareholder dilution from the award due to the decline of the Altisource stock price prior to the grant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approvals, the 2021 LTIP equity awards were approved for our Named Executive Officers, as follows:</w:t>
      </w:r>
    </w:p>
    <w:p>
      <w:pPr>
        <w:spacing w:after="0" w:line="99" w:lineRule="exact"/>
        <w:rPr>
          <w:sz w:val="20"/>
          <w:szCs w:val="20"/>
          <w:color w:val="auto"/>
        </w:rPr>
      </w:pPr>
    </w:p>
    <w:tbl>
      <w:tblPr>
        <w:tblLayout w:type="fixed"/>
        <w:tblInd w:w="1120" w:type="dxa"/>
        <w:tblCellMar>
          <w:top w:w="0" w:type="dxa"/>
          <w:left w:w="0" w:type="dxa"/>
          <w:bottom w:w="0" w:type="dxa"/>
          <w:right w:w="0" w:type="dxa"/>
        </w:tblCellMar>
      </w:tblPr>
      <w:tr>
        <w:trPr>
          <w:trHeight w:val="333"/>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Target 2021</w:t>
            </w:r>
          </w:p>
        </w:tc>
        <w:tc>
          <w:tcPr>
            <w:tcW w:w="22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Type I</w:t>
            </w:r>
            <w:r>
              <w:rPr>
                <w:rFonts w:ascii="Arial" w:cs="Arial" w:eastAsia="Arial" w:hAnsi="Arial"/>
                <w:sz w:val="29"/>
                <w:szCs w:val="29"/>
                <w:b w:val="1"/>
                <w:bCs w:val="1"/>
                <w:color w:val="auto"/>
                <w:vertAlign w:val="superscript"/>
              </w:rPr>
              <w:t>(1)</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Type II</w:t>
            </w:r>
            <w:r>
              <w:rPr>
                <w:rFonts w:ascii="Arial" w:cs="Arial" w:eastAsia="Arial" w:hAnsi="Arial"/>
                <w:sz w:val="29"/>
                <w:szCs w:val="29"/>
                <w:b w:val="1"/>
                <w:bCs w:val="1"/>
                <w:color w:val="auto"/>
                <w:w w:val="89"/>
                <w:vertAlign w:val="superscript"/>
              </w:rPr>
              <w:t>(1)</w:t>
            </w:r>
          </w:p>
        </w:tc>
      </w:tr>
      <w:tr>
        <w:trPr>
          <w:trHeight w:val="221"/>
        </w:trPr>
        <w:tc>
          <w:tcPr>
            <w:tcW w:w="4540" w:type="dxa"/>
            <w:vAlign w:val="bottom"/>
          </w:tcPr>
          <w:p>
            <w:pPr>
              <w:ind w:left="204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Award Value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6"/>
              </w:rPr>
              <w:t>RSUs at Target</w:t>
            </w:r>
          </w:p>
        </w:tc>
        <w:tc>
          <w:tcPr>
            <w:tcW w:w="2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RSUs at Target</w:t>
            </w:r>
          </w:p>
        </w:tc>
      </w:tr>
      <w:tr>
        <w:trPr>
          <w:trHeight w:val="196"/>
        </w:trPr>
        <w:tc>
          <w:tcPr>
            <w:tcW w:w="4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4"/>
                <w:szCs w:val="14"/>
                <w:color w:val="auto"/>
              </w:rPr>
              <w:t>$377,988</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12,600</w:t>
            </w:r>
          </w:p>
        </w:tc>
        <w:tc>
          <w:tcPr>
            <w:tcW w:w="2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12,599</w:t>
            </w:r>
          </w:p>
        </w:tc>
        <w:tc>
          <w:tcPr>
            <w:tcW w:w="220" w:type="dxa"/>
            <w:vAlign w:val="bottom"/>
            <w:shd w:val="clear" w:color="auto" w:fill="CCEEFF"/>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1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$280,000</w:t>
            </w:r>
          </w:p>
        </w:tc>
        <w:tc>
          <w:tcPr>
            <w:tcW w:w="1480" w:type="dxa"/>
            <w:vAlign w:val="bottom"/>
            <w:gridSpan w:val="2"/>
          </w:tcPr>
          <w:p>
            <w:pPr>
              <w:jc w:val="right"/>
              <w:ind w:right="252"/>
              <w:spacing w:after="0" w:line="202" w:lineRule="exact"/>
              <w:rPr>
                <w:sz w:val="20"/>
                <w:szCs w:val="20"/>
                <w:color w:val="auto"/>
              </w:rPr>
            </w:pPr>
            <w:r>
              <w:rPr>
                <w:rFonts w:ascii="Arial" w:cs="Arial" w:eastAsia="Arial" w:hAnsi="Arial"/>
                <w:sz w:val="18"/>
                <w:szCs w:val="18"/>
                <w:color w:val="auto"/>
              </w:rPr>
              <w:t>9,334</w:t>
            </w:r>
          </w:p>
        </w:tc>
        <w:tc>
          <w:tcPr>
            <w:tcW w:w="22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9,333</w:t>
            </w:r>
          </w:p>
        </w:tc>
        <w:tc>
          <w:tcPr>
            <w:tcW w:w="220" w:type="dxa"/>
            <w:vAlign w:val="bottom"/>
          </w:tcPr>
          <w:p>
            <w:pPr>
              <w:spacing w:after="0"/>
              <w:rPr>
                <w:sz w:val="17"/>
                <w:szCs w:val="17"/>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Gregory J. Ritts</w:t>
            </w:r>
          </w:p>
        </w:tc>
        <w:tc>
          <w:tcPr>
            <w:tcW w:w="12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$246,000</w:t>
            </w:r>
          </w:p>
        </w:tc>
        <w:tc>
          <w:tcPr>
            <w:tcW w:w="148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8,200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8,200</w:t>
            </w:r>
          </w:p>
        </w:tc>
        <w:tc>
          <w:tcPr>
            <w:tcW w:w="2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1680" w:right="300" w:hanging="549"/>
        <w:spacing w:after="0" w:line="183" w:lineRule="auto"/>
        <w:tabs>
          <w:tab w:leader="none" w:pos="16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Mr. Shepro volunteered, and the Compensation Committee accepted, to reduce his 2021 LTIP from 100% to 30% of his target annual incentive pay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2020 Equity Awards</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Compensation Committee approved an equity award for each Named Executive Officer (other than the Chief Administration and Risk Officer, whose employment ended in April 2020) in the last quarter of 2020. The awards were intended to support retention by providing the Named Executive Officers with the potential to earn RSUs primarily based upon the significant appreciation in Altisource's share price with a smaller component time based. This grant was intended to help further align the interests of the Named Executive Officers with the interests of the shareholders and other stakeholders.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20% of each award consists of time-based RSUs, with the remainder of each award linked to appreciation in the average closing price of</w:t>
      </w:r>
    </w:p>
    <w:p>
      <w:pPr>
        <w:spacing w:after="0"/>
        <w:rPr>
          <w:sz w:val="20"/>
          <w:szCs w:val="20"/>
          <w:color w:val="auto"/>
        </w:rPr>
      </w:pPr>
      <w:r>
        <w:rPr>
          <w:rFonts w:ascii="Arial" w:cs="Arial" w:eastAsia="Arial" w:hAnsi="Arial"/>
          <w:sz w:val="18"/>
          <w:szCs w:val="18"/>
          <w:color w:val="auto"/>
        </w:rPr>
        <w:t>Altisource's common stock as detailed below:</w:t>
      </w:r>
    </w:p>
    <w:p>
      <w:pPr>
        <w:spacing w:after="0" w:line="225" w:lineRule="exact"/>
        <w:rPr>
          <w:sz w:val="20"/>
          <w:szCs w:val="20"/>
          <w:color w:val="auto"/>
        </w:rPr>
      </w:pPr>
    </w:p>
    <w:p>
      <w:pPr>
        <w:ind w:left="1080" w:right="6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 of the award will begin to vest once the average closing price of Altisource's common stock is at or above $20 per share over a period of 30 calendar days (55% above the closing price of Altisource's common stock as on the grant date)</w:t>
      </w:r>
    </w:p>
    <w:p>
      <w:pPr>
        <w:spacing w:after="0" w:line="195"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30% of the award will begin to vest once the average closing price of Altisource's common stock is at or above $25 per share over a period of 30 calendar days (93% above the closing price of Altisource's common stock as on the grant date)</w:t>
      </w:r>
    </w:p>
    <w:p>
      <w:pPr>
        <w:spacing w:after="0" w:line="195"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40% of the award will begin to vest once the average closing price of Altisource's common stock is at or above $35 per share over a period of 30 calendar days (171% above the closing price of Altisource's common stock as on the grant date)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Arial" w:cs="Arial" w:eastAsia="Arial" w:hAnsi="Arial"/>
                <w:sz w:val="18"/>
                <w:szCs w:val="18"/>
                <w:color w:val="auto"/>
              </w:rPr>
              <w:t>Award Details: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26"/>
        </w:trPr>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340" w:type="dxa"/>
            <w:vAlign w:val="bottom"/>
          </w:tcPr>
          <w:p>
            <w:pPr>
              <w:ind w:left="34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RSUs Granted</w:t>
            </w:r>
          </w:p>
        </w:tc>
      </w:tr>
      <w:tr>
        <w:trPr>
          <w:trHeight w:val="196"/>
        </w:trPr>
        <w:tc>
          <w:tcPr>
            <w:tcW w:w="1120" w:type="dxa"/>
            <w:vAlign w:val="bottom"/>
          </w:tcPr>
          <w:p>
            <w:pPr>
              <w:spacing w:after="0"/>
              <w:rPr>
                <w:sz w:val="17"/>
                <w:szCs w:val="17"/>
                <w:color w:val="auto"/>
              </w:rPr>
            </w:pPr>
          </w:p>
        </w:tc>
        <w:tc>
          <w:tcPr>
            <w:tcW w:w="73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50,000</w:t>
            </w:r>
          </w:p>
        </w:tc>
        <w:tc>
          <w:tcPr>
            <w:tcW w:w="220" w:type="dxa"/>
            <w:vAlign w:val="bottom"/>
            <w:shd w:val="clear" w:color="auto" w:fill="CCEEFF"/>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1400" w:type="dxa"/>
            <w:vAlign w:val="bottom"/>
            <w:gridSpan w:val="2"/>
          </w:tcPr>
          <w:p>
            <w:pPr>
              <w:jc w:val="center"/>
              <w:ind w:left="172"/>
              <w:spacing w:after="0" w:line="202" w:lineRule="exact"/>
              <w:rPr>
                <w:sz w:val="20"/>
                <w:szCs w:val="20"/>
                <w:color w:val="auto"/>
              </w:rPr>
            </w:pPr>
            <w:r>
              <w:rPr>
                <w:rFonts w:ascii="Arial" w:cs="Arial" w:eastAsia="Arial" w:hAnsi="Arial"/>
                <w:sz w:val="18"/>
                <w:szCs w:val="18"/>
                <w:color w:val="auto"/>
                <w:w w:val="98"/>
              </w:rPr>
              <w:t>23,750</w:t>
            </w:r>
          </w:p>
        </w:tc>
        <w:tc>
          <w:tcPr>
            <w:tcW w:w="2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Marcello Mastioni</w:t>
            </w:r>
          </w:p>
        </w:tc>
        <w:tc>
          <w:tcPr>
            <w:tcW w:w="1400" w:type="dxa"/>
            <w:vAlign w:val="bottom"/>
            <w:gridSpan w:val="2"/>
            <w:shd w:val="clear" w:color="auto" w:fill="CCEEFF"/>
          </w:tcPr>
          <w:p>
            <w:pPr>
              <w:jc w:val="center"/>
              <w:ind w:left="172"/>
              <w:spacing w:after="0" w:line="202" w:lineRule="exact"/>
              <w:rPr>
                <w:sz w:val="20"/>
                <w:szCs w:val="20"/>
                <w:color w:val="auto"/>
              </w:rPr>
            </w:pPr>
            <w:r>
              <w:rPr>
                <w:rFonts w:ascii="Arial" w:cs="Arial" w:eastAsia="Arial" w:hAnsi="Arial"/>
                <w:sz w:val="18"/>
                <w:szCs w:val="18"/>
                <w:color w:val="auto"/>
                <w:w w:val="98"/>
              </w:rPr>
              <w:t>31,250</w:t>
            </w:r>
          </w:p>
        </w:tc>
        <w:tc>
          <w:tcPr>
            <w:tcW w:w="220" w:type="dxa"/>
            <w:vAlign w:val="bottom"/>
            <w:shd w:val="clear" w:color="auto" w:fill="CCEEFF"/>
          </w:tcPr>
          <w:p>
            <w:pPr>
              <w:spacing w:after="0"/>
              <w:rPr>
                <w:sz w:val="17"/>
                <w:szCs w:val="17"/>
                <w:color w:val="auto"/>
              </w:rPr>
            </w:pPr>
          </w:p>
        </w:tc>
      </w:tr>
      <w:tr>
        <w:trPr>
          <w:trHeight w:val="214"/>
        </w:trPr>
        <w:tc>
          <w:tcPr>
            <w:tcW w:w="1120" w:type="dxa"/>
            <w:vAlign w:val="bottom"/>
          </w:tcPr>
          <w:p>
            <w:pPr>
              <w:spacing w:after="0"/>
              <w:rPr>
                <w:sz w:val="18"/>
                <w:szCs w:val="18"/>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Gregory J. Ritts</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8"/>
              </w:rPr>
              <w:t>23,750</w:t>
            </w:r>
          </w:p>
        </w:tc>
        <w:tc>
          <w:tcPr>
            <w:tcW w:w="220" w:type="dxa"/>
            <w:vAlign w:val="bottom"/>
          </w:tcPr>
          <w:p>
            <w:pPr>
              <w:spacing w:after="0"/>
              <w:rPr>
                <w:sz w:val="18"/>
                <w:szCs w:val="18"/>
                <w:color w:val="auto"/>
              </w:rPr>
            </w:pPr>
          </w:p>
        </w:tc>
      </w:tr>
    </w:tbl>
    <w:p>
      <w:pPr>
        <w:spacing w:after="0" w:line="208"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20% of this award is time-based and will vest in three equal increments on the first three anniversaries of the grant date. The remainder of the award will start to vest only when the above-described hurdles are achieved, with one-half of the applicable tranche vesting immediately upon the achievement of the applicable criteria and the remainder vesting on the first anniversary of the date of the initial vesting of such tranche.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Relocation and Foreign Living Allowances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Since we are a Luxembourg company, our Named Executive Officers are generally based at our corporate headquarters in Luxembourg. This is consistent with our view that generally the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Luxembourg-based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w:t>
      </w: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Please see the Summary Compensation Table under the "Executive Compensation" section for details regarding the relocation benefits received by each Named Executive Officer in 2020.</w:t>
      </w:r>
    </w:p>
    <w:p>
      <w:pPr>
        <w:spacing w:after="0" w:line="20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In March 2021, the Chief Executive Officer informed the Compensation Committee that he voluntarily terminated his housing allowance (beginning on March 1, 2021) as well as the personal use of one company car (effective June 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Stock Ownership Requirement for the Chief Executive Officer</w:t>
      </w:r>
    </w:p>
    <w:p>
      <w:pPr>
        <w:spacing w:after="0" w:line="234"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The Compensation Committee has adopted a minimum stock ownership requirement applicable to our Chief Executive Officer, in line with its belief that the Chief Executive Officer should own a certain amount of stock to align his interests with the interests of our shareholders.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132080</wp:posOffset>
            </wp:positionV>
            <wp:extent cx="264858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485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minimum number of shares is determined as of the later of (i) the date of the Chief Executive Officer's election or (ii) the date when the Chief Executive Officer first became subject to this policy. The Chief Executive Officer has two years from the effective date of his initial appointment as Chief Executive Officer or from the date on which he first becomes subject to the policy, whichever is later, to comply with this requirement. The minimum stock ownership level will not change as a result of fluctuations in the market price of the Company's common stock. Incremental increases in the level of required stock ownership will be determined as of the effective date of any increase in the annual base salary payable to the Chief Executive Officer. Our Chief Executive Officer currently meets the applicable minimum stock ownership requirement.</w:t>
      </w:r>
    </w:p>
    <w:p>
      <w:pPr>
        <w:spacing w:after="0" w:line="208"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minimum stock ownership requirements for our non-management directors and Chief Executive Officer are set forth in our Corporate Governance Guidelines, which are available on our website at www.altisource.com.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Employment Agreements of Named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J. Wilcox</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October 11, 2019, the subsidiary of the Company employing Mr. Wilcox, the Chief Administration and Risk Officer, entered into a separation agreement (the "Separation Agreement") with him affecting the termination of his employment effective April 15, 2020 (the "Separation Date"). On April 15, 2020, as required by the Separation Agreement, Mr. Wilcox and that same subsidiary entered into a release agreement pursuant to which the parties released and discharged one another from any and all claims related to the employment relationship. The release agreement also provided that the Company would maintain certain liability insurance to cover actual or alleged acts by Mr. Wilcox that are alleged to have occurred prior to his separation from the Company, and that Mr. Wilcox would remain eligible for the advance of certain defense costs or indemnification for any claims arising from acts related to his employment with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 Whose Employment Ended During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J. Wilcox</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above referenced Separation Agreement, in 2020 Mr. Wilcox was paid (i) a lump sum cash payment of $264,746, as severance,</w:t>
      </w:r>
    </w:p>
    <w:p>
      <w:pPr>
        <w:spacing w:after="0" w:line="19" w:lineRule="exact"/>
        <w:rPr>
          <w:sz w:val="20"/>
          <w:szCs w:val="20"/>
          <w:color w:val="auto"/>
        </w:rPr>
      </w:pPr>
    </w:p>
    <w:p>
      <w:pPr>
        <w:ind w:right="740" w:firstLine="8"/>
        <w:spacing w:after="0" w:line="239" w:lineRule="auto"/>
        <w:tabs>
          <w:tab w:leader="none" w:pos="2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lump sum cash payment of $709,000 as a departure allowance pursuant to Luxembourg law, and (iii) a lump sum cash payment of $393,638 as his earned incentive compensation for service year 2019.</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Separation Agreement also provided for the vesting of certain unvested RSUs and stock options and that Mr. Wilcox was entitled to retain and exercise all vested stock options for a period of five years from the Separation Date, or if earlier, until their contractual expiration date. Other than the retained stock options and reimbursement of relocation costs incurred prior to January 1, 2021, Mr. Wilcox was not entitled to any additional payments or benefits after December 31,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Compensation Committee of the Board of Directors has reviewed and discussed with management the Compensation Discussion and Analysis included on pages 33 through 53 of this proxy statement.</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on this review and discussion, the Compensation Committee recommended to the Board of Directors that the Compensation Discussion and Analysis be included in this proxy statement.</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Compensation Committee:</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E. Burg, Chairman</w:t>
      </w:r>
    </w:p>
    <w:p>
      <w:pPr>
        <w:ind w:left="4500"/>
        <w:spacing w:after="0" w:line="234" w:lineRule="auto"/>
        <w:rPr>
          <w:sz w:val="20"/>
          <w:szCs w:val="20"/>
          <w:color w:val="auto"/>
        </w:rPr>
      </w:pPr>
      <w:r>
        <w:rPr>
          <w:rFonts w:ascii="Arial" w:cs="Arial" w:eastAsia="Arial" w:hAnsi="Arial"/>
          <w:sz w:val="18"/>
          <w:szCs w:val="18"/>
          <w:color w:val="auto"/>
        </w:rPr>
        <w:t>Joseph L. Morettini, Director</w:t>
      </w:r>
    </w:p>
    <w:p>
      <w:pPr>
        <w:ind w:left="4500"/>
        <w:spacing w:after="0" w:line="235" w:lineRule="auto"/>
        <w:rPr>
          <w:sz w:val="20"/>
          <w:szCs w:val="20"/>
          <w:color w:val="auto"/>
        </w:rPr>
      </w:pPr>
      <w:r>
        <w:rPr>
          <w:rFonts w:ascii="Arial" w:cs="Arial" w:eastAsia="Arial" w:hAnsi="Arial"/>
          <w:sz w:val="18"/>
          <w:szCs w:val="18"/>
          <w:color w:val="auto"/>
        </w:rPr>
        <w:t>Roland Müller-Ineichen,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43" w:right="4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compensation of our Named Executive Officers for fiscal years 2018, 2019 and 2020.</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Principal</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278"/>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Position</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ind w:left="80"/>
              <w:spacing w:after="0" w:line="189"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7"/>
              </w:rPr>
              <w:t>Awards</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16"/>
                <w:szCs w:val="16"/>
                <w:color w:val="auto"/>
              </w:rPr>
            </w:pPr>
          </w:p>
        </w:tc>
        <w:tc>
          <w:tcPr>
            <w:tcW w:w="1040" w:type="dxa"/>
            <w:vAlign w:val="bottom"/>
            <w:gridSpan w:val="2"/>
          </w:tcPr>
          <w:p>
            <w:pPr>
              <w:jc w:val="right"/>
              <w:ind w:right="380"/>
              <w:spacing w:after="0" w:line="18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21"/>
                <w:szCs w:val="21"/>
                <w:b w:val="1"/>
                <w:bCs w:val="1"/>
                <w:color w:val="auto"/>
                <w:w w:val="94"/>
                <w:vertAlign w:val="superscript"/>
              </w:rPr>
              <w:t>(3)</w:t>
            </w:r>
          </w:p>
        </w:tc>
        <w:tc>
          <w:tcPr>
            <w:tcW w:w="11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21"/>
                <w:szCs w:val="21"/>
                <w:b w:val="1"/>
                <w:bCs w:val="1"/>
                <w:color w:val="auto"/>
                <w:w w:val="97"/>
                <w:vertAlign w:val="superscript"/>
              </w:rPr>
              <w:t>(4)</w:t>
            </w:r>
          </w:p>
        </w:tc>
        <w:tc>
          <w:tcPr>
            <w:tcW w:w="100" w:type="dxa"/>
            <w:vAlign w:val="bottom"/>
          </w:tcPr>
          <w:p>
            <w:pPr>
              <w:spacing w:after="0"/>
              <w:rPr>
                <w:sz w:val="16"/>
                <w:szCs w:val="16"/>
                <w:color w:val="auto"/>
              </w:rPr>
            </w:pPr>
          </w:p>
        </w:tc>
        <w:tc>
          <w:tcPr>
            <w:tcW w:w="1320" w:type="dxa"/>
            <w:vAlign w:val="bottom"/>
            <w:gridSpan w:val="2"/>
          </w:tcPr>
          <w:p>
            <w:pPr>
              <w:jc w:val="right"/>
              <w:ind w:right="18"/>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134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William B.</w:t>
            </w:r>
          </w:p>
        </w:tc>
        <w:tc>
          <w:tcPr>
            <w:tcW w:w="12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Shepro</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$807,827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2,434,000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21" w:lineRule="exact"/>
              <w:rPr>
                <w:sz w:val="20"/>
                <w:szCs w:val="20"/>
                <w:color w:val="auto"/>
              </w:rPr>
            </w:pPr>
            <w:r>
              <w:rPr>
                <w:rFonts w:ascii="Arial" w:cs="Arial" w:eastAsia="Arial" w:hAnsi="Arial"/>
                <w:sz w:val="16"/>
                <w:szCs w:val="16"/>
                <w:color w:val="auto"/>
              </w:rPr>
              <w:t>1,617,000</w:t>
            </w:r>
            <w:r>
              <w:rPr>
                <w:rFonts w:ascii="Arial" w:cs="Arial" w:eastAsia="Arial" w:hAnsi="Arial"/>
                <w:sz w:val="25"/>
                <w:szCs w:val="25"/>
                <w:color w:val="auto"/>
                <w:vertAlign w:val="superscript"/>
              </w:rPr>
              <w:t>(6)</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$652,402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584,926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6,096,155</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Executive</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$819,484</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2,226,828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$504,107</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5"/>
                <w:szCs w:val="15"/>
                <w:color w:val="auto"/>
              </w:rPr>
              <w:t>2,211,043</w:t>
            </w:r>
            <w:r>
              <w:rPr>
                <w:rFonts w:ascii="Arial" w:cs="Arial" w:eastAsia="Arial" w:hAnsi="Arial"/>
                <w:sz w:val="23"/>
                <w:szCs w:val="23"/>
                <w:color w:val="auto"/>
                <w:vertAlign w:val="superscript"/>
              </w:rPr>
              <w:t>(7)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5,761,462</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$669,432</w:t>
            </w:r>
            <w:r>
              <w:rPr>
                <w:rFonts w:ascii="Arial" w:cs="Arial" w:eastAsia="Arial" w:hAnsi="Arial"/>
                <w:sz w:val="23"/>
                <w:szCs w:val="23"/>
                <w:color w:val="auto"/>
                <w:vertAlign w:val="superscript"/>
              </w:rPr>
              <w:t>(8)</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1,797,814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8"/>
              <w:spacing w:after="0" w:line="202" w:lineRule="exact"/>
              <w:rPr>
                <w:sz w:val="20"/>
                <w:szCs w:val="20"/>
                <w:color w:val="auto"/>
              </w:rPr>
            </w:pPr>
            <w:r>
              <w:rPr>
                <w:rFonts w:ascii="Arial" w:cs="Arial" w:eastAsia="Arial" w:hAnsi="Arial"/>
                <w:sz w:val="15"/>
                <w:szCs w:val="15"/>
                <w:color w:val="auto"/>
              </w:rPr>
              <w:t>356,401</w:t>
            </w:r>
            <w:r>
              <w:rPr>
                <w:rFonts w:ascii="Arial" w:cs="Arial" w:eastAsia="Arial" w:hAnsi="Arial"/>
                <w:sz w:val="23"/>
                <w:szCs w:val="23"/>
                <w:color w:val="auto"/>
                <w:vertAlign w:val="superscript"/>
              </w:rPr>
              <w:t>(9)</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2,823,646</w:t>
            </w:r>
          </w:p>
        </w:tc>
        <w:tc>
          <w:tcPr>
            <w:tcW w:w="0" w:type="dxa"/>
            <w:vAlign w:val="bottom"/>
          </w:tcPr>
          <w:p>
            <w:pPr>
              <w:spacing w:after="0"/>
              <w:rPr>
                <w:sz w:val="1"/>
                <w:szCs w:val="1"/>
                <w:color w:val="auto"/>
              </w:rPr>
            </w:pPr>
          </w:p>
        </w:tc>
      </w:tr>
      <w:tr>
        <w:trPr>
          <w:trHeight w:val="408"/>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Kevin J. Wilcox</w:t>
            </w:r>
          </w:p>
        </w:tc>
        <w:tc>
          <w:tcPr>
            <w:tcW w:w="660" w:type="dxa"/>
            <w:vAlign w:val="bottom"/>
            <w:gridSpan w:val="2"/>
          </w:tcPr>
          <w:p>
            <w:pPr>
              <w:spacing w:after="0"/>
              <w:rPr>
                <w:sz w:val="20"/>
                <w:szCs w:val="20"/>
                <w:color w:val="auto"/>
              </w:rPr>
            </w:pPr>
            <w:r>
              <w:rPr>
                <w:rFonts w:ascii="Arial" w:cs="Arial" w:eastAsia="Arial" w:hAnsi="Arial"/>
                <w:sz w:val="18"/>
                <w:szCs w:val="18"/>
                <w:color w:val="auto"/>
              </w:rPr>
              <w:t>2018</w:t>
            </w:r>
          </w:p>
        </w:tc>
        <w:tc>
          <w:tcPr>
            <w:tcW w:w="1000" w:type="dxa"/>
            <w:vAlign w:val="bottom"/>
            <w:gridSpan w:val="2"/>
          </w:tcPr>
          <w:p>
            <w:pPr>
              <w:spacing w:after="0"/>
              <w:rPr>
                <w:sz w:val="20"/>
                <w:szCs w:val="20"/>
                <w:color w:val="auto"/>
              </w:rPr>
            </w:pPr>
            <w:r>
              <w:rPr>
                <w:rFonts w:ascii="Arial" w:cs="Arial" w:eastAsia="Arial" w:hAnsi="Arial"/>
                <w:sz w:val="18"/>
                <w:szCs w:val="18"/>
                <w:color w:val="auto"/>
              </w:rPr>
              <w:t>$479,947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1,217,000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808,500</w:t>
            </w:r>
            <w:r>
              <w:rPr>
                <w:rFonts w:ascii="Arial" w:cs="Arial" w:eastAsia="Arial" w:hAnsi="Arial"/>
                <w:sz w:val="29"/>
                <w:szCs w:val="29"/>
                <w:color w:val="auto"/>
                <w:vertAlign w:val="superscript"/>
              </w:rPr>
              <w:t>(10)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$258,404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8"/>
              <w:spacing w:after="0"/>
              <w:rPr>
                <w:sz w:val="20"/>
                <w:szCs w:val="20"/>
                <w:color w:val="auto"/>
              </w:rPr>
            </w:pPr>
            <w:r>
              <w:rPr>
                <w:rFonts w:ascii="Arial" w:cs="Arial" w:eastAsia="Arial" w:hAnsi="Arial"/>
                <w:sz w:val="18"/>
                <w:szCs w:val="18"/>
                <w:color w:val="auto"/>
                <w:w w:val="94"/>
              </w:rPr>
              <w:t>1,016,818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3,780,669</w:t>
            </w:r>
          </w:p>
        </w:tc>
        <w:tc>
          <w:tcPr>
            <w:tcW w:w="0" w:type="dxa"/>
            <w:vAlign w:val="bottom"/>
          </w:tcPr>
          <w:p>
            <w:pPr>
              <w:spacing w:after="0"/>
              <w:rPr>
                <w:sz w:val="1"/>
                <w:szCs w:val="1"/>
                <w:color w:val="auto"/>
              </w:rPr>
            </w:pPr>
          </w:p>
        </w:tc>
      </w:tr>
      <w:tr>
        <w:trPr>
          <w:trHeight w:val="203"/>
        </w:trPr>
        <w:tc>
          <w:tcPr>
            <w:tcW w:w="1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Chief</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89"/>
              </w:rPr>
              <w:t>1,513,449</w:t>
            </w:r>
            <w:r>
              <w:rPr>
                <w:rFonts w:ascii="Arial" w:cs="Arial" w:eastAsia="Arial" w:hAnsi="Arial"/>
                <w:sz w:val="29"/>
                <w:szCs w:val="29"/>
                <w:color w:val="auto"/>
                <w:w w:val="89"/>
                <w:vertAlign w:val="superscript"/>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Administration</w:t>
            </w:r>
          </w:p>
        </w:tc>
        <w:tc>
          <w:tcPr>
            <w:tcW w:w="660" w:type="dxa"/>
            <w:vAlign w:val="bottom"/>
            <w:gridSpan w:val="2"/>
          </w:tcPr>
          <w:p>
            <w:pPr>
              <w:spacing w:after="0" w:line="202" w:lineRule="exact"/>
              <w:rPr>
                <w:sz w:val="20"/>
                <w:szCs w:val="20"/>
                <w:color w:val="auto"/>
              </w:rPr>
            </w:pPr>
            <w:r>
              <w:rPr>
                <w:rFonts w:ascii="Arial" w:cs="Arial" w:eastAsia="Arial" w:hAnsi="Arial"/>
                <w:sz w:val="18"/>
                <w:szCs w:val="18"/>
                <w:color w:val="auto"/>
              </w:rPr>
              <w:t>2019</w:t>
            </w: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$486,873</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1,000,405</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$393,638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vMerge w:val="continue"/>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3,394,365</w:t>
            </w:r>
          </w:p>
        </w:tc>
        <w:tc>
          <w:tcPr>
            <w:tcW w:w="0" w:type="dxa"/>
            <w:vAlign w:val="bottom"/>
          </w:tcPr>
          <w:p>
            <w:pPr>
              <w:spacing w:after="0"/>
              <w:rPr>
                <w:sz w:val="1"/>
                <w:szCs w:val="1"/>
                <w:color w:val="auto"/>
              </w:rPr>
            </w:pPr>
          </w:p>
        </w:tc>
      </w:tr>
      <w:tr>
        <w:trPr>
          <w:trHeight w:val="200"/>
        </w:trPr>
        <w:tc>
          <w:tcPr>
            <w:tcW w:w="146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and Risk Officer</w:t>
            </w:r>
          </w:p>
        </w:tc>
        <w:tc>
          <w:tcPr>
            <w:tcW w:w="660" w:type="dxa"/>
            <w:vAlign w:val="bottom"/>
            <w:gridSpan w:val="2"/>
          </w:tcPr>
          <w:p>
            <w:pPr>
              <w:spacing w:after="0" w:line="200" w:lineRule="exact"/>
              <w:rPr>
                <w:sz w:val="20"/>
                <w:szCs w:val="20"/>
                <w:color w:val="auto"/>
              </w:rPr>
            </w:pPr>
            <w:r>
              <w:rPr>
                <w:rFonts w:ascii="Arial" w:cs="Arial" w:eastAsia="Arial" w:hAnsi="Arial"/>
                <w:sz w:val="18"/>
                <w:szCs w:val="18"/>
                <w:color w:val="auto"/>
              </w:rPr>
              <w:t>2020</w:t>
            </w:r>
          </w:p>
        </w:tc>
        <w:tc>
          <w:tcPr>
            <w:tcW w:w="1000" w:type="dxa"/>
            <w:vAlign w:val="bottom"/>
            <w:gridSpan w:val="2"/>
          </w:tcPr>
          <w:p>
            <w:pPr>
              <w:spacing w:after="0" w:line="200" w:lineRule="exact"/>
              <w:rPr>
                <w:sz w:val="20"/>
                <w:szCs w:val="20"/>
                <w:color w:val="auto"/>
              </w:rPr>
            </w:pPr>
            <w:r>
              <w:rPr>
                <w:rFonts w:ascii="Arial" w:cs="Arial" w:eastAsia="Arial" w:hAnsi="Arial"/>
                <w:sz w:val="15"/>
                <w:szCs w:val="15"/>
                <w:color w:val="auto"/>
              </w:rPr>
              <w:t>$145,915</w:t>
            </w:r>
            <w:r>
              <w:rPr>
                <w:rFonts w:ascii="Arial" w:cs="Arial" w:eastAsia="Arial" w:hAnsi="Arial"/>
                <w:sz w:val="23"/>
                <w:szCs w:val="23"/>
                <w:color w:val="auto"/>
                <w:vertAlign w:val="superscript"/>
              </w:rPr>
              <w:t>(12)</w:t>
            </w:r>
          </w:p>
        </w:tc>
        <w:tc>
          <w:tcPr>
            <w:tcW w:w="10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0" w:lineRule="exact"/>
              <w:rPr>
                <w:sz w:val="20"/>
                <w:szCs w:val="20"/>
                <w:color w:val="auto"/>
              </w:rPr>
            </w:pPr>
            <w:r>
              <w:rPr>
                <w:rFonts w:ascii="Arial" w:cs="Arial" w:eastAsia="Arial" w:hAnsi="Arial"/>
                <w:sz w:val="15"/>
                <w:szCs w:val="15"/>
                <w:color w:val="auto"/>
              </w:rPr>
              <w:t>1,489,084</w:t>
            </w:r>
            <w:r>
              <w:rPr>
                <w:rFonts w:ascii="Arial" w:cs="Arial" w:eastAsia="Arial" w:hAnsi="Arial"/>
                <w:sz w:val="23"/>
                <w:szCs w:val="23"/>
                <w:color w:val="auto"/>
                <w:vertAlign w:val="superscript"/>
              </w:rPr>
              <w:t>(13)</w:t>
            </w: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7"/>
              </w:rPr>
              <w:t>1,634,999</w:t>
            </w:r>
          </w:p>
        </w:tc>
        <w:tc>
          <w:tcPr>
            <w:tcW w:w="0" w:type="dxa"/>
            <w:vAlign w:val="bottom"/>
          </w:tcPr>
          <w:p>
            <w:pPr>
              <w:spacing w:after="0"/>
              <w:rPr>
                <w:sz w:val="1"/>
                <w:szCs w:val="1"/>
                <w:color w:val="auto"/>
              </w:rPr>
            </w:pPr>
          </w:p>
        </w:tc>
      </w:tr>
      <w:tr>
        <w:trPr>
          <w:trHeight w:val="359"/>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Michelle D.</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Esterman</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line="221" w:lineRule="exact"/>
              <w:rPr>
                <w:sz w:val="20"/>
                <w:szCs w:val="20"/>
                <w:color w:val="auto"/>
              </w:rPr>
            </w:pPr>
            <w:r>
              <w:rPr>
                <w:rFonts w:ascii="Arial" w:cs="Arial" w:eastAsia="Arial" w:hAnsi="Arial"/>
                <w:sz w:val="16"/>
                <w:szCs w:val="16"/>
                <w:color w:val="auto"/>
                <w:w w:val="98"/>
              </w:rPr>
              <w:t>2018</w:t>
            </w:r>
            <w:r>
              <w:rPr>
                <w:rFonts w:ascii="Arial" w:cs="Arial" w:eastAsia="Arial" w:hAnsi="Arial"/>
                <w:sz w:val="25"/>
                <w:szCs w:val="25"/>
                <w:color w:val="auto"/>
                <w:w w:val="98"/>
                <w:vertAlign w:val="superscript"/>
              </w:rPr>
              <w:t>(14)</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$430,500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21" w:lineRule="exact"/>
              <w:rPr>
                <w:sz w:val="20"/>
                <w:szCs w:val="20"/>
                <w:color w:val="auto"/>
              </w:rPr>
            </w:pPr>
            <w:r>
              <w:rPr>
                <w:rFonts w:ascii="Arial" w:cs="Arial" w:eastAsia="Arial" w:hAnsi="Arial"/>
                <w:sz w:val="16"/>
                <w:szCs w:val="16"/>
                <w:color w:val="auto"/>
              </w:rPr>
              <w:t>140,000</w:t>
            </w:r>
            <w:r>
              <w:rPr>
                <w:rFonts w:ascii="Arial" w:cs="Arial" w:eastAsia="Arial" w:hAnsi="Arial"/>
                <w:sz w:val="25"/>
                <w:szCs w:val="25"/>
                <w:color w:val="auto"/>
                <w:vertAlign w:val="superscript"/>
              </w:rPr>
              <w:t>(15)</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$144,452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23,932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859,537</w:t>
            </w: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Chief Financial</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169,195</w:t>
            </w:r>
            <w:r>
              <w:rPr>
                <w:rFonts w:ascii="Arial" w:cs="Arial" w:eastAsia="Arial" w:hAnsi="Arial"/>
                <w:sz w:val="29"/>
                <w:szCs w:val="29"/>
                <w:color w:val="auto"/>
                <w:vertAlign w:val="superscript"/>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$430,500</w:t>
            </w:r>
          </w:p>
        </w:tc>
        <w:tc>
          <w:tcPr>
            <w:tcW w:w="102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846,430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line="200" w:lineRule="exact"/>
              <w:rPr>
                <w:sz w:val="20"/>
                <w:szCs w:val="20"/>
                <w:color w:val="auto"/>
              </w:rPr>
            </w:pPr>
            <w:r>
              <w:rPr>
                <w:rFonts w:ascii="Arial" w:cs="Arial" w:eastAsia="Arial" w:hAnsi="Arial"/>
                <w:sz w:val="18"/>
                <w:szCs w:val="18"/>
                <w:color w:val="auto"/>
              </w:rPr>
              <w:t>$100,800</w:t>
            </w:r>
          </w:p>
        </w:tc>
        <w:tc>
          <w:tcPr>
            <w:tcW w:w="3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w w:val="97"/>
              </w:rPr>
              <w:t>1,546,925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$380,827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687,026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1,067,853</w:t>
            </w:r>
          </w:p>
        </w:tc>
        <w:tc>
          <w:tcPr>
            <w:tcW w:w="0" w:type="dxa"/>
            <w:vAlign w:val="bottom"/>
          </w:tcPr>
          <w:p>
            <w:pPr>
              <w:spacing w:after="0"/>
              <w:rPr>
                <w:sz w:val="1"/>
                <w:szCs w:val="1"/>
                <w:color w:val="auto"/>
              </w:rPr>
            </w:pPr>
          </w:p>
        </w:tc>
      </w:tr>
      <w:tr>
        <w:trPr>
          <w:trHeight w:val="359"/>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Marcello</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Mastioni</w:t>
            </w:r>
          </w:p>
        </w:tc>
        <w:tc>
          <w:tcPr>
            <w:tcW w:w="660" w:type="dxa"/>
            <w:vAlign w:val="bottom"/>
            <w:gridSpan w:val="2"/>
          </w:tcPr>
          <w:p>
            <w:pPr>
              <w:spacing w:after="0"/>
              <w:rPr>
                <w:sz w:val="20"/>
                <w:szCs w:val="20"/>
                <w:color w:val="auto"/>
              </w:rPr>
            </w:pPr>
            <w:r>
              <w:rPr>
                <w:rFonts w:ascii="Arial" w:cs="Arial" w:eastAsia="Arial" w:hAnsi="Arial"/>
                <w:sz w:val="18"/>
                <w:szCs w:val="18"/>
                <w:color w:val="auto"/>
                <w:w w:val="98"/>
              </w:rPr>
              <w:t>2018</w:t>
            </w:r>
            <w:r>
              <w:rPr>
                <w:rFonts w:ascii="Arial" w:cs="Arial" w:eastAsia="Arial" w:hAnsi="Arial"/>
                <w:sz w:val="14"/>
                <w:szCs w:val="14"/>
                <w:color w:val="auto"/>
                <w:w w:val="98"/>
              </w:rPr>
              <w:t>(17)</w:t>
            </w:r>
          </w:p>
        </w:tc>
        <w:tc>
          <w:tcPr>
            <w:tcW w:w="1000" w:type="dxa"/>
            <w:vAlign w:val="bottom"/>
            <w:gridSpan w:val="2"/>
          </w:tcPr>
          <w:p>
            <w:pPr>
              <w:spacing w:after="0"/>
              <w:rPr>
                <w:sz w:val="20"/>
                <w:szCs w:val="20"/>
                <w:color w:val="auto"/>
              </w:rPr>
            </w:pPr>
            <w:r>
              <w:rPr>
                <w:rFonts w:ascii="Arial" w:cs="Arial" w:eastAsia="Arial" w:hAnsi="Arial"/>
                <w:sz w:val="18"/>
                <w:szCs w:val="18"/>
                <w:color w:val="auto"/>
              </w:rPr>
              <w:t>$586,614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484,519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25" w:lineRule="exact"/>
              <w:rPr>
                <w:sz w:val="20"/>
                <w:szCs w:val="20"/>
                <w:color w:val="auto"/>
              </w:rPr>
            </w:pPr>
            <w:r>
              <w:rPr>
                <w:rFonts w:ascii="Arial" w:cs="Arial" w:eastAsia="Arial" w:hAnsi="Arial"/>
                <w:sz w:val="16"/>
                <w:szCs w:val="16"/>
                <w:color w:val="auto"/>
              </w:rPr>
              <w:t>180,004</w:t>
            </w:r>
            <w:r>
              <w:rPr>
                <w:rFonts w:ascii="Arial" w:cs="Arial" w:eastAsia="Arial" w:hAnsi="Arial"/>
                <w:sz w:val="26"/>
                <w:szCs w:val="26"/>
                <w:color w:val="auto"/>
                <w:vertAlign w:val="superscript"/>
              </w:rPr>
              <w:t>(18)</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$177,440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8"/>
              <w:spacing w:after="0"/>
              <w:rPr>
                <w:sz w:val="20"/>
                <w:szCs w:val="20"/>
                <w:color w:val="auto"/>
              </w:rPr>
            </w:pPr>
            <w:r>
              <w:rPr>
                <w:rFonts w:ascii="Arial" w:cs="Arial" w:eastAsia="Arial" w:hAnsi="Arial"/>
                <w:sz w:val="18"/>
                <w:szCs w:val="18"/>
                <w:color w:val="auto"/>
              </w:rPr>
              <w:t>153,284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1,581,861</w:t>
            </w:r>
          </w:p>
        </w:tc>
        <w:tc>
          <w:tcPr>
            <w:tcW w:w="0" w:type="dxa"/>
            <w:vAlign w:val="bottom"/>
          </w:tcPr>
          <w:p>
            <w:pPr>
              <w:spacing w:after="0"/>
              <w:rPr>
                <w:sz w:val="1"/>
                <w:szCs w:val="1"/>
                <w:color w:val="auto"/>
              </w:rPr>
            </w:pPr>
          </w:p>
        </w:tc>
      </w:tr>
      <w:tr>
        <w:trPr>
          <w:trHeight w:val="203"/>
        </w:trPr>
        <w:tc>
          <w:tcPr>
            <w:tcW w:w="1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Chief Operating</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color w:val="auto"/>
                <w:w w:val="89"/>
              </w:rPr>
              <w:t>$564,561</w:t>
            </w:r>
            <w:r>
              <w:rPr>
                <w:rFonts w:ascii="Arial" w:cs="Arial" w:eastAsia="Arial" w:hAnsi="Arial"/>
                <w:sz w:val="29"/>
                <w:szCs w:val="29"/>
                <w:color w:val="auto"/>
                <w:w w:val="89"/>
                <w:vertAlign w:val="superscript"/>
              </w:rPr>
              <w:t>(19)</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90,568</w:t>
            </w:r>
            <w:r>
              <w:rPr>
                <w:rFonts w:ascii="Arial" w:cs="Arial" w:eastAsia="Arial" w:hAnsi="Arial"/>
                <w:sz w:val="29"/>
                <w:szCs w:val="29"/>
                <w:color w:val="auto"/>
                <w:vertAlign w:val="superscript"/>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160"/>
              <w:spacing w:after="0"/>
              <w:rPr>
                <w:sz w:val="20"/>
                <w:szCs w:val="20"/>
                <w:color w:val="auto"/>
              </w:rPr>
            </w:pPr>
            <w:r>
              <w:rPr>
                <w:rFonts w:ascii="Arial" w:cs="Arial" w:eastAsia="Arial" w:hAnsi="Arial"/>
                <w:sz w:val="18"/>
                <w:szCs w:val="18"/>
                <w:color w:val="auto"/>
              </w:rPr>
              <w:t>Officer</w:t>
            </w:r>
          </w:p>
        </w:tc>
        <w:tc>
          <w:tcPr>
            <w:tcW w:w="660" w:type="dxa"/>
            <w:vAlign w:val="bottom"/>
            <w:gridSpan w:val="2"/>
          </w:tcPr>
          <w:p>
            <w:pPr>
              <w:spacing w:after="0"/>
              <w:rPr>
                <w:sz w:val="20"/>
                <w:szCs w:val="20"/>
                <w:color w:val="auto"/>
              </w:rPr>
            </w:pPr>
            <w:r>
              <w:rPr>
                <w:rFonts w:ascii="Arial" w:cs="Arial" w:eastAsia="Arial" w:hAnsi="Arial"/>
                <w:sz w:val="18"/>
                <w:szCs w:val="18"/>
                <w:color w:val="auto"/>
              </w:rPr>
              <w:t>2019</w:t>
            </w:r>
          </w:p>
        </w:tc>
        <w:tc>
          <w:tcPr>
            <w:tcW w:w="1000" w:type="dxa"/>
            <w:vAlign w:val="bottom"/>
            <w:gridSpan w:val="2"/>
            <w:vMerge w:val="continue"/>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592,137</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$147,504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1,394,770</w:t>
            </w:r>
          </w:p>
        </w:tc>
        <w:tc>
          <w:tcPr>
            <w:tcW w:w="0" w:type="dxa"/>
            <w:vAlign w:val="bottom"/>
          </w:tcPr>
          <w:p>
            <w:pPr>
              <w:spacing w:after="0"/>
              <w:rPr>
                <w:sz w:val="1"/>
                <w:szCs w:val="1"/>
                <w:color w:val="auto"/>
              </w:rPr>
            </w:pPr>
          </w:p>
        </w:tc>
      </w:tr>
      <w:tr>
        <w:trPr>
          <w:trHeight w:val="200"/>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line="200" w:lineRule="exact"/>
              <w:rPr>
                <w:sz w:val="20"/>
                <w:szCs w:val="20"/>
                <w:color w:val="auto"/>
              </w:rPr>
            </w:pPr>
            <w:r>
              <w:rPr>
                <w:rFonts w:ascii="Arial" w:cs="Arial" w:eastAsia="Arial" w:hAnsi="Arial"/>
                <w:sz w:val="18"/>
                <w:szCs w:val="18"/>
                <w:color w:val="auto"/>
              </w:rPr>
              <w:t>2020</w:t>
            </w:r>
          </w:p>
        </w:tc>
        <w:tc>
          <w:tcPr>
            <w:tcW w:w="1000" w:type="dxa"/>
            <w:vAlign w:val="bottom"/>
            <w:gridSpan w:val="2"/>
          </w:tcPr>
          <w:p>
            <w:pPr>
              <w:spacing w:after="0" w:line="200" w:lineRule="exact"/>
              <w:rPr>
                <w:sz w:val="20"/>
                <w:szCs w:val="20"/>
                <w:color w:val="auto"/>
              </w:rPr>
            </w:pPr>
            <w:r>
              <w:rPr>
                <w:rFonts w:ascii="Arial" w:cs="Arial" w:eastAsia="Arial" w:hAnsi="Arial"/>
                <w:sz w:val="15"/>
                <w:szCs w:val="15"/>
                <w:color w:val="auto"/>
              </w:rPr>
              <w:t>$514,507</w:t>
            </w:r>
            <w:r>
              <w:rPr>
                <w:rFonts w:ascii="Arial" w:cs="Arial" w:eastAsia="Arial" w:hAnsi="Arial"/>
                <w:sz w:val="23"/>
                <w:szCs w:val="23"/>
                <w:color w:val="auto"/>
                <w:vertAlign w:val="superscript"/>
              </w:rPr>
              <w:t>(21)</w:t>
            </w:r>
          </w:p>
        </w:tc>
        <w:tc>
          <w:tcPr>
            <w:tcW w:w="10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822,190</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0" w:lineRule="exact"/>
              <w:rPr>
                <w:sz w:val="20"/>
                <w:szCs w:val="20"/>
                <w:color w:val="auto"/>
              </w:rPr>
            </w:pPr>
            <w:r>
              <w:rPr>
                <w:rFonts w:ascii="Arial" w:cs="Arial" w:eastAsia="Arial" w:hAnsi="Arial"/>
                <w:sz w:val="15"/>
                <w:szCs w:val="15"/>
                <w:color w:val="auto"/>
              </w:rPr>
              <w:t>84,361</w:t>
            </w:r>
            <w:r>
              <w:rPr>
                <w:rFonts w:ascii="Arial" w:cs="Arial" w:eastAsia="Arial" w:hAnsi="Arial"/>
                <w:sz w:val="23"/>
                <w:szCs w:val="23"/>
                <w:color w:val="auto"/>
                <w:vertAlign w:val="superscript"/>
              </w:rPr>
              <w:t>(22)</w:t>
            </w: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7"/>
              </w:rPr>
              <w:t>1,421,059</w:t>
            </w:r>
          </w:p>
        </w:tc>
        <w:tc>
          <w:tcPr>
            <w:tcW w:w="0" w:type="dxa"/>
            <w:vAlign w:val="bottom"/>
          </w:tcPr>
          <w:p>
            <w:pPr>
              <w:spacing w:after="0"/>
              <w:rPr>
                <w:sz w:val="1"/>
                <w:szCs w:val="1"/>
                <w:color w:val="auto"/>
              </w:rPr>
            </w:pPr>
          </w:p>
        </w:tc>
      </w:tr>
      <w:tr>
        <w:trPr>
          <w:trHeight w:val="405"/>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Gregory J. Ritts</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$456,668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119,998</w:t>
            </w:r>
            <w:r>
              <w:rPr>
                <w:rFonts w:ascii="Arial" w:cs="Arial" w:eastAsia="Arial" w:hAnsi="Arial"/>
                <w:sz w:val="29"/>
                <w:szCs w:val="29"/>
                <w:color w:val="auto"/>
                <w:vertAlign w:val="superscript"/>
              </w:rPr>
              <w:t>(23)</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$184,682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205,853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1,070,622</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Chief Legal and</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$446,514</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387,003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$126,000</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5"/>
                <w:szCs w:val="15"/>
                <w:color w:val="auto"/>
              </w:rPr>
              <w:t>161,833</w:t>
            </w:r>
            <w:r>
              <w:rPr>
                <w:rFonts w:ascii="Arial" w:cs="Arial" w:eastAsia="Arial" w:hAnsi="Arial"/>
                <w:sz w:val="23"/>
                <w:szCs w:val="23"/>
                <w:color w:val="auto"/>
                <w:vertAlign w:val="superscript"/>
              </w:rPr>
              <w:t>(24)</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1,121,350</w:t>
            </w: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Compliance</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89"/>
              </w:rPr>
              <w:t>$457,677</w:t>
            </w:r>
            <w:r>
              <w:rPr>
                <w:rFonts w:ascii="Arial" w:cs="Arial" w:eastAsia="Arial" w:hAnsi="Arial"/>
                <w:sz w:val="29"/>
                <w:szCs w:val="29"/>
                <w:color w:val="auto"/>
                <w:w w:val="89"/>
                <w:vertAlign w:val="superscript"/>
              </w:rPr>
              <w:t>(25)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$671,834</w:t>
            </w:r>
            <w:r>
              <w:rPr>
                <w:rFonts w:ascii="Arial" w:cs="Arial" w:eastAsia="Arial" w:hAnsi="Arial"/>
                <w:sz w:val="29"/>
                <w:szCs w:val="29"/>
                <w:color w:val="auto"/>
                <w:w w:val="91"/>
                <w:vertAlign w:val="superscript"/>
              </w:rPr>
              <w:t>(26)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226,398</w:t>
            </w:r>
            <w:r>
              <w:rPr>
                <w:rFonts w:ascii="Arial" w:cs="Arial" w:eastAsia="Arial" w:hAnsi="Arial"/>
                <w:sz w:val="29"/>
                <w:szCs w:val="29"/>
                <w:color w:val="auto"/>
                <w:vertAlign w:val="superscript"/>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2020</w:t>
            </w:r>
          </w:p>
        </w:tc>
        <w:tc>
          <w:tcPr>
            <w:tcW w:w="100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562,622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w w:val="97"/>
              </w:rPr>
              <w:t>1,918,531</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49"/>
        <w:spacing w:after="0"/>
        <w:tabs>
          <w:tab w:leader="none" w:pos="16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Represents amounts earned in corresponding year.</w:t>
      </w:r>
    </w:p>
    <w:p>
      <w:pPr>
        <w:spacing w:after="0" w:line="207" w:lineRule="exact"/>
        <w:rPr>
          <w:rFonts w:ascii="Arial" w:cs="Arial" w:eastAsia="Arial" w:hAnsi="Arial"/>
          <w:sz w:val="29"/>
          <w:szCs w:val="29"/>
          <w:color w:val="auto"/>
          <w:vertAlign w:val="superscript"/>
        </w:rPr>
      </w:pPr>
    </w:p>
    <w:p>
      <w:pPr>
        <w:ind w:left="1680" w:right="340" w:hanging="549"/>
        <w:spacing w:after="0" w:line="207" w:lineRule="auto"/>
        <w:tabs>
          <w:tab w:leader="none" w:pos="1680" w:val="left"/>
        </w:tabs>
        <w:numPr>
          <w:ilvl w:val="0"/>
          <w:numId w:val="51"/>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w:t>
      </w:r>
    </w:p>
    <w:p>
      <w:pPr>
        <w:spacing w:after="0" w:line="195" w:lineRule="exact"/>
        <w:rPr>
          <w:rFonts w:ascii="Arial" w:cs="Arial" w:eastAsia="Arial" w:hAnsi="Arial"/>
          <w:sz w:val="28"/>
          <w:szCs w:val="28"/>
          <w:color w:val="auto"/>
          <w:vertAlign w:val="superscript"/>
        </w:rPr>
      </w:pPr>
    </w:p>
    <w:p>
      <w:pPr>
        <w:ind w:left="1680" w:right="240" w:hanging="549"/>
        <w:spacing w:after="0" w:line="197" w:lineRule="auto"/>
        <w:tabs>
          <w:tab w:leader="none" w:pos="16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For awards of options, the amount disclosed represents the aggregate grant date fair value of awards granted, during the applicable year, computed in accordance with Financial Accounting Standards Board Accounting Standards Codification Topic 718.</w:t>
      </w:r>
    </w:p>
    <w:p>
      <w:pPr>
        <w:spacing w:after="0" w:line="237" w:lineRule="exact"/>
        <w:rPr>
          <w:sz w:val="20"/>
          <w:szCs w:val="20"/>
          <w:color w:val="auto"/>
        </w:rPr>
      </w:pPr>
    </w:p>
    <w:p>
      <w:pPr>
        <w:ind w:left="1680" w:right="540"/>
        <w:spacing w:after="0" w:line="239" w:lineRule="auto"/>
        <w:rPr>
          <w:sz w:val="20"/>
          <w:szCs w:val="20"/>
          <w:color w:val="auto"/>
        </w:rPr>
      </w:pPr>
      <w:r>
        <w:rPr>
          <w:rFonts w:ascii="Arial" w:cs="Arial" w:eastAsia="Arial" w:hAnsi="Arial"/>
          <w:sz w:val="18"/>
          <w:szCs w:val="18"/>
          <w:color w:val="auto"/>
        </w:rPr>
        <w:t>We estimated the grant date fair value of stock option awards using a Black-Scholes option-pricing model utilizing the following assumptions: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Service-Based and Performance-Based Awards -Black-Scholes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Option Pricing Model</w:t>
      </w:r>
    </w:p>
    <w:tbl>
      <w:tblPr>
        <w:tblLayout w:type="fixed"/>
        <w:tblInd w:w="1700" w:type="dxa"/>
        <w:tblCellMar>
          <w:top w:w="0" w:type="dxa"/>
          <w:left w:w="0" w:type="dxa"/>
          <w:bottom w:w="0" w:type="dxa"/>
          <w:right w:w="0" w:type="dxa"/>
        </w:tblCellMar>
      </w:tblPr>
      <w:tr>
        <w:trPr>
          <w:trHeight w:val="142"/>
        </w:trPr>
        <w:tc>
          <w:tcPr>
            <w:tcW w:w="1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r>
      <w:tr>
        <w:trPr>
          <w:trHeight w:val="162"/>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Volatility</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Term in</w:t>
            </w:r>
          </w:p>
        </w:tc>
      </w:tr>
      <w:tr>
        <w:trPr>
          <w:trHeight w:val="175"/>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Rate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2018</w:t>
            </w:r>
          </w:p>
        </w:tc>
        <w:tc>
          <w:tcPr>
            <w:tcW w:w="1180" w:type="dxa"/>
            <w:vAlign w:val="bottom"/>
            <w:gridSpan w:val="2"/>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$24.82</w:t>
            </w:r>
          </w:p>
        </w:tc>
        <w:tc>
          <w:tcPr>
            <w:tcW w:w="120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7"/>
              </w:rPr>
              <w:t>2.67%</w:t>
            </w:r>
          </w:p>
        </w:tc>
        <w:tc>
          <w:tcPr>
            <w:tcW w:w="120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6"/>
              </w:rPr>
              <w:t>6.25</w:t>
            </w:r>
          </w:p>
        </w:tc>
      </w:tr>
      <w:tr>
        <w:trPr>
          <w:trHeight w:val="203"/>
        </w:trPr>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4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r>
      <w:tr>
        <w:trPr>
          <w:trHeight w:val="203"/>
        </w:trPr>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2020</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r>
    </w:tbl>
    <w:p>
      <w:pPr>
        <w:spacing w:after="0" w:line="21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n/a—not applicable</w:t>
      </w:r>
    </w:p>
    <w:p>
      <w:pPr>
        <w:spacing w:after="0" w:line="225" w:lineRule="exact"/>
        <w:rPr>
          <w:sz w:val="20"/>
          <w:szCs w:val="20"/>
          <w:color w:val="auto"/>
        </w:rPr>
      </w:pPr>
    </w:p>
    <w:p>
      <w:pPr>
        <w:ind w:left="1680" w:right="120" w:hanging="549"/>
        <w:spacing w:after="0" w:line="183" w:lineRule="auto"/>
        <w:tabs>
          <w:tab w:leader="none" w:pos="16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195" w:lineRule="exact"/>
        <w:rPr>
          <w:rFonts w:ascii="Arial" w:cs="Arial" w:eastAsia="Arial" w:hAnsi="Arial"/>
          <w:sz w:val="29"/>
          <w:szCs w:val="29"/>
          <w:color w:val="auto"/>
          <w:vertAlign w:val="superscript"/>
        </w:rPr>
      </w:pPr>
    </w:p>
    <w:p>
      <w:pPr>
        <w:ind w:left="1680" w:right="100" w:hanging="549"/>
        <w:spacing w:after="0" w:line="210" w:lineRule="auto"/>
        <w:tabs>
          <w:tab w:leader="none" w:pos="16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 plans, which may include: housing allowances, personal use of a company car,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ectPr>
          <w:pgSz w:w="11900" w:h="16838" w:orient="portrait"/>
          <w:cols w:equalWidth="0" w:num="1">
            <w:col w:w="11300"/>
          </w:cols>
          <w:pgMar w:left="320" w:top="143" w:right="279" w:bottom="1440" w:gutter="0" w:footer="0" w:header="0"/>
        </w:sect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300"/>
          </w:cols>
          <w:pgMar w:left="320" w:top="143" w:right="2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right="40" w:hanging="549"/>
        <w:spacing w:after="0" w:line="210"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Represents the February 12, 2018 LTIP award of 100,000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212" w:lineRule="exact"/>
        <w:rPr>
          <w:rFonts w:ascii="Arial" w:cs="Arial" w:eastAsia="Arial" w:hAnsi="Arial"/>
          <w:sz w:val="29"/>
          <w:szCs w:val="29"/>
          <w:color w:val="auto"/>
          <w:vertAlign w:val="superscript"/>
        </w:rPr>
      </w:pPr>
    </w:p>
    <w:p>
      <w:pPr>
        <w:ind w:left="1680" w:right="280" w:hanging="549"/>
        <w:spacing w:after="0" w:line="221" w:lineRule="auto"/>
        <w:tabs>
          <w:tab w:leader="none" w:pos="168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Includes $152,634 for housing allowance, $24,573 for personal use of a company car, $77,118 for education allowance, $19,920 for goods and services allowance, $13,442 for travel allowance, $47,255 for medical benefits, $1,867,003 for income tax normalization allowance for 2017 and 2018 earnings, and $9,098 for tax preparation services. Mr. Shepro's other compensation is generally paid in euros and, for purposes of the table, is converted into U.S. dollars based on the OANDA one-year average exchange rate ending on December 31, 2019 of 0.8933 euros to the U.S. dollar.</w:t>
      </w:r>
    </w:p>
    <w:p>
      <w:pPr>
        <w:spacing w:after="0" w:line="198" w:lineRule="exact"/>
        <w:rPr>
          <w:rFonts w:ascii="Arial" w:cs="Arial" w:eastAsia="Arial" w:hAnsi="Arial"/>
          <w:sz w:val="28"/>
          <w:szCs w:val="28"/>
          <w:color w:val="auto"/>
          <w:vertAlign w:val="superscript"/>
        </w:rPr>
      </w:pPr>
    </w:p>
    <w:p>
      <w:pPr>
        <w:ind w:left="1680" w:right="300" w:hanging="549"/>
        <w:spacing w:after="0" w:line="197"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herein is the U.S. dollar base salary prior to conversion to euros.</w:t>
      </w:r>
    </w:p>
    <w:p>
      <w:pPr>
        <w:spacing w:after="0" w:line="196"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Includes $155,461 for housing allowance, $25,024 for personal use of two company cars, $84,609 for education allowance, $20,286 for goods and services allowance, $13,318 for travel allowance and, $57,703 for medical benefits. Mr. Shepro's other compensation is paid in euros and, for purposes of the table, is converted into U.S. dollars based on the OANDA one-year average exchange rate ending on December 31, 2020, 0.8772 euros to the U.S. dollar.</w:t>
      </w:r>
    </w:p>
    <w:p>
      <w:pPr>
        <w:spacing w:after="0" w:line="210" w:lineRule="exact"/>
        <w:rPr>
          <w:rFonts w:ascii="Arial" w:cs="Arial" w:eastAsia="Arial" w:hAnsi="Arial"/>
          <w:sz w:val="29"/>
          <w:szCs w:val="29"/>
          <w:color w:val="auto"/>
          <w:vertAlign w:val="superscript"/>
        </w:rPr>
      </w:pPr>
    </w:p>
    <w:p>
      <w:pPr>
        <w:jc w:val="both"/>
        <w:ind w:left="1680" w:right="120" w:hanging="549"/>
        <w:spacing w:after="0" w:line="210"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Represents the February 12, 2018 LTIP award of 50,000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98" w:lineRule="exact"/>
        <w:rPr>
          <w:rFonts w:ascii="Arial" w:cs="Arial" w:eastAsia="Arial" w:hAnsi="Arial"/>
          <w:sz w:val="29"/>
          <w:szCs w:val="29"/>
          <w:color w:val="auto"/>
          <w:vertAlign w:val="superscript"/>
        </w:rPr>
      </w:pPr>
    </w:p>
    <w:p>
      <w:pPr>
        <w:ind w:left="1680" w:right="120" w:hanging="549"/>
        <w:spacing w:after="0" w:line="210"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Includes $128,766 for housing allowance, $11,782 for personal use of a company car, $19,920 for goods and services allowance, $5,777 for travel allowance, $15,242 for medical benefits, $1,322,864 for income tax normalization allowance for 2017 and 2018 earnings, and $9,098 for tax preparation services. Mr. Wilcox's other compensation is generally paid in euros and, for purposes of the table, is converted into U.S. dollars based on the OANDA one-year average exchange rate ending on December 31, 2019 of 0.8933 euros to the U.S. dollar.</w:t>
      </w:r>
    </w:p>
    <w:p>
      <w:pPr>
        <w:spacing w:after="0" w:line="198" w:lineRule="exact"/>
        <w:rPr>
          <w:rFonts w:ascii="Arial" w:cs="Arial" w:eastAsia="Arial" w:hAnsi="Arial"/>
          <w:sz w:val="29"/>
          <w:szCs w:val="29"/>
          <w:color w:val="auto"/>
          <w:vertAlign w:val="superscript"/>
        </w:rPr>
      </w:pPr>
    </w:p>
    <w:p>
      <w:pPr>
        <w:ind w:left="1680" w:right="300" w:hanging="549"/>
        <w:spacing w:after="0" w:line="205"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Mr. Wilcox's base salary was set in U.S. dollars and paid in euros. His base salary was converted to euros using an exchange rate of 0.83 euros to the U.S. dollar in accordance with his employment agreement. The base salary reported herein is the U.S. dollar base salary prior to conversion to euros. Mr. Wilcox served as a Chief Administration and Risk Officer until April 15, 2020.</w:t>
      </w:r>
    </w:p>
    <w:p>
      <w:pPr>
        <w:spacing w:after="0" w:line="210" w:lineRule="exact"/>
        <w:rPr>
          <w:rFonts w:ascii="Arial" w:cs="Arial" w:eastAsia="Arial" w:hAnsi="Arial"/>
          <w:sz w:val="29"/>
          <w:szCs w:val="29"/>
          <w:color w:val="auto"/>
          <w:vertAlign w:val="superscript"/>
        </w:rPr>
      </w:pPr>
    </w:p>
    <w:p>
      <w:pPr>
        <w:ind w:left="1680" w:right="40" w:hanging="549"/>
        <w:spacing w:after="0" w:line="214"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Includes $37,174 for housing allowance, $3,500 for personal use of a company car, $5,071 for goods and services allowance, $6,463 for travel allowance, $18,981 for medical benefits, $5,229 for storage of household goods, $140,322 for tax equalization allowance for 2019 earnings, $236,647 for tax preparation services, $13,302 for unused leave balance, $277,973 for severance payment and, $744,422 for departure allowance. Mr. Wilcox's other compensation is paid in euros and, for purposes of the table, is converted into U.S. dollars based on the OANDA one-year average exchange rate ending on December 31, 2020, 0.8772 euros to the U.S. dollar.</w:t>
      </w:r>
    </w:p>
    <w:p>
      <w:pPr>
        <w:spacing w:after="0" w:line="197" w:lineRule="exact"/>
        <w:rPr>
          <w:rFonts w:ascii="Arial" w:cs="Arial" w:eastAsia="Arial" w:hAnsi="Arial"/>
          <w:sz w:val="29"/>
          <w:szCs w:val="29"/>
          <w:color w:val="auto"/>
          <w:vertAlign w:val="superscript"/>
        </w:rPr>
      </w:pPr>
    </w:p>
    <w:p>
      <w:pPr>
        <w:ind w:left="1680" w:right="20" w:hanging="549"/>
        <w:spacing w:after="0" w:line="205"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Ms. Esterman served as the Company's Chief Financial Officer and was an "executive officer" for purposes of the Exchange Act until October 4, 2017 and then again effective August 27, 2018. The compensation amounts provided for the year ended December 31, 2018 include compensation for the full year 2018, including for the period Ms. Esterman served as Executive Vice President, Finance.</w:t>
      </w:r>
    </w:p>
    <w:p>
      <w:pPr>
        <w:spacing w:after="0" w:line="197" w:lineRule="exact"/>
        <w:rPr>
          <w:rFonts w:ascii="Arial" w:cs="Arial" w:eastAsia="Arial" w:hAnsi="Arial"/>
          <w:sz w:val="29"/>
          <w:szCs w:val="29"/>
          <w:color w:val="auto"/>
          <w:vertAlign w:val="superscript"/>
        </w:rPr>
      </w:pPr>
    </w:p>
    <w:p>
      <w:pPr>
        <w:ind w:left="1680" w:right="140" w:hanging="549"/>
        <w:spacing w:after="0" w:line="210"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Represents the February 12, 2018 LTIP award of 8,658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212" w:lineRule="exact"/>
        <w:rPr>
          <w:rFonts w:ascii="Arial" w:cs="Arial" w:eastAsia="Arial" w:hAnsi="Arial"/>
          <w:sz w:val="29"/>
          <w:szCs w:val="29"/>
          <w:color w:val="auto"/>
          <w:vertAlign w:val="superscript"/>
        </w:rPr>
      </w:pPr>
    </w:p>
    <w:p>
      <w:pPr>
        <w:ind w:left="1680" w:right="500" w:hanging="549"/>
        <w:spacing w:after="0" w:line="191" w:lineRule="auto"/>
        <w:tabs>
          <w:tab w:leader="none" w:pos="168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Includes $163,187 for income tax equalization allowance for 2017 and $6,008 for tax preparation services. Certain of Ms. Esterman's other compensation was paid in euros and, for purposes of the table, is converted into U.S. dollars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based on the OANDA one-year average exchange rate ending on December 31, 2019 of 0.8933 euros to the U.S. dollar.</w:t>
      </w:r>
    </w:p>
    <w:p>
      <w:pPr>
        <w:spacing w:after="0" w:line="235" w:lineRule="exact"/>
        <w:rPr>
          <w:sz w:val="20"/>
          <w:szCs w:val="20"/>
          <w:color w:val="auto"/>
        </w:rPr>
      </w:pPr>
    </w:p>
    <w:p>
      <w:pPr>
        <w:jc w:val="both"/>
        <w:ind w:left="1680" w:right="200" w:hanging="549"/>
        <w:spacing w:after="0" w:line="197"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Mr. Mastioni joined the Company on August 1, 2017 and became an "executive officer" for purposes of the Exchange Act on December 14, 2018. The compensation reflected for 2018 includes the compensation received during 2018 before he became an executive officer.</w:t>
      </w:r>
    </w:p>
    <w:p>
      <w:pPr>
        <w:spacing w:after="0" w:line="209" w:lineRule="exact"/>
        <w:rPr>
          <w:rFonts w:ascii="Arial" w:cs="Arial" w:eastAsia="Arial" w:hAnsi="Arial"/>
          <w:sz w:val="29"/>
          <w:szCs w:val="29"/>
          <w:color w:val="auto"/>
          <w:vertAlign w:val="superscript"/>
        </w:rPr>
      </w:pPr>
    </w:p>
    <w:p>
      <w:pPr>
        <w:jc w:val="both"/>
        <w:ind w:left="1680" w:right="140" w:hanging="549"/>
        <w:spacing w:after="0" w:line="210"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Represents the February 12, 2018 LTIP award of 11,132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stock options have an exercise price of $24.82.</w:t>
      </w:r>
    </w:p>
    <w:p>
      <w:pPr>
        <w:spacing w:after="0" w:line="198" w:lineRule="exact"/>
        <w:rPr>
          <w:rFonts w:ascii="Arial" w:cs="Arial" w:eastAsia="Arial" w:hAnsi="Arial"/>
          <w:sz w:val="29"/>
          <w:szCs w:val="29"/>
          <w:color w:val="auto"/>
          <w:vertAlign w:val="superscript"/>
        </w:rPr>
      </w:pPr>
    </w:p>
    <w:p>
      <w:pPr>
        <w:ind w:left="1680" w:hanging="549"/>
        <w:spacing w:after="0" w:line="191" w:lineRule="auto"/>
        <w:tabs>
          <w:tab w:leader="none" w:pos="1680" w:val="left"/>
        </w:tabs>
        <w:numPr>
          <w:ilvl w:val="0"/>
          <w:numId w:val="54"/>
        </w:numPr>
        <w:rPr>
          <w:rFonts w:ascii="Arial" w:cs="Arial" w:eastAsia="Arial" w:hAnsi="Arial"/>
          <w:sz w:val="28"/>
          <w:szCs w:val="28"/>
          <w:color w:val="auto"/>
          <w:vertAlign w:val="superscript"/>
        </w:rPr>
      </w:pPr>
      <w:r>
        <w:rPr>
          <w:rFonts w:ascii="Arial" w:cs="Arial" w:eastAsia="Arial" w:hAnsi="Arial"/>
          <w:sz w:val="17"/>
          <w:szCs w:val="17"/>
          <w:color w:val="auto"/>
        </w:rPr>
        <w:t>Mr. Mastioni's base salary is set and paid in euros. His base salary was converted to U.S. dollars using an exchange rate of 0.8933 euros to U.S. dollars based on the OANDA one-year average exchange rate ending on December 31, 2019.</w:t>
      </w:r>
    </w:p>
    <w:p>
      <w:pPr>
        <w:spacing w:after="0" w:line="64" w:lineRule="exact"/>
        <w:rPr>
          <w:rFonts w:ascii="Arial" w:cs="Arial" w:eastAsia="Arial" w:hAnsi="Arial"/>
          <w:sz w:val="28"/>
          <w:szCs w:val="28"/>
          <w:color w:val="auto"/>
          <w:vertAlign w:val="superscript"/>
        </w:rPr>
      </w:pPr>
    </w:p>
    <w:p>
      <w:pPr>
        <w:ind w:left="1680" w:hanging="549"/>
        <w:spacing w:after="0"/>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Includes $55,975 for housing allowance, $6,717 for a car allowance, $20,151 for goods and services allowance, and</w:t>
      </w:r>
    </w:p>
    <w:p>
      <w:pPr>
        <w:ind w:left="1680" w:right="32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$7,725 for tax preparation services. Mr. Mastioni's other compensation is paid in euros and, for purposes of the table, is converted into U.S. dollars based on the OANDA one-year average exchange rate ending on December 31, 2019 of 0.8933 euros to the U.S. dollar.</w:t>
      </w:r>
    </w:p>
    <w:p>
      <w:pPr>
        <w:spacing w:after="0" w:line="207" w:lineRule="exact"/>
        <w:rPr>
          <w:rFonts w:ascii="Arial" w:cs="Arial" w:eastAsia="Arial" w:hAnsi="Arial"/>
          <w:sz w:val="29"/>
          <w:szCs w:val="29"/>
          <w:color w:val="auto"/>
          <w:vertAlign w:val="superscript"/>
        </w:rPr>
      </w:pPr>
    </w:p>
    <w:p>
      <w:pPr>
        <w:ind w:left="1680" w:right="600" w:hanging="549"/>
        <w:spacing w:after="0" w:line="197"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Mr. Mastioni's base salary is set in euros and paid in euros. His base salary was converted to US. dollars using an exchange rate of 0.8772 euros to the U.S. dollars based on the OANDA one-year average exchange rate ending on December 31, 2020.</w:t>
      </w:r>
    </w:p>
    <w:p>
      <w:pPr>
        <w:spacing w:after="0" w:line="196" w:lineRule="exact"/>
        <w:rPr>
          <w:rFonts w:ascii="Arial" w:cs="Arial" w:eastAsia="Arial" w:hAnsi="Arial"/>
          <w:sz w:val="29"/>
          <w:szCs w:val="29"/>
          <w:color w:val="auto"/>
          <w:vertAlign w:val="superscript"/>
        </w:rPr>
      </w:pPr>
    </w:p>
    <w:p>
      <w:pPr>
        <w:ind w:left="1680" w:right="160" w:hanging="549"/>
        <w:spacing w:after="0" w:line="207" w:lineRule="auto"/>
        <w:tabs>
          <w:tab w:leader="none" w:pos="1680" w:val="left"/>
        </w:tabs>
        <w:numPr>
          <w:ilvl w:val="0"/>
          <w:numId w:val="54"/>
        </w:numPr>
        <w:rPr>
          <w:rFonts w:ascii="Arial" w:cs="Arial" w:eastAsia="Arial" w:hAnsi="Arial"/>
          <w:sz w:val="28"/>
          <w:szCs w:val="28"/>
          <w:color w:val="auto"/>
          <w:vertAlign w:val="superscript"/>
        </w:rPr>
      </w:pPr>
      <w:r>
        <w:rPr>
          <w:rFonts w:ascii="Arial" w:cs="Arial" w:eastAsia="Arial" w:hAnsi="Arial"/>
          <w:sz w:val="17"/>
          <w:szCs w:val="17"/>
          <w:color w:val="auto"/>
        </w:rPr>
        <w:t>Includes $57,001 for housing allowance, $6,840 for personal use of a company car, and $20,520 for goods and services allowance. Mr. Mastioni's all compensations are paid in euros and, for purposes of the table, is converted into U.S. dollars based on the OANDA one-year average exchange rate ending on December 31, 2020, 0.8772 euros to the U.S. dollar.</w:t>
      </w:r>
    </w:p>
    <w:p>
      <w:pPr>
        <w:spacing w:after="0" w:line="195" w:lineRule="exact"/>
        <w:rPr>
          <w:rFonts w:ascii="Arial" w:cs="Arial" w:eastAsia="Arial" w:hAnsi="Arial"/>
          <w:sz w:val="28"/>
          <w:szCs w:val="28"/>
          <w:color w:val="auto"/>
          <w:vertAlign w:val="superscript"/>
        </w:rPr>
      </w:pPr>
    </w:p>
    <w:p>
      <w:pPr>
        <w:ind w:left="1680" w:right="160" w:hanging="549"/>
        <w:spacing w:after="0" w:line="210"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Represents the February 12, 2018 LTIP award of 7,421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212" w:lineRule="exact"/>
        <w:rPr>
          <w:rFonts w:ascii="Arial" w:cs="Arial" w:eastAsia="Arial" w:hAnsi="Arial"/>
          <w:sz w:val="29"/>
          <w:szCs w:val="29"/>
          <w:color w:val="auto"/>
          <w:vertAlign w:val="superscript"/>
        </w:rPr>
      </w:pPr>
    </w:p>
    <w:p>
      <w:pPr>
        <w:jc w:val="both"/>
        <w:ind w:left="1680" w:right="80" w:hanging="549"/>
        <w:spacing w:after="0" w:line="205"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Includes $26,867 for housing allowance, $41,486 for medical benefits, $30,183 for education allowance, $18,095 for travel allowance, $38,903 for income tax equalization allowance for 2017 and $6,299 for tax preparation services. Mr. Ritts' other compensation is generally paid in euros and, for purposes of the table, is converted into U.S. dollars based on the OANDA one-year average exchange rate ending on December 31, 2019 of 0.8933 euros to the U.S. dollar.</w:t>
      </w:r>
    </w:p>
    <w:p>
      <w:pPr>
        <w:spacing w:after="0" w:line="197" w:lineRule="exact"/>
        <w:rPr>
          <w:rFonts w:ascii="Arial" w:cs="Arial" w:eastAsia="Arial" w:hAnsi="Arial"/>
          <w:sz w:val="29"/>
          <w:szCs w:val="29"/>
          <w:color w:val="auto"/>
          <w:vertAlign w:val="superscript"/>
        </w:rPr>
      </w:pPr>
    </w:p>
    <w:p>
      <w:pPr>
        <w:ind w:left="1680" w:right="260" w:hanging="549"/>
        <w:spacing w:after="0" w:line="197"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196" w:lineRule="exact"/>
        <w:rPr>
          <w:rFonts w:ascii="Arial" w:cs="Arial" w:eastAsia="Arial" w:hAnsi="Arial"/>
          <w:sz w:val="29"/>
          <w:szCs w:val="29"/>
          <w:color w:val="auto"/>
          <w:vertAlign w:val="superscript"/>
        </w:rPr>
      </w:pPr>
    </w:p>
    <w:p>
      <w:pPr>
        <w:ind w:left="1680" w:right="120" w:hanging="549"/>
        <w:spacing w:after="0" w:line="216" w:lineRule="auto"/>
        <w:tabs>
          <w:tab w:leader="none" w:pos="1680" w:val="left"/>
        </w:tabs>
        <w:numPr>
          <w:ilvl w:val="0"/>
          <w:numId w:val="54"/>
        </w:numPr>
        <w:rPr>
          <w:rFonts w:ascii="Arial" w:cs="Arial" w:eastAsia="Arial" w:hAnsi="Arial"/>
          <w:sz w:val="28"/>
          <w:szCs w:val="28"/>
          <w:color w:val="auto"/>
          <w:vertAlign w:val="superscript"/>
        </w:rPr>
      </w:pPr>
      <w:r>
        <w:rPr>
          <w:rFonts w:ascii="Arial" w:cs="Arial" w:eastAsia="Arial" w:hAnsi="Arial"/>
          <w:sz w:val="17"/>
          <w:szCs w:val="17"/>
          <w:color w:val="auto"/>
        </w:rPr>
        <w:t>Represents a payment made to the executive on October 27, 2020 pursuant to a retention cash award granted on September 24, 2018. The retention cash award was payable on September 24, 2020, subject to the employee's continued employment through that date. The award was paid in euros and, for purposes of the table, is converted into U.S. dollars based on the OANDA one-year average exchange rate ending on December 31, 2020, 0.8772 euros to the U.S. dollar.</w:t>
      </w:r>
    </w:p>
    <w:p>
      <w:pPr>
        <w:spacing w:after="0" w:line="208" w:lineRule="exact"/>
        <w:rPr>
          <w:rFonts w:ascii="Arial" w:cs="Arial" w:eastAsia="Arial" w:hAnsi="Arial"/>
          <w:sz w:val="28"/>
          <w:szCs w:val="28"/>
          <w:color w:val="auto"/>
          <w:vertAlign w:val="superscript"/>
        </w:rPr>
      </w:pPr>
    </w:p>
    <w:p>
      <w:pPr>
        <w:ind w:left="1680" w:right="60" w:hanging="549"/>
        <w:spacing w:after="0" w:line="205" w:lineRule="auto"/>
        <w:tabs>
          <w:tab w:leader="none" w:pos="16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Includes $27,361 for housing allowance, $58,090 for medical benefits, $10,912 for education allowance, $8,479 for travel allowance, and $121,557 for tax equalization allowance. Mr. Ritts' other compensation is paid in euros and, for purposes of the table, is converted into U.S. dollars based on the OANDA one-year average exchange rate ending on December 31, 2020, 0.8772 euros to the U.S. dollar.</w:t>
      </w:r>
    </w:p>
    <w:p>
      <w:pPr>
        <w:spacing w:after="0" w:line="211"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For more information regarding the elements of compensation paid to our Named Executive Officers, see "Compensation Discussion and Analysis" above.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Disclosure</w:t>
      </w:r>
    </w:p>
    <w:p>
      <w:pPr>
        <w:spacing w:after="0" w:line="234" w:lineRule="exact"/>
        <w:rPr>
          <w:sz w:val="20"/>
          <w:szCs w:val="20"/>
          <w:color w:val="auto"/>
        </w:rPr>
      </w:pPr>
    </w:p>
    <w:p>
      <w:pPr>
        <w:ind w:right="720"/>
        <w:spacing w:after="0" w:line="299" w:lineRule="auto"/>
        <w:rPr>
          <w:sz w:val="20"/>
          <w:szCs w:val="20"/>
          <w:color w:val="auto"/>
        </w:rPr>
      </w:pPr>
      <w:r>
        <w:rPr>
          <w:rFonts w:ascii="Arial" w:cs="Arial" w:eastAsia="Arial" w:hAnsi="Arial"/>
          <w:sz w:val="16"/>
          <w:szCs w:val="16"/>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6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2020, which consisted of 2,726 employees, of which 1,945 employees (seventy-one percent (71%) of our total employees) were based in India, 697 employees (twenty-six percent (26%) of our total employees) were based in the United States, 74 employees (three percent (3%) of our total employees) were based in Uruguay and 10 employees (less than one percent (1%) of our total employees) were based in Luxembourg. This population consisted of our full-time and part-time employees, and excludes temporary employees.</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 8153 euros to the U.S. dollar for Luxembourg and 72.959 Indian rupees to the U.S. dollar for India, the applicable exchange rates on December 31, 2020 as disclosed by OANDA.</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addition, we used a publicly available cost of living adjustment (available here: </w:t>
      </w:r>
      <w:r>
        <w:rPr>
          <w:rFonts w:ascii="Arial" w:cs="Arial" w:eastAsia="Arial" w:hAnsi="Arial"/>
          <w:sz w:val="18"/>
          <w:szCs w:val="18"/>
          <w:u w:val="single" w:color="auto"/>
          <w:color w:val="auto"/>
        </w:rPr>
        <w:t>www.numbeo.com/cost-of-living/</w:t>
      </w:r>
      <w:r>
        <w:rPr>
          <w:rFonts w:ascii="Arial" w:cs="Arial" w:eastAsia="Arial" w:hAnsi="Arial"/>
          <w:sz w:val="18"/>
          <w:szCs w:val="18"/>
          <w:color w:val="auto"/>
        </w:rPr>
        <w:t>) to adjust the compensation of employees in jurisdictions other than Luxembourg. After application of this cost of living adjustment, we have estimated that the annual compensation for 2020 of our median employee (who is based in India) was $34,371. Without the cost of living adjustment, the median employee had total compensation of $11,177.</w:t>
      </w:r>
    </w:p>
    <w:p>
      <w:pPr>
        <w:spacing w:after="0" w:line="2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The total compensation of our Chief Executive Officer in 2020, as reported in the Summary Compensation Table above was $2,823,646. This amount includes February 26, 2020, February 27, 2020, and October 1, 2020 awards of service-based RSUs and performance-based RSUs, with a grant date value of $1,797,814 as detailed in the next section.</w:t>
      </w:r>
    </w:p>
    <w:p>
      <w:pPr>
        <w:spacing w:after="0" w:line="2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Based on the methodology described above, we estimated our CEO Pay Ratio for 2020 to be 82:1 (253:1 without the cost of living adjustment) as calculated according to the regulations based on the 2020 total compensation reported in the Summary Compensation Table. Due to the flexibility afforded by Item 402(u) in calculating the CEO Pay Ratio, and our unique employee distribution, the ratio may or may not be comparable to CEO pay ratios presented by other companies.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2020</w:t>
      </w:r>
    </w:p>
    <w:p>
      <w:pPr>
        <w:spacing w:after="0" w:line="234"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120" w:type="dxa"/>
            <w:vAlign w:val="bottom"/>
          </w:tcPr>
          <w:p>
            <w:pPr>
              <w:spacing w:after="0"/>
              <w:rPr>
                <w:sz w:val="15"/>
                <w:szCs w:val="15"/>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Estimated Future Payouts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120" w:type="dxa"/>
            <w:vAlign w:val="bottom"/>
          </w:tcPr>
          <w:p>
            <w:pPr>
              <w:spacing w:after="0"/>
              <w:rPr>
                <w:sz w:val="14"/>
                <w:szCs w:val="14"/>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Under Equity Incentive Plan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or</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spacing w:after="0" w:line="162"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Awards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Securities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Base Price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Stock or</w:t>
            </w:r>
          </w:p>
        </w:tc>
        <w:tc>
          <w:tcPr>
            <w:tcW w:w="80" w:type="dxa"/>
            <w:vAlign w:val="bottom"/>
          </w:tcPr>
          <w:p>
            <w:pPr>
              <w:spacing w:after="0"/>
              <w:rPr>
                <w:sz w:val="2"/>
                <w:szCs w:val="2"/>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Underlying</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of Option</w:t>
            </w: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02"/>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5"/>
                <w:szCs w:val="15"/>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Target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5"/>
                <w:szCs w:val="15"/>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Target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0"/>
        </w:trPr>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William B.</w:t>
            </w:r>
          </w:p>
        </w:tc>
        <w:tc>
          <w:tcPr>
            <w:tcW w:w="100" w:type="dxa"/>
            <w:vAlign w:val="bottom"/>
            <w:shd w:val="clear" w:color="auto" w:fill="CCEEFF"/>
          </w:tcPr>
          <w:p>
            <w:pPr>
              <w:spacing w:after="0"/>
              <w:rPr>
                <w:sz w:val="13"/>
                <w:szCs w:val="13"/>
                <w:color w:val="auto"/>
              </w:rPr>
            </w:pPr>
          </w:p>
        </w:tc>
        <w:tc>
          <w:tcPr>
            <w:tcW w:w="7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2/26/20</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Shepro</w:t>
            </w: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0" w:type="dxa"/>
            <w:vAlign w:val="bottom"/>
            <w:gridSpan w:val="2"/>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17,527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$320,656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2/27/20</w:t>
            </w:r>
            <w:r>
              <w:rPr>
                <w:rFonts w:ascii="Arial" w:cs="Arial" w:eastAsia="Arial" w:hAnsi="Arial"/>
                <w:sz w:val="21"/>
                <w:szCs w:val="21"/>
                <w:color w:val="auto"/>
                <w:vertAlign w:val="superscript"/>
              </w:rPr>
              <w:t>(3)</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$565,372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2/27/20</w:t>
            </w:r>
            <w:r>
              <w:rPr>
                <w:rFonts w:ascii="Arial" w:cs="Arial" w:eastAsia="Arial" w:hAnsi="Arial"/>
                <w:sz w:val="21"/>
                <w:szCs w:val="21"/>
                <w:color w:val="auto"/>
                <w:vertAlign w:val="superscript"/>
              </w:rPr>
              <w:t>(4)</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16,440</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32,880</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62,472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282,686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(5)</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(6)</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$503,200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860" w:type="dxa"/>
            <w:vAlign w:val="bottom"/>
            <w:gridSpan w:val="2"/>
          </w:tcPr>
          <w:p>
            <w:pPr>
              <w:ind w:left="20"/>
              <w:spacing w:after="0"/>
              <w:rPr>
                <w:sz w:val="20"/>
                <w:szCs w:val="20"/>
                <w:color w:val="auto"/>
              </w:rPr>
            </w:pPr>
            <w:r>
              <w:rPr>
                <w:rFonts w:ascii="Arial" w:cs="Arial" w:eastAsia="Arial" w:hAnsi="Arial"/>
                <w:sz w:val="14"/>
                <w:szCs w:val="14"/>
                <w:color w:val="auto"/>
              </w:rPr>
              <w:t>Michelle 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gridSpan w:val="2"/>
          </w:tcPr>
          <w:p>
            <w:pPr>
              <w:ind w:left="140"/>
              <w:spacing w:after="0"/>
              <w:rPr>
                <w:sz w:val="20"/>
                <w:szCs w:val="20"/>
                <w:color w:val="auto"/>
              </w:rPr>
            </w:pPr>
            <w:r>
              <w:rPr>
                <w:rFonts w:ascii="Arial" w:cs="Arial" w:eastAsia="Arial" w:hAnsi="Arial"/>
                <w:sz w:val="14"/>
                <w:szCs w:val="14"/>
                <w:color w:val="auto"/>
              </w:rPr>
              <w:t>Esterman</w:t>
            </w:r>
          </w:p>
        </w:tc>
        <w:tc>
          <w:tcPr>
            <w:tcW w:w="760" w:type="dxa"/>
            <w:vAlign w:val="bottom"/>
            <w:gridSpan w:val="2"/>
            <w:vMerge w:val="continue"/>
          </w:tcPr>
          <w:p>
            <w:pPr>
              <w:spacing w:after="0"/>
              <w:rPr>
                <w:sz w:val="15"/>
                <w:szCs w:val="15"/>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7,369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$142,959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(4)</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3,685</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7,369</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14,001</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$71,479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2/26/20</w:t>
            </w:r>
            <w:r>
              <w:rPr>
                <w:rFonts w:ascii="Arial" w:cs="Arial" w:eastAsia="Arial" w:hAnsi="Arial"/>
                <w:sz w:val="21"/>
                <w:szCs w:val="21"/>
                <w:color w:val="auto"/>
                <w:vertAlign w:val="superscript"/>
              </w:rPr>
              <w:t>(5)</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$109,800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2/26/20</w:t>
            </w:r>
            <w:r>
              <w:rPr>
                <w:rFonts w:ascii="Arial" w:cs="Arial" w:eastAsia="Arial" w:hAnsi="Arial"/>
                <w:sz w:val="21"/>
                <w:szCs w:val="21"/>
                <w:color w:val="auto"/>
                <w:vertAlign w:val="superscript"/>
              </w:rPr>
              <w:t>(2)</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3,498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$63,996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10/01/20</w:t>
            </w:r>
            <w:r>
              <w:rPr>
                <w:rFonts w:ascii="Arial" w:cs="Arial" w:eastAsia="Arial" w:hAnsi="Arial"/>
                <w:sz w:val="21"/>
                <w:szCs w:val="21"/>
                <w:color w:val="auto"/>
                <w:vertAlign w:val="superscript"/>
              </w:rPr>
              <w:t>(5)</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4,750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$59,803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line="193" w:lineRule="exact"/>
              <w:rPr>
                <w:sz w:val="20"/>
                <w:szCs w:val="20"/>
                <w:color w:val="auto"/>
              </w:rPr>
            </w:pPr>
            <w:r>
              <w:rPr>
                <w:rFonts w:ascii="Arial" w:cs="Arial" w:eastAsia="Arial" w:hAnsi="Arial"/>
                <w:sz w:val="14"/>
                <w:szCs w:val="14"/>
                <w:color w:val="auto"/>
              </w:rPr>
              <w:t>10/01/20</w:t>
            </w:r>
            <w:r>
              <w:rPr>
                <w:rFonts w:ascii="Arial" w:cs="Arial" w:eastAsia="Arial" w:hAnsi="Arial"/>
                <w:sz w:val="21"/>
                <w:szCs w:val="21"/>
                <w:color w:val="auto"/>
                <w:vertAlign w:val="superscript"/>
              </w:rPr>
              <w:t>(6)</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19,000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$239,020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Marcello</w:t>
            </w:r>
          </w:p>
        </w:tc>
        <w:tc>
          <w:tcPr>
            <w:tcW w:w="100" w:type="dxa"/>
            <w:vAlign w:val="bottom"/>
            <w:shd w:val="clear" w:color="auto" w:fill="CCEEFF"/>
          </w:tcPr>
          <w:p>
            <w:pPr>
              <w:spacing w:after="0"/>
              <w:rPr>
                <w:sz w:val="24"/>
                <w:szCs w:val="24"/>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Mastioni</w:t>
            </w: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0" w:type="dxa"/>
            <w:vAlign w:val="bottom"/>
            <w:gridSpan w:val="2"/>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9,638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$186,977</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(4)</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4,819</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9,638</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4"/>
                <w:szCs w:val="14"/>
                <w:color w:val="auto"/>
              </w:rPr>
              <w:t>2/26/20</w:t>
            </w:r>
            <w:r>
              <w:rPr>
                <w:rFonts w:ascii="Arial" w:cs="Arial" w:eastAsia="Arial" w:hAnsi="Arial"/>
                <w:sz w:val="21"/>
                <w:szCs w:val="21"/>
                <w:color w:val="auto"/>
                <w:vertAlign w:val="superscript"/>
              </w:rPr>
              <w:t>(5)</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5,119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$93,652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(5)</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6,250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$78,688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10/01/20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(6)</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860" w:type="dxa"/>
            <w:vAlign w:val="bottom"/>
            <w:gridSpan w:val="2"/>
          </w:tcPr>
          <w:p>
            <w:pPr>
              <w:ind w:left="20"/>
              <w:spacing w:after="0"/>
              <w:rPr>
                <w:sz w:val="20"/>
                <w:szCs w:val="20"/>
                <w:color w:val="auto"/>
              </w:rPr>
            </w:pPr>
            <w:r>
              <w:rPr>
                <w:rFonts w:ascii="Arial" w:cs="Arial" w:eastAsia="Arial" w:hAnsi="Arial"/>
                <w:sz w:val="14"/>
                <w:szCs w:val="14"/>
                <w:color w:val="auto"/>
              </w:rPr>
              <w:t>Gregory J.</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gridSpan w:val="2"/>
          </w:tcPr>
          <w:p>
            <w:pPr>
              <w:ind w:left="140"/>
              <w:spacing w:after="0"/>
              <w:rPr>
                <w:sz w:val="20"/>
                <w:szCs w:val="20"/>
                <w:color w:val="auto"/>
              </w:rPr>
            </w:pPr>
            <w:r>
              <w:rPr>
                <w:rFonts w:ascii="Arial" w:cs="Arial" w:eastAsia="Arial" w:hAnsi="Arial"/>
                <w:sz w:val="14"/>
                <w:szCs w:val="14"/>
                <w:color w:val="auto"/>
              </w:rPr>
              <w:t>Ritts</w:t>
            </w:r>
          </w:p>
        </w:tc>
        <w:tc>
          <w:tcPr>
            <w:tcW w:w="760" w:type="dxa"/>
            <w:vAlign w:val="bottom"/>
            <w:gridSpan w:val="2"/>
            <w:vMerge w:val="continue"/>
          </w:tcPr>
          <w:p>
            <w:pPr>
              <w:spacing w:after="0"/>
              <w:rPr>
                <w:sz w:val="15"/>
                <w:szCs w:val="15"/>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6,316</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$122,530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1/24/20</w:t>
            </w:r>
            <w:r>
              <w:rPr>
                <w:rFonts w:ascii="Arial" w:cs="Arial" w:eastAsia="Arial" w:hAnsi="Arial"/>
                <w:sz w:val="21"/>
                <w:szCs w:val="21"/>
                <w:color w:val="auto"/>
                <w:vertAlign w:val="superscript"/>
              </w:rPr>
              <w:t>(4)</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3,158</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6,316</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$61,265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2/26/20</w:t>
            </w:r>
            <w:r>
              <w:rPr>
                <w:rFonts w:ascii="Arial" w:cs="Arial" w:eastAsia="Arial" w:hAnsi="Arial"/>
                <w:sz w:val="21"/>
                <w:szCs w:val="21"/>
                <w:color w:val="auto"/>
                <w:vertAlign w:val="superscript"/>
              </w:rPr>
              <w:t>(2)</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4,373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$80,004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10/01/20</w:t>
            </w:r>
            <w:r>
              <w:rPr>
                <w:rFonts w:ascii="Arial" w:cs="Arial" w:eastAsia="Arial" w:hAnsi="Arial"/>
                <w:sz w:val="21"/>
                <w:szCs w:val="21"/>
                <w:color w:val="auto"/>
                <w:vertAlign w:val="superscript"/>
              </w:rPr>
              <w:t>(5)</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4,750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$59,803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line="193" w:lineRule="exact"/>
              <w:rPr>
                <w:sz w:val="20"/>
                <w:szCs w:val="20"/>
                <w:color w:val="auto"/>
              </w:rPr>
            </w:pPr>
            <w:r>
              <w:rPr>
                <w:rFonts w:ascii="Arial" w:cs="Arial" w:eastAsia="Arial" w:hAnsi="Arial"/>
                <w:sz w:val="14"/>
                <w:szCs w:val="14"/>
                <w:color w:val="auto"/>
              </w:rPr>
              <w:t>10/01/20</w:t>
            </w:r>
            <w:r>
              <w:rPr>
                <w:rFonts w:ascii="Arial" w:cs="Arial" w:eastAsia="Arial" w:hAnsi="Arial"/>
                <w:sz w:val="21"/>
                <w:szCs w:val="21"/>
                <w:color w:val="auto"/>
                <w:vertAlign w:val="superscript"/>
              </w:rPr>
              <w:t>(6)</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19,000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$239,020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J.</w:t>
            </w: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6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Wilcox</w:t>
            </w:r>
          </w:p>
        </w:tc>
        <w:tc>
          <w:tcPr>
            <w:tcW w:w="760" w:type="dxa"/>
            <w:vAlign w:val="bottom"/>
            <w:gridSpan w:val="2"/>
            <w:shd w:val="clear" w:color="auto" w:fill="CCEEFF"/>
          </w:tcPr>
          <w:p>
            <w:pPr>
              <w:jc w:val="right"/>
              <w:ind w:right="86"/>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70"/>
              <w:spacing w:after="0" w:line="15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40" w:hanging="549"/>
        <w:spacing w:after="0" w:line="214" w:lineRule="auto"/>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These amounts represent the possible non-equity incentive compensation that may have been earned by each Named Executive Officer in 2020 under the different achievement levels presented on their 2020 Annual Incentive Plan's personal scorecards which are more fully discussed in our Compensation Discussion and Analysis. Performance below threshold generally results in no payout. The 2020 incentive compensation payout was made solely in RSUs and no cash incentive was paid to the Named Executive Officers for the 2020 performance year.</w:t>
      </w:r>
    </w:p>
    <w:p>
      <w:pPr>
        <w:spacing w:after="0" w:line="153" w:lineRule="exact"/>
        <w:rPr>
          <w:rFonts w:ascii="Arial" w:cs="Arial" w:eastAsia="Arial" w:hAnsi="Arial"/>
          <w:sz w:val="22"/>
          <w:szCs w:val="22"/>
          <w:color w:val="auto"/>
          <w:vertAlign w:val="superscript"/>
        </w:rPr>
      </w:pPr>
    </w:p>
    <w:p>
      <w:pPr>
        <w:ind w:left="1680" w:right="80" w:hanging="549"/>
        <w:spacing w:after="0" w:line="193" w:lineRule="auto"/>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2020 Annual Incentive Plan and 2009 Equity Incentive Plan. The service-based RSU awards vest in two annual installments on the first and second anniversaries of the grant date.</w:t>
      </w:r>
    </w:p>
    <w:p>
      <w:pPr>
        <w:spacing w:after="0" w:line="153" w:lineRule="exact"/>
        <w:rPr>
          <w:rFonts w:ascii="Arial" w:cs="Arial" w:eastAsia="Arial" w:hAnsi="Arial"/>
          <w:sz w:val="22"/>
          <w:szCs w:val="22"/>
          <w:color w:val="auto"/>
          <w:vertAlign w:val="superscript"/>
        </w:rPr>
      </w:pPr>
    </w:p>
    <w:p>
      <w:pPr>
        <w:jc w:val="both"/>
        <w:ind w:left="1680" w:right="100" w:hanging="549"/>
        <w:spacing w:after="0" w:line="207" w:lineRule="auto"/>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2020 LTIP and 2009 Equity Incentive Plan. The Type I performance-based RSU awards vest in three annual installments on the first, second and third anniversaries of the grant date, subject each year to meeting of a minimum performance level of fifty percent (50%) on the applicable scorecard for the 2020, 2021 and 2022 service years.</w:t>
      </w:r>
    </w:p>
    <w:p>
      <w:pPr>
        <w:spacing w:after="0" w:line="152" w:lineRule="exact"/>
        <w:rPr>
          <w:rFonts w:ascii="Arial" w:cs="Arial" w:eastAsia="Arial" w:hAnsi="Arial"/>
          <w:sz w:val="22"/>
          <w:szCs w:val="22"/>
          <w:color w:val="auto"/>
          <w:vertAlign w:val="superscript"/>
        </w:rPr>
      </w:pPr>
    </w:p>
    <w:p>
      <w:pPr>
        <w:ind w:left="1680" w:hanging="549"/>
        <w:spacing w:after="0" w:line="232" w:lineRule="auto"/>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5" w:lineRule="exact"/>
        <w:rPr>
          <w:rFonts w:ascii="Arial" w:cs="Arial" w:eastAsia="Arial" w:hAnsi="Arial"/>
          <w:sz w:val="22"/>
          <w:szCs w:val="22"/>
          <w:color w:val="auto"/>
          <w:vertAlign w:val="superscript"/>
        </w:rPr>
      </w:pPr>
    </w:p>
    <w:p>
      <w:pPr>
        <w:ind w:left="1680" w:right="80" w:hanging="549"/>
        <w:spacing w:after="0" w:line="193" w:lineRule="auto"/>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2009 Equity Incentive Plan. Time-based RSU awards are scheduled to vest in three annual installments after the grant date, subject to continued employment.</w:t>
      </w:r>
    </w:p>
    <w:p>
      <w:pPr>
        <w:spacing w:after="0" w:line="72"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2009 Equity Incentive Plan. Performance-based RSU awards are scheduled to vest as follows:</w:t>
      </w:r>
    </w:p>
    <w:p>
      <w:pPr>
        <w:spacing w:after="0" w:line="367" w:lineRule="exact"/>
        <w:rPr>
          <w:rFonts w:ascii="Arial" w:cs="Arial" w:eastAsia="Arial" w:hAnsi="Arial"/>
          <w:sz w:val="22"/>
          <w:szCs w:val="22"/>
          <w:color w:val="auto"/>
          <w:vertAlign w:val="superscript"/>
        </w:rPr>
      </w:pPr>
    </w:p>
    <w:p>
      <w:pPr>
        <w:ind w:left="2220" w:right="2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–10% of the award will begin to vest once the average closing price of Altisource's common stock is at or above $20 per share over a period of 30 calendar days (55% above the closing price of Altisource's common stock as of the grant date)</w:t>
      </w:r>
    </w:p>
    <w:p>
      <w:pPr>
        <w:spacing w:after="0" w:line="139" w:lineRule="exact"/>
        <w:rPr>
          <w:rFonts w:ascii="Arial" w:cs="Arial" w:eastAsia="Arial" w:hAnsi="Arial"/>
          <w:sz w:val="22"/>
          <w:szCs w:val="22"/>
          <w:color w:val="auto"/>
          <w:vertAlign w:val="superscript"/>
        </w:rPr>
      </w:pPr>
    </w:p>
    <w:p>
      <w:pPr>
        <w:ind w:left="2220" w:right="2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–30% of the award will begin to vest once the average closing price of Altisource's common stock is at or above $25 per share over a period of 30 calendar days (93% above the closing price of Altisource's common stock as of the grant date)</w:t>
      </w:r>
    </w:p>
    <w:p>
      <w:pPr>
        <w:spacing w:after="0" w:line="139" w:lineRule="exact"/>
        <w:rPr>
          <w:rFonts w:ascii="Arial" w:cs="Arial" w:eastAsia="Arial" w:hAnsi="Arial"/>
          <w:sz w:val="22"/>
          <w:szCs w:val="22"/>
          <w:color w:val="auto"/>
          <w:vertAlign w:val="superscript"/>
        </w:rPr>
      </w:pPr>
    </w:p>
    <w:p>
      <w:pPr>
        <w:ind w:left="2220" w:right="2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–40% of the award will begin to vest once the average closing price of Altisource's common stock is at or above $35 per share over a period of 30 calendar days (171% above the closing price of Altisource's common stock as of the grant date)</w:t>
      </w:r>
    </w:p>
    <w:p>
      <w:pPr>
        <w:sectPr>
          <w:pgSz w:w="11900" w:h="16838" w:orient="portrait"/>
          <w:cols w:equalWidth="0" w:num="1">
            <w:col w:w="11200"/>
          </w:cols>
          <w:pgMar w:left="320" w:top="143" w:right="379" w:bottom="0" w:gutter="0" w:footer="0" w:header="0"/>
        </w:sectPr>
      </w:pPr>
    </w:p>
    <w:bookmarkStart w:id="59" w:name="page60"/>
    <w:bookmarkEnd w:id="59"/>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144780</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regarding outstanding equity awards as of December 31, 2020 for the individuals named in the Summary Compensation Table.</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1"/>
                <w:szCs w:val="21"/>
                <w:b w:val="1"/>
                <w:bCs w:val="1"/>
                <w:color w:val="auto"/>
                <w:vertAlign w:val="superscript"/>
              </w:rPr>
              <w:t>(6)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6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68"/>
              <w:spacing w:after="0"/>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Expiration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9"/>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16"/>
                <w:szCs w:val="16"/>
                <w:color w:val="auto"/>
              </w:rPr>
            </w:pPr>
          </w:p>
        </w:tc>
        <w:tc>
          <w:tcPr>
            <w:tcW w:w="112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21"/>
                <w:szCs w:val="21"/>
                <w:b w:val="1"/>
                <w:bCs w:val="1"/>
                <w:color w:val="auto"/>
                <w:w w:val="99"/>
                <w:vertAlign w:val="superscript"/>
              </w:rPr>
              <w:t>(1)</w:t>
            </w:r>
          </w:p>
        </w:tc>
        <w:tc>
          <w:tcPr>
            <w:tcW w:w="6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1"/>
                <w:szCs w:val="21"/>
                <w:b w:val="1"/>
                <w:bCs w:val="1"/>
                <w:color w:val="auto"/>
                <w:w w:val="97"/>
                <w:vertAlign w:val="superscript"/>
              </w:rPr>
              <w:t>(2)</w:t>
            </w:r>
          </w:p>
        </w:tc>
        <w:tc>
          <w:tcPr>
            <w:tcW w:w="40" w:type="dxa"/>
            <w:vAlign w:val="bottom"/>
          </w:tcPr>
          <w:p>
            <w:pPr>
              <w:spacing w:after="0"/>
              <w:rPr>
                <w:sz w:val="16"/>
                <w:szCs w:val="16"/>
                <w:color w:val="auto"/>
              </w:rPr>
            </w:pPr>
          </w:p>
        </w:tc>
        <w:tc>
          <w:tcPr>
            <w:tcW w:w="660" w:type="dxa"/>
            <w:vAlign w:val="bottom"/>
            <w:gridSpan w:val="3"/>
          </w:tcPr>
          <w:p>
            <w:pPr>
              <w:ind w:left="60"/>
              <w:spacing w:after="0" w:line="189"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21"/>
                <w:szCs w:val="21"/>
                <w:b w:val="1"/>
                <w:bCs w:val="1"/>
                <w:color w:val="auto"/>
                <w:vertAlign w:val="superscript"/>
              </w:rPr>
              <w:t>(3)</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Not Vested</w:t>
            </w:r>
            <w:r>
              <w:rPr>
                <w:rFonts w:ascii="Arial" w:cs="Arial" w:eastAsia="Arial" w:hAnsi="Arial"/>
                <w:sz w:val="21"/>
                <w:szCs w:val="21"/>
                <w:b w:val="1"/>
                <w:bCs w:val="1"/>
                <w:color w:val="auto"/>
                <w:w w:val="97"/>
                <w:vertAlign w:val="superscript"/>
              </w:rPr>
              <w:t>(4)</w:t>
            </w:r>
          </w:p>
        </w:tc>
        <w:tc>
          <w:tcPr>
            <w:tcW w:w="6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Shares</w:t>
            </w:r>
            <w:r>
              <w:rPr>
                <w:rFonts w:ascii="Arial" w:cs="Arial" w:eastAsia="Arial" w:hAnsi="Arial"/>
                <w:sz w:val="21"/>
                <w:szCs w:val="21"/>
                <w:b w:val="1"/>
                <w:bCs w:val="1"/>
                <w:color w:val="auto"/>
                <w:w w:val="97"/>
                <w:vertAlign w:val="superscript"/>
              </w:rPr>
              <w:t>(5)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60"/>
        </w:trPr>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William B.</w:t>
            </w:r>
          </w:p>
        </w:tc>
        <w:tc>
          <w:tcPr>
            <w:tcW w:w="6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Shepro</w:t>
            </w:r>
          </w:p>
        </w:tc>
        <w:tc>
          <w:tcPr>
            <w:tcW w:w="920" w:type="dxa"/>
            <w:vAlign w:val="bottom"/>
            <w:gridSpan w:val="2"/>
            <w:shd w:val="clear" w:color="auto" w:fill="CCEEFF"/>
          </w:tcPr>
          <w:p>
            <w:pPr>
              <w:jc w:val="right"/>
              <w:ind w:right="88"/>
              <w:spacing w:after="0" w:line="131" w:lineRule="exact"/>
              <w:rPr>
                <w:sz w:val="20"/>
                <w:szCs w:val="20"/>
                <w:color w:val="auto"/>
              </w:rPr>
            </w:pPr>
            <w:r>
              <w:rPr>
                <w:rFonts w:ascii="Arial" w:cs="Arial" w:eastAsia="Arial" w:hAnsi="Arial"/>
                <w:sz w:val="14"/>
                <w:szCs w:val="14"/>
                <w:color w:val="auto"/>
              </w:rPr>
              <w:t>52,400</w:t>
            </w:r>
          </w:p>
        </w:tc>
        <w:tc>
          <w:tcPr>
            <w:tcW w:w="1180" w:type="dxa"/>
            <w:vAlign w:val="bottom"/>
            <w:gridSpan w:val="3"/>
            <w:shd w:val="clear" w:color="auto" w:fill="CCEEFF"/>
          </w:tcPr>
          <w:p>
            <w:pPr>
              <w:jc w:val="right"/>
              <w:ind w:right="246"/>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line="131"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18.79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4/15/2025</w:t>
            </w:r>
          </w:p>
        </w:tc>
        <w:tc>
          <w:tcPr>
            <w:tcW w:w="900" w:type="dxa"/>
            <w:vAlign w:val="bottom"/>
            <w:shd w:val="clear" w:color="auto" w:fill="CCEEFF"/>
          </w:tcPr>
          <w:p>
            <w:pPr>
              <w:jc w:val="right"/>
              <w:ind w:right="150"/>
              <w:spacing w:after="0" w:line="13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line="162" w:lineRule="exact"/>
              <w:rPr>
                <w:sz w:val="20"/>
                <w:szCs w:val="20"/>
                <w:color w:val="auto"/>
              </w:rPr>
            </w:pPr>
            <w:r>
              <w:rPr>
                <w:rFonts w:ascii="Arial" w:cs="Arial" w:eastAsia="Arial" w:hAnsi="Arial"/>
                <w:sz w:val="13"/>
                <w:szCs w:val="13"/>
                <w:color w:val="auto"/>
              </w:rPr>
              <w:t>20,303</w:t>
            </w:r>
            <w:r>
              <w:rPr>
                <w:rFonts w:ascii="Arial" w:cs="Arial" w:eastAsia="Arial" w:hAnsi="Arial"/>
                <w:sz w:val="18"/>
                <w:szCs w:val="18"/>
                <w:color w:val="auto"/>
                <w:vertAlign w:val="superscript"/>
              </w:rPr>
              <w:t>(7)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4/07/2027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100,000</w:t>
            </w:r>
          </w:p>
        </w:tc>
        <w:tc>
          <w:tcPr>
            <w:tcW w:w="1180" w:type="dxa"/>
            <w:vAlign w:val="bottom"/>
            <w:gridSpan w:val="3"/>
            <w:shd w:val="clear" w:color="auto" w:fill="CCEEFF"/>
          </w:tcPr>
          <w:p>
            <w:pPr>
              <w:jc w:val="right"/>
              <w:ind w:right="106"/>
              <w:spacing w:after="0" w:line="162" w:lineRule="exact"/>
              <w:rPr>
                <w:sz w:val="20"/>
                <w:szCs w:val="20"/>
                <w:color w:val="auto"/>
              </w:rPr>
            </w:pPr>
            <w:r>
              <w:rPr>
                <w:rFonts w:ascii="Arial" w:cs="Arial" w:eastAsia="Arial" w:hAnsi="Arial"/>
                <w:sz w:val="13"/>
                <w:szCs w:val="13"/>
                <w:color w:val="auto"/>
              </w:rPr>
              <w:t>100,000</w:t>
            </w:r>
            <w:r>
              <w:rPr>
                <w:rFonts w:ascii="Arial" w:cs="Arial" w:eastAsia="Arial" w:hAnsi="Arial"/>
                <w:sz w:val="18"/>
                <w:szCs w:val="18"/>
                <w:color w:val="auto"/>
                <w:vertAlign w:val="superscript"/>
              </w:rPr>
              <w:t>(8)</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2/12/2028</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62" w:lineRule="exact"/>
              <w:rPr>
                <w:sz w:val="20"/>
                <w:szCs w:val="20"/>
                <w:color w:val="auto"/>
              </w:rPr>
            </w:pPr>
            <w:r>
              <w:rPr>
                <w:rFonts w:ascii="Arial" w:cs="Arial" w:eastAsia="Arial" w:hAnsi="Arial"/>
                <w:sz w:val="13"/>
                <w:szCs w:val="13"/>
                <w:color w:val="auto"/>
              </w:rPr>
              <w:t>50,000</w:t>
            </w:r>
            <w:r>
              <w:rPr>
                <w:rFonts w:ascii="Arial" w:cs="Arial" w:eastAsia="Arial" w:hAnsi="Arial"/>
                <w:sz w:val="18"/>
                <w:szCs w:val="18"/>
                <w:color w:val="auto"/>
                <w:vertAlign w:val="superscript"/>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644,000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19,220</w:t>
            </w:r>
            <w:r>
              <w:rPr>
                <w:rFonts w:ascii="Arial" w:cs="Arial" w:eastAsia="Arial" w:hAnsi="Arial"/>
                <w:sz w:val="18"/>
                <w:szCs w:val="18"/>
                <w:color w:val="auto"/>
                <w:vertAlign w:val="superscript"/>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247,554</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24,548</w:t>
            </w:r>
            <w:r>
              <w:rPr>
                <w:rFonts w:ascii="Arial" w:cs="Arial" w:eastAsia="Arial" w:hAnsi="Arial"/>
                <w:sz w:val="18"/>
                <w:szCs w:val="18"/>
                <w:color w:val="auto"/>
                <w:vertAlign w:val="superscript"/>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113,125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16,365</w:t>
            </w:r>
            <w:r>
              <w:rPr>
                <w:rFonts w:ascii="Arial" w:cs="Arial" w:eastAsia="Arial" w:hAnsi="Arial"/>
                <w:sz w:val="18"/>
                <w:szCs w:val="18"/>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210,781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17,527</w:t>
            </w:r>
            <w:r>
              <w:rPr>
                <w:rFonts w:ascii="Arial" w:cs="Arial" w:eastAsia="Arial" w:hAnsi="Arial"/>
                <w:sz w:val="18"/>
                <w:szCs w:val="18"/>
                <w:color w:val="auto"/>
                <w:vertAlign w:val="superscript"/>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225,748</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32,880</w:t>
            </w:r>
            <w:r>
              <w:rPr>
                <w:rFonts w:ascii="Arial" w:cs="Arial" w:eastAsia="Arial" w:hAnsi="Arial"/>
                <w:sz w:val="18"/>
                <w:szCs w:val="18"/>
                <w:color w:val="auto"/>
                <w:vertAlign w:val="superscript"/>
              </w:rPr>
              <w: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211,747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32,880</w:t>
            </w:r>
            <w:r>
              <w:rPr>
                <w:rFonts w:ascii="Arial" w:cs="Arial" w:eastAsia="Arial" w:hAnsi="Arial"/>
                <w:sz w:val="18"/>
                <w:szCs w:val="18"/>
                <w:color w:val="auto"/>
                <w:vertAlign w:val="superscript"/>
              </w:rPr>
              <w:t>(15)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423,494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40,000</w:t>
            </w:r>
            <w:r>
              <w:rPr>
                <w:rFonts w:ascii="Arial" w:cs="Arial" w:eastAsia="Arial" w:hAnsi="Arial"/>
                <w:sz w:val="18"/>
                <w:szCs w:val="18"/>
                <w:color w:val="auto"/>
                <w:vertAlign w:val="superscript"/>
              </w:rPr>
              <w:t>(16)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10,000</w:t>
            </w:r>
            <w:r>
              <w:rPr>
                <w:rFonts w:ascii="Arial" w:cs="Arial" w:eastAsia="Arial" w:hAnsi="Arial"/>
                <w:sz w:val="21"/>
                <w:szCs w:val="21"/>
                <w:color w:val="auto"/>
                <w:vertAlign w:val="superscript"/>
              </w:rPr>
              <w:t>(17)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920" w:type="dxa"/>
            <w:vAlign w:val="bottom"/>
          </w:tcPr>
          <w:p>
            <w:pPr>
              <w:ind w:left="20"/>
              <w:spacing w:after="0"/>
              <w:rPr>
                <w:sz w:val="20"/>
                <w:szCs w:val="20"/>
                <w:color w:val="auto"/>
              </w:rPr>
            </w:pPr>
            <w:r>
              <w:rPr>
                <w:rFonts w:ascii="Arial" w:cs="Arial" w:eastAsia="Arial" w:hAnsi="Arial"/>
                <w:sz w:val="14"/>
                <w:szCs w:val="14"/>
                <w:color w:val="auto"/>
              </w:rPr>
              <w:t>Kevin J.</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Wilcox</w:t>
            </w:r>
          </w:p>
        </w:tc>
        <w:tc>
          <w:tcPr>
            <w:tcW w:w="920" w:type="dxa"/>
            <w:vAlign w:val="bottom"/>
            <w:gridSpan w:val="2"/>
          </w:tcPr>
          <w:p>
            <w:pPr>
              <w:jc w:val="right"/>
              <w:ind w:right="88"/>
              <w:spacing w:after="0"/>
              <w:rPr>
                <w:sz w:val="20"/>
                <w:szCs w:val="20"/>
                <w:color w:val="auto"/>
              </w:rPr>
            </w:pPr>
            <w:r>
              <w:rPr>
                <w:rFonts w:ascii="Arial" w:cs="Arial" w:eastAsia="Arial" w:hAnsi="Arial"/>
                <w:sz w:val="14"/>
                <w:szCs w:val="14"/>
                <w:color w:val="auto"/>
              </w:rPr>
              <w:t>19,000</w:t>
            </w:r>
          </w:p>
        </w:tc>
        <w:tc>
          <w:tcPr>
            <w:tcW w:w="1180" w:type="dxa"/>
            <w:vAlign w:val="bottom"/>
            <w:gridSpan w:val="3"/>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18.79</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4/15/2025</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920" w:type="dxa"/>
            <w:vAlign w:val="bottom"/>
            <w:gridSpan w:val="2"/>
          </w:tcPr>
          <w:p>
            <w:pPr>
              <w:jc w:val="right"/>
              <w:ind w:right="88"/>
              <w:spacing w:after="0" w:line="157" w:lineRule="exact"/>
              <w:rPr>
                <w:sz w:val="20"/>
                <w:szCs w:val="20"/>
                <w:color w:val="auto"/>
              </w:rPr>
            </w:pPr>
            <w:r>
              <w:rPr>
                <w:rFonts w:ascii="Arial" w:cs="Arial" w:eastAsia="Arial" w:hAnsi="Arial"/>
                <w:sz w:val="14"/>
                <w:szCs w:val="14"/>
                <w:color w:val="auto"/>
              </w:rPr>
              <w:t>100,000</w:t>
            </w:r>
          </w:p>
        </w:tc>
        <w:tc>
          <w:tcPr>
            <w:tcW w:w="1180" w:type="dxa"/>
            <w:vAlign w:val="bottom"/>
            <w:gridSpan w:val="3"/>
          </w:tcPr>
          <w:p>
            <w:pPr>
              <w:jc w:val="right"/>
              <w:ind w:right="246"/>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24.82</w:t>
            </w:r>
          </w:p>
        </w:tc>
        <w:tc>
          <w:tcPr>
            <w:tcW w:w="60" w:type="dxa"/>
            <w:vAlign w:val="bottom"/>
          </w:tcPr>
          <w:p>
            <w:pPr>
              <w:spacing w:after="0"/>
              <w:rPr>
                <w:sz w:val="13"/>
                <w:szCs w:val="13"/>
                <w:color w:val="auto"/>
              </w:rPr>
            </w:pPr>
          </w:p>
        </w:tc>
        <w:tc>
          <w:tcPr>
            <w:tcW w:w="7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4/15/2025</w:t>
            </w:r>
          </w:p>
        </w:tc>
        <w:tc>
          <w:tcPr>
            <w:tcW w:w="900" w:type="dxa"/>
            <w:vAlign w:val="bottom"/>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Michelle D.</w:t>
            </w:r>
          </w:p>
        </w:tc>
        <w:tc>
          <w:tcPr>
            <w:tcW w:w="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14,625</w:t>
            </w:r>
            <w:r>
              <w:rPr>
                <w:rFonts w:ascii="Arial" w:cs="Arial" w:eastAsia="Arial" w:hAnsi="Arial"/>
                <w:sz w:val="21"/>
                <w:szCs w:val="21"/>
                <w:color w:val="auto"/>
                <w:vertAlign w:val="superscript"/>
              </w:rPr>
              <w:t>(18)</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Esterman</w:t>
            </w:r>
          </w:p>
        </w:tc>
        <w:tc>
          <w:tcPr>
            <w:tcW w:w="920" w:type="dxa"/>
            <w:vAlign w:val="bottom"/>
            <w:gridSpan w:val="2"/>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6"/>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vMerge w:val="continue"/>
            <w:shd w:val="clear" w:color="auto" w:fill="CCEEFF"/>
          </w:tcPr>
          <w:p>
            <w:pPr>
              <w:spacing w:after="0"/>
              <w:rPr>
                <w:sz w:val="13"/>
                <w:szCs w:val="13"/>
                <w:color w:val="auto"/>
              </w:rPr>
            </w:pPr>
          </w:p>
        </w:tc>
        <w:tc>
          <w:tcPr>
            <w:tcW w:w="20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60.76</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3/12/2022</w:t>
            </w:r>
          </w:p>
        </w:tc>
        <w:tc>
          <w:tcPr>
            <w:tcW w:w="9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29,250</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3/12/2022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14,625</w:t>
            </w:r>
          </w:p>
        </w:tc>
        <w:tc>
          <w:tcPr>
            <w:tcW w:w="1180" w:type="dxa"/>
            <w:vAlign w:val="bottom"/>
            <w:gridSpan w:val="3"/>
            <w:shd w:val="clear" w:color="auto" w:fill="CCEEFF"/>
          </w:tcPr>
          <w:p>
            <w:pPr>
              <w:jc w:val="right"/>
              <w:ind w:right="246"/>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60.76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3/12/2022</w:t>
            </w:r>
          </w:p>
        </w:tc>
        <w:tc>
          <w:tcPr>
            <w:tcW w:w="90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6,250</w:t>
            </w:r>
            <w:r>
              <w:rPr>
                <w:rFonts w:ascii="Arial" w:cs="Arial" w:eastAsia="Arial" w:hAnsi="Arial"/>
                <w:sz w:val="21"/>
                <w:szCs w:val="21"/>
                <w:color w:val="auto"/>
                <w:vertAlign w:val="superscript"/>
              </w:rPr>
              <w:t>(19)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2/10/2025</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12,500</w:t>
            </w:r>
          </w:p>
        </w:tc>
        <w:tc>
          <w:tcPr>
            <w:tcW w:w="1180" w:type="dxa"/>
            <w:vAlign w:val="bottom"/>
            <w:gridSpan w:val="3"/>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2/10/2025</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6,250</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6"/>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2/10/2025</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13,400</w:t>
            </w: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4/15/2025</w:t>
            </w:r>
          </w:p>
        </w:tc>
        <w:tc>
          <w:tcPr>
            <w:tcW w:w="90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w w:val="88"/>
              </w:rPr>
              <w:t>(8)</w:t>
            </w:r>
          </w:p>
        </w:tc>
        <w:tc>
          <w:tcPr>
            <w:tcW w:w="980" w:type="dxa"/>
            <w:vAlign w:val="bottom"/>
            <w:gridSpan w:val="2"/>
            <w:shd w:val="clear" w:color="auto" w:fill="CCEEFF"/>
          </w:tcPr>
          <w:p>
            <w:pPr>
              <w:jc w:val="right"/>
              <w:ind w:right="48"/>
              <w:spacing w:after="0" w:line="189" w:lineRule="exact"/>
              <w:rPr>
                <w:sz w:val="20"/>
                <w:szCs w:val="20"/>
                <w:color w:val="auto"/>
              </w:rPr>
            </w:pPr>
            <w:r>
              <w:rPr>
                <w:rFonts w:ascii="Arial" w:cs="Arial" w:eastAsia="Arial" w:hAnsi="Arial"/>
                <w:sz w:val="14"/>
                <w:szCs w:val="14"/>
                <w:color w:val="auto"/>
              </w:rPr>
              <w:t>1,706</w:t>
            </w:r>
            <w:r>
              <w:rPr>
                <w:rFonts w:ascii="Arial" w:cs="Arial" w:eastAsia="Arial" w:hAnsi="Arial"/>
                <w:sz w:val="21"/>
                <w:szCs w:val="21"/>
                <w:color w:val="auto"/>
                <w:vertAlign w:val="superscript"/>
              </w:rPr>
              <w:t>(7)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4/7/2027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8,658</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8,658</w:t>
            </w:r>
          </w:p>
        </w:tc>
        <w:tc>
          <w:tcPr>
            <w:tcW w:w="30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2/12/2028</w:t>
            </w:r>
          </w:p>
        </w:tc>
        <w:tc>
          <w:tcPr>
            <w:tcW w:w="90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62" w:lineRule="exact"/>
              <w:rPr>
                <w:sz w:val="20"/>
                <w:szCs w:val="20"/>
                <w:color w:val="auto"/>
              </w:rPr>
            </w:pPr>
            <w:r>
              <w:rPr>
                <w:rFonts w:ascii="Arial" w:cs="Arial" w:eastAsia="Arial" w:hAnsi="Arial"/>
                <w:sz w:val="13"/>
                <w:szCs w:val="13"/>
                <w:color w:val="auto"/>
              </w:rPr>
              <w:t>2,478</w:t>
            </w:r>
            <w:r>
              <w:rPr>
                <w:rFonts w:ascii="Arial" w:cs="Arial" w:eastAsia="Arial" w:hAnsi="Arial"/>
                <w:sz w:val="18"/>
                <w:szCs w:val="18"/>
                <w:color w:val="auto"/>
                <w:vertAlign w:val="superscript"/>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31,917</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10,000</w:t>
            </w:r>
            <w:r>
              <w:rPr>
                <w:rFonts w:ascii="Arial" w:cs="Arial" w:eastAsia="Arial" w:hAnsi="Arial"/>
                <w:sz w:val="18"/>
                <w:szCs w:val="18"/>
                <w:color w:val="auto"/>
                <w:vertAlign w:val="superscript"/>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4,256</w:t>
            </w:r>
            <w:r>
              <w:rPr>
                <w:rFonts w:ascii="Arial" w:cs="Arial" w:eastAsia="Arial" w:hAnsi="Arial"/>
                <w:sz w:val="18"/>
                <w:szCs w:val="18"/>
                <w:color w:val="auto"/>
                <w:vertAlign w:val="superscript"/>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54,817</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5,592</w:t>
            </w:r>
            <w:r>
              <w:rPr>
                <w:rFonts w:ascii="Arial" w:cs="Arial" w:eastAsia="Arial" w:hAnsi="Arial"/>
                <w:sz w:val="18"/>
                <w:szCs w:val="18"/>
                <w:color w:val="auto"/>
                <w:vertAlign w:val="superscript"/>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3,728</w:t>
            </w:r>
            <w:r>
              <w:rPr>
                <w:rFonts w:ascii="Arial" w:cs="Arial" w:eastAsia="Arial" w:hAnsi="Arial"/>
                <w:sz w:val="18"/>
                <w:szCs w:val="18"/>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48,017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7,369</w:t>
            </w:r>
            <w:r>
              <w:rPr>
                <w:rFonts w:ascii="Arial" w:cs="Arial" w:eastAsia="Arial" w:hAnsi="Arial"/>
                <w:sz w:val="18"/>
                <w:szCs w:val="18"/>
                <w:color w:val="auto"/>
                <w:vertAlign w:val="superscript"/>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7,369</w:t>
            </w:r>
            <w:r>
              <w:rPr>
                <w:rFonts w:ascii="Arial" w:cs="Arial" w:eastAsia="Arial" w:hAnsi="Arial"/>
                <w:sz w:val="18"/>
                <w:szCs w:val="18"/>
                <w:color w:val="auto"/>
                <w:vertAlign w:val="superscript"/>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3,498</w:t>
            </w:r>
            <w:r>
              <w:rPr>
                <w:rFonts w:ascii="Arial" w:cs="Arial" w:eastAsia="Arial" w:hAnsi="Arial"/>
                <w:sz w:val="18"/>
                <w:szCs w:val="18"/>
                <w:color w:val="auto"/>
                <w:vertAlign w:val="superscript"/>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45,054</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6,000</w:t>
            </w:r>
            <w:r>
              <w:rPr>
                <w:rFonts w:ascii="Arial" w:cs="Arial" w:eastAsia="Arial" w:hAnsi="Arial"/>
                <w:sz w:val="18"/>
                <w:szCs w:val="18"/>
                <w:color w:val="auto"/>
                <w:vertAlign w:val="superscript"/>
              </w:rPr>
              <w:t>(23)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19,000</w:t>
            </w:r>
            <w:r>
              <w:rPr>
                <w:rFonts w:ascii="Arial" w:cs="Arial" w:eastAsia="Arial" w:hAnsi="Arial"/>
                <w:sz w:val="18"/>
                <w:szCs w:val="18"/>
                <w:color w:val="auto"/>
                <w:vertAlign w:val="superscript"/>
              </w:rPr>
              <w:t>(16)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244,720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4,750</w:t>
            </w:r>
            <w:r>
              <w:rPr>
                <w:rFonts w:ascii="Arial" w:cs="Arial" w:eastAsia="Arial" w:hAnsi="Arial"/>
                <w:sz w:val="21"/>
                <w:szCs w:val="21"/>
                <w:color w:val="auto"/>
                <w:vertAlign w:val="superscript"/>
              </w:rPr>
              <w:t>(17)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480"/>
          </w:cols>
          <w:pgMar w:left="320" w:top="143" w:right="10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1"/>
                <w:szCs w:val="21"/>
                <w:b w:val="1"/>
                <w:bCs w:val="1"/>
                <w:color w:val="auto"/>
                <w:vertAlign w:val="superscript"/>
              </w:rPr>
              <w:t>(6)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c>
          <w:tcPr>
            <w:tcW w:w="6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68"/>
              <w:spacing w:after="0"/>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Securities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9"/>
        </w:trPr>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16"/>
                <w:szCs w:val="16"/>
                <w:color w:val="auto"/>
              </w:rPr>
            </w:pPr>
          </w:p>
        </w:tc>
        <w:tc>
          <w:tcPr>
            <w:tcW w:w="112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8"/>
              </w:rPr>
              <w:t>Unexercisable</w:t>
            </w:r>
            <w:r>
              <w:rPr>
                <w:rFonts w:ascii="Arial" w:cs="Arial" w:eastAsia="Arial" w:hAnsi="Arial"/>
                <w:sz w:val="21"/>
                <w:szCs w:val="21"/>
                <w:b w:val="1"/>
                <w:bCs w:val="1"/>
                <w:color w:val="auto"/>
                <w:w w:val="98"/>
                <w:vertAlign w:val="superscript"/>
              </w:rPr>
              <w:t>(1)</w:t>
            </w:r>
          </w:p>
        </w:tc>
        <w:tc>
          <w:tcPr>
            <w:tcW w:w="6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1"/>
                <w:szCs w:val="21"/>
                <w:b w:val="1"/>
                <w:bCs w:val="1"/>
                <w:color w:val="auto"/>
                <w:w w:val="97"/>
                <w:vertAlign w:val="superscript"/>
              </w:rPr>
              <w:t>(2)</w:t>
            </w:r>
          </w:p>
        </w:tc>
        <w:tc>
          <w:tcPr>
            <w:tcW w:w="60" w:type="dxa"/>
            <w:vAlign w:val="bottom"/>
          </w:tcPr>
          <w:p>
            <w:pPr>
              <w:spacing w:after="0"/>
              <w:rPr>
                <w:sz w:val="16"/>
                <w:szCs w:val="16"/>
                <w:color w:val="auto"/>
              </w:rPr>
            </w:pPr>
          </w:p>
        </w:tc>
        <w:tc>
          <w:tcPr>
            <w:tcW w:w="580" w:type="dxa"/>
            <w:vAlign w:val="bottom"/>
            <w:gridSpan w:val="2"/>
          </w:tcPr>
          <w:p>
            <w:pPr>
              <w:ind w:left="40"/>
              <w:spacing w:after="0" w:line="189"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21"/>
                <w:szCs w:val="21"/>
                <w:b w:val="1"/>
                <w:bCs w:val="1"/>
                <w:color w:val="auto"/>
                <w:vertAlign w:val="superscript"/>
              </w:rPr>
              <w:t>(3)</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6"/>
                <w:szCs w:val="16"/>
                <w:color w:val="auto"/>
              </w:rPr>
            </w:pPr>
          </w:p>
        </w:tc>
        <w:tc>
          <w:tcPr>
            <w:tcW w:w="940" w:type="dxa"/>
            <w:vAlign w:val="bottom"/>
            <w:gridSpan w:val="2"/>
          </w:tcPr>
          <w:p>
            <w:pPr>
              <w:jc w:val="center"/>
              <w:ind w:right="40"/>
              <w:spacing w:after="0" w:line="189" w:lineRule="exact"/>
              <w:rPr>
                <w:sz w:val="20"/>
                <w:szCs w:val="20"/>
                <w:color w:val="auto"/>
              </w:rPr>
            </w:pPr>
            <w:r>
              <w:rPr>
                <w:rFonts w:ascii="Arial" w:cs="Arial" w:eastAsia="Arial" w:hAnsi="Arial"/>
                <w:sz w:val="14"/>
                <w:szCs w:val="14"/>
                <w:b w:val="1"/>
                <w:bCs w:val="1"/>
                <w:color w:val="auto"/>
                <w:w w:val="95"/>
              </w:rPr>
              <w:t>Not Vested</w:t>
            </w:r>
            <w:r>
              <w:rPr>
                <w:rFonts w:ascii="Arial" w:cs="Arial" w:eastAsia="Arial" w:hAnsi="Arial"/>
                <w:sz w:val="21"/>
                <w:szCs w:val="21"/>
                <w:b w:val="1"/>
                <w:bCs w:val="1"/>
                <w:color w:val="auto"/>
                <w:w w:val="95"/>
                <w:vertAlign w:val="superscript"/>
              </w:rPr>
              <w:t>(4)</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Shares</w:t>
            </w:r>
            <w:r>
              <w:rPr>
                <w:rFonts w:ascii="Arial" w:cs="Arial" w:eastAsia="Arial" w:hAnsi="Arial"/>
                <w:sz w:val="21"/>
                <w:szCs w:val="21"/>
                <w:b w:val="1"/>
                <w:bCs w:val="1"/>
                <w:color w:val="auto"/>
                <w:w w:val="97"/>
                <w:vertAlign w:val="superscript"/>
              </w:rPr>
              <w:t>(5)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403"/>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Marcello</w:t>
            </w: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21"/>
                <w:szCs w:val="21"/>
                <w:color w:val="auto"/>
                <w:vertAlign w:val="superscript"/>
              </w:rPr>
              <w:t>(24)</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20"/>
              <w:spacing w:after="0" w:line="131" w:lineRule="exact"/>
              <w:rPr>
                <w:sz w:val="20"/>
                <w:szCs w:val="20"/>
                <w:color w:val="auto"/>
              </w:rPr>
            </w:pPr>
            <w:r>
              <w:rPr>
                <w:rFonts w:ascii="Arial" w:cs="Arial" w:eastAsia="Arial" w:hAnsi="Arial"/>
                <w:sz w:val="14"/>
                <w:szCs w:val="14"/>
                <w:color w:val="auto"/>
              </w:rPr>
              <w:t>Mastioni</w:t>
            </w:r>
          </w:p>
        </w:tc>
        <w:tc>
          <w:tcPr>
            <w:tcW w:w="920" w:type="dxa"/>
            <w:vAlign w:val="bottom"/>
            <w:gridSpan w:val="3"/>
          </w:tcPr>
          <w:p>
            <w:pPr>
              <w:ind w:left="700"/>
              <w:spacing w:after="0" w:line="131" w:lineRule="exact"/>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line="131"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1" w:lineRule="exact"/>
              <w:rPr>
                <w:sz w:val="20"/>
                <w:szCs w:val="20"/>
                <w:color w:val="auto"/>
              </w:rPr>
            </w:pPr>
            <w:r>
              <w:rPr>
                <w:rFonts w:ascii="Arial" w:cs="Arial" w:eastAsia="Arial" w:hAnsi="Arial"/>
                <w:sz w:val="14"/>
                <w:szCs w:val="14"/>
                <w:color w:val="auto"/>
              </w:rPr>
              <w:t>25.93</w:t>
            </w: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8/1/2027</w:t>
            </w:r>
          </w:p>
        </w:tc>
        <w:tc>
          <w:tcPr>
            <w:tcW w:w="880" w:type="dxa"/>
            <w:vAlign w:val="bottom"/>
          </w:tcPr>
          <w:p>
            <w:pPr>
              <w:jc w:val="right"/>
              <w:ind w:right="15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94" w:lineRule="exact"/>
              <w:rPr>
                <w:sz w:val="20"/>
                <w:szCs w:val="20"/>
                <w:color w:val="auto"/>
              </w:rPr>
            </w:pPr>
            <w:r>
              <w:rPr>
                <w:rFonts w:ascii="Arial" w:cs="Arial" w:eastAsia="Arial" w:hAnsi="Arial"/>
                <w:sz w:val="14"/>
                <w:szCs w:val="14"/>
                <w:color w:val="auto"/>
              </w:rPr>
              <w:t>20,000</w:t>
            </w:r>
            <w:r>
              <w:rPr>
                <w:rFonts w:ascii="Arial" w:cs="Arial" w:eastAsia="Arial" w:hAnsi="Arial"/>
                <w:sz w:val="21"/>
                <w:szCs w:val="21"/>
                <w:color w:val="auto"/>
                <w:vertAlign w:val="superscript"/>
              </w:rPr>
              <w:t>(25)</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25.93</w:t>
            </w: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8/1/2027</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9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20,000</w:t>
            </w:r>
          </w:p>
        </w:tc>
        <w:tc>
          <w:tcPr>
            <w:tcW w:w="1160" w:type="dxa"/>
            <w:vAlign w:val="bottom"/>
            <w:gridSpan w:val="3"/>
          </w:tcPr>
          <w:p>
            <w:pPr>
              <w:ind w:left="820"/>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line="131"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1" w:lineRule="exact"/>
              <w:rPr>
                <w:sz w:val="20"/>
                <w:szCs w:val="20"/>
                <w:color w:val="auto"/>
              </w:rPr>
            </w:pPr>
            <w:r>
              <w:rPr>
                <w:rFonts w:ascii="Arial" w:cs="Arial" w:eastAsia="Arial" w:hAnsi="Arial"/>
                <w:sz w:val="14"/>
                <w:szCs w:val="14"/>
                <w:color w:val="auto"/>
              </w:rPr>
              <w:t>25.93</w:t>
            </w: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8/1/2027</w:t>
            </w:r>
          </w:p>
        </w:tc>
        <w:tc>
          <w:tcPr>
            <w:tcW w:w="880" w:type="dxa"/>
            <w:vAlign w:val="bottom"/>
          </w:tcPr>
          <w:p>
            <w:pPr>
              <w:jc w:val="right"/>
              <w:ind w:right="150"/>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line="13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11,132</w:t>
            </w:r>
          </w:p>
        </w:tc>
        <w:tc>
          <w:tcPr>
            <w:tcW w:w="1160" w:type="dxa"/>
            <w:vAlign w:val="bottom"/>
            <w:gridSpan w:val="3"/>
          </w:tcPr>
          <w:p>
            <w:pPr>
              <w:jc w:val="right"/>
              <w:ind w:right="106"/>
              <w:spacing w:after="0" w:line="162" w:lineRule="exact"/>
              <w:rPr>
                <w:sz w:val="20"/>
                <w:szCs w:val="20"/>
                <w:color w:val="auto"/>
              </w:rPr>
            </w:pPr>
            <w:r>
              <w:rPr>
                <w:rFonts w:ascii="Arial" w:cs="Arial" w:eastAsia="Arial" w:hAnsi="Arial"/>
                <w:sz w:val="13"/>
                <w:szCs w:val="13"/>
                <w:color w:val="auto"/>
              </w:rPr>
              <w:t>11,132</w:t>
            </w:r>
            <w:r>
              <w:rPr>
                <w:rFonts w:ascii="Arial" w:cs="Arial" w:eastAsia="Arial" w:hAnsi="Arial"/>
                <w:sz w:val="18"/>
                <w:szCs w:val="18"/>
                <w:color w:val="auto"/>
                <w:vertAlign w:val="superscript"/>
              </w:rPr>
              <w:t>(8)</w:t>
            </w:r>
          </w:p>
        </w:tc>
        <w:tc>
          <w:tcPr>
            <w:tcW w:w="980" w:type="dxa"/>
            <w:vAlign w:val="bottom"/>
            <w:gridSpan w:val="2"/>
          </w:tcPr>
          <w:p>
            <w:pPr>
              <w:jc w:val="right"/>
              <w:ind w:right="48"/>
              <w:spacing w:after="0" w:line="162" w:lineRule="exact"/>
              <w:rPr>
                <w:sz w:val="20"/>
                <w:szCs w:val="20"/>
                <w:color w:val="auto"/>
              </w:rPr>
            </w:pPr>
            <w:r>
              <w:rPr>
                <w:rFonts w:ascii="Arial" w:cs="Arial" w:eastAsia="Arial" w:hAnsi="Arial"/>
                <w:sz w:val="13"/>
                <w:szCs w:val="13"/>
                <w:color w:val="auto"/>
              </w:rPr>
              <w:t>11,132</w:t>
            </w:r>
            <w:r>
              <w:rPr>
                <w:rFonts w:ascii="Arial" w:cs="Arial" w:eastAsia="Arial" w:hAnsi="Arial"/>
                <w:sz w:val="18"/>
                <w:szCs w:val="18"/>
                <w:color w:val="auto"/>
                <w:vertAlign w:val="superscript"/>
              </w:rPr>
              <w:t>(8)</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24.82</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2/12/2028</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line="162" w:lineRule="exact"/>
              <w:rPr>
                <w:sz w:val="20"/>
                <w:szCs w:val="20"/>
                <w:color w:val="auto"/>
              </w:rPr>
            </w:pPr>
            <w:r>
              <w:rPr>
                <w:rFonts w:ascii="Arial" w:cs="Arial" w:eastAsia="Arial" w:hAnsi="Arial"/>
                <w:sz w:val="13"/>
                <w:szCs w:val="13"/>
                <w:color w:val="auto"/>
              </w:rPr>
              <w:t>3,186</w:t>
            </w:r>
            <w:r>
              <w:rPr>
                <w:rFonts w:ascii="Arial" w:cs="Arial" w:eastAsia="Arial" w:hAnsi="Arial"/>
                <w:sz w:val="18"/>
                <w:szCs w:val="18"/>
                <w:color w:val="auto"/>
                <w:vertAlign w:val="superscript"/>
              </w:rPr>
              <w:t>(9)</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41,036</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3"/>
                <w:szCs w:val="13"/>
                <w:color w:val="auto"/>
              </w:rPr>
              <w:t>5,000</w:t>
            </w:r>
            <w:r>
              <w:rPr>
                <w:rFonts w:ascii="Arial" w:cs="Arial" w:eastAsia="Arial" w:hAnsi="Arial"/>
                <w:sz w:val="18"/>
                <w:szCs w:val="18"/>
                <w:color w:val="auto"/>
                <w:vertAlign w:val="superscript"/>
              </w:rPr>
              <w:t>(26)</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64,400</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3"/>
                <w:szCs w:val="13"/>
                <w:color w:val="auto"/>
              </w:rPr>
              <w:t>3,909</w:t>
            </w:r>
            <w:r>
              <w:rPr>
                <w:rFonts w:ascii="Arial" w:cs="Arial" w:eastAsia="Arial" w:hAnsi="Arial"/>
                <w:sz w:val="18"/>
                <w:szCs w:val="18"/>
                <w:color w:val="auto"/>
                <w:vertAlign w:val="superscript"/>
              </w:rPr>
              <w:t>(10)</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50,348</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7,649</w:t>
            </w:r>
            <w:r>
              <w:rPr>
                <w:rFonts w:ascii="Arial" w:cs="Arial" w:eastAsia="Arial" w:hAnsi="Arial"/>
                <w:sz w:val="18"/>
                <w:szCs w:val="18"/>
                <w:color w:val="auto"/>
                <w:vertAlign w:val="superscript"/>
              </w:rPr>
              <w:t>(11)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35,253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5,099</w:t>
            </w:r>
            <w:r>
              <w:rPr>
                <w:rFonts w:ascii="Arial" w:cs="Arial" w:eastAsia="Arial" w:hAnsi="Arial"/>
                <w:sz w:val="18"/>
                <w:szCs w:val="18"/>
                <w:color w:val="auto"/>
                <w:vertAlign w:val="superscript"/>
              </w:rPr>
              <w:t>(12)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65,675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9,638</w:t>
            </w:r>
            <w:r>
              <w:rPr>
                <w:rFonts w:ascii="Arial" w:cs="Arial" w:eastAsia="Arial" w:hAnsi="Arial"/>
                <w:sz w:val="18"/>
                <w:szCs w:val="18"/>
                <w:color w:val="auto"/>
                <w:vertAlign w:val="superscript"/>
              </w:rPr>
              <w:t>(21)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62,069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9,638</w:t>
            </w:r>
            <w:r>
              <w:rPr>
                <w:rFonts w:ascii="Arial" w:cs="Arial" w:eastAsia="Arial" w:hAnsi="Arial"/>
                <w:sz w:val="18"/>
                <w:szCs w:val="18"/>
                <w:color w:val="auto"/>
                <w:vertAlign w:val="superscript"/>
              </w:rPr>
              <w:t>(22)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124,137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3"/>
                <w:szCs w:val="13"/>
                <w:color w:val="auto"/>
              </w:rPr>
              <w:t>5,119</w:t>
            </w:r>
            <w:r>
              <w:rPr>
                <w:rFonts w:ascii="Arial" w:cs="Arial" w:eastAsia="Arial" w:hAnsi="Arial"/>
                <w:sz w:val="18"/>
                <w:szCs w:val="18"/>
                <w:color w:val="auto"/>
                <w:vertAlign w:val="superscript"/>
              </w:rPr>
              <w:t>(13)</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65,933</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3"/>
                <w:szCs w:val="13"/>
                <w:color w:val="auto"/>
              </w:rPr>
              <w:t>3,000</w:t>
            </w:r>
            <w:r>
              <w:rPr>
                <w:rFonts w:ascii="Arial" w:cs="Arial" w:eastAsia="Arial" w:hAnsi="Arial"/>
                <w:sz w:val="18"/>
                <w:szCs w:val="18"/>
                <w:color w:val="auto"/>
                <w:vertAlign w:val="superscript"/>
              </w:rPr>
              <w:t>(23)</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38,640</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25,000</w:t>
            </w:r>
            <w:r>
              <w:rPr>
                <w:rFonts w:ascii="Arial" w:cs="Arial" w:eastAsia="Arial" w:hAnsi="Arial"/>
                <w:sz w:val="18"/>
                <w:szCs w:val="18"/>
                <w:color w:val="auto"/>
                <w:vertAlign w:val="superscript"/>
              </w:rPr>
              <w:t>(16)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322,000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4"/>
                <w:szCs w:val="14"/>
                <w:color w:val="auto"/>
              </w:rPr>
              <w:t>6,250</w:t>
            </w:r>
            <w:r>
              <w:rPr>
                <w:rFonts w:ascii="Arial" w:cs="Arial" w:eastAsia="Arial" w:hAnsi="Arial"/>
                <w:sz w:val="21"/>
                <w:szCs w:val="21"/>
                <w:color w:val="auto"/>
                <w:vertAlign w:val="superscript"/>
              </w:rPr>
              <w:t>(17)</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80,500</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Gregory J.</w:t>
            </w: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7,500</w:t>
            </w:r>
            <w:r>
              <w:rPr>
                <w:rFonts w:ascii="Arial" w:cs="Arial" w:eastAsia="Arial" w:hAnsi="Arial"/>
                <w:sz w:val="21"/>
                <w:szCs w:val="21"/>
                <w:color w:val="auto"/>
                <w:vertAlign w:val="superscript"/>
              </w:rPr>
              <w:t>(27)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Ritts</w:t>
            </w:r>
          </w:p>
        </w:tc>
        <w:tc>
          <w:tcPr>
            <w:tcW w:w="920" w:type="dxa"/>
            <w:vAlign w:val="bottom"/>
            <w:gridSpan w:val="3"/>
            <w:shd w:val="clear" w:color="auto" w:fill="CCEEFF"/>
          </w:tcPr>
          <w:p>
            <w:pPr>
              <w:ind w:left="700"/>
              <w:spacing w:after="0" w:line="131"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820"/>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vMerge w:val="continue"/>
            <w:shd w:val="clear" w:color="auto" w:fill="CCEEFF"/>
          </w:tcPr>
          <w:p>
            <w:pPr>
              <w:spacing w:after="0"/>
              <w:rPr>
                <w:sz w:val="11"/>
                <w:szCs w:val="11"/>
                <w:color w:val="auto"/>
              </w:rPr>
            </w:pPr>
          </w:p>
        </w:tc>
        <w:tc>
          <w:tcPr>
            <w:tcW w:w="22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96.87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10/1/2024</w:t>
            </w:r>
          </w:p>
        </w:tc>
        <w:tc>
          <w:tcPr>
            <w:tcW w:w="880" w:type="dxa"/>
            <w:vAlign w:val="bottom"/>
            <w:shd w:val="clear" w:color="auto" w:fill="CCEEFF"/>
          </w:tcPr>
          <w:p>
            <w:pPr>
              <w:jc w:val="right"/>
              <w:ind w:right="150"/>
              <w:spacing w:after="0" w:line="13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15,000</w:t>
            </w:r>
            <w:r>
              <w:rPr>
                <w:rFonts w:ascii="Arial" w:cs="Arial" w:eastAsia="Arial" w:hAnsi="Arial"/>
                <w:sz w:val="21"/>
                <w:szCs w:val="21"/>
                <w:color w:val="auto"/>
                <w:vertAlign w:val="superscript"/>
              </w:rPr>
              <w:t>(28)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10/1/2024</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7,500</w:t>
            </w: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10/1/2024</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4"/>
                <w:szCs w:val="14"/>
                <w:color w:val="auto"/>
              </w:rPr>
              <w:t>7,800</w:t>
            </w:r>
          </w:p>
        </w:tc>
        <w:tc>
          <w:tcPr>
            <w:tcW w:w="1160" w:type="dxa"/>
            <w:vAlign w:val="bottom"/>
            <w:gridSpan w:val="3"/>
            <w:shd w:val="clear" w:color="auto" w:fill="CCEEFF"/>
          </w:tcPr>
          <w:p>
            <w:pPr>
              <w:ind w:left="820"/>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4/15/2025</w:t>
            </w:r>
          </w:p>
        </w:tc>
        <w:tc>
          <w:tcPr>
            <w:tcW w:w="88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1,667</w:t>
            </w:r>
            <w:r>
              <w:rPr>
                <w:rFonts w:ascii="Arial" w:cs="Arial" w:eastAsia="Arial" w:hAnsi="Arial"/>
                <w:sz w:val="18"/>
                <w:szCs w:val="18"/>
                <w:color w:val="auto"/>
                <w:vertAlign w:val="superscript"/>
              </w:rPr>
              <w:t>(29)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8/29/2026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3,333</w:t>
            </w:r>
            <w:r>
              <w:rPr>
                <w:rFonts w:ascii="Arial" w:cs="Arial" w:eastAsia="Arial" w:hAnsi="Arial"/>
                <w:sz w:val="21"/>
                <w:szCs w:val="21"/>
                <w:color w:val="auto"/>
                <w:vertAlign w:val="superscript"/>
              </w:rPr>
              <w:t>(30)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8/29/2026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ind w:left="780"/>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32.64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8/29/2026</w:t>
            </w:r>
          </w:p>
        </w:tc>
        <w:tc>
          <w:tcPr>
            <w:tcW w:w="88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8"/>
              <w:spacing w:after="0" w:line="162" w:lineRule="exact"/>
              <w:rPr>
                <w:sz w:val="20"/>
                <w:szCs w:val="20"/>
                <w:color w:val="auto"/>
              </w:rPr>
            </w:pPr>
            <w:r>
              <w:rPr>
                <w:rFonts w:ascii="Arial" w:cs="Arial" w:eastAsia="Arial" w:hAnsi="Arial"/>
                <w:sz w:val="13"/>
                <w:szCs w:val="13"/>
                <w:color w:val="auto"/>
              </w:rPr>
              <w:t>1,421</w:t>
            </w:r>
            <w:r>
              <w:rPr>
                <w:rFonts w:ascii="Arial" w:cs="Arial" w:eastAsia="Arial" w:hAnsi="Arial"/>
                <w:sz w:val="18"/>
                <w:szCs w:val="18"/>
                <w:color w:val="auto"/>
                <w:vertAlign w:val="superscript"/>
              </w:rPr>
              <w:t>(7)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4/7/2027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1,667</w:t>
            </w:r>
            <w:r>
              <w:rPr>
                <w:rFonts w:ascii="Arial" w:cs="Arial" w:eastAsia="Arial" w:hAnsi="Arial"/>
                <w:sz w:val="18"/>
                <w:szCs w:val="18"/>
                <w:color w:val="auto"/>
                <w:vertAlign w:val="superscript"/>
              </w:rPr>
              <w:t>(31)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7/27/2027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w w:val="88"/>
              </w:rPr>
              <w:t>(8)</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3,333</w:t>
            </w:r>
            <w:r>
              <w:rPr>
                <w:rFonts w:ascii="Arial" w:cs="Arial" w:eastAsia="Arial" w:hAnsi="Arial"/>
                <w:sz w:val="21"/>
                <w:szCs w:val="21"/>
                <w:color w:val="auto"/>
                <w:vertAlign w:val="superscript"/>
              </w:rPr>
              <w:t>(32)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7/27/2027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4"/>
                <w:szCs w:val="14"/>
                <w:color w:val="auto"/>
              </w:rPr>
              <w:t>7,420</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ind w:left="480"/>
              <w:spacing w:after="0" w:line="135" w:lineRule="exact"/>
              <w:rPr>
                <w:sz w:val="20"/>
                <w:szCs w:val="20"/>
                <w:color w:val="auto"/>
              </w:rPr>
            </w:pPr>
            <w:r>
              <w:rPr>
                <w:rFonts w:ascii="Arial" w:cs="Arial" w:eastAsia="Arial" w:hAnsi="Arial"/>
                <w:sz w:val="14"/>
                <w:szCs w:val="14"/>
                <w:color w:val="auto"/>
                <w:w w:val="91"/>
              </w:rPr>
              <w:t>7,420</w:t>
            </w:r>
          </w:p>
        </w:tc>
        <w:tc>
          <w:tcPr>
            <w:tcW w:w="3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2/12/2028</w:t>
            </w:r>
          </w:p>
        </w:tc>
        <w:tc>
          <w:tcPr>
            <w:tcW w:w="880" w:type="dxa"/>
            <w:vAlign w:val="bottom"/>
            <w:shd w:val="clear" w:color="auto" w:fill="CCEEFF"/>
          </w:tcPr>
          <w:p>
            <w:pPr>
              <w:jc w:val="right"/>
              <w:ind w:right="150"/>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3,750</w:t>
            </w:r>
            <w:r>
              <w:rPr>
                <w:rFonts w:ascii="Arial" w:cs="Arial" w:eastAsia="Arial" w:hAnsi="Arial"/>
                <w:sz w:val="18"/>
                <w:szCs w:val="18"/>
                <w:color w:val="auto"/>
                <w:vertAlign w:val="superscript"/>
              </w:rPr>
              <w:t>(33)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line="162" w:lineRule="exact"/>
              <w:rPr>
                <w:sz w:val="20"/>
                <w:szCs w:val="20"/>
                <w:color w:val="auto"/>
              </w:rPr>
            </w:pPr>
            <w:r>
              <w:rPr>
                <w:rFonts w:ascii="Arial" w:cs="Arial" w:eastAsia="Arial" w:hAnsi="Arial"/>
                <w:sz w:val="13"/>
                <w:szCs w:val="13"/>
                <w:color w:val="auto"/>
              </w:rPr>
              <w:t>2,124</w:t>
            </w:r>
            <w:r>
              <w:rPr>
                <w:rFonts w:ascii="Arial" w:cs="Arial" w:eastAsia="Arial" w:hAnsi="Arial"/>
                <w:sz w:val="18"/>
                <w:szCs w:val="18"/>
                <w:color w:val="auto"/>
                <w:vertAlign w:val="superscript"/>
              </w:rPr>
              <w:t>(9)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2,776</w:t>
            </w:r>
            <w:r>
              <w:rPr>
                <w:rFonts w:ascii="Arial" w:cs="Arial" w:eastAsia="Arial" w:hAnsi="Arial"/>
                <w:sz w:val="18"/>
                <w:szCs w:val="18"/>
                <w:color w:val="auto"/>
                <w:vertAlign w:val="superscript"/>
              </w:rPr>
              <w:t>(10)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35,755</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4,793</w:t>
            </w:r>
            <w:r>
              <w:rPr>
                <w:rFonts w:ascii="Arial" w:cs="Arial" w:eastAsia="Arial" w:hAnsi="Arial"/>
                <w:sz w:val="18"/>
                <w:szCs w:val="18"/>
                <w:color w:val="auto"/>
                <w:vertAlign w:val="superscript"/>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3,195</w:t>
            </w:r>
            <w:r>
              <w:rPr>
                <w:rFonts w:ascii="Arial" w:cs="Arial" w:eastAsia="Arial" w:hAnsi="Arial"/>
                <w:sz w:val="18"/>
                <w:szCs w:val="18"/>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6,316</w:t>
            </w:r>
            <w:r>
              <w:rPr>
                <w:rFonts w:ascii="Arial" w:cs="Arial" w:eastAsia="Arial" w:hAnsi="Arial"/>
                <w:sz w:val="18"/>
                <w:szCs w:val="18"/>
                <w:color w:val="auto"/>
                <w:vertAlign w:val="superscript"/>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6,316</w:t>
            </w:r>
            <w:r>
              <w:rPr>
                <w:rFonts w:ascii="Arial" w:cs="Arial" w:eastAsia="Arial" w:hAnsi="Arial"/>
                <w:sz w:val="18"/>
                <w:szCs w:val="18"/>
                <w:color w:val="auto"/>
                <w:vertAlign w:val="superscript"/>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4,373</w:t>
            </w:r>
            <w:r>
              <w:rPr>
                <w:rFonts w:ascii="Arial" w:cs="Arial" w:eastAsia="Arial" w:hAnsi="Arial"/>
                <w:sz w:val="18"/>
                <w:szCs w:val="18"/>
                <w:color w:val="auto"/>
                <w:vertAlign w:val="superscript"/>
              </w:rPr>
              <w:t>(13)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56,324</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19,000</w:t>
            </w:r>
            <w:r>
              <w:rPr>
                <w:rFonts w:ascii="Arial" w:cs="Arial" w:eastAsia="Arial" w:hAnsi="Arial"/>
                <w:sz w:val="18"/>
                <w:szCs w:val="18"/>
                <w:color w:val="auto"/>
                <w:vertAlign w:val="superscript"/>
              </w:rPr>
              <w:t>(16)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244,720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ind w:left="78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4,750</w:t>
            </w:r>
            <w:r>
              <w:rPr>
                <w:rFonts w:ascii="Arial" w:cs="Arial" w:eastAsia="Arial" w:hAnsi="Arial"/>
                <w:sz w:val="21"/>
                <w:szCs w:val="21"/>
                <w:color w:val="auto"/>
                <w:vertAlign w:val="superscript"/>
              </w:rPr>
              <w:t>(17)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61,180</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49"/>
        <w:spacing w:after="0"/>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Options awarded for which the performance hurdles have been achieved but remain subject to additional service-based criteria.</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Options awarded for which the performance hurdles have not been achieved.</w:t>
      </w:r>
    </w:p>
    <w:p>
      <w:pPr>
        <w:spacing w:after="0" w:line="151" w:lineRule="exact"/>
        <w:rPr>
          <w:rFonts w:ascii="Arial" w:cs="Arial" w:eastAsia="Arial" w:hAnsi="Arial"/>
          <w:sz w:val="22"/>
          <w:szCs w:val="22"/>
          <w:color w:val="auto"/>
          <w:vertAlign w:val="superscript"/>
        </w:rPr>
      </w:pPr>
    </w:p>
    <w:p>
      <w:pPr>
        <w:ind w:left="1680" w:right="480" w:hanging="549"/>
        <w:spacing w:after="0" w:line="207" w:lineRule="auto"/>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exercise price of each outstanding stock option awarded prior to December 21, 2012 was adjusted to reflect the value of Altisource Asset Management Corporation ("AAMC") and RESI common stock distributed to Altisource shareholders in connection with the spin-off transactions completed on December 21, 2012.</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Restricted shares and RSUs awarded but remain subject to additional service-based vesting criteria.</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Restricted shares and RSUs awarded for which the performance hurdles have not been achieved.</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All award values set forth herein have been calculated using the closing common share price of $12.88 for Altisource as of December 31, 2020.</w:t>
      </w:r>
    </w:p>
    <w:p>
      <w:pPr>
        <w:spacing w:after="0" w:line="151" w:lineRule="exact"/>
        <w:rPr>
          <w:rFonts w:ascii="Arial" w:cs="Arial" w:eastAsia="Arial" w:hAnsi="Arial"/>
          <w:sz w:val="22"/>
          <w:szCs w:val="22"/>
          <w:color w:val="auto"/>
          <w:vertAlign w:val="superscript"/>
        </w:rPr>
      </w:pPr>
    </w:p>
    <w:p>
      <w:pPr>
        <w:ind w:left="1680" w:hanging="549"/>
        <w:spacing w:after="0" w:line="193" w:lineRule="auto"/>
        <w:tabs>
          <w:tab w:leader="none" w:pos="16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These performance-based stock options are scheduled to vest subject to the Company attaining a service revenue threshold in a calendar year during the period from 2017 through year-end 2021. If the Company achieves $1.5 billion in service revenue in a</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calendar year prior to 2021, one hundred and fifty percent (150%) of the target amount of options shall vest on the anniversary of the grant date that</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immediately follows the calendar year in which such target amount was achieved; no additional options shall vest if the Company again achieves</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$1.5 billion in service revenue in a calendar year prior to 2021. If the Company does not achieve $1.5 billion of service revenue in a calendar year prior</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to 2021, the Committee will determine the percentage of options eligible for vesting based on the Company's 2021 levels of performance defined in</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applicable award agreement. If the Company's performance is below a threshold level, no options shall be eligible to vest. If the Company's</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performance falls between pre-determined levels of performance, the percentage of options eligible for vesting will be determined using linear</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interpolation for performance that falls between such pre-determined levels. Options that are eligible for vesting based on 2021 pre-determined levels</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of performance will then vest on the fifth anniversary of the grant date (April 7, 2022), subject to continued employment except as otherwise set forth in</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award agreements. Options that are determined not to be eligible for vesting will be cancelled and forfeited.</w:t>
      </w:r>
    </w:p>
    <w:p>
      <w:pPr>
        <w:spacing w:after="0" w:line="217" w:lineRule="exact"/>
        <w:rPr>
          <w:sz w:val="20"/>
          <w:szCs w:val="20"/>
          <w:color w:val="auto"/>
        </w:rPr>
      </w:pPr>
    </w:p>
    <w:p>
      <w:pPr>
        <w:ind w:left="1680" w:right="120" w:hanging="549"/>
        <w:spacing w:after="0" w:line="214" w:lineRule="auto"/>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that started on February 12, 2020.</w:t>
      </w:r>
    </w:p>
    <w:p>
      <w:pPr>
        <w:spacing w:after="0" w:line="73"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RSUs vest in two (2) equal installments on February 12, 2021 and February 12, 2022.</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Restricted shares vest on February 25, 2021.</w:t>
      </w:r>
    </w:p>
    <w:p>
      <w:pPr>
        <w:spacing w:after="0" w:line="151" w:lineRule="exact"/>
        <w:rPr>
          <w:rFonts w:ascii="Arial" w:cs="Arial" w:eastAsia="Arial" w:hAnsi="Arial"/>
          <w:sz w:val="22"/>
          <w:szCs w:val="22"/>
          <w:color w:val="auto"/>
          <w:vertAlign w:val="superscript"/>
        </w:rPr>
      </w:pPr>
    </w:p>
    <w:p>
      <w:pPr>
        <w:ind w:left="1680" w:hanging="549"/>
        <w:spacing w:after="0" w:line="232" w:lineRule="auto"/>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Represents March 21, 2019 award of performance-based RSUs granted pursuant to our 2019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2019, 2020 and 2021.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2019 and 2021 goals are tied to 2019 and 2021 adjusted EPS (a non-GAAP measure). Based on the Company's level of performance versus the adjusted EPS goals over the two-year period (2019 and 2021), the achievement level can be between zero percent (0%) up to one hundred fifty percent (150%). In the second step, the Initial Award Size will be modified based on Altisource's TSR versus the return of the Russell 3000 stock market index during the performance period (2019 to 2021),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5" w:lineRule="exact"/>
        <w:rPr>
          <w:rFonts w:ascii="Arial" w:cs="Arial" w:eastAsia="Arial" w:hAnsi="Arial"/>
          <w:sz w:val="22"/>
          <w:szCs w:val="22"/>
          <w:color w:val="auto"/>
          <w:vertAlign w:val="superscript"/>
        </w:rPr>
      </w:pPr>
    </w:p>
    <w:p>
      <w:pPr>
        <w:ind w:left="1680" w:right="40" w:hanging="549"/>
        <w:spacing w:after="0" w:line="207" w:lineRule="auto"/>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Represents March 21, 2019 award of performance-based RSUs, which vest in two (2) equal installments on March 21, 2021 and March 21, 2022, subject each year to the executive officer meeting a minimum performance level of fifty percent (50%) on his or her annual scorecard for the 2020 and 2021 service years.</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RSUs vest in two (2) equal installments on February 26, 2021 and February 26, 2022.</w:t>
      </w:r>
    </w:p>
    <w:p>
      <w:pPr>
        <w:spacing w:after="0" w:line="151" w:lineRule="exact"/>
        <w:rPr>
          <w:rFonts w:ascii="Arial" w:cs="Arial" w:eastAsia="Arial" w:hAnsi="Arial"/>
          <w:sz w:val="22"/>
          <w:szCs w:val="22"/>
          <w:color w:val="auto"/>
          <w:vertAlign w:val="superscript"/>
        </w:rPr>
      </w:pPr>
    </w:p>
    <w:p>
      <w:pPr>
        <w:ind w:left="1680" w:right="300" w:hanging="549"/>
        <w:spacing w:after="0" w:line="202" w:lineRule="auto"/>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Represents February 27, 2020 award of performance-based RSUs, 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w:t>
      </w:r>
    </w:p>
    <w:p>
      <w:pPr>
        <w:spacing w:after="0" w:line="2" w:lineRule="exact"/>
        <w:rPr>
          <w:rFonts w:ascii="Arial" w:cs="Arial" w:eastAsia="Arial" w:hAnsi="Arial"/>
          <w:sz w:val="22"/>
          <w:szCs w:val="22"/>
          <w:color w:val="auto"/>
          <w:vertAlign w:val="superscript"/>
        </w:rPr>
      </w:pPr>
    </w:p>
    <w:p>
      <w:pPr>
        <w:ind w:left="1680"/>
        <w:spacing w:after="0" w:line="243" w:lineRule="auto"/>
        <w:rPr>
          <w:rFonts w:ascii="Arial" w:cs="Arial" w:eastAsia="Arial" w:hAnsi="Arial"/>
          <w:sz w:val="22"/>
          <w:szCs w:val="22"/>
          <w:color w:val="auto"/>
          <w:vertAlign w:val="superscript"/>
        </w:rPr>
      </w:pPr>
      <w:r>
        <w:rPr>
          <w:rFonts w:ascii="Arial" w:cs="Arial" w:eastAsia="Arial" w:hAnsi="Arial"/>
          <w:sz w:val="14"/>
          <w:szCs w:val="14"/>
          <w:color w:val="auto"/>
        </w:rPr>
        <w:t>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1" w:lineRule="exact"/>
        <w:rPr>
          <w:rFonts w:ascii="Arial" w:cs="Arial" w:eastAsia="Arial" w:hAnsi="Arial"/>
          <w:sz w:val="22"/>
          <w:szCs w:val="22"/>
          <w:color w:val="auto"/>
          <w:vertAlign w:val="superscript"/>
        </w:rPr>
      </w:pPr>
    </w:p>
    <w:p>
      <w:pPr>
        <w:jc w:val="both"/>
        <w:ind w:left="1680" w:right="340" w:hanging="549"/>
        <w:spacing w:after="0" w:line="207" w:lineRule="auto"/>
        <w:tabs>
          <w:tab w:leader="none" w:pos="168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Represents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 service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80" w:hanging="549"/>
        <w:spacing w:after="0"/>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Granted pursuant to our 2009 Equity Incentive Plan. Performance-based RSU awards are scheduled to vest as follows:</w:t>
      </w:r>
    </w:p>
    <w:p>
      <w:pPr>
        <w:spacing w:after="0" w:line="367" w:lineRule="exact"/>
        <w:rPr>
          <w:rFonts w:ascii="Arial" w:cs="Arial" w:eastAsia="Arial" w:hAnsi="Arial"/>
          <w:sz w:val="22"/>
          <w:szCs w:val="22"/>
          <w:color w:val="auto"/>
          <w:vertAlign w:val="superscript"/>
        </w:rPr>
      </w:pPr>
    </w:p>
    <w:p>
      <w:pPr>
        <w:ind w:left="2220" w:right="6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–10% of the award will begin to vest once the average closing price of Altisource's common stock is at or above $20 per share over a period of 30 calendar days (55% above the closing price of Altisource's common stock as of the grant date)</w:t>
      </w:r>
    </w:p>
    <w:p>
      <w:pPr>
        <w:spacing w:after="0" w:line="139" w:lineRule="exact"/>
        <w:rPr>
          <w:rFonts w:ascii="Arial" w:cs="Arial" w:eastAsia="Arial" w:hAnsi="Arial"/>
          <w:sz w:val="22"/>
          <w:szCs w:val="22"/>
          <w:color w:val="auto"/>
          <w:vertAlign w:val="superscript"/>
        </w:rPr>
      </w:pPr>
    </w:p>
    <w:p>
      <w:pPr>
        <w:ind w:left="2220" w:right="6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–30% of the award will begin to vest once the average closing price of Altisource's common stock is at or above $25 per share over a period of 30 calendar days (93% above the closing price of Altisource's common stock as of the grant date)</w:t>
      </w:r>
    </w:p>
    <w:p>
      <w:pPr>
        <w:spacing w:after="0" w:line="139" w:lineRule="exact"/>
        <w:rPr>
          <w:rFonts w:ascii="Arial" w:cs="Arial" w:eastAsia="Arial" w:hAnsi="Arial"/>
          <w:sz w:val="22"/>
          <w:szCs w:val="22"/>
          <w:color w:val="auto"/>
          <w:vertAlign w:val="superscript"/>
        </w:rPr>
      </w:pPr>
    </w:p>
    <w:p>
      <w:pPr>
        <w:ind w:left="2220" w:right="60" w:hanging="54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–40% of the award will begin to vest once the average closing price of Altisource's common stock is at or above $35 per share over a period of 30 calendar days (171% above the closing price of Altisource's common stock as of the grant date)</w:t>
      </w:r>
    </w:p>
    <w:p>
      <w:pPr>
        <w:spacing w:after="0" w:line="275"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Time-based RSU awards are scheduled to vest in three (3) equal installments on October 01, 2021, October 01, 2022 and October 01, 2023.</w:t>
      </w:r>
    </w:p>
    <w:p>
      <w:pPr>
        <w:spacing w:after="0" w:line="151" w:lineRule="exact"/>
        <w:rPr>
          <w:rFonts w:ascii="Arial" w:cs="Arial" w:eastAsia="Arial" w:hAnsi="Arial"/>
          <w:sz w:val="22"/>
          <w:szCs w:val="22"/>
          <w:color w:val="auto"/>
          <w:vertAlign w:val="superscript"/>
        </w:rPr>
      </w:pPr>
    </w:p>
    <w:p>
      <w:pPr>
        <w:ind w:left="1680" w:right="4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Twenty-five percent (25%) of options vest upon Altisource achieving a stock price of $190.29 and an annual rate of return of twenty-five percent (25%) over the exercise price, with the balance vesting twenty-five percent (25%) each subsequent anniversary thereof.</w:t>
      </w:r>
    </w:p>
    <w:p>
      <w:pPr>
        <w:spacing w:after="0" w:line="153" w:lineRule="exact"/>
        <w:rPr>
          <w:rFonts w:ascii="Arial" w:cs="Arial" w:eastAsia="Arial" w:hAnsi="Arial"/>
          <w:sz w:val="22"/>
          <w:szCs w:val="22"/>
          <w:color w:val="auto"/>
          <w:vertAlign w:val="superscript"/>
        </w:rPr>
      </w:pPr>
    </w:p>
    <w:p>
      <w:pPr>
        <w:ind w:left="1680" w:right="12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72"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RSUs vest in two (2) equal installments on January 29, 2021 and January 29, 2022.</w:t>
      </w:r>
    </w:p>
    <w:p>
      <w:pPr>
        <w:spacing w:after="0" w:line="151" w:lineRule="exact"/>
        <w:rPr>
          <w:rFonts w:ascii="Arial" w:cs="Arial" w:eastAsia="Arial" w:hAnsi="Arial"/>
          <w:sz w:val="22"/>
          <w:szCs w:val="22"/>
          <w:color w:val="auto"/>
          <w:vertAlign w:val="superscript"/>
        </w:rPr>
      </w:pPr>
    </w:p>
    <w:p>
      <w:pPr>
        <w:ind w:left="1680" w:right="300" w:hanging="549"/>
        <w:spacing w:after="0" w:line="202"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Represents January 24, 2020 award of performance-based RSUs, 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w:t>
      </w:r>
    </w:p>
    <w:p>
      <w:pPr>
        <w:spacing w:after="0" w:line="2" w:lineRule="exact"/>
        <w:rPr>
          <w:rFonts w:ascii="Arial" w:cs="Arial" w:eastAsia="Arial" w:hAnsi="Arial"/>
          <w:sz w:val="22"/>
          <w:szCs w:val="22"/>
          <w:color w:val="auto"/>
          <w:vertAlign w:val="superscript"/>
        </w:rPr>
      </w:pPr>
    </w:p>
    <w:p>
      <w:pPr>
        <w:ind w:left="1680"/>
        <w:spacing w:after="0" w:line="243" w:lineRule="auto"/>
        <w:rPr>
          <w:rFonts w:ascii="Arial" w:cs="Arial" w:eastAsia="Arial" w:hAnsi="Arial"/>
          <w:sz w:val="22"/>
          <w:szCs w:val="22"/>
          <w:color w:val="auto"/>
          <w:vertAlign w:val="superscript"/>
        </w:rPr>
      </w:pPr>
      <w:r>
        <w:rPr>
          <w:rFonts w:ascii="Arial" w:cs="Arial" w:eastAsia="Arial" w:hAnsi="Arial"/>
          <w:sz w:val="14"/>
          <w:szCs w:val="14"/>
          <w:color w:val="auto"/>
        </w:rPr>
        <w:t>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1" w:lineRule="exact"/>
        <w:rPr>
          <w:rFonts w:ascii="Arial" w:cs="Arial" w:eastAsia="Arial" w:hAnsi="Arial"/>
          <w:sz w:val="22"/>
          <w:szCs w:val="22"/>
          <w:color w:val="auto"/>
          <w:vertAlign w:val="superscript"/>
        </w:rPr>
      </w:pPr>
    </w:p>
    <w:p>
      <w:pPr>
        <w:ind w:left="1680" w:right="160" w:hanging="549"/>
        <w:spacing w:after="0" w:line="207"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Represents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2020,2021 and 2022 service years.</w:t>
      </w:r>
    </w:p>
    <w:p>
      <w:pPr>
        <w:spacing w:after="0" w:line="71"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Time-based RSU awards are scheduled to vest in three (3) equal installments on February 26,2021, February 26, 2022 and February 26,2023.</w:t>
      </w:r>
    </w:p>
    <w:p>
      <w:pPr>
        <w:spacing w:after="0" w:line="151" w:lineRule="exact"/>
        <w:rPr>
          <w:rFonts w:ascii="Arial" w:cs="Arial" w:eastAsia="Arial" w:hAnsi="Arial"/>
          <w:sz w:val="22"/>
          <w:szCs w:val="22"/>
          <w:color w:val="auto"/>
          <w:vertAlign w:val="superscript"/>
        </w:rPr>
      </w:pPr>
    </w:p>
    <w:p>
      <w:pPr>
        <w:ind w:left="1680" w:right="6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One third of options vest upon Altisource achieving a stock price of $77.79 and an annual rate of return of twenty-five percent (25%) over the exercise price with the balance vesting one-third each subsequent anniversary thereof.</w:t>
      </w:r>
    </w:p>
    <w:p>
      <w:pPr>
        <w:spacing w:after="0" w:line="153" w:lineRule="exact"/>
        <w:rPr>
          <w:rFonts w:ascii="Arial" w:cs="Arial" w:eastAsia="Arial" w:hAnsi="Arial"/>
          <w:sz w:val="22"/>
          <w:szCs w:val="22"/>
          <w:color w:val="auto"/>
          <w:vertAlign w:val="superscript"/>
        </w:rPr>
      </w:pPr>
    </w:p>
    <w:p>
      <w:pPr>
        <w:ind w:left="1680" w:right="34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One third of options vest upon Altisource achieving a stock price of $51.86 and an annual rate of return of twenty percent (20%) over the exercise price with the balance vesting one-third each subsequent anniversary thereof.</w:t>
      </w:r>
    </w:p>
    <w:p>
      <w:pPr>
        <w:spacing w:after="0" w:line="72"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RSUs vest on November 12, 2021.</w:t>
      </w:r>
    </w:p>
    <w:p>
      <w:pPr>
        <w:spacing w:after="0" w:line="151" w:lineRule="exact"/>
        <w:rPr>
          <w:rFonts w:ascii="Arial" w:cs="Arial" w:eastAsia="Arial" w:hAnsi="Arial"/>
          <w:sz w:val="22"/>
          <w:szCs w:val="22"/>
          <w:color w:val="auto"/>
          <w:vertAlign w:val="superscript"/>
        </w:rPr>
      </w:pPr>
    </w:p>
    <w:p>
      <w:pPr>
        <w:ind w:left="1680" w:right="30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153" w:lineRule="exact"/>
        <w:rPr>
          <w:rFonts w:ascii="Arial" w:cs="Arial" w:eastAsia="Arial" w:hAnsi="Arial"/>
          <w:sz w:val="22"/>
          <w:szCs w:val="22"/>
          <w:color w:val="auto"/>
          <w:vertAlign w:val="superscript"/>
        </w:rPr>
      </w:pPr>
    </w:p>
    <w:p>
      <w:pPr>
        <w:ind w:left="1680" w:right="30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53" w:lineRule="exact"/>
        <w:rPr>
          <w:rFonts w:ascii="Arial" w:cs="Arial" w:eastAsia="Arial" w:hAnsi="Arial"/>
          <w:sz w:val="22"/>
          <w:szCs w:val="22"/>
          <w:color w:val="auto"/>
          <w:vertAlign w:val="superscript"/>
        </w:rPr>
      </w:pPr>
    </w:p>
    <w:p>
      <w:pPr>
        <w:ind w:left="1680" w:right="6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53" w:lineRule="exact"/>
        <w:rPr>
          <w:rFonts w:ascii="Arial" w:cs="Arial" w:eastAsia="Arial" w:hAnsi="Arial"/>
          <w:sz w:val="22"/>
          <w:szCs w:val="22"/>
          <w:color w:val="auto"/>
          <w:vertAlign w:val="superscript"/>
        </w:rPr>
      </w:pPr>
    </w:p>
    <w:p>
      <w:pPr>
        <w:ind w:left="1680" w:right="320" w:hanging="549"/>
        <w:spacing w:after="0" w:line="193" w:lineRule="auto"/>
        <w:tabs>
          <w:tab w:leader="none" w:pos="168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$65.28 and an annual rate of return of twenty percent (20%) over the exercise price with the balance vesting one-third each subsequent anniversary thereof.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80" w:hanging="549"/>
        <w:spacing w:after="0" w:line="193" w:lineRule="auto"/>
        <w:tabs>
          <w:tab w:leader="none" w:pos="16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153" w:lineRule="exact"/>
        <w:rPr>
          <w:rFonts w:ascii="Arial" w:cs="Arial" w:eastAsia="Arial" w:hAnsi="Arial"/>
          <w:sz w:val="22"/>
          <w:szCs w:val="22"/>
          <w:color w:val="auto"/>
          <w:vertAlign w:val="superscript"/>
        </w:rPr>
      </w:pPr>
    </w:p>
    <w:p>
      <w:pPr>
        <w:ind w:left="1680" w:right="260" w:hanging="549"/>
        <w:spacing w:after="0" w:line="193" w:lineRule="auto"/>
        <w:tabs>
          <w:tab w:leader="none" w:pos="16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One-third of options vest upon Altisource achieving a stock price of $55.30 and an annual rate of return of twenty percent (20%) over the exercise price with the balance vesting one-third each subsequent anniversary thereof.</w:t>
      </w:r>
    </w:p>
    <w:p>
      <w:pPr>
        <w:spacing w:after="0" w:line="72"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Restricted shares vest on November 13,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2020</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following table provides information regarding the vesting of restricted shares and RSU awards during the fiscal year ended December 31, 2020 for our Named Executive Officers (there were no stock option exercises in 2020):</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2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Stock Awards</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Number of Shares</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Value Realized</w:t>
            </w:r>
          </w:p>
        </w:tc>
        <w:tc>
          <w:tcPr>
            <w:tcW w:w="0" w:type="dxa"/>
            <w:vAlign w:val="bottom"/>
          </w:tcPr>
          <w:p>
            <w:pPr>
              <w:spacing w:after="0"/>
              <w:rPr>
                <w:sz w:val="1"/>
                <w:szCs w:val="1"/>
                <w:color w:val="auto"/>
              </w:rPr>
            </w:pPr>
          </w:p>
        </w:tc>
      </w:tr>
      <w:tr>
        <w:trPr>
          <w:trHeight w:val="181"/>
        </w:trPr>
        <w:tc>
          <w:tcPr>
            <w:tcW w:w="2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460"/>
              <w:spacing w:after="0" w:line="181" w:lineRule="exact"/>
              <w:rPr>
                <w:sz w:val="20"/>
                <w:szCs w:val="20"/>
                <w:color w:val="auto"/>
              </w:rPr>
            </w:pPr>
            <w:r>
              <w:rPr>
                <w:rFonts w:ascii="Arial" w:cs="Arial" w:eastAsia="Arial" w:hAnsi="Arial"/>
                <w:sz w:val="18"/>
                <w:szCs w:val="18"/>
                <w:b w:val="1"/>
                <w:bCs w:val="1"/>
                <w:color w:val="auto"/>
              </w:rPr>
              <w:t>Acquired on</w:t>
            </w: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1500" w:type="dxa"/>
            <w:vAlign w:val="bottom"/>
            <w:tcBorders>
              <w:bottom w:val="single" w:sz="8" w:color="auto"/>
            </w:tcBorders>
            <w:gridSpan w:val="2"/>
          </w:tcPr>
          <w:p>
            <w:pPr>
              <w:jc w:val="right"/>
              <w:ind w:right="367"/>
              <w:spacing w:after="0"/>
              <w:rPr>
                <w:sz w:val="20"/>
                <w:szCs w:val="20"/>
                <w:color w:val="auto"/>
              </w:rPr>
            </w:pPr>
            <w:r>
              <w:rPr>
                <w:rFonts w:ascii="Arial" w:cs="Arial" w:eastAsia="Arial" w:hAnsi="Arial"/>
                <w:sz w:val="18"/>
                <w:szCs w:val="18"/>
                <w:b w:val="1"/>
                <w:bCs w:val="1"/>
                <w:color w:val="auto"/>
              </w:rPr>
              <w:t>Vesting</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17"/>
                <w:szCs w:val="17"/>
                <w:b w:val="1"/>
                <w:bCs w:val="1"/>
                <w:color w:val="auto"/>
              </w:rPr>
              <w:t>on Vesting</w:t>
            </w:r>
            <w:r>
              <w:rPr>
                <w:rFonts w:ascii="Arial" w:cs="Arial" w:eastAsia="Arial" w:hAnsi="Arial"/>
                <w:sz w:val="28"/>
                <w:szCs w:val="28"/>
                <w:b w:val="1"/>
                <w:bCs w:val="1"/>
                <w:color w:val="auto"/>
                <w:vertAlign w:val="superscript"/>
              </w:rPr>
              <w:t>(1)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William B. Shepro</w:t>
            </w:r>
          </w:p>
        </w:tc>
        <w:tc>
          <w:tcPr>
            <w:tcW w:w="1720" w:type="dxa"/>
            <w:vAlign w:val="bottom"/>
            <w:gridSpan w:val="3"/>
            <w:shd w:val="clear" w:color="auto" w:fill="CCEEFF"/>
          </w:tcPr>
          <w:p>
            <w:pPr>
              <w:jc w:val="right"/>
              <w:ind w:right="227"/>
              <w:spacing w:after="0" w:line="195" w:lineRule="exact"/>
              <w:rPr>
                <w:sz w:val="20"/>
                <w:szCs w:val="20"/>
                <w:color w:val="auto"/>
              </w:rPr>
            </w:pPr>
            <w:r>
              <w:rPr>
                <w:rFonts w:ascii="Arial" w:cs="Arial" w:eastAsia="Arial" w:hAnsi="Arial"/>
                <w:sz w:val="14"/>
                <w:szCs w:val="14"/>
                <w:color w:val="auto"/>
              </w:rPr>
              <w:t>4,309</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31,844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7"/>
              <w:spacing w:after="0" w:line="216" w:lineRule="exact"/>
              <w:rPr>
                <w:sz w:val="20"/>
                <w:szCs w:val="20"/>
                <w:color w:val="auto"/>
              </w:rPr>
            </w:pPr>
            <w:r>
              <w:rPr>
                <w:rFonts w:ascii="Arial" w:cs="Arial" w:eastAsia="Arial" w:hAnsi="Arial"/>
                <w:sz w:val="16"/>
                <w:szCs w:val="16"/>
                <w:color w:val="auto"/>
              </w:rPr>
              <w:t>25,000</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490,000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7"/>
              <w:spacing w:after="0" w:line="216" w:lineRule="exact"/>
              <w:rPr>
                <w:sz w:val="20"/>
                <w:szCs w:val="20"/>
                <w:color w:val="auto"/>
              </w:rPr>
            </w:pPr>
            <w:r>
              <w:rPr>
                <w:rFonts w:ascii="Arial" w:cs="Arial" w:eastAsia="Arial" w:hAnsi="Arial"/>
                <w:sz w:val="16"/>
                <w:szCs w:val="16"/>
                <w:color w:val="auto"/>
              </w:rPr>
              <w:t>19,221</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363,469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7"/>
              <w:spacing w:after="0" w:line="216" w:lineRule="exact"/>
              <w:rPr>
                <w:sz w:val="20"/>
                <w:szCs w:val="20"/>
                <w:color w:val="auto"/>
              </w:rPr>
            </w:pPr>
            <w:r>
              <w:rPr>
                <w:rFonts w:ascii="Arial" w:cs="Arial" w:eastAsia="Arial" w:hAnsi="Arial"/>
                <w:sz w:val="16"/>
                <w:szCs w:val="16"/>
                <w:color w:val="auto"/>
              </w:rPr>
              <w:t>8,183</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67,592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Kevin J. Wilcox</w:t>
            </w:r>
          </w:p>
        </w:tc>
        <w:tc>
          <w:tcPr>
            <w:tcW w:w="1720" w:type="dxa"/>
            <w:vAlign w:val="bottom"/>
            <w:gridSpan w:val="3"/>
          </w:tcPr>
          <w:p>
            <w:pPr>
              <w:jc w:val="right"/>
              <w:ind w:right="227"/>
              <w:spacing w:after="0" w:line="218" w:lineRule="exact"/>
              <w:rPr>
                <w:sz w:val="20"/>
                <w:szCs w:val="20"/>
                <w:color w:val="auto"/>
              </w:rPr>
            </w:pPr>
            <w:r>
              <w:rPr>
                <w:rFonts w:ascii="Arial" w:cs="Arial" w:eastAsia="Arial" w:hAnsi="Arial"/>
                <w:sz w:val="16"/>
                <w:szCs w:val="16"/>
                <w:color w:val="auto"/>
              </w:rPr>
              <w:t>1.005</w:t>
            </w:r>
            <w:r>
              <w:rPr>
                <w:rFonts w:ascii="Arial" w:cs="Arial" w:eastAsia="Arial" w:hAnsi="Arial"/>
                <w:sz w:val="25"/>
                <w:szCs w:val="25"/>
                <w:color w:val="auto"/>
                <w:vertAlign w:val="superscript"/>
              </w:rPr>
              <w:t>(6)</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227"/>
              <w:spacing w:after="0" w:line="216" w:lineRule="exact"/>
              <w:rPr>
                <w:sz w:val="20"/>
                <w:szCs w:val="20"/>
                <w:color w:val="auto"/>
              </w:rPr>
            </w:pPr>
            <w:r>
              <w:rPr>
                <w:rFonts w:ascii="Arial" w:cs="Arial" w:eastAsia="Arial" w:hAnsi="Arial"/>
                <w:sz w:val="16"/>
                <w:szCs w:val="16"/>
                <w:color w:val="auto"/>
              </w:rPr>
              <w:t>12,500</w:t>
            </w:r>
            <w:r>
              <w:rPr>
                <w:rFonts w:ascii="Arial" w:cs="Arial" w:eastAsia="Arial" w:hAnsi="Arial"/>
                <w:sz w:val="25"/>
                <w:szCs w:val="25"/>
                <w:color w:val="auto"/>
                <w:vertAlign w:val="superscript"/>
              </w:rPr>
              <w:t>(7)</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245,000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227"/>
              <w:spacing w:after="0" w:line="216" w:lineRule="exact"/>
              <w:rPr>
                <w:sz w:val="20"/>
                <w:szCs w:val="20"/>
                <w:color w:val="auto"/>
              </w:rPr>
            </w:pPr>
            <w:r>
              <w:rPr>
                <w:rFonts w:ascii="Arial" w:cs="Arial" w:eastAsia="Arial" w:hAnsi="Arial"/>
                <w:sz w:val="16"/>
                <w:szCs w:val="16"/>
                <w:color w:val="auto"/>
              </w:rPr>
              <w:t>25,000</w:t>
            </w:r>
            <w:r>
              <w:rPr>
                <w:rFonts w:ascii="Arial" w:cs="Arial" w:eastAsia="Arial" w:hAnsi="Arial"/>
                <w:sz w:val="25"/>
                <w:szCs w:val="25"/>
                <w:color w:val="auto"/>
                <w:vertAlign w:val="superscript"/>
              </w:rPr>
              <w:t>(8)</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204,250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227"/>
              <w:spacing w:after="0" w:line="216" w:lineRule="exact"/>
              <w:rPr>
                <w:sz w:val="20"/>
                <w:szCs w:val="20"/>
                <w:color w:val="auto"/>
              </w:rPr>
            </w:pPr>
            <w:r>
              <w:rPr>
                <w:rFonts w:ascii="Arial" w:cs="Arial" w:eastAsia="Arial" w:hAnsi="Arial"/>
                <w:sz w:val="16"/>
                <w:szCs w:val="16"/>
                <w:color w:val="auto"/>
              </w:rPr>
              <w:t>7,613</w:t>
            </w:r>
            <w:r>
              <w:rPr>
                <w:rFonts w:ascii="Arial" w:cs="Arial" w:eastAsia="Arial" w:hAnsi="Arial"/>
                <w:sz w:val="25"/>
                <w:szCs w:val="25"/>
                <w:color w:val="auto"/>
                <w:vertAlign w:val="superscript"/>
              </w:rPr>
              <w:t>(9)</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143,962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147"/>
              <w:spacing w:after="0" w:line="216" w:lineRule="exact"/>
              <w:rPr>
                <w:sz w:val="20"/>
                <w:szCs w:val="20"/>
                <w:color w:val="auto"/>
              </w:rPr>
            </w:pPr>
            <w:r>
              <w:rPr>
                <w:rFonts w:ascii="Arial" w:cs="Arial" w:eastAsia="Arial" w:hAnsi="Arial"/>
                <w:sz w:val="16"/>
                <w:szCs w:val="16"/>
                <w:color w:val="auto"/>
              </w:rPr>
              <w:t>7,613</w:t>
            </w:r>
            <w:r>
              <w:rPr>
                <w:rFonts w:ascii="Arial" w:cs="Arial" w:eastAsia="Arial" w:hAnsi="Arial"/>
                <w:sz w:val="25"/>
                <w:szCs w:val="25"/>
                <w:color w:val="auto"/>
                <w:vertAlign w:val="superscript"/>
              </w:rPr>
              <w:t>(10)</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62,198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147"/>
              <w:spacing w:after="0" w:line="216" w:lineRule="exact"/>
              <w:rPr>
                <w:sz w:val="20"/>
                <w:szCs w:val="20"/>
                <w:color w:val="auto"/>
              </w:rPr>
            </w:pPr>
            <w:r>
              <w:rPr>
                <w:rFonts w:ascii="Arial" w:cs="Arial" w:eastAsia="Arial" w:hAnsi="Arial"/>
                <w:sz w:val="16"/>
                <w:szCs w:val="16"/>
                <w:color w:val="auto"/>
              </w:rPr>
              <w:t>3,994</w:t>
            </w:r>
            <w:r>
              <w:rPr>
                <w:rFonts w:ascii="Arial" w:cs="Arial" w:eastAsia="Arial" w:hAnsi="Arial"/>
                <w:sz w:val="25"/>
                <w:szCs w:val="25"/>
                <w:color w:val="auto"/>
                <w:vertAlign w:val="superscript"/>
              </w:rPr>
              <w:t>(11)</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32,990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720" w:type="dxa"/>
            <w:vAlign w:val="bottom"/>
            <w:gridSpan w:val="3"/>
          </w:tcPr>
          <w:p>
            <w:pPr>
              <w:jc w:val="right"/>
              <w:ind w:right="147"/>
              <w:spacing w:after="0" w:line="200" w:lineRule="exact"/>
              <w:rPr>
                <w:sz w:val="20"/>
                <w:szCs w:val="20"/>
                <w:color w:val="auto"/>
              </w:rPr>
            </w:pPr>
            <w:r>
              <w:rPr>
                <w:rFonts w:ascii="Arial" w:cs="Arial" w:eastAsia="Arial" w:hAnsi="Arial"/>
                <w:sz w:val="15"/>
                <w:szCs w:val="15"/>
                <w:color w:val="auto"/>
              </w:rPr>
              <w:t>7,988</w:t>
            </w:r>
            <w:r>
              <w:rPr>
                <w:rFonts w:ascii="Arial" w:cs="Arial" w:eastAsia="Arial" w:hAnsi="Arial"/>
                <w:sz w:val="23"/>
                <w:szCs w:val="23"/>
                <w:color w:val="auto"/>
                <w:vertAlign w:val="superscript"/>
              </w:rPr>
              <w:t>(12)</w:t>
            </w:r>
          </w:p>
        </w:tc>
        <w:tc>
          <w:tcPr>
            <w:tcW w:w="220" w:type="dxa"/>
            <w:vAlign w:val="bottom"/>
          </w:tcPr>
          <w:p>
            <w:pPr>
              <w:spacing w:after="0"/>
              <w:rPr>
                <w:sz w:val="17"/>
                <w:szCs w:val="17"/>
                <w:color w:val="auto"/>
              </w:rPr>
            </w:pP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65,262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Michelle D. Esterman</w:t>
            </w:r>
          </w:p>
        </w:tc>
        <w:tc>
          <w:tcPr>
            <w:tcW w:w="1720" w:type="dxa"/>
            <w:vAlign w:val="bottom"/>
            <w:gridSpan w:val="3"/>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603</w:t>
            </w:r>
            <w:r>
              <w:rPr>
                <w:rFonts w:ascii="Arial" w:cs="Arial" w:eastAsia="Arial" w:hAnsi="Arial"/>
                <w:sz w:val="14"/>
                <w:szCs w:val="14"/>
                <w:color w:val="auto"/>
              </w:rPr>
              <w:t>(13)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4,456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7"/>
              <w:spacing w:after="0" w:line="216" w:lineRule="exact"/>
              <w:rPr>
                <w:sz w:val="20"/>
                <w:szCs w:val="20"/>
                <w:color w:val="auto"/>
              </w:rPr>
            </w:pPr>
            <w:r>
              <w:rPr>
                <w:rFonts w:ascii="Arial" w:cs="Arial" w:eastAsia="Arial" w:hAnsi="Arial"/>
                <w:sz w:val="16"/>
                <w:szCs w:val="16"/>
                <w:color w:val="auto"/>
              </w:rPr>
              <w:t>1,240</w:t>
            </w:r>
            <w:r>
              <w:rPr>
                <w:rFonts w:ascii="Arial" w:cs="Arial" w:eastAsia="Arial" w:hAnsi="Arial"/>
                <w:sz w:val="25"/>
                <w:szCs w:val="25"/>
                <w:color w:val="auto"/>
                <w:vertAlign w:val="superscript"/>
              </w:rPr>
              <w:t>(14)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7"/>
              <w:spacing w:after="0" w:line="216" w:lineRule="exact"/>
              <w:rPr>
                <w:sz w:val="20"/>
                <w:szCs w:val="20"/>
                <w:color w:val="auto"/>
              </w:rPr>
            </w:pPr>
            <w:r>
              <w:rPr>
                <w:rFonts w:ascii="Arial" w:cs="Arial" w:eastAsia="Arial" w:hAnsi="Arial"/>
                <w:sz w:val="16"/>
                <w:szCs w:val="16"/>
                <w:color w:val="auto"/>
              </w:rPr>
              <w:t>5,000</w:t>
            </w:r>
            <w:r>
              <w:rPr>
                <w:rFonts w:ascii="Arial" w:cs="Arial" w:eastAsia="Arial" w:hAnsi="Arial"/>
                <w:sz w:val="25"/>
                <w:szCs w:val="25"/>
                <w:color w:val="auto"/>
                <w:vertAlign w:val="superscript"/>
              </w:rPr>
              <w:t>(15)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94,700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5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7"/>
              </w:rPr>
              <w:t>(16)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80,481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5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7"/>
              </w:rPr>
              <w:t>(17)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Marcello Mastioni</w:t>
            </w:r>
          </w:p>
        </w:tc>
        <w:tc>
          <w:tcPr>
            <w:tcW w:w="1720" w:type="dxa"/>
            <w:vAlign w:val="bottom"/>
            <w:gridSpan w:val="3"/>
          </w:tcPr>
          <w:p>
            <w:pPr>
              <w:jc w:val="right"/>
              <w:ind w:right="147"/>
              <w:spacing w:after="0" w:line="218" w:lineRule="exact"/>
              <w:rPr>
                <w:sz w:val="20"/>
                <w:szCs w:val="20"/>
                <w:color w:val="auto"/>
              </w:rPr>
            </w:pPr>
            <w:r>
              <w:rPr>
                <w:rFonts w:ascii="Arial" w:cs="Arial" w:eastAsia="Arial" w:hAnsi="Arial"/>
                <w:sz w:val="16"/>
                <w:szCs w:val="16"/>
                <w:color w:val="auto"/>
              </w:rPr>
              <w:t>10,000</w:t>
            </w:r>
            <w:r>
              <w:rPr>
                <w:rFonts w:ascii="Arial" w:cs="Arial" w:eastAsia="Arial" w:hAnsi="Arial"/>
                <w:sz w:val="25"/>
                <w:szCs w:val="25"/>
                <w:color w:val="auto"/>
                <w:vertAlign w:val="superscript"/>
              </w:rPr>
              <w:t>(18)</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134,600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147"/>
              <w:spacing w:after="0" w:line="216" w:lineRule="exact"/>
              <w:rPr>
                <w:sz w:val="20"/>
                <w:szCs w:val="20"/>
                <w:color w:val="auto"/>
              </w:rPr>
            </w:pPr>
            <w:r>
              <w:rPr>
                <w:rFonts w:ascii="Arial" w:cs="Arial" w:eastAsia="Arial" w:hAnsi="Arial"/>
                <w:sz w:val="16"/>
                <w:szCs w:val="16"/>
                <w:color w:val="auto"/>
              </w:rPr>
              <w:t>1,594</w:t>
            </w:r>
            <w:r>
              <w:rPr>
                <w:rFonts w:ascii="Arial" w:cs="Arial" w:eastAsia="Arial" w:hAnsi="Arial"/>
                <w:sz w:val="25"/>
                <w:szCs w:val="25"/>
                <w:color w:val="auto"/>
                <w:vertAlign w:val="superscript"/>
              </w:rPr>
              <w:t>(19)</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31,242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147"/>
              <w:spacing w:after="0" w:line="216" w:lineRule="exact"/>
              <w:rPr>
                <w:sz w:val="20"/>
                <w:szCs w:val="20"/>
                <w:color w:val="auto"/>
              </w:rPr>
            </w:pPr>
            <w:r>
              <w:rPr>
                <w:rFonts w:ascii="Arial" w:cs="Arial" w:eastAsia="Arial" w:hAnsi="Arial"/>
                <w:sz w:val="16"/>
                <w:szCs w:val="16"/>
                <w:color w:val="auto"/>
              </w:rPr>
              <w:t>5,000</w:t>
            </w:r>
            <w:r>
              <w:rPr>
                <w:rFonts w:ascii="Arial" w:cs="Arial" w:eastAsia="Arial" w:hAnsi="Arial"/>
                <w:sz w:val="25"/>
                <w:szCs w:val="25"/>
                <w:color w:val="auto"/>
                <w:vertAlign w:val="superscript"/>
              </w:rPr>
              <w:t>(20)</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61,250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20" w:type="dxa"/>
            <w:vAlign w:val="bottom"/>
            <w:gridSpan w:val="3"/>
          </w:tcPr>
          <w:p>
            <w:pPr>
              <w:jc w:val="right"/>
              <w:ind w:right="147"/>
              <w:spacing w:after="0" w:line="216" w:lineRule="exact"/>
              <w:rPr>
                <w:sz w:val="20"/>
                <w:szCs w:val="20"/>
                <w:color w:val="auto"/>
              </w:rPr>
            </w:pPr>
            <w:r>
              <w:rPr>
                <w:rFonts w:ascii="Arial" w:cs="Arial" w:eastAsia="Arial" w:hAnsi="Arial"/>
                <w:sz w:val="16"/>
                <w:szCs w:val="16"/>
                <w:color w:val="auto"/>
              </w:rPr>
              <w:t>3,910</w:t>
            </w:r>
            <w:r>
              <w:rPr>
                <w:rFonts w:ascii="Arial" w:cs="Arial" w:eastAsia="Arial" w:hAnsi="Arial"/>
                <w:sz w:val="25"/>
                <w:szCs w:val="25"/>
                <w:color w:val="auto"/>
                <w:vertAlign w:val="superscript"/>
              </w:rPr>
              <w:t>(21)</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73,938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720" w:type="dxa"/>
            <w:vAlign w:val="bottom"/>
            <w:gridSpan w:val="3"/>
          </w:tcPr>
          <w:p>
            <w:pPr>
              <w:jc w:val="right"/>
              <w:ind w:right="147"/>
              <w:spacing w:after="0" w:line="200" w:lineRule="exact"/>
              <w:rPr>
                <w:sz w:val="20"/>
                <w:szCs w:val="20"/>
                <w:color w:val="auto"/>
              </w:rPr>
            </w:pPr>
            <w:r>
              <w:rPr>
                <w:rFonts w:ascii="Arial" w:cs="Arial" w:eastAsia="Arial" w:hAnsi="Arial"/>
                <w:sz w:val="15"/>
                <w:szCs w:val="15"/>
                <w:color w:val="auto"/>
              </w:rPr>
              <w:t>2,550</w:t>
            </w:r>
            <w:r>
              <w:rPr>
                <w:rFonts w:ascii="Arial" w:cs="Arial" w:eastAsia="Arial" w:hAnsi="Arial"/>
                <w:sz w:val="23"/>
                <w:szCs w:val="23"/>
                <w:color w:val="auto"/>
                <w:vertAlign w:val="superscript"/>
              </w:rPr>
              <w:t>(22)</w:t>
            </w:r>
          </w:p>
        </w:tc>
        <w:tc>
          <w:tcPr>
            <w:tcW w:w="220" w:type="dxa"/>
            <w:vAlign w:val="bottom"/>
          </w:tcPr>
          <w:p>
            <w:pPr>
              <w:spacing w:after="0"/>
              <w:rPr>
                <w:sz w:val="17"/>
                <w:szCs w:val="17"/>
                <w:color w:val="auto"/>
              </w:rPr>
            </w:pP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21,063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Gregory J. Ritts</w:t>
            </w:r>
          </w:p>
        </w:tc>
        <w:tc>
          <w:tcPr>
            <w:tcW w:w="1720" w:type="dxa"/>
            <w:vAlign w:val="bottom"/>
            <w:gridSpan w:val="3"/>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503</w:t>
            </w:r>
            <w:r>
              <w:rPr>
                <w:rFonts w:ascii="Arial" w:cs="Arial" w:eastAsia="Arial" w:hAnsi="Arial"/>
                <w:sz w:val="14"/>
                <w:szCs w:val="14"/>
                <w:color w:val="auto"/>
              </w:rPr>
              <w:t>(23)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3,717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7"/>
              <w:spacing w:after="0" w:line="216" w:lineRule="exact"/>
              <w:rPr>
                <w:sz w:val="20"/>
                <w:szCs w:val="20"/>
                <w:color w:val="auto"/>
              </w:rPr>
            </w:pPr>
            <w:r>
              <w:rPr>
                <w:rFonts w:ascii="Arial" w:cs="Arial" w:eastAsia="Arial" w:hAnsi="Arial"/>
                <w:sz w:val="16"/>
                <w:szCs w:val="16"/>
                <w:color w:val="auto"/>
              </w:rPr>
              <w:t>1,667</w:t>
            </w:r>
            <w:r>
              <w:rPr>
                <w:rFonts w:ascii="Arial" w:cs="Arial" w:eastAsia="Arial" w:hAnsi="Arial"/>
                <w:sz w:val="25"/>
                <w:szCs w:val="25"/>
                <w:color w:val="auto"/>
                <w:vertAlign w:val="superscript"/>
              </w:rPr>
              <w:t>(24)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22,454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7"/>
              <w:spacing w:after="0" w:line="216" w:lineRule="exact"/>
              <w:rPr>
                <w:sz w:val="20"/>
                <w:szCs w:val="20"/>
                <w:color w:val="auto"/>
              </w:rPr>
            </w:pPr>
            <w:r>
              <w:rPr>
                <w:rFonts w:ascii="Arial" w:cs="Arial" w:eastAsia="Arial" w:hAnsi="Arial"/>
                <w:sz w:val="16"/>
                <w:szCs w:val="16"/>
                <w:color w:val="auto"/>
              </w:rPr>
              <w:t>3,750</w:t>
            </w:r>
            <w:r>
              <w:rPr>
                <w:rFonts w:ascii="Arial" w:cs="Arial" w:eastAsia="Arial" w:hAnsi="Arial"/>
                <w:sz w:val="25"/>
                <w:szCs w:val="25"/>
                <w:color w:val="auto"/>
                <w:vertAlign w:val="superscript"/>
              </w:rPr>
              <w:t>(25)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5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7"/>
              </w:rPr>
              <w:t>(26)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20,835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5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7"/>
              </w:rPr>
              <w:t>(27)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52,494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5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7"/>
              </w:rPr>
              <w:t>(28)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13,199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8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680" w:hanging="549"/>
        <w:spacing w:after="0"/>
        <w:tabs>
          <w:tab w:leader="none" w:pos="16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Based on the actual market price of the Company's common stock at the time the stock awards vested.</w:t>
      </w:r>
    </w:p>
    <w:p>
      <w:pPr>
        <w:spacing w:after="0" w:line="207" w:lineRule="exact"/>
        <w:rPr>
          <w:rFonts w:ascii="Arial" w:cs="Arial" w:eastAsia="Arial" w:hAnsi="Arial"/>
          <w:sz w:val="29"/>
          <w:szCs w:val="29"/>
          <w:color w:val="auto"/>
          <w:vertAlign w:val="superscript"/>
        </w:rPr>
      </w:pPr>
    </w:p>
    <w:p>
      <w:pPr>
        <w:ind w:left="1680" w:right="280" w:hanging="549"/>
        <w:spacing w:after="0" w:line="183" w:lineRule="auto"/>
        <w:tabs>
          <w:tab w:leader="none" w:pos="16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4,309 shares were acquired as a result of the vesting of 4,309 RSUs awarded as part of the April 07, 2017 RSU award. Mr. Shepro elected to pay the taxes associated and retain the total 4,309 shares.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right="3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13,205 shares were acquired as a result of the vesting of 25,000 RSUs awarded as part of the February 12, 2018 RSU award, of which 11,795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3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10,153 shares were acquired as a result of the vesting of 19,221 RSUs awarded as part of the February 25, 2019 RSU award, of which 9,068 shares were surrendered to pay for tax withholdings.</w:t>
      </w:r>
    </w:p>
    <w:p>
      <w:pPr>
        <w:spacing w:after="0" w:line="195"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4,322 shares were acquired as a result of the vesting of 8,183 RSUs awarded as part of the March 21, 2019 RSU award, of which 3,861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34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1,005 shares were acquired as a result of the vesting of 1,005 RSUs awarded as part of the April 07, 2017 RSU award. Mr. Wilcox elected to pay the taxes associated and retain the total 4,309 shares.</w:t>
      </w:r>
    </w:p>
    <w:p>
      <w:pPr>
        <w:spacing w:after="0" w:line="208" w:lineRule="exact"/>
        <w:rPr>
          <w:rFonts w:ascii="Arial" w:cs="Arial" w:eastAsia="Arial" w:hAnsi="Arial"/>
          <w:sz w:val="29"/>
          <w:szCs w:val="29"/>
          <w:color w:val="auto"/>
          <w:vertAlign w:val="superscript"/>
        </w:rPr>
      </w:pPr>
    </w:p>
    <w:p>
      <w:pPr>
        <w:ind w:left="1680" w:right="4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6,603 shares were acquired as a result of the vesting of 12,500 RSUs awarded as part of the February 12, 2018 RSU award, of which 5,897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3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13,205 shares were acquired as a result of the vesting of 25,000 RSUs awarded as part of the February 12, 2018 RSU award, of which 11,795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4,023 shares were acquired as a result of the vesting of 7,613 RSUs awarded as part of the February 25, 2019 RSU award, of which 3,590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4,021 shares were acquired as a result of the vesting of 7,613 RSUs awarded as part of the February 25, 2019 RSU award, of which 3,592 shares were surrendered to pay for tax withholdings.</w:t>
      </w:r>
    </w:p>
    <w:p>
      <w:pPr>
        <w:spacing w:after="0" w:line="195"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2,110 shares were acquired as a result of the vesting of 3,994 RSUs awarded as part of the March 21, 2019 RSU award, of which 1,884 shares were surrendered to pay for tax withholdings.</w:t>
      </w:r>
    </w:p>
    <w:p>
      <w:pPr>
        <w:spacing w:after="0" w:line="195"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4,220 shares were acquired as a result of the vesting of 7,988 RSUs awarded as part of the March 21, 2019 RSU award, of which 3768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44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418 shares were acquired as a result of the vesting of 603 RSUs awarded as part of the April 07, 2017 RSU award, of which 185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14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878 shares were acquired as a result of the vesting of 1,240 RSUs awarded as part of the February 12, 2018 RSU award, of which 362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3,230 shares were acquired as a result of the vesting of 5,000 RSUs awarded as part of the January 29, 2019 RSU award, of which 1770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2,975 shares were acquired as a result of the vesting of 4,256 RSUs awarded as part of the February 25, 2019 RSU award, of which 1,281 shares were surrendered to pay for tax withholdings.</w:t>
      </w:r>
    </w:p>
    <w:p>
      <w:pPr>
        <w:spacing w:after="0" w:line="195" w:lineRule="exact"/>
        <w:rPr>
          <w:rFonts w:ascii="Arial" w:cs="Arial" w:eastAsia="Arial" w:hAnsi="Arial"/>
          <w:sz w:val="29"/>
          <w:szCs w:val="29"/>
          <w:color w:val="auto"/>
          <w:vertAlign w:val="superscript"/>
        </w:rPr>
      </w:pPr>
    </w:p>
    <w:p>
      <w:pPr>
        <w:ind w:left="168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1,303 shares were acquired as a result of the vesting of 1,864 RSUs awarded as part of the March 21, 2019 RSU award, of which 561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4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7,792 shares were acquired as a result of the vesting of 10,000 RSUs awarded as part of the August 01, 2017 RSU award, of which 2,208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1,213 shares were acquired as a result of the vesting of 1,594 RSUs awarded as part of the February 12, 2018 RSU award, of which 381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4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4,371 shares were acquired as a result of the vesting of 5,000 RSUs awarded as part of the November 12, 2018 RSU award, of which 629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3,345 shares were acquired as a result of the vesting of 3,910 RSUs awarded as part of the February 25, 2019 RSU award, of which 565 shares were surrendered to pay for tax withholdings.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2,180 shares were acquired as a result of the vesting of 2,550 RSUs awarded as part of the March 21, 2019 RSU award, of which 370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64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503 shares were acquired as a result of the vesting of 503 RSUs awarded as part of the April 07, 2017 RSU award. Mr. Ritts elected to pay the taxes associated and retain the total 4,309 shares.</w:t>
      </w:r>
    </w:p>
    <w:p>
      <w:pPr>
        <w:spacing w:after="0" w:line="195" w:lineRule="exact"/>
        <w:rPr>
          <w:rFonts w:ascii="Arial" w:cs="Arial" w:eastAsia="Arial" w:hAnsi="Arial"/>
          <w:sz w:val="29"/>
          <w:szCs w:val="29"/>
          <w:color w:val="auto"/>
          <w:vertAlign w:val="superscript"/>
        </w:rPr>
      </w:pPr>
    </w:p>
    <w:p>
      <w:pPr>
        <w:ind w:left="1680" w:right="34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882 shares were acquired as a result of the vesting of 1,667 RSUs awarded as part of the July 27, 2017 RSU award, of which 785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46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1,982 shares were acquired as a result of the vesting of 3,750 RSUs awarded as part of the November 13, 2017 RSU award, of which 1,768 shares were surrendered to pay for tax withholdings.</w:t>
      </w:r>
    </w:p>
    <w:p>
      <w:pPr>
        <w:spacing w:after="0" w:line="208" w:lineRule="exact"/>
        <w:rPr>
          <w:rFonts w:ascii="Arial" w:cs="Arial" w:eastAsia="Arial" w:hAnsi="Arial"/>
          <w:sz w:val="29"/>
          <w:szCs w:val="29"/>
          <w:color w:val="auto"/>
          <w:vertAlign w:val="superscript"/>
        </w:rPr>
      </w:pPr>
    </w:p>
    <w:p>
      <w:pPr>
        <w:ind w:left="1680" w:right="14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562 shares were acquired as a result of the vesting of 1,063 RSUs awarded as part of the February 12, 2018 RSU award, of which 501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56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1,467 shares were acquired as a result of the vesting of 2,776 RSUs awarded as part of the February 25, 2019 RSU award, of which 1,309 shares were surrendered to pay for tax withholdings.</w:t>
      </w:r>
    </w:p>
    <w:p>
      <w:pPr>
        <w:spacing w:after="0" w:line="195" w:lineRule="exact"/>
        <w:rPr>
          <w:rFonts w:ascii="Arial" w:cs="Arial" w:eastAsia="Arial" w:hAnsi="Arial"/>
          <w:sz w:val="29"/>
          <w:szCs w:val="29"/>
          <w:color w:val="auto"/>
          <w:vertAlign w:val="superscript"/>
        </w:rPr>
      </w:pPr>
    </w:p>
    <w:p>
      <w:pPr>
        <w:ind w:left="1680" w:right="160" w:hanging="549"/>
        <w:spacing w:after="0" w:line="183" w:lineRule="auto"/>
        <w:tabs>
          <w:tab w:leader="none" w:pos="16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844 shares were acquired as a result of the vesting of 1,598 RSUs awarded as part of the March 21, 2019 RSU award, of which 754 shares were surrendered to pay for tax withholdings.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Altisource is party to Luxembourg employment agreements with each of our Luxembourg 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21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time periods set forth in article L.124-1 of the Luxembourg Labor Code; provided, however, in the event of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21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or six (6) months in the case of the Chief Operating Officer, and non-solicitation of two (2) years, or one (1) year in the case of the Chief Executive Officer and the Chief Administration and Risk Officer, following the termination of the agreement. The agreements are governed, interpreted and subject to the limitations of, and performed pursuant to, and in accordance with, the laws of the Grand Duchy of Luxembourg.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2020. Due to the number of factors that affect the nature and amount of any benefits under the various scenarios, actual amounts paid or distributed may be different.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As discussed above, our Chief Executive Officer and other Luxembourg based Named Executive Officers have entered into employment agreements with the Company. Under these agreements, if employment is terminated as a result of the Named Executive Officer's retirement or disability or termination without cause, as defined therein, the Company will pay all standard relocation costs to relocate the executive officer to the United States or to another location stipulated in the applicable employment agreement. If the Company terminates the employment of the Named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L.124-10 of the Luxembourg Labor Code) and, in some instances, where employment is terminated for "Good Reason" (as defined in the applicable employment agreement) by the Named Executive Officer, the Company shall make a cash payment of between four (4) and twelve (12) months' base salary in addition to certain notice and additional payments as may be required under articles L.124-1 and L.124-7 of the Luxembourg Labor Code, provided that in the case of the Chief Executive Officer, the payment pursuant to L.124-7 is deemed to equal twelve months' base salary. In the case of the Chief Executive Officer the Company shall also pay at least one (1) year of target incentive compensation in such instance. Additionally, in the event that the Company terminates the employment of the Chief Executive Officer other than for "Cause" after October 1 of the service year and before incentives are paid for the respective service year, the Chief Executive Officer will be entitled to receive incentive compensation for such service year. If a Named Executive Officer is terminated by the Company for "Cause," the Company may terminate without notice and with no liability to make any further payment to such executive, other than amounts accrued and unpaid at the date of termination.</w:t>
      </w:r>
    </w:p>
    <w:p>
      <w:pPr>
        <w:spacing w:after="0" w:line="39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change of control transaction ("Transaction"), the Compensation Committee may, </w:t>
      </w:r>
      <w:r>
        <w:rPr>
          <w:rFonts w:ascii="Arial" w:cs="Arial" w:eastAsia="Arial" w:hAnsi="Arial"/>
          <w:sz w:val="16"/>
          <w:szCs w:val="16"/>
          <w:i w:val="1"/>
          <w:iCs w:val="1"/>
          <w:color w:val="auto"/>
        </w:rPr>
        <w:t>inter alia</w:t>
      </w:r>
      <w:r>
        <w:rPr>
          <w:rFonts w:ascii="Arial" w:cs="Arial" w:eastAsia="Arial" w:hAnsi="Arial"/>
          <w:sz w:val="16"/>
          <w:szCs w:val="16"/>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39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or disability, unvested restricted shares and RSUs shall immediately vest, subject to the requirement that such executive officer has been employed with the Company for a period of at least two (2) years on the date of death or disability. If the Named Executive Officer voluntarily resigns or his or her employment is terminated for "Cause," any unvested restricted shares and RSUs will be forfeited. In some cases, if the Company terminates a Named Executive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132080</wp:posOffset>
            </wp:positionV>
            <wp:extent cx="177419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741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Officer's employment for reasons other than "Cause," as defined by the applicable award agreement, certain unvested restricted shares and RSUs will vest after thirty (30) days of such termination. In addition, certain restricted share and RSU awards provide for the vesting of unvested restricted shares and RSUs in the event of a Transaction.</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following table estimates and summarizes the potential payments and benefits that each of our Named Executive Officers employed by the Company as an executive officer as of December 31, 2020 would have received if their employment had been terminated on December 31, 2020 under each of the circumstances described below, excluding benefits ordinarily available to all employees (such as benefits mandated by Luxembourg law) and any relocation benefits that may be provided in connection with such termination. Mr. Wilcox is not addressed in this section or the table since his employment with the Company ended in April 2020 and he was paid applicable severance pursuant to his Separation Agreement.</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William B.</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Michelle D.</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Marcello</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Gregory J.</w:t>
            </w:r>
          </w:p>
        </w:tc>
      </w:tr>
      <w:tr>
        <w:trPr>
          <w:trHeight w:val="175"/>
        </w:trPr>
        <w:tc>
          <w:tcPr>
            <w:tcW w:w="2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Shepro</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Esterman</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Mastioni</w:t>
            </w: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Ritts</w:t>
            </w:r>
          </w:p>
        </w:tc>
      </w:tr>
      <w:tr>
        <w:trPr>
          <w:trHeight w:val="156"/>
        </w:trPr>
        <w:tc>
          <w:tcPr>
            <w:tcW w:w="51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Death or Disability</w:t>
            </w: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5180" w:type="dxa"/>
            <w:vAlign w:val="bottom"/>
            <w:gridSpan w:val="2"/>
          </w:tcPr>
          <w:p>
            <w:pPr>
              <w:ind w:left="300"/>
              <w:spacing w:after="0"/>
              <w:rPr>
                <w:sz w:val="20"/>
                <w:szCs w:val="20"/>
                <w:color w:val="auto"/>
              </w:rPr>
            </w:pPr>
            <w:r>
              <w:rPr>
                <w:rFonts w:ascii="Arial" w:cs="Arial" w:eastAsia="Arial" w:hAnsi="Arial"/>
                <w:sz w:val="14"/>
                <w:szCs w:val="14"/>
                <w:color w:val="auto"/>
              </w:rPr>
              <w:t>Accelerated vesting of options, RSUs and restricted shares</w:t>
            </w:r>
          </w:p>
        </w:tc>
        <w:tc>
          <w:tcPr>
            <w:tcW w:w="94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$1,880,377</w:t>
            </w:r>
            <w:r>
              <w:rPr>
                <w:rFonts w:ascii="Arial" w:cs="Arial" w:eastAsia="Arial" w:hAnsi="Arial"/>
                <w:sz w:val="18"/>
                <w:szCs w:val="18"/>
                <w:color w:val="auto"/>
                <w:vertAlign w:val="superscript"/>
              </w:rPr>
              <w:t>(1)</w:t>
            </w:r>
          </w:p>
        </w:tc>
        <w:tc>
          <w:tcPr>
            <w:tcW w:w="1040" w:type="dxa"/>
            <w:vAlign w:val="bottom"/>
            <w:gridSpan w:val="2"/>
          </w:tcPr>
          <w:p>
            <w:pPr>
              <w:jc w:val="right"/>
              <w:ind w:right="200"/>
              <w:spacing w:after="0" w:line="162" w:lineRule="exact"/>
              <w:rPr>
                <w:sz w:val="20"/>
                <w:szCs w:val="20"/>
                <w:color w:val="auto"/>
              </w:rPr>
            </w:pPr>
            <w:r>
              <w:rPr>
                <w:rFonts w:ascii="Arial" w:cs="Arial" w:eastAsia="Arial" w:hAnsi="Arial"/>
                <w:sz w:val="13"/>
                <w:szCs w:val="13"/>
                <w:color w:val="auto"/>
              </w:rPr>
              <w:t>$541,978</w:t>
            </w:r>
            <w:r>
              <w:rPr>
                <w:rFonts w:ascii="Arial" w:cs="Arial" w:eastAsia="Arial" w:hAnsi="Arial"/>
                <w:sz w:val="18"/>
                <w:szCs w:val="18"/>
                <w:color w:val="auto"/>
                <w:vertAlign w:val="superscript"/>
              </w:rPr>
              <w:t>(1)</w:t>
            </w: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$530,669</w:t>
            </w:r>
            <w:r>
              <w:rPr>
                <w:rFonts w:ascii="Arial" w:cs="Arial" w:eastAsia="Arial" w:hAnsi="Arial"/>
                <w:sz w:val="18"/>
                <w:szCs w:val="18"/>
                <w:color w:val="auto"/>
                <w:vertAlign w:val="superscript"/>
              </w:rPr>
              <w:t>(1)</w:t>
            </w:r>
          </w:p>
        </w:tc>
        <w:tc>
          <w:tcPr>
            <w:tcW w:w="1000" w:type="dxa"/>
            <w:vAlign w:val="bottom"/>
            <w:gridSpan w:val="2"/>
          </w:tcPr>
          <w:p>
            <w:pPr>
              <w:ind w:left="60"/>
              <w:spacing w:after="0" w:line="162" w:lineRule="exact"/>
              <w:rPr>
                <w:sz w:val="20"/>
                <w:szCs w:val="20"/>
                <w:color w:val="auto"/>
              </w:rPr>
            </w:pPr>
            <w:r>
              <w:rPr>
                <w:rFonts w:ascii="Arial" w:cs="Arial" w:eastAsia="Arial" w:hAnsi="Arial"/>
                <w:sz w:val="13"/>
                <w:szCs w:val="13"/>
                <w:color w:val="auto"/>
              </w:rPr>
              <w:t>$351,418</w:t>
            </w:r>
            <w:r>
              <w:rPr>
                <w:rFonts w:ascii="Arial" w:cs="Arial" w:eastAsia="Arial" w:hAnsi="Arial"/>
                <w:sz w:val="18"/>
                <w:szCs w:val="18"/>
                <w:color w:val="auto"/>
                <w:vertAlign w:val="superscript"/>
              </w:rPr>
              <w:t>(1)</w:t>
            </w:r>
          </w:p>
        </w:tc>
      </w:tr>
      <w:tr>
        <w:trPr>
          <w:trHeight w:val="32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Retirement by the Named Executive Officer</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162"/>
        </w:trPr>
        <w:tc>
          <w:tcPr>
            <w:tcW w:w="5180" w:type="dxa"/>
            <w:vAlign w:val="bottom"/>
            <w:gridSpan w:val="2"/>
          </w:tcPr>
          <w:p>
            <w:pPr>
              <w:ind w:left="300"/>
              <w:spacing w:after="0"/>
              <w:rPr>
                <w:sz w:val="20"/>
                <w:szCs w:val="20"/>
                <w:color w:val="auto"/>
              </w:rPr>
            </w:pPr>
            <w:r>
              <w:rPr>
                <w:rFonts w:ascii="Arial" w:cs="Arial" w:eastAsia="Arial" w:hAnsi="Arial"/>
                <w:sz w:val="14"/>
                <w:szCs w:val="14"/>
                <w:color w:val="auto"/>
              </w:rPr>
              <w:t>Accelerated vesting of options, RSUs and restricted shares</w:t>
            </w:r>
          </w:p>
        </w:tc>
        <w:tc>
          <w:tcPr>
            <w:tcW w:w="94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$1,880,377</w:t>
            </w:r>
            <w:r>
              <w:rPr>
                <w:rFonts w:ascii="Arial" w:cs="Arial" w:eastAsia="Arial" w:hAnsi="Arial"/>
                <w:sz w:val="18"/>
                <w:szCs w:val="18"/>
                <w:color w:val="auto"/>
                <w:vertAlign w:val="superscript"/>
              </w:rPr>
              <w:t>(1)</w:t>
            </w:r>
          </w:p>
        </w:tc>
        <w:tc>
          <w:tcPr>
            <w:tcW w:w="1040" w:type="dxa"/>
            <w:vAlign w:val="bottom"/>
            <w:gridSpan w:val="2"/>
          </w:tcPr>
          <w:p>
            <w:pPr>
              <w:jc w:val="right"/>
              <w:ind w:right="200"/>
              <w:spacing w:after="0" w:line="162" w:lineRule="exact"/>
              <w:rPr>
                <w:sz w:val="20"/>
                <w:szCs w:val="20"/>
                <w:color w:val="auto"/>
              </w:rPr>
            </w:pPr>
            <w:r>
              <w:rPr>
                <w:rFonts w:ascii="Arial" w:cs="Arial" w:eastAsia="Arial" w:hAnsi="Arial"/>
                <w:sz w:val="13"/>
                <w:szCs w:val="13"/>
                <w:color w:val="auto"/>
              </w:rPr>
              <w:t>$541,978</w:t>
            </w:r>
            <w:r>
              <w:rPr>
                <w:rFonts w:ascii="Arial" w:cs="Arial" w:eastAsia="Arial" w:hAnsi="Arial"/>
                <w:sz w:val="18"/>
                <w:szCs w:val="18"/>
                <w:color w:val="auto"/>
                <w:vertAlign w:val="superscript"/>
              </w:rPr>
              <w:t>(1)</w:t>
            </w: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$530,669</w:t>
            </w:r>
            <w:r>
              <w:rPr>
                <w:rFonts w:ascii="Arial" w:cs="Arial" w:eastAsia="Arial" w:hAnsi="Arial"/>
                <w:sz w:val="18"/>
                <w:szCs w:val="18"/>
                <w:color w:val="auto"/>
                <w:vertAlign w:val="superscript"/>
              </w:rPr>
              <w:t>(1)</w:t>
            </w:r>
          </w:p>
        </w:tc>
        <w:tc>
          <w:tcPr>
            <w:tcW w:w="1000" w:type="dxa"/>
            <w:vAlign w:val="bottom"/>
            <w:gridSpan w:val="2"/>
          </w:tcPr>
          <w:p>
            <w:pPr>
              <w:ind w:left="60"/>
              <w:spacing w:after="0" w:line="162" w:lineRule="exact"/>
              <w:rPr>
                <w:sz w:val="20"/>
                <w:szCs w:val="20"/>
                <w:color w:val="auto"/>
              </w:rPr>
            </w:pPr>
            <w:r>
              <w:rPr>
                <w:rFonts w:ascii="Arial" w:cs="Arial" w:eastAsia="Arial" w:hAnsi="Arial"/>
                <w:sz w:val="13"/>
                <w:szCs w:val="13"/>
                <w:color w:val="auto"/>
              </w:rPr>
              <w:t>$351,418</w:t>
            </w:r>
            <w:r>
              <w:rPr>
                <w:rFonts w:ascii="Arial" w:cs="Arial" w:eastAsia="Arial" w:hAnsi="Arial"/>
                <w:sz w:val="18"/>
                <w:szCs w:val="18"/>
                <w:color w:val="auto"/>
                <w:vertAlign w:val="superscript"/>
              </w:rPr>
              <w:t>(1)</w:t>
            </w:r>
          </w:p>
        </w:tc>
      </w:tr>
      <w:tr>
        <w:trPr>
          <w:trHeight w:val="32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Termination by the Company other than for "Cause"</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162"/>
        </w:trPr>
        <w:tc>
          <w:tcPr>
            <w:tcW w:w="5180" w:type="dxa"/>
            <w:vAlign w:val="bottom"/>
            <w:gridSpan w:val="2"/>
          </w:tcPr>
          <w:p>
            <w:pPr>
              <w:ind w:left="300"/>
              <w:spacing w:after="0"/>
              <w:rPr>
                <w:sz w:val="20"/>
                <w:szCs w:val="20"/>
                <w:color w:val="auto"/>
              </w:rPr>
            </w:pPr>
            <w:r>
              <w:rPr>
                <w:rFonts w:ascii="Arial" w:cs="Arial" w:eastAsia="Arial" w:hAnsi="Arial"/>
                <w:sz w:val="14"/>
                <w:szCs w:val="14"/>
                <w:color w:val="auto"/>
              </w:rPr>
              <w:t>Severance payment</w:t>
            </w:r>
          </w:p>
        </w:tc>
        <w:tc>
          <w:tcPr>
            <w:tcW w:w="94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$2,939,903</w:t>
            </w:r>
            <w:r>
              <w:rPr>
                <w:rFonts w:ascii="Arial" w:cs="Arial" w:eastAsia="Arial" w:hAnsi="Arial"/>
                <w:sz w:val="18"/>
                <w:szCs w:val="18"/>
                <w:color w:val="auto"/>
                <w:vertAlign w:val="superscript"/>
              </w:rPr>
              <w:t>(3)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€504,300</w:t>
            </w:r>
            <w:r>
              <w:rPr>
                <w:rFonts w:ascii="Arial" w:cs="Arial" w:eastAsia="Arial" w:hAnsi="Arial"/>
                <w:sz w:val="18"/>
                <w:szCs w:val="18"/>
                <w:color w:val="auto"/>
                <w:vertAlign w:val="superscript"/>
              </w:rPr>
              <w:t>(5)</w:t>
            </w:r>
          </w:p>
        </w:tc>
        <w:tc>
          <w:tcPr>
            <w:tcW w:w="1000" w:type="dxa"/>
            <w:vAlign w:val="bottom"/>
            <w:gridSpan w:val="2"/>
          </w:tcPr>
          <w:p>
            <w:pPr>
              <w:ind w:left="60"/>
              <w:spacing w:after="0" w:line="162" w:lineRule="exact"/>
              <w:rPr>
                <w:sz w:val="20"/>
                <w:szCs w:val="20"/>
                <w:color w:val="auto"/>
              </w:rPr>
            </w:pPr>
            <w:r>
              <w:rPr>
                <w:rFonts w:ascii="Arial" w:cs="Arial" w:eastAsia="Arial" w:hAnsi="Arial"/>
                <w:sz w:val="13"/>
                <w:szCs w:val="13"/>
                <w:color w:val="auto"/>
              </w:rPr>
              <w:t>$152,559</w:t>
            </w:r>
            <w:r>
              <w:rPr>
                <w:rFonts w:ascii="Arial" w:cs="Arial" w:eastAsia="Arial" w:hAnsi="Arial"/>
                <w:sz w:val="18"/>
                <w:szCs w:val="18"/>
                <w:color w:val="auto"/>
                <w:vertAlign w:val="superscript"/>
              </w:rPr>
              <w:t>(6)</w:t>
            </w:r>
          </w:p>
        </w:tc>
      </w:tr>
      <w:tr>
        <w:trPr>
          <w:trHeight w:val="162"/>
        </w:trPr>
        <w:tc>
          <w:tcPr>
            <w:tcW w:w="51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Accelerated vesting of options, RSUs and restricted shares</w:t>
            </w:r>
          </w:p>
        </w:tc>
        <w:tc>
          <w:tcPr>
            <w:tcW w:w="9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3"/>
                <w:szCs w:val="13"/>
                <w:color w:val="auto"/>
              </w:rPr>
              <w:t>$1,547,957</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3"/>
                <w:szCs w:val="13"/>
                <w:color w:val="auto"/>
              </w:rPr>
              <w:t>$419,785</w:t>
            </w:r>
            <w:r>
              <w:rPr>
                <w:rFonts w:ascii="Arial" w:cs="Arial" w:eastAsia="Arial" w:hAnsi="Arial"/>
                <w:sz w:val="18"/>
                <w:szCs w:val="18"/>
                <w:color w:val="auto"/>
                <w:vertAlign w:val="superscript"/>
              </w:rPr>
              <w:t>(1)</w:t>
            </w: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3"/>
                <w:szCs w:val="13"/>
                <w:color w:val="auto"/>
              </w:rPr>
              <w:t>$389,908</w:t>
            </w:r>
            <w:r>
              <w:rPr>
                <w:rFonts w:ascii="Arial" w:cs="Arial" w:eastAsia="Arial" w:hAnsi="Arial"/>
                <w:sz w:val="18"/>
                <w:szCs w:val="18"/>
                <w:color w:val="auto"/>
                <w:vertAlign w:val="superscript"/>
              </w:rPr>
              <w:t>(1)</w:t>
            </w:r>
          </w:p>
        </w:tc>
        <w:tc>
          <w:tcPr>
            <w:tcW w:w="100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3"/>
                <w:szCs w:val="13"/>
                <w:color w:val="auto"/>
              </w:rPr>
              <w:t>$262,941</w:t>
            </w:r>
            <w:r>
              <w:rPr>
                <w:rFonts w:ascii="Arial" w:cs="Arial" w:eastAsia="Arial" w:hAnsi="Arial"/>
                <w:sz w:val="18"/>
                <w:szCs w:val="18"/>
                <w:color w:val="auto"/>
                <w:vertAlign w:val="superscript"/>
              </w:rPr>
              <w:t>(1)</w:t>
            </w:r>
          </w:p>
        </w:tc>
      </w:tr>
      <w:tr>
        <w:trPr>
          <w:trHeight w:val="311"/>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Termination by the Named Executive Officer for "Good Reason" with</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2"/>
        </w:trPr>
        <w:tc>
          <w:tcPr>
            <w:tcW w:w="518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ninety (90) days' notice, and failure by the Company to correct such</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5180" w:type="dxa"/>
            <w:vAlign w:val="bottom"/>
            <w:gridSpan w:val="2"/>
          </w:tcPr>
          <w:p>
            <w:pPr>
              <w:ind w:left="160"/>
              <w:spacing w:after="0"/>
              <w:rPr>
                <w:sz w:val="20"/>
                <w:szCs w:val="20"/>
                <w:color w:val="auto"/>
              </w:rPr>
            </w:pPr>
            <w:r>
              <w:rPr>
                <w:rFonts w:ascii="Arial" w:cs="Arial" w:eastAsia="Arial" w:hAnsi="Arial"/>
                <w:sz w:val="14"/>
                <w:szCs w:val="14"/>
                <w:b w:val="1"/>
                <w:bCs w:val="1"/>
                <w:color w:val="auto"/>
              </w:rPr>
              <w:t>"Good Reason" within ninety (90) days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2"/>
        </w:trPr>
        <w:tc>
          <w:tcPr>
            <w:tcW w:w="51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Severance payment</w:t>
            </w:r>
          </w:p>
        </w:tc>
        <w:tc>
          <w:tcPr>
            <w:tcW w:w="9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3"/>
                <w:szCs w:val="13"/>
                <w:color w:val="auto"/>
              </w:rPr>
              <w:t>$2,099,932</w:t>
            </w:r>
            <w:r>
              <w:rPr>
                <w:rFonts w:ascii="Arial" w:cs="Arial" w:eastAsia="Arial" w:hAnsi="Arial"/>
                <w:sz w:val="18"/>
                <w:szCs w:val="18"/>
                <w:color w:val="auto"/>
                <w:vertAlign w:val="superscript"/>
              </w:rPr>
              <w:t>(4)</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3"/>
                <w:szCs w:val="13"/>
                <w:color w:val="auto"/>
              </w:rPr>
              <w:t>€504,300</w:t>
            </w:r>
            <w:r>
              <w:rPr>
                <w:rFonts w:ascii="Arial" w:cs="Arial" w:eastAsia="Arial" w:hAnsi="Arial"/>
                <w:sz w:val="18"/>
                <w:szCs w:val="18"/>
                <w:color w:val="auto"/>
                <w:vertAlign w:val="superscript"/>
              </w:rPr>
              <w:t>(5)</w:t>
            </w:r>
          </w:p>
        </w:tc>
        <w:tc>
          <w:tcPr>
            <w:tcW w:w="100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3"/>
                <w:szCs w:val="13"/>
                <w:color w:val="auto"/>
              </w:rPr>
              <w:t>$152,559</w:t>
            </w:r>
            <w:r>
              <w:rPr>
                <w:rFonts w:ascii="Arial" w:cs="Arial" w:eastAsia="Arial" w:hAnsi="Arial"/>
                <w:sz w:val="18"/>
                <w:szCs w:val="18"/>
                <w:color w:val="auto"/>
                <w:vertAlign w:val="superscript"/>
              </w:rPr>
              <w:t>(6)</w:t>
            </w:r>
          </w:p>
        </w:tc>
      </w:tr>
      <w:tr>
        <w:trPr>
          <w:trHeight w:val="324"/>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of Control</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2"/>
        </w:trPr>
        <w:tc>
          <w:tcPr>
            <w:tcW w:w="51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Payment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3"/>
                <w:szCs w:val="13"/>
                <w:color w:val="auto"/>
              </w:rPr>
              <w:t>$703,678</w:t>
            </w:r>
            <w:r>
              <w:rPr>
                <w:rFonts w:ascii="Arial" w:cs="Arial" w:eastAsia="Arial" w:hAnsi="Arial"/>
                <w:sz w:val="18"/>
                <w:szCs w:val="18"/>
                <w:color w:val="auto"/>
                <w:vertAlign w:val="superscript"/>
              </w:rPr>
              <w:t>(7)</w:t>
            </w:r>
          </w:p>
        </w:tc>
      </w:tr>
      <w:tr>
        <w:trPr>
          <w:trHeight w:val="270"/>
        </w:trPr>
        <w:tc>
          <w:tcPr>
            <w:tcW w:w="5180" w:type="dxa"/>
            <w:vAlign w:val="bottom"/>
            <w:gridSpan w:val="2"/>
          </w:tcPr>
          <w:p>
            <w:pPr>
              <w:ind w:left="300"/>
              <w:spacing w:after="0"/>
              <w:rPr>
                <w:sz w:val="20"/>
                <w:szCs w:val="20"/>
                <w:color w:val="auto"/>
              </w:rPr>
            </w:pPr>
            <w:r>
              <w:rPr>
                <w:rFonts w:ascii="Arial" w:cs="Arial" w:eastAsia="Arial" w:hAnsi="Arial"/>
                <w:sz w:val="14"/>
                <w:szCs w:val="14"/>
                <w:color w:val="auto"/>
              </w:rPr>
              <w:t>Accelerated vesting of options, RSUs and restricted shares</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$2,720,449</w:t>
            </w:r>
            <w:r>
              <w:rPr>
                <w:rFonts w:ascii="Arial" w:cs="Arial" w:eastAsia="Arial" w:hAnsi="Arial"/>
                <w:sz w:val="21"/>
                <w:szCs w:val="21"/>
                <w:color w:val="auto"/>
                <w:w w:val="96"/>
                <w:vertAlign w:val="superscript"/>
              </w:rPr>
              <w:t>(2)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$859,927</w:t>
            </w:r>
            <w:r>
              <w:rPr>
                <w:rFonts w:ascii="Arial" w:cs="Arial" w:eastAsia="Arial" w:hAnsi="Arial"/>
                <w:sz w:val="21"/>
                <w:szCs w:val="21"/>
                <w:color w:val="auto"/>
                <w:vertAlign w:val="superscript"/>
              </w:rPr>
              <w:t>(2)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$949,990</w:t>
            </w:r>
            <w:r>
              <w:rPr>
                <w:rFonts w:ascii="Arial" w:cs="Arial" w:eastAsia="Arial" w:hAnsi="Arial"/>
                <w:sz w:val="21"/>
                <w:szCs w:val="21"/>
                <w:color w:val="auto"/>
                <w:w w:val="95"/>
                <w:vertAlign w:val="superscript"/>
              </w:rPr>
              <w:t>(2)</w:t>
            </w: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$658,902</w:t>
            </w:r>
            <w:r>
              <w:rPr>
                <w:rFonts w:ascii="Arial" w:cs="Arial" w:eastAsia="Arial" w:hAnsi="Arial"/>
                <w:sz w:val="21"/>
                <w:szCs w:val="21"/>
                <w:color w:val="auto"/>
                <w:vertAlign w:val="superscript"/>
              </w:rPr>
              <w:t>(2)</w:t>
            </w:r>
          </w:p>
        </w:tc>
      </w:tr>
      <w:tr>
        <w:trPr>
          <w:trHeight w:val="20"/>
        </w:trPr>
        <w:tc>
          <w:tcPr>
            <w:tcW w:w="23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49"/>
        <w:spacing w:after="0" w:line="193"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amounts that would have been received in connection with the accelerated vesting of restricted shares and/or service-based options upon the occurrence of death, disability, retirement or termination by the Company other than for "Cause".</w:t>
      </w:r>
    </w:p>
    <w:p>
      <w:pPr>
        <w:spacing w:after="0" w:line="153" w:lineRule="exact"/>
        <w:rPr>
          <w:rFonts w:ascii="Arial" w:cs="Arial" w:eastAsia="Arial" w:hAnsi="Arial"/>
          <w:sz w:val="22"/>
          <w:szCs w:val="22"/>
          <w:color w:val="auto"/>
          <w:vertAlign w:val="superscript"/>
        </w:rPr>
      </w:pPr>
    </w:p>
    <w:p>
      <w:pPr>
        <w:ind w:left="1680" w:right="220" w:hanging="549"/>
        <w:spacing w:after="0" w:line="193"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amounts that would have been received in connection with the accelerated vesting of all Altisource restricted shares and options in the event the Compensation Committee authorizes the accelerated vesting of all restricted shares and options following a change of control.</w:t>
      </w:r>
    </w:p>
    <w:p>
      <w:pPr>
        <w:spacing w:after="0" w:line="153" w:lineRule="exact"/>
        <w:rPr>
          <w:rFonts w:ascii="Arial" w:cs="Arial" w:eastAsia="Arial" w:hAnsi="Arial"/>
          <w:sz w:val="22"/>
          <w:szCs w:val="22"/>
          <w:color w:val="auto"/>
          <w:vertAlign w:val="superscript"/>
        </w:rPr>
      </w:pPr>
    </w:p>
    <w:p>
      <w:pPr>
        <w:ind w:left="1680" w:right="80" w:hanging="549"/>
        <w:spacing w:after="0" w:line="214"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twenty-four (24) months of base salary, plus one (1) year of target incentive compensation plus actual incentive compensation that would have been earned for the 2020 service year. In addition, Mr. Shepro is entitled to receive actual incentive compensation earned in the event employment is terminated after October for the service year and before incentives are paid for such service year. In addition, Mr. Shepro is also entitled to receive standard relocation costs (together with tax gross-up) to Atlanta, South Florida or equivalent at his sole discretion.</w:t>
      </w:r>
    </w:p>
    <w:p>
      <w:pPr>
        <w:spacing w:after="0" w:line="153" w:lineRule="exact"/>
        <w:rPr>
          <w:rFonts w:ascii="Arial" w:cs="Arial" w:eastAsia="Arial" w:hAnsi="Arial"/>
          <w:sz w:val="22"/>
          <w:szCs w:val="22"/>
          <w:color w:val="auto"/>
          <w:vertAlign w:val="superscript"/>
        </w:rPr>
      </w:pPr>
    </w:p>
    <w:p>
      <w:pPr>
        <w:ind w:left="1680" w:right="500" w:hanging="549"/>
        <w:spacing w:after="0" w:line="193"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twelve (12) months of base salary, plus one (1) year of target incentive compensation. In addition, Mr. Shepro is entitled to receive standard relocation costs (together with tax gross-up) to Atlanta, South Florida or equivalent at his sole discretion.</w:t>
      </w:r>
    </w:p>
    <w:p>
      <w:pPr>
        <w:spacing w:after="0" w:line="72" w:lineRule="exact"/>
        <w:rPr>
          <w:rFonts w:ascii="Arial" w:cs="Arial" w:eastAsia="Arial" w:hAnsi="Arial"/>
          <w:sz w:val="22"/>
          <w:szCs w:val="22"/>
          <w:color w:val="auto"/>
          <w:vertAlign w:val="superscript"/>
        </w:rPr>
      </w:pPr>
    </w:p>
    <w:p>
      <w:pPr>
        <w:ind w:left="1680" w:hanging="549"/>
        <w:spacing w:after="0"/>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the minimum guaranteed compensation payment as per Mr. Mastioni's employment contract.</w:t>
      </w:r>
    </w:p>
    <w:p>
      <w:pPr>
        <w:spacing w:after="0" w:line="151" w:lineRule="exact"/>
        <w:rPr>
          <w:rFonts w:ascii="Arial" w:cs="Arial" w:eastAsia="Arial" w:hAnsi="Arial"/>
          <w:sz w:val="22"/>
          <w:szCs w:val="22"/>
          <w:color w:val="auto"/>
          <w:vertAlign w:val="superscript"/>
        </w:rPr>
      </w:pPr>
    </w:p>
    <w:p>
      <w:pPr>
        <w:ind w:left="1680" w:right="80" w:hanging="549"/>
        <w:spacing w:after="0" w:line="207"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four (4) months of base salary. In addition, Mr. Ritts is also entitled to receive standard relocation costs back to the U.S. if he relocates to the U.S. within 60 days of such separation. Such expenses shall only include a onetime travel expense for him and his family and shipment of household goods including pets, as described in his relocation plan at the time of relocating to Luxembourg.</w:t>
      </w:r>
    </w:p>
    <w:p>
      <w:pPr>
        <w:spacing w:after="0" w:line="152" w:lineRule="exact"/>
        <w:rPr>
          <w:rFonts w:ascii="Arial" w:cs="Arial" w:eastAsia="Arial" w:hAnsi="Arial"/>
          <w:sz w:val="22"/>
          <w:szCs w:val="22"/>
          <w:color w:val="auto"/>
          <w:vertAlign w:val="superscript"/>
        </w:rPr>
      </w:pPr>
    </w:p>
    <w:p>
      <w:pPr>
        <w:ind w:left="1680" w:right="120" w:hanging="549"/>
        <w:spacing w:after="0" w:line="207" w:lineRule="auto"/>
        <w:tabs>
          <w:tab w:leader="none" w:pos="16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Represents twelve (12) months of base salary, plus one (1) year of target incentive compensation. In addition, Mr. Ritts is entitled to receive actual incentive compensation earned in the event the change of control happens after October for the service year and before incentives are paid for such service year with the amount prorated to the date of the change of control if the same occurs between October 1 and December 31 of such year.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132080</wp:posOffset>
            </wp:positionV>
            <wp:extent cx="108013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801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700"/>
        <w:spacing w:after="0" w:line="261" w:lineRule="auto"/>
        <w:rPr>
          <w:sz w:val="20"/>
          <w:szCs w:val="20"/>
          <w:color w:val="auto"/>
        </w:rPr>
      </w:pPr>
      <w:r>
        <w:rPr>
          <w:rFonts w:ascii="Arial" w:cs="Arial" w:eastAsia="Arial" w:hAnsi="Arial"/>
          <w:sz w:val="22"/>
          <w:szCs w:val="22"/>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Audit Committee of our Board of Directors has approved the appointment of Mayer Hoffman McCann P.C. ("Mayer Hoffman") as our independent registered certified public accounting firm for the year ending December 31, 2021,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statutory accounts as required by Luxembourg law for the same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Representatives of Mayer Hoffman and Atwell will be present at the Annual Meeting, will have the opportunity to make a statement if they desire to do so and will be available to respond to questions from shareholders.</w:t>
      </w:r>
    </w:p>
    <w:p>
      <w:pPr>
        <w:spacing w:after="0" w:line="187" w:lineRule="exact"/>
        <w:rPr>
          <w:sz w:val="20"/>
          <w:szCs w:val="20"/>
          <w:color w:val="auto"/>
        </w:rPr>
      </w:pPr>
    </w:p>
    <w:p>
      <w:pPr>
        <w:jc w:val="center"/>
        <w:ind w:left="400" w:right="126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OUR INDEPENDENT REGISTERED CERTIFIED PUBLIC ACCOUNTING FIRM FOR 2020 AND ATWELL S.À R.L. AS OUR CERTIFIED AUDITOR FOR THE SAME PERIOD</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In connection with these responsibilities, the Audit Committee met with management and the independent registered certified public accounting firm to review and discuss the December 31, 2020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w:t>
      </w:r>
    </w:p>
    <w:p>
      <w:pPr>
        <w:spacing w:after="0" w:line="1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2020 audited consolidated financial statements in Altisource's Annual Report on Form 10-K for the year ended December 31, 2020.</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Roland Müller-Ineichen, Chairman</w:t>
      </w:r>
    </w:p>
    <w:p>
      <w:pPr>
        <w:ind w:left="5640"/>
        <w:spacing w:after="0" w:line="234" w:lineRule="auto"/>
        <w:rPr>
          <w:sz w:val="20"/>
          <w:szCs w:val="20"/>
          <w:color w:val="auto"/>
        </w:rPr>
      </w:pPr>
      <w:r>
        <w:rPr>
          <w:rFonts w:ascii="Arial" w:cs="Arial" w:eastAsia="Arial" w:hAnsi="Arial"/>
          <w:sz w:val="18"/>
          <w:szCs w:val="18"/>
          <w:color w:val="auto"/>
        </w:rPr>
        <w:t>Scott E. Burg, Director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Joseph L. Morettini,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April 5,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shows the aggregate fees billed to Altisource for professional services by Mayer Hoffman and Atwell in fiscal years 2019 and 2020:</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54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Category</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$1,956,281</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$1,124,535</w:t>
            </w:r>
          </w:p>
        </w:tc>
        <w:tc>
          <w:tcPr>
            <w:tcW w:w="22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333,802</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57,860</w:t>
            </w:r>
          </w:p>
        </w:tc>
        <w:tc>
          <w:tcPr>
            <w:tcW w:w="220" w:type="dxa"/>
            <w:vAlign w:val="bottom"/>
          </w:tcPr>
          <w:p>
            <w:pPr>
              <w:spacing w:after="0"/>
              <w:rPr>
                <w:sz w:val="17"/>
                <w:szCs w:val="17"/>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$2,290,083</w:t>
            </w:r>
          </w:p>
        </w:tc>
        <w:tc>
          <w:tcPr>
            <w:tcW w:w="1340" w:type="dxa"/>
            <w:vAlign w:val="bottom"/>
            <w:gridSpan w:val="3"/>
            <w:shd w:val="clear" w:color="auto" w:fill="CCEEFF"/>
          </w:tcPr>
          <w:p>
            <w:pPr>
              <w:jc w:val="right"/>
              <w:ind w:right="40"/>
              <w:spacing w:after="0" w:line="195" w:lineRule="exact"/>
              <w:rPr>
                <w:sz w:val="20"/>
                <w:szCs w:val="20"/>
                <w:color w:val="auto"/>
              </w:rPr>
            </w:pPr>
            <w:r>
              <w:rPr>
                <w:rFonts w:ascii="Arial" w:cs="Arial" w:eastAsia="Arial" w:hAnsi="Arial"/>
                <w:sz w:val="14"/>
                <w:szCs w:val="14"/>
                <w:color w:val="auto"/>
              </w:rPr>
              <w:t>$1,182,395</w:t>
            </w:r>
            <w:r>
              <w:rPr>
                <w:rFonts w:ascii="Arial" w:cs="Arial" w:eastAsia="Arial" w:hAnsi="Arial"/>
                <w:sz w:val="22"/>
                <w:szCs w:val="22"/>
                <w:color w:val="auto"/>
                <w:vertAlign w:val="superscript"/>
              </w:rPr>
              <w:t>(1)</w:t>
            </w:r>
          </w:p>
        </w:tc>
      </w:tr>
    </w:tbl>
    <w:p>
      <w:pPr>
        <w:spacing w:after="0" w:line="219" w:lineRule="exact"/>
        <w:rPr>
          <w:sz w:val="20"/>
          <w:szCs w:val="20"/>
          <w:color w:val="auto"/>
        </w:rPr>
      </w:pPr>
    </w:p>
    <w:p>
      <w:pPr>
        <w:ind w:left="2240" w:right="40" w:hanging="547"/>
        <w:spacing w:after="0" w:line="197" w:lineRule="auto"/>
        <w:tabs>
          <w:tab w:leader="none" w:pos="224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Represents $1,014,896 billed by Mayer Hoffman ($957,036 for audit fees and $57,860 for other fees) and $167,499 billed by Atwell for audit fees. Fees billed by Mayer Hoffman and Atwell include statutory audits required for regulatory compliance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4"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This category includes the aggregate fees and expenses billed for professional services rendered for the audits of Altisource's consolidated financial statements for fiscal years 2019 and 2020, for the reviews of the financial statements included in Altisource's quarterly reports on Form 10-Q during fiscal years 2019 and 2020 and for services that are normally provided by the independent registered certified public accounting firm and affiliates in connection with statutory and regulatory filings or engagements for the relevant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category includes the aggregate fees billed by the independent registered certified public accounting firm for fiscal years 2019 and 2020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category includes the aggregate fees billed for fiscal years 2019 and 2020 for professional services rendered by the independent registered certified public accounting firm for tax compliance, tax planning and tax advice.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category includes the aggregate fees billed for fiscal years 2019 and 2020 for products and services provided by the independent registered certified public accounting firm that are not reported above under "Audit Fees," "Audit-Related Fees" or "Tax Fees."</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Mayer Hoffman in fiscal years 2019 and 2020, as applicable, and determined that such services and fees are compatible with their independence.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2019 and 2020, all services associated with the independent registered certified public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94485"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944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accounting firm were pre-approved by the Audit Committee or by the Chairman of the Audit Committee pursuant to authority delegated to him as described below.</w:t>
      </w:r>
    </w:p>
    <w:p>
      <w:pPr>
        <w:spacing w:after="0" w:line="209"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Mayer Hoffman utilizes substantially all of its personnel, who work under the control of Mayer Hoffman shareholders, from wholly-owned subsidiaries of CBIZ,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to management its responsibilities to pre-approve services performed by the independent auditor.</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132080</wp:posOffset>
            </wp:positionV>
            <wp:extent cx="1208405"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84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Three: Approval of the Company's 2020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Luxembourg law, the Luxembourg Annual Accounts and the Consolidated Accounts (the "Luxembourg Statutory Accounts") must be submitted each year to shareholders for approval at the Annual Meeting.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2020 reflect total assets of $1,150.0 million and a loss for the year then ended of $10.7 million.</w:t>
      </w:r>
    </w:p>
    <w:p>
      <w:pPr>
        <w:spacing w:after="0" w:line="21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2020, the Consolidated Accounts reflect a total deficit of $82.3 million and net loss for the year then ended of $68.9 million.</w:t>
      </w:r>
    </w:p>
    <w:p>
      <w:pPr>
        <w:spacing w:after="0" w:line="20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20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Altisource's Luxembourg Statutory Accounts will be available to shareholders at Altisource's registered office, during business hours, by appointment, subject to sanitary limitations that may be imposed by the Luxembourg government, from May 4, 2021 until the conclusion of the Annual Meeting.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132080</wp:posOffset>
            </wp:positionV>
            <wp:extent cx="115697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569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80"/>
        <w:spacing w:after="0" w:line="261" w:lineRule="auto"/>
        <w:rPr>
          <w:sz w:val="20"/>
          <w:szCs w:val="20"/>
          <w:color w:val="auto"/>
        </w:rPr>
      </w:pPr>
      <w:r>
        <w:rPr>
          <w:rFonts w:ascii="Arial" w:cs="Arial" w:eastAsia="Arial" w:hAnsi="Arial"/>
          <w:sz w:val="22"/>
          <w:szCs w:val="22"/>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9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Luxembourg law also requires the Company's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to provide an annual report confirming that the Company's Luxembourg Annual Accounts agree with the accounting records and documents of the Company.</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Directors' Reports for the year ended December 31, 2020 and the report of the supervisory auditor for the Luxembourg Annual Accounts for the same period will be available to shareholders at Altisource's registered office, during business hours, by appointment, subject to sanitary limitations that may be imposed by the Luxembourg government, from May 4, 2021 until the conclusion of the Annual Meeting. Following shareholder approval of the Luxembourg Statutory Accounts, these reports will be filed with the Luxembourg trade registry as public documents.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THAT YOU VOTE "FOR" THE RECEIPT AND APPROVAL OF THE DIRECTORS' REPORTS FOR THE</w:t>
      </w:r>
    </w:p>
    <w:p>
      <w:pPr>
        <w:jc w:val="center"/>
        <w:ind w:left="380" w:right="980"/>
        <w:spacing w:after="0" w:line="238" w:lineRule="auto"/>
        <w:rPr>
          <w:sz w:val="20"/>
          <w:szCs w:val="20"/>
          <w:color w:val="auto"/>
        </w:rPr>
      </w:pPr>
      <w:r>
        <w:rPr>
          <w:rFonts w:ascii="Arial" w:cs="Arial" w:eastAsia="Arial" w:hAnsi="Arial"/>
          <w:sz w:val="18"/>
          <w:szCs w:val="18"/>
          <w:b w:val="1"/>
          <w:bCs w:val="1"/>
          <w:color w:val="auto"/>
        </w:rPr>
        <w:t xml:space="preserve">LUXEMBOURG STATUTORY ACCOUNTS FOR THE YEAR ENDED DECEMBER 31, 2020 AND THE RECEIPT OF THE REPORT OF THE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FOR THE LUXEMBOURG ANNUAL ACCOUNTS FOR THE SAME PERIOD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132080</wp:posOffset>
            </wp:positionV>
            <wp:extent cx="108013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801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2020, no such allocation is required.</w:t>
      </w:r>
    </w:p>
    <w:p>
      <w:pPr>
        <w:spacing w:after="0" w:line="20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As of December 31, 2020, the Luxembourg Annual Accounts for Altisource reflect total assets of $1,150.0 million and a loss for the year then ended of $10.7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20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Board of Directors proposes to allocate the loss of $10.7 million reflected in the Luxembourg Annual Accounts to reduce profit brought forward.</w:t>
      </w:r>
    </w:p>
    <w:p>
      <w:pPr>
        <w:spacing w:after="0" w:line="187" w:lineRule="exact"/>
        <w:rPr>
          <w:sz w:val="20"/>
          <w:szCs w:val="20"/>
          <w:color w:val="auto"/>
        </w:rPr>
      </w:pPr>
    </w:p>
    <w:p>
      <w:pPr>
        <w:jc w:val="center"/>
        <w:ind w:left="420" w:right="198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2020</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132080</wp:posOffset>
            </wp:positionV>
            <wp:extent cx="98552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855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2020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2020, Altisource believes no such instances have occurred.</w:t>
      </w:r>
    </w:p>
    <w:p>
      <w:pPr>
        <w:spacing w:after="0" w:line="188" w:lineRule="exact"/>
        <w:rPr>
          <w:sz w:val="20"/>
          <w:szCs w:val="20"/>
          <w:color w:val="auto"/>
        </w:rPr>
      </w:pPr>
    </w:p>
    <w:p>
      <w:pPr>
        <w:jc w:val="center"/>
        <w:spacing w:after="0" w:line="242" w:lineRule="auto"/>
        <w:rPr>
          <w:sz w:val="20"/>
          <w:szCs w:val="20"/>
          <w:color w:val="auto"/>
        </w:rPr>
      </w:pPr>
      <w:r>
        <w:rPr>
          <w:rFonts w:ascii="Arial" w:cs="Arial" w:eastAsia="Arial" w:hAnsi="Arial"/>
          <w:sz w:val="18"/>
          <w:szCs w:val="18"/>
          <w:b w:val="1"/>
          <w:bCs w:val="1"/>
          <w:color w:val="auto"/>
        </w:rPr>
        <w:t xml:space="preserve">OUR BOARD OF DIRECTORS UNANIMOUSLY RECOMMENDS THAT YOU VOTE "FOR" THE DISCHARGE OF EACH OF THE DIRECTORS OF ALTISOURCE PORTFOLIO SOLUTIONS S.A. FOR THE PERFORMANCE OF THEIR MANDATE FOR THE YEAR ENDED DECEMBER 31, 2020 AND THE DISCHARGE OF THE SUPERVISORY AUDITOR </w:t>
      </w:r>
      <w:r>
        <w:rPr>
          <w:rFonts w:ascii="Arial" w:cs="Arial" w:eastAsia="Arial" w:hAnsi="Arial"/>
          <w:sz w:val="18"/>
          <w:szCs w:val="18"/>
          <w:b w:val="1"/>
          <w:bCs w:val="1"/>
          <w:i w:val="1"/>
          <w:iCs w:val="1"/>
          <w:color w:val="auto"/>
        </w:rPr>
        <w:t>(COMMISSAIRE AUX COMPTES)</w:t>
      </w:r>
      <w:r>
        <w:rPr>
          <w:rFonts w:ascii="Arial" w:cs="Arial" w:eastAsia="Arial" w:hAnsi="Arial"/>
          <w:sz w:val="18"/>
          <w:szCs w:val="18"/>
          <w:b w:val="1"/>
          <w:bCs w:val="1"/>
          <w:color w:val="auto"/>
        </w:rPr>
        <w:t xml:space="preserve"> FOR THE PERFORMANCE OF HER MANDATE FOR THE SAME PERIOD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132080</wp:posOffset>
            </wp:positionV>
            <wp:extent cx="118300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830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At our 2017 annual meeting of shareholders, our shareholders voted in favor of an annual frequency for advisory votes with respect to our executive compensation.</w:t>
      </w:r>
    </w:p>
    <w:p>
      <w:pPr>
        <w:spacing w:after="0" w:line="209"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2020 compensation of our Named Executive Officers.</w:t>
      </w:r>
    </w:p>
    <w:p>
      <w:pPr>
        <w:spacing w:after="0" w:line="211"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20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left="360" w:right="1360"/>
        <w:spacing w:after="0" w:line="236" w:lineRule="auto"/>
        <w:rPr>
          <w:sz w:val="20"/>
          <w:szCs w:val="20"/>
          <w:color w:val="auto"/>
        </w:rPr>
      </w:pPr>
      <w:r>
        <w:rPr>
          <w:rFonts w:ascii="Arial" w:cs="Arial" w:eastAsia="Arial" w:hAnsi="Arial"/>
          <w:sz w:val="18"/>
          <w:szCs w:val="18"/>
          <w:b w:val="1"/>
          <w:bCs w:val="1"/>
          <w:color w:val="auto"/>
        </w:rPr>
        <w:t>THAT YOU VOTE "FOR" THE PROPOSAL TO APPROVE, ON AN ADVISORY (NON-BINDING) BASIS, THE COMPENSATION OF THE NAMED EXECUTIVE OFFICERS, AS DISCLOSED IN THE COMPANY'S PROXY STATEMENT FOR THE 2021 ANNUAL MEETING OF SHAREHOLDERS PURSUANT TO THE COMPENSATION DISCLOSURE RULES OF THE SEC, INCLUDING THE COMPENSATION DISCUSSION AND ANALYSIS, THE SUMMARY COMPENSATION TABLE AND ACCOMPANYING COMPENSATION TABLES AND RELATED INFORMATION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132080</wp:posOffset>
            </wp:positionV>
            <wp:extent cx="116586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658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85" w:lineRule="auto"/>
        <w:rPr>
          <w:sz w:val="20"/>
          <w:szCs w:val="20"/>
          <w:color w:val="auto"/>
        </w:rPr>
      </w:pPr>
      <w:r>
        <w:rPr>
          <w:rFonts w:ascii="Arial" w:cs="Arial" w:eastAsia="Arial" w:hAnsi="Arial"/>
          <w:sz w:val="21"/>
          <w:szCs w:val="21"/>
          <w:b w:val="1"/>
          <w:bCs w:val="1"/>
          <w:color w:val="auto"/>
        </w:rPr>
        <w:t>Proposal Eight: Approve the amendment of our 2009 Equity Incentive Plan (the "Plan") to increase the number of shares of common stock reserved for issuance under the Plan by an additional 1.7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ability to offer equity incentive awards under the Plan is critical to our ability to attract and retain high-quality talent, particularly in light of the competitive market for talent in which we operate.</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On March 23, 2021, our Board of Directors and Compensation Committee approved an amendment to our Plan, subject to approval by our shareholders to increase the number of shares of common stock reserved for issuance under the Plan by an additional 1.7 million shares. The Plan was adopted prior to the spin out of the Company from Ocwen in August 2009 and was subsequently ratified by the Altisource Board of Directors on September 22, 2009. This is the first amendment to the Plan to increase the number of shares of common stock since it was originally adopted. We estimate that approximately 660 thousand shares remain available to be issued under the Plan. The proposed amendment to increase the shares of common stock reserved for issuance under the Plan will ensure that we are able to grant future incentive awards.</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have amended the Plan to provide for, and submit to our shareholders for approval, an increase in the number of shares of common stock that may be issued under the Plan by 1.7 million shares.</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executive officers and members of our Board of Directors will be eligible to receive awards under the amended Plan and therefore have an interest in this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Our Board Recommends That You Vote in Favor of Proposal Eight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Awards Are Critical to Long-Term Shareholder Value Creation</w:t>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equity incentive plan is critical to our long-term goal of building shareholder value. As discussed in the "Executive Compensation" section of this proxy statement, equity incentive awards are central to our compensation program and constitute a significant portion of our Named Executive Officers' total direct compensation, as well as incentive compensation for other employees. Our Board and its Compensation Committee believe that our ability to grant equity incentive awards to new and existing employees, directors and eligible consultants has helped us attract, retain and motivate employees with superior ability, experience and leadership capability. Historically, we have issued stock options, restricted stock units and restricted stock under the Plan. These forms of equity compensation align the interests of our employees, directors and consultants with the interests of our shareholders, encourage retention and promote actions that result in long-term shareholder value creation.</w:t>
      </w:r>
    </w:p>
    <w:p>
      <w:pPr>
        <w:spacing w:after="0" w:line="19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equity incentive program is broad-based. As of December 31, 2020, approximately 13% of our employees had received grants of equity awards and all three of our non-employee directors had received grants of equity awards. As of December 31, 2020, the Company had approximately 2,726 total employees and three non-employee directors. As of December 31, 2020, the Company also had approximately 91 non-employees to whom an offer of employment had been extended by the Company or an affiliate. We believe we must continue to offer a competitive equity compensation plan in order to attract, retain and motivate the industry-leading talent imperative to our continued growth and success.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Equity Incentive Award Use Carefully</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manage our long-term shareholder dilution by limiting the number of equity awards granted annually. The Compensation Committee carefully monitors our total dilution and equity expense to ensure that we maximize shareholder value by granting only the appropriate number of equity awards necessary to attract, retain and motivate employees. In determining the proposed increase to the Plan's share reserve,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132080</wp:posOffset>
            </wp:positionV>
            <wp:extent cx="116586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658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Compensation Committee and the Board took into account, among other things, our stock price and volatility and the existing terms of our outstanding awards.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Other than increasing the number of shares of common stock reserved for issuance under the Plan, the amendment will not otherwise change the terms of the Plan.</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18" w:lineRule="exact"/>
        <w:rPr>
          <w:sz w:val="20"/>
          <w:szCs w:val="20"/>
          <w:color w:val="auto"/>
        </w:rPr>
      </w:pPr>
    </w:p>
    <w:p>
      <w:pPr>
        <w:jc w:val="center"/>
        <w:ind w:left="560" w:right="840"/>
        <w:spacing w:after="0" w:line="238" w:lineRule="auto"/>
        <w:rPr>
          <w:sz w:val="20"/>
          <w:szCs w:val="20"/>
          <w:color w:val="auto"/>
        </w:rPr>
      </w:pPr>
      <w:r>
        <w:rPr>
          <w:rFonts w:ascii="Arial" w:cs="Arial" w:eastAsia="Arial" w:hAnsi="Arial"/>
          <w:sz w:val="18"/>
          <w:szCs w:val="18"/>
          <w:b w:val="1"/>
          <w:bCs w:val="1"/>
          <w:color w:val="auto"/>
        </w:rPr>
        <w:t>YOU VOTE "FOR" THE PROPOSAL TO APPROVE THE AMENDMENT OF OUR 2009 EQUITY INCENTIVE PLAN (THE "PLAN") TO INCREASE THE NUMBER OF SHARES OF COMMON STOCK RESERVED FOR ISSUANCE UNDER THE PLAN BY AN ADDITIONAL 1.7 MILLION SHARES</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43" w:right="5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w:t>
      </w:r>
    </w:p>
    <w:p>
      <w:pPr>
        <w:spacing w:after="0" w:line="1" w:lineRule="exact"/>
        <w:rPr>
          <w:sz w:val="20"/>
          <w:szCs w:val="20"/>
          <w:color w:val="auto"/>
        </w:rPr>
      </w:pPr>
    </w:p>
    <w:p>
      <w:pPr>
        <w:ind w:right="140" w:firstLine="8"/>
        <w:spacing w:after="0" w:line="236" w:lineRule="auto"/>
        <w:tabs>
          <w:tab w:leader="none" w:pos="2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8"/>
          <w:szCs w:val="18"/>
          <w:i w:val="1"/>
          <w:iCs w:val="1"/>
          <w:color w:val="auto"/>
        </w:rPr>
        <w:t>Related Party Disclosure</w:t>
      </w:r>
      <w:r>
        <w:rPr>
          <w:rFonts w:ascii="Arial" w:cs="Arial" w:eastAsia="Arial" w:hAnsi="Arial"/>
          <w:sz w:val="18"/>
          <w:szCs w:val="18"/>
          <w:color w:val="auto"/>
        </w:rPr>
        <w: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provided certain services to RESI; RESI was managed by AAMC. Our largest shareholder, William C. Erbey, owns or controls common stock in each of these companies and Deer Park, of which our Director Scott E. Burg is Chief Investment Officer and Managing Partner, owns or controls common stock of RESI.</w:t>
      </w:r>
    </w:p>
    <w:p>
      <w:pPr>
        <w:spacing w:after="0" w:line="20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As of December 31, 2020, based on public filings, Mr. Erbey reported beneficially owning or controlling approximately thirty-eight percent (38%) of the common stock of Altisource, approximately fifty percent (50%) of the common stock of AAMC and less than five percent (5%) of the common stock of RESI. As of March 3, 2021, based on public filings, Mr. Erbey's beneficial ownership of AAMC is approximately thirty-nine percent (39%). In addition, as of December 31, 2020, Deer Park reported beneficially owning or controlling approximately twenty-three percent (23%) of the common stock of Altisource and approximately twelve percent (12%) of the common stock of RESI. As a result of these ownership interests in RESI and AAMC, and because AAMC was RESI's external manager in 2020, we are disclosing our transactions with these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AAMC</w:t>
      </w:r>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We provided information technology ("IT") infrastructure and information security services to AAMC, including email services, telephone infrastructure, firewall and similar infrastructure services, which were generally billed on a per-employee basis. AAMC completed its separation of IT services in August 2019, and these services were terminated. For the year ended December 31, 2020, we had no billings to AAMC.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132080</wp:posOffset>
            </wp:positionV>
            <wp:extent cx="399478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947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year ended December 31, 2020, the Company generated $0.4 million from RESI. Services provided to RESI during such period included REO sales, property preservation and inspection services, title and closing services and rental property management.</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August 2018, Altisource entered into an omnibus amendment to its agreements with RESI to sell Altisource's rental property management business to RESI and permit RESI to internalize certain services that had been provided by Altisource (the "Omnibus Amendment"). The proceeds from the transaction totaled $18.0 million, payable in two installments. The first installment of $15.0 million was received on the closing date of August 8, 2018. The second installment of $3.0 million is to be received on the earlier of a RESI change of control or on August 8, 2023. On October 19, 2020, RESI announced that it had entered into a definitive merger agreement to sell RESI. The merger closed on January 11, 2021 and the Company subsequently received the $3.0 million payment.</w:t>
      </w:r>
    </w:p>
    <w:p>
      <w:pPr>
        <w:spacing w:after="0" w:line="2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2022 annual meeting of shareholders must be received at our registered office no later than December 6, 2021. In addition to any shareholders' rights under the Luxembourg Company Law and the Company's Articles of Incorporation, for any proposal that is not submitted for inclusion in the proxy statement for the 2022 annual meeting of shareholders, but is instead sought to be presented directly at the 2022 annual meeting of shareholders, SEC rules permit the persons appointed as proxies to vote shares represented by valid proxies in their discretion if we (i) receive the proposal no later than February 19, 2022 and advise shareholders in the 2022 proxy statement about the nature of the matter and how the persons appointed as proxies intend to vote on such matter or (ii) receive notice of the proposal after February 19, 2022.</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Notice of intent to present a proposal at the 2022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2020 was made available to shareholders on March 11, 2021.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2020, required to be filed by us with the SEC under the Exchange Act. Such requests should be directed to Investor Relations, Altisource Portfolio Solutions S.A., 40, avenue Monterey, L-2163 Luxembourg City, Grand Duchy of Luxembourg.</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2020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2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inclusive. Should any matter not described above be properly presented at the meeting, the persons appointed as proxies will vote according to their discretion.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or broker may only deliver one (1) copy of this proxy statement and our 2020 annual report to multiple shareholders who share an address unless the bank or broker has received contrary instructions from one (1) or more of the shareholders. Shareholders at an address to which a single copy of this proxy statement and our 2020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208"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 xml:space="preserve">This proxy statement and our 2020 annual report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proxy statement and our 2020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234315</wp:posOffset>
            </wp:positionV>
            <wp:extent cx="5829300" cy="7543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7543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o"/>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o"/>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5"/>
    </w:lvl>
  </w:abstractNum>
  <w:abstractNum w:abstractNumId="7">
    <w:nsid w:val="3804823E"/>
    <w:multiLevelType w:val="hybridMultilevel"/>
    <w:lvl w:ilvl="0">
      <w:lvlJc w:val="left"/>
      <w:lvlText w:val="(%1)"/>
      <w:numFmt w:val="decimal"/>
    </w:lvl>
    <w:lvl w:ilvl="1">
      <w:lvlJc w:val="left"/>
      <w:lvlText w:val="o"/>
      <w:numFmt w:val="bullet"/>
      <w:start w:val="1"/>
    </w:lvl>
  </w:abstractNum>
  <w:abstractNum w:abstractNumId="8">
    <w:nsid w:val="77465F01"/>
    <w:multiLevelType w:val="hybridMultilevel"/>
    <w:lvl w:ilvl="0">
      <w:lvlJc w:val="left"/>
      <w:lvlText w:val="(%1)"/>
      <w:numFmt w:val="decimal"/>
      <w:start w:val="2"/>
    </w:lvl>
  </w:abstractNum>
  <w:abstractNum w:abstractNumId="9">
    <w:nsid w:val="7724C67E"/>
    <w:multiLevelType w:val="hybridMultilevel"/>
    <w:lvl w:ilvl="0">
      <w:lvlJc w:val="left"/>
      <w:lvlText w:val="(%1)"/>
      <w:numFmt w:val="decimal"/>
      <w:start w:val="4"/>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lowerRoman"/>
      <w:start w:val="5"/>
    </w:lvl>
  </w:abstractNum>
  <w:abstractNum w:abstractNumId="21">
    <w:nsid w:val="1D4ED43B"/>
    <w:multiLevelType w:val="hybridMultilevel"/>
    <w:lvl w:ilvl="0">
      <w:lvlJc w:val="left"/>
      <w:lvlText w:val="(%1)"/>
      <w:numFmt w:val="decimal"/>
    </w:lvl>
    <w:lvl w:ilvl="1">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4"/>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2"/>
    </w:lvl>
  </w:abstractNum>
  <w:abstractNum w:abstractNumId="29">
    <w:nsid w:val="38437FDB"/>
    <w:multiLevelType w:val="hybridMultilevel"/>
    <w:lvl w:ilvl="0">
      <w:lvlJc w:val="left"/>
      <w:lvlText w:val="(%1)"/>
      <w:numFmt w:val="decimal"/>
      <w:start w:val="5"/>
    </w:lvl>
  </w:abstractNum>
  <w:abstractNum w:abstractNumId="30">
    <w:nsid w:val="7644A45C"/>
    <w:multiLevelType w:val="hybridMultilevel"/>
    <w:lvl w:ilvl="0">
      <w:lvlJc w:val="left"/>
      <w:lvlText w:val="(%1)"/>
      <w:numFmt w:val="decimal"/>
      <w:start w:val="8"/>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endash "/>
      <w:numFmt w:val="bullet"/>
      <w:start w:val="1"/>
    </w:lvl>
  </w:abstractNum>
  <w:abstractNum w:abstractNumId="39">
    <w:nsid w:val="12E685FB"/>
    <w:multiLevelType w:val="hybridMultilevel"/>
    <w:lvl w:ilvl="0">
      <w:lvlJc w:val="left"/>
      <w:lvlText w:val="\endash "/>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upperLetter"/>
      <w:start w:val="9"/>
    </w:lvl>
  </w:abstractNum>
  <w:abstractNum w:abstractNumId="42">
    <w:nsid w:val="374A3FE6"/>
    <w:multiLevelType w:val="hybridMultilevel"/>
    <w:lvl w:ilvl="0">
      <w:lvlJc w:val="left"/>
      <w:lvlText w:val="%1."/>
      <w:numFmt w:val="upperLetter"/>
      <w:start w:val="35"/>
    </w:lvl>
  </w:abstractNum>
  <w:abstractNum w:abstractNumId="43">
    <w:nsid w:val="4F4EF005"/>
    <w:multiLevelType w:val="hybridMultilevel"/>
    <w:lvl w:ilvl="0">
      <w:lvlJc w:val="left"/>
      <w:lvlText w:val="%1."/>
      <w:numFmt w:val="upperLetter"/>
      <w:start w:val="6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lowerRoman"/>
      <w:start w:val="2"/>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4"/>
    </w:lvl>
  </w:abstractNum>
  <w:abstractNum w:abstractNumId="52">
    <w:nsid w:val="354FE9F9"/>
    <w:multiLevelType w:val="hybridMultilevel"/>
    <w:lvl w:ilvl="0">
      <w:lvlJc w:val="left"/>
      <w:lvlText w:val="(%1)"/>
      <w:numFmt w:val="decimal"/>
      <w:start w:val="6"/>
    </w:lvl>
  </w:abstractNum>
  <w:abstractNum w:abstractNumId="53">
    <w:nsid w:val="15B5AF5C"/>
    <w:multiLevelType w:val="hybridMultilevel"/>
    <w:lvl w:ilvl="0">
      <w:lvlJc w:val="left"/>
      <w:lvlText w:val="(%1)"/>
      <w:numFmt w:val="decimal"/>
      <w:start w:val="17"/>
    </w:lvl>
  </w:abstractNum>
  <w:abstractNum w:abstractNumId="54">
    <w:nsid w:val="741226BB"/>
    <w:multiLevelType w:val="hybridMultilevel"/>
    <w:lvl w:ilvl="0">
      <w:lvlJc w:val="left"/>
      <w:lvlText w:val="(%1)"/>
      <w:numFmt w:val="decimal"/>
      <w:start w:val="1"/>
    </w:lvl>
    <w:lvl w:ilvl="1">
      <w:lvlJc w:val="left"/>
      <w:lvlText w:val="\endash "/>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8"/>
    </w:lvl>
  </w:abstractNum>
  <w:abstractNum w:abstractNumId="57">
    <w:nsid w:val="3F6AB60F"/>
    <w:multiLevelType w:val="hybridMultilevel"/>
    <w:lvl w:ilvl="0">
      <w:lvlJc w:val="left"/>
      <w:lvlText w:val="(%1)"/>
      <w:numFmt w:val="decimal"/>
      <w:start w:val="16"/>
    </w:lvl>
    <w:lvl w:ilvl="1">
      <w:lvlJc w:val="left"/>
      <w:lvlText w:val="\endash "/>
      <w:numFmt w:val="bullet"/>
      <w:start w:val="1"/>
    </w:lvl>
  </w:abstractNum>
  <w:abstractNum w:abstractNumId="58">
    <w:nsid w:val="61574095"/>
    <w:multiLevelType w:val="hybridMultilevel"/>
    <w:lvl w:ilvl="0">
      <w:lvlJc w:val="left"/>
      <w:lvlText w:val="(%1)"/>
      <w:numFmt w:val="decimal"/>
      <w:start w:val="3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decimal"/>
      <w:start w:val="22"/>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2021-04-05T15:04:15Z</dcterms:created>
  <dcterms:modified xsi:type="dcterms:W3CDTF">2021-04-05T15:04:15Z</dcterms:modified>
</cp:coreProperties>
</file>