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107315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100965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96"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March 31, 2021</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163195</wp:posOffset>
            </wp:positionV>
            <wp:extent cx="199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107950</wp:posOffset>
            </wp:positionV>
            <wp:extent cx="1997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Arial" w:cs="Arial" w:eastAsia="Arial" w:hAnsi="Arial"/>
                <w:sz w:val="18"/>
                <w:szCs w:val="18"/>
                <w:b w:val="1"/>
                <w:bCs w:val="1"/>
                <w:color w:val="auto"/>
                <w:w w:val="91"/>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Arial" w:cs="Arial" w:eastAsia="Arial" w:hAnsi="Arial"/>
                <w:sz w:val="18"/>
                <w:szCs w:val="18"/>
                <w:b w:val="1"/>
                <w:bCs w:val="1"/>
                <w:color w:val="auto"/>
              </w:rPr>
              <w:t>98-0554932</w:t>
            </w:r>
          </w:p>
        </w:tc>
      </w:tr>
      <w:tr>
        <w:trPr>
          <w:trHeight w:val="182"/>
        </w:trPr>
        <w:tc>
          <w:tcPr>
            <w:tcW w:w="7260" w:type="dxa"/>
            <w:vAlign w:val="bottom"/>
            <w:gridSpan w:val="6"/>
          </w:tcPr>
          <w:p>
            <w:pPr>
              <w:jc w:val="center"/>
              <w:ind w:right="16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80" w:type="dxa"/>
            <w:vAlign w:val="bottom"/>
          </w:tcPr>
          <w:p>
            <w:pPr>
              <w:jc w:val="center"/>
              <w:ind w:right="1624"/>
              <w:spacing w:after="0"/>
              <w:rPr>
                <w:sz w:val="20"/>
                <w:szCs w:val="20"/>
                <w:color w:val="auto"/>
              </w:rPr>
            </w:pPr>
            <w:r>
              <w:rPr>
                <w:rFonts w:ascii="Arial" w:cs="Arial" w:eastAsia="Arial" w:hAnsi="Arial"/>
                <w:sz w:val="14"/>
                <w:szCs w:val="14"/>
                <w:color w:val="auto"/>
                <w:w w:val="96"/>
              </w:rPr>
              <w:t>(I.R.S. Employer Identification No.)</w:t>
            </w:r>
          </w:p>
        </w:tc>
      </w:tr>
      <w:tr>
        <w:trPr>
          <w:trHeight w:val="358"/>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40, avenue Monterey</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L-2163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Grand Duchy of Luxembourg</w:t>
            </w:r>
          </w:p>
        </w:tc>
        <w:tc>
          <w:tcPr>
            <w:tcW w:w="3980" w:type="dxa"/>
            <w:vAlign w:val="bottom"/>
          </w:tcPr>
          <w:p>
            <w:pPr>
              <w:spacing w:after="0"/>
              <w:rPr>
                <w:sz w:val="18"/>
                <w:szCs w:val="18"/>
                <w:color w:val="auto"/>
              </w:rPr>
            </w:pPr>
          </w:p>
        </w:tc>
      </w:tr>
      <w:tr>
        <w:trPr>
          <w:trHeight w:val="182"/>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color w:val="auto"/>
                <w:w w:val="95"/>
              </w:rPr>
              <w:t>(Address of principal executive offices)</w:t>
            </w:r>
          </w:p>
        </w:tc>
        <w:tc>
          <w:tcPr>
            <w:tcW w:w="3980" w:type="dxa"/>
            <w:vAlign w:val="bottom"/>
          </w:tcPr>
          <w:p>
            <w:pPr>
              <w:spacing w:after="0"/>
              <w:rPr>
                <w:sz w:val="15"/>
                <w:szCs w:val="15"/>
                <w:color w:val="auto"/>
              </w:rPr>
            </w:pPr>
          </w:p>
        </w:tc>
      </w:tr>
      <w:tr>
        <w:trPr>
          <w:trHeight w:val="304"/>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0"/>
              </w:rPr>
              <w:t>(352) 27 61 49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540" w:type="dxa"/>
            <w:vAlign w:val="bottom"/>
            <w:gridSpan w:val="5"/>
          </w:tcPr>
          <w:p>
            <w:pPr>
              <w:jc w:val="center"/>
              <w:ind w:left="17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90"/>
        </w:trPr>
        <w:tc>
          <w:tcPr>
            <w:tcW w:w="3720" w:type="dxa"/>
            <w:vAlign w:val="bottom"/>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Trading Symbol</w:t>
            </w:r>
          </w:p>
        </w:tc>
        <w:tc>
          <w:tcPr>
            <w:tcW w:w="3980" w:type="dxa"/>
            <w:vAlign w:val="bottom"/>
          </w:tcPr>
          <w:p>
            <w:pPr>
              <w:jc w:val="center"/>
              <w:ind w:right="324"/>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2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Arial" w:cs="Arial" w:eastAsia="Arial" w:hAnsi="Arial"/>
                <w:sz w:val="14"/>
                <w:szCs w:val="14"/>
                <w:color w:val="auto"/>
                <w:w w:val="96"/>
              </w:rPr>
              <w:t>NASDAQ Global Select Market</w:t>
            </w:r>
          </w:p>
        </w:tc>
      </w:tr>
    </w:tbl>
    <w:p>
      <w:pPr>
        <w:spacing w:after="0" w:line="83"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93" w:lineRule="exact"/>
        <w:rPr>
          <w:sz w:val="24"/>
          <w:szCs w:val="24"/>
          <w:color w:val="auto"/>
        </w:rPr>
      </w:pPr>
    </w:p>
    <w:p>
      <w:pPr>
        <w:ind w:left="140"/>
        <w:spacing w:after="0" w:line="35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1440" w:space="340"/>
            <w:col w:w="5520" w:space="720"/>
            <w:col w:w="1580" w:space="480"/>
            <w:col w:w="1160"/>
          </w:cols>
          <w:pgMar w:left="320" w:top="1440" w:right="339" w:bottom="1440" w:gutter="0" w:footer="0" w:header="0"/>
          <w:type w:val="continuous"/>
        </w:sect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4"/>
          <w:szCs w:val="14"/>
          <w:color w:val="auto"/>
        </w:rPr>
        <w:t>As of May 4, 2021, there were 15,807,497 outstanding shares of the registrant’s common stock (excluding 9,605,251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Page</w:t>
            </w:r>
          </w:p>
        </w:tc>
      </w:tr>
      <w:tr>
        <w:trPr>
          <w:trHeight w:val="176"/>
        </w:trPr>
        <w:tc>
          <w:tcPr>
            <w:tcW w:w="10120" w:type="dxa"/>
            <w:vAlign w:val="bottom"/>
            <w:gridSpan w:val="22"/>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Financial Statements (Unaudited)</w:t>
              </w:r>
            </w:hyperlink>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09"/>
        </w:trPr>
        <w:tc>
          <w:tcPr>
            <w:tcW w:w="24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1700" w:type="dxa"/>
            <w:vAlign w:val="bottom"/>
            <w:tcBorders>
              <w:top w:val="single" w:sz="8" w:color="0000FF"/>
            </w:tcBorders>
            <w:gridSpan w:val="6"/>
          </w:tcPr>
          <w:p>
            <w:pPr>
              <w:spacing w:after="0"/>
              <w:rPr>
                <w:sz w:val="18"/>
                <w:szCs w:val="18"/>
                <w:color w:val="auto"/>
              </w:rPr>
            </w:pPr>
          </w:p>
        </w:tc>
        <w:tc>
          <w:tcPr>
            <w:tcW w:w="41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Loss</w:t>
              </w:r>
            </w:hyperlink>
          </w:p>
        </w:tc>
        <w:tc>
          <w:tcPr>
            <w:tcW w:w="640" w:type="dxa"/>
            <w:vAlign w:val="bottom"/>
            <w:gridSpan w:val="2"/>
          </w:tcPr>
          <w:p>
            <w:pPr>
              <w:jc w:val="center"/>
              <w:ind w:left="372"/>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Equity</w:t>
              </w:r>
            </w:hyperlink>
          </w:p>
        </w:tc>
        <w:tc>
          <w:tcPr>
            <w:tcW w:w="2160" w:type="dxa"/>
            <w:vAlign w:val="bottom"/>
            <w:tcBorders>
              <w:top w:val="single" w:sz="8" w:color="0000FF"/>
            </w:tcBorders>
            <w:gridSpan w:val="6"/>
          </w:tcPr>
          <w:p>
            <w:pPr>
              <w:spacing w:after="0"/>
              <w:rPr>
                <w:sz w:val="18"/>
                <w:szCs w:val="18"/>
                <w:color w:val="auto"/>
              </w:rPr>
            </w:pPr>
          </w:p>
        </w:tc>
        <w:tc>
          <w:tcPr>
            <w:tcW w:w="3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51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60" w:type="dxa"/>
            <w:vAlign w:val="bottom"/>
          </w:tcPr>
          <w:p>
            <w:pPr>
              <w:spacing w:after="0"/>
              <w:rPr>
                <w:sz w:val="18"/>
                <w:szCs w:val="18"/>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9160" w:type="dxa"/>
            <w:vAlign w:val="bottom"/>
            <w:gridSpan w:val="18"/>
          </w:tcPr>
          <w:p>
            <w:pPr>
              <w:ind w:left="140"/>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1012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 Other Information</w:t>
              </w:r>
            </w:hyperlink>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1A</w:t>
              </w:r>
            </w:hyperlink>
          </w:p>
        </w:tc>
        <w:tc>
          <w:tcPr>
            <w:tcW w:w="9160" w:type="dxa"/>
            <w:vAlign w:val="bottom"/>
            <w:gridSpan w:val="18"/>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2</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
        </w:trPr>
        <w:tc>
          <w:tcPr>
            <w:tcW w:w="2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6</w:t>
              </w:r>
            </w:hyperlink>
          </w:p>
        </w:tc>
        <w:tc>
          <w:tcPr>
            <w:tcW w:w="9160" w:type="dxa"/>
            <w:vAlign w:val="bottom"/>
            <w:gridSpan w:val="18"/>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1120" w:type="dxa"/>
            <w:vAlign w:val="bottom"/>
            <w:gridSpan w:val="5"/>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SIGNATURES</w:t>
              </w:r>
            </w:hyperlink>
          </w:p>
        </w:tc>
        <w:tc>
          <w:tcPr>
            <w:tcW w:w="9000" w:type="dxa"/>
            <w:vAlign w:val="bottom"/>
            <w:gridSpan w:val="17"/>
          </w:tcPr>
          <w:p>
            <w:pPr>
              <w:spacing w:after="0"/>
              <w:rPr>
                <w:sz w:val="24"/>
                <w:szCs w:val="24"/>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100,155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Arial" w:cs="Arial" w:eastAsia="Arial" w:hAnsi="Arial"/>
                <w:sz w:val="16"/>
                <w:szCs w:val="16"/>
                <w:color w:val="auto"/>
              </w:rPr>
              <w:t>LIABILITIES AND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71,545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contingencies and regulatory matters (Note 23)</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Equity (deficit):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15,795 outstanding as of</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March 31, 2021; 15,664 outstanding as of December 31, 2020)</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7"/>
              </w:rPr>
              <w:t>Treasury stock, at cost (9,618 shares as of March 31, 2021 and 9,749 shares as of December 31, 2020)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(441,034)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Altisource deficit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(83,765)</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deficit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(82,556)</w:t>
            </w:r>
          </w:p>
        </w:tc>
        <w:tc>
          <w:tcPr>
            <w:tcW w:w="0" w:type="dxa"/>
            <w:vAlign w:val="bottom"/>
          </w:tcPr>
          <w:p>
            <w:pPr>
              <w:spacing w:after="0"/>
              <w:rPr>
                <w:sz w:val="1"/>
                <w:szCs w:val="1"/>
                <w:color w:val="auto"/>
              </w:rPr>
            </w:pPr>
          </w:p>
        </w:tc>
      </w:tr>
      <w:tr>
        <w:trPr>
          <w:trHeight w:val="142"/>
        </w:trPr>
        <w:tc>
          <w:tcPr>
            <w:tcW w:w="8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deficit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r>
      <w:tr>
        <w:trPr>
          <w:trHeight w:val="188"/>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83"/>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121,444</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94,581</w:t>
            </w:r>
          </w:p>
        </w:tc>
      </w:tr>
      <w:tr>
        <w:trPr>
          <w:trHeight w:val="196"/>
        </w:trPr>
        <w:tc>
          <w:tcPr>
            <w:tcW w:w="8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26,863</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28,093</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196"/>
        </w:trPr>
        <w:tc>
          <w:tcPr>
            <w:tcW w:w="8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Unrealized loss on investment in equity securities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3"/>
        </w:trPr>
        <w:tc>
          <w:tcPr>
            <w:tcW w:w="828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(4,969)</w:t>
            </w:r>
          </w:p>
        </w:tc>
      </w:tr>
      <w:tr>
        <w:trPr>
          <w:trHeight w:val="216"/>
        </w:trPr>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(9,124)</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196"/>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196"/>
        </w:trPr>
        <w:tc>
          <w:tcPr>
            <w:tcW w:w="8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5"/>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5"/>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15,717</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(21,915)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(11,545)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196"/>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0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89"/>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(11,545)</w:t>
            </w:r>
          </w:p>
        </w:tc>
      </w:tr>
      <w:tr>
        <w:trPr>
          <w:trHeight w:val="23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4,117</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investment in equity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and non-current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business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86,583</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Income taxes paid (received),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increase in payables for purchases of premises and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2021, Lenders One had total assets of $1.9 million and total liabilities of $0.7 million. As of December 31, 2020, Lenders One had total assets of $2.3 million and total liabilities of $0.1 million.</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2020, as filed with the SEC on March 11,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Simplifying the Accounting for Income Taxes</w:t>
      </w:r>
      <w:r>
        <w:rPr>
          <w:rFonts w:ascii="Arial" w:cs="Arial" w:eastAsia="Arial" w:hAnsi="Arial"/>
          <w:sz w:val="18"/>
          <w:szCs w:val="18"/>
          <w:color w:val="auto"/>
        </w:rPr>
        <w:t>. This standard is part of the FASB’s initiative to reduce complexity in accounting standards by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instituting several simplifying provisions and removing several exceptions pertaining to income tax accounting. This standard is effective for annual periods beginning after December 15, 2020, including interim periods within that reporting period. Early adoption of this standard is permitted. The Company adopted this standard effective January 1, 2021 and has applied it prospectively. Adoption of this new standard did not have any impact on the Company’s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the FASB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This standard applies only to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relationships, and other transactions that reference the London 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2021, Ocwen was our largest customer, accounting for 34% of our total revenue.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three months ended March 31, 2021 and 2020, we recognized revenue from Ocwen of $16.9 million and $74.2 million, respectively. Revenue from Ocwen as a percentage of consolidated revenue was 34% and 61% for the three months ended March 31, 2021 and 2020,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and subserviced by Ocwen when a party other than Ocwen or the MSR owner selects Altisource as the service provider. For the three months ended March 31, 2021 and 2020, we recognized revenue of $2.6 million and $7.8 million,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New Residential Investment Corp. (individually, together with one or more of its subsidiaries or one or more of its subsidiaries individually,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$0.2 million and $29.3 million of service revenue from Ocwen for the three months ended March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$1.0 million and $8.0 million of service revenue from Ocwen for the three months ended March 31, 2021 and 2020, respectively, was derived from default valuations and title services referrals from the NRZ portfolios.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entered into an agreement with Ocwen on May 5, 2021 (the “Agreement”) pursuant to which the term of the services agreements between us and Ocwen were extended from August 2025 through August 2030 and the scope of solutions we provide to Ocwen were expanded to, among other things, include the opportunity to provide field services, first and second chance foreclosure auctions, and title services on Ocwen’s Federal Housing Administration (“F.H.A.”), Veterans Affairs (“V.A.”) and United States Department of Agriculture (“U.S.D.A.”) loans, subject to a process to confirm Altisource’s ability to meet reasonable performance requirements.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w:t>
      </w:r>
    </w:p>
    <w:p>
      <w:pPr>
        <w:spacing w:after="0" w:line="1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2021, accounts receivable from Ocwen totaled $4.1 million, $3.1 million of which was billed and $1.0 million of which was unbilled. As of December 31, 2020, accounts receivable from Ocwen totaled $5.9 million, $5.1 million of which was billed and $0.8 million of which was unbilled.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March 31, 2021, approximately 36% of loans serviced and subserviced by Ocwen (measured in unpaid principal balance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and 2020, we recognized revenue from NRZ of $0.8 million and $2.7 million, respectively, under the Brokerage Agreement. For the three months ended March 31, 2021 and 2020, we recognized additional revenue of $3.4 million and $12.0 million, respectively, relating to the Subject MSRs when a party other than NRZ selects Altisource as the service provider.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SALE OF A BUSINESS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on the closing date of August 8, 2018. The second installment of $3.0 million was to be received on the earlier of a RESI change of control or on August 8, 2023. On October 19, 2020, RESI announced that it had entered into a definitive merger agreement to sell RESI. The merger closed on January 11, 2021 and the Company subsequently received the $3.0 million payment. The present value of the second installment is included in other assets in the accompanying condensed consolidated balance sheets at a discounted value of $2.5 million as of December 31, 2020 (no comparative amount as of March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loss. As of March 31, 2021 and December 31, 2020, we held no shares of RESI common stock. During the three months ended March 31, 2020, we recognized an unrealized loss from the change in fair value of $(1.3) million (no comparative amount for the three months ended March 31, 2021). During the three months ended March 31, 2020, we earned dividends of $0.5 million (no comparative amount for the three months ended March 31, 2021), related to this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collectible. There can be no assurance that actual results will not differ from estimates or that consideration of these factors in the future will not result in an increase or decrease to our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 for expected credit losses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91"/>
              </w:rPr>
              <w:t>Balance at Beginning of</w:t>
            </w: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18"/>
                <w:szCs w:val="18"/>
                <w:b w:val="1"/>
                <w:bCs w:val="1"/>
                <w:color w:val="auto"/>
                <w:vertAlign w:val="superscript"/>
              </w:rPr>
              <w:t>(1)</w:t>
            </w:r>
          </w:p>
        </w:tc>
        <w:tc>
          <w:tcPr>
            <w:tcW w:w="40" w:type="dxa"/>
            <w:vAlign w:val="bottom"/>
          </w:tcPr>
          <w:p>
            <w:pPr>
              <w:spacing w:after="0"/>
              <w:rPr>
                <w:sz w:val="10"/>
                <w:szCs w:val="10"/>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Balance at End of Period</w:t>
            </w:r>
          </w:p>
        </w:tc>
        <w:tc>
          <w:tcPr>
            <w:tcW w:w="0" w:type="dxa"/>
            <w:vAlign w:val="bottom"/>
          </w:tcPr>
          <w:p>
            <w:pPr>
              <w:spacing w:after="0"/>
              <w:rPr>
                <w:sz w:val="1"/>
                <w:szCs w:val="1"/>
                <w:color w:val="auto"/>
              </w:rPr>
            </w:pPr>
          </w:p>
        </w:tc>
      </w:tr>
      <w:tr>
        <w:trPr>
          <w:trHeight w:val="189"/>
        </w:trPr>
        <w:tc>
          <w:tcPr>
            <w:tcW w:w="4380" w:type="dxa"/>
            <w:vAlign w:val="bottom"/>
            <w:gridSpan w:val="2"/>
            <w:vMerge w:val="continue"/>
          </w:tcPr>
          <w:p>
            <w:pPr>
              <w:spacing w:after="0"/>
              <w:rPr>
                <w:sz w:val="16"/>
                <w:szCs w:val="16"/>
                <w:color w:val="auto"/>
              </w:rPr>
            </w:pPr>
          </w:p>
        </w:tc>
        <w:tc>
          <w:tcPr>
            <w:tcW w:w="1120" w:type="dxa"/>
            <w:vAlign w:val="bottom"/>
          </w:tcPr>
          <w:p>
            <w:pPr>
              <w:jc w:val="center"/>
              <w:ind w:left="442"/>
              <w:spacing w:after="0"/>
              <w:rPr>
                <w:sz w:val="20"/>
                <w:szCs w:val="20"/>
                <w:color w:val="auto"/>
              </w:rPr>
            </w:pPr>
            <w:r>
              <w:rPr>
                <w:rFonts w:ascii="Arial" w:cs="Arial" w:eastAsia="Arial" w:hAnsi="Arial"/>
                <w:sz w:val="14"/>
                <w:szCs w:val="14"/>
                <w:b w:val="1"/>
                <w:bCs w:val="1"/>
                <w:color w:val="auto"/>
                <w:w w:val="91"/>
              </w:rPr>
              <w:t>Period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120" w:type="dxa"/>
            <w:vAlign w:val="bottom"/>
            <w:gridSpan w:val="5"/>
          </w:tcPr>
          <w:p>
            <w:pPr>
              <w:spacing w:after="0"/>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Amounts written off as uncollectible or transferred to other accounts or utilized.</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w w:val="98"/>
              </w:rPr>
              <w:t>NOTE 6 — PREPAID EXPENSES AND OTHER CURRENT ASSETS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43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Maintenance agreements, current portion</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20,965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PREMISES AND EQUIPMENT, NET</w:t>
            </w: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3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8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43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52,289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14,835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1,694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74,378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75,328</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(63,286)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11,092</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amounted to $1.2 million and $4.1 million for the three months ended March 31, 2021 and 2020, respectively, and is included in cost of revenue for operating assets and in selling, general and administrative expenses for non-operating assets in the accompanying condensed consolidated statements of operations and comprehensive loss.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Uruguay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RIGHT-OF-USE ASSETS UNDER OPERATING LEASES, NET</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Right-of-use assets under operating leases, net consists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w:t>
            </w: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operating leases was $1.9 million and $2.7 million for the three months ended March 31, 2021 and 2020, respectively, and is included in cost of revenue for operating assets and in selling, general and administrative expenses for non-operating assets in the accompanying condensed consolidated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89"/>
              </w:rPr>
              <w:t>Balance as of March 31, 2021 and December 31, 2020</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8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280" w:type="dxa"/>
            <w:vAlign w:val="bottom"/>
            <w:gridSpan w:val="5"/>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4"/>
                <w:szCs w:val="14"/>
                <w:color w:val="auto"/>
              </w:rPr>
            </w:pPr>
          </w:p>
        </w:tc>
        <w:tc>
          <w:tcPr>
            <w:tcW w:w="2380" w:type="dxa"/>
            <w:vAlign w:val="bottom"/>
            <w:gridSpan w:val="5"/>
          </w:tcPr>
          <w:p>
            <w:pPr>
              <w:ind w:left="220"/>
              <w:spacing w:after="0"/>
              <w:rPr>
                <w:sz w:val="20"/>
                <w:szCs w:val="20"/>
                <w:color w:val="auto"/>
              </w:rPr>
            </w:pPr>
            <w:r>
              <w:rPr>
                <w:rFonts w:ascii="Arial" w:cs="Arial" w:eastAsia="Arial" w:hAnsi="Arial"/>
                <w:sz w:val="14"/>
                <w:szCs w:val="14"/>
                <w:b w:val="1"/>
                <w:bCs w:val="1"/>
                <w:color w:val="auto"/>
              </w:rPr>
              <w:t>Accumulated amortization</w:t>
            </w:r>
          </w:p>
        </w:tc>
        <w:tc>
          <w:tcPr>
            <w:tcW w:w="180" w:type="dxa"/>
            <w:vAlign w:val="bottom"/>
          </w:tcPr>
          <w:p>
            <w:pPr>
              <w:spacing w:after="0"/>
              <w:rPr>
                <w:sz w:val="14"/>
                <w:szCs w:val="14"/>
                <w:color w:val="auto"/>
              </w:rPr>
            </w:pPr>
          </w:p>
        </w:tc>
        <w:tc>
          <w:tcPr>
            <w:tcW w:w="2260" w:type="dxa"/>
            <w:vAlign w:val="bottom"/>
            <w:gridSpan w:val="6"/>
          </w:tcPr>
          <w:p>
            <w:pPr>
              <w:jc w:val="right"/>
              <w:ind w:right="675"/>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estimated</w:t>
            </w: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
                <w:szCs w:val="2"/>
                <w:color w:val="auto"/>
              </w:rPr>
            </w:pPr>
          </w:p>
        </w:tc>
        <w:tc>
          <w:tcPr>
            <w:tcW w:w="11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
                <w:szCs w:val="2"/>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35"/>
        </w:trPr>
        <w:tc>
          <w:tcPr>
            <w:tcW w:w="2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useful life</w:t>
            </w:r>
          </w:p>
        </w:tc>
        <w:tc>
          <w:tcPr>
            <w:tcW w:w="2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80"/>
              <w:spacing w:after="0" w:line="176" w:lineRule="exact"/>
              <w:rPr>
                <w:sz w:val="20"/>
                <w:szCs w:val="20"/>
                <w:color w:val="auto"/>
              </w:rPr>
            </w:pPr>
            <w:r>
              <w:rPr>
                <w:rFonts w:ascii="Arial" w:cs="Arial" w:eastAsia="Arial" w:hAnsi="Arial"/>
                <w:sz w:val="18"/>
                <w:szCs w:val="18"/>
                <w:color w:val="auto"/>
              </w:rPr>
              <w:t>Customer related intangible</w:t>
            </w:r>
          </w:p>
        </w:tc>
        <w:tc>
          <w:tcPr>
            <w:tcW w:w="9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(189,981)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(187,923)</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24,992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assets</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30"/>
        </w:trPr>
        <w:tc>
          <w:tcPr>
            <w:tcW w:w="260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262,712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43,727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definite lived intangible assets was $2.6 million and $4.2 million for the three months ended March 31, 2021 and 2020,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2021 through 2025 is $9.5 million, $5.1 million, $5.1 million, $5.1 million and $5.1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11 — ACCOUNTS PAYABLE, ACCRUED EXPENSES AND OTHER CURRENT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2"/>
                <w:szCs w:val="22"/>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24,422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1"/>
                <w:szCs w:val="21"/>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2"/>
                <w:szCs w:val="22"/>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Less: Debt issuance costs,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mandatory repayments of the Term B Loans due until April 2024, when the balance is due at maturity, except as otherwise described herein.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for the twelve months ended March 31, 2021. The Company did not generate any Consolidated Excess Cash Flow in first quarter of 2021.</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for the twelve months ended March 31, 2021. The lenders have no obligation to provide any incremental indebtedness.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March 31, 2021 was 5.00%.</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w:t>
      </w:r>
    </w:p>
    <w:p>
      <w:pPr>
        <w:jc w:val="both"/>
        <w:ind w:firstLine="8"/>
        <w:spacing w:after="0" w:line="302"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4.00%. Base Rate revolving loans bear interest at a rate per annum equal to the sum of (i) the Base Rate plus (ii) 3.00%. The unused commitment fee is 0.50%. Borrowings under the revolving credit facility are not permitted if our leverage ratio exceeds 3.50 to 1.00. Our leverage ratio exceeded 3.50 to 1.00 for the twelve months ended March 31, 2021. There were no borrowings outstanding under the revolving credit facility as of March 31, 2021.</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in the Credit Agreement or waived, all loans and other obligations could become due and immediately payable and the facility could be terminated.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debt issuance costs were $2.2 million, net of $2.3 million of accumulated amortization. As of December 31, 2020, debt issuance costs were $2.4 million, net of $2.2 million of accumulated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 AND FINANCIAL INSTRUMENTS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March 31, 2021 and December 31, 2020. The following fair values are estimated using market information and what the Company believes to be appropriate valuation methodologies under 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2021</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Fair value</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receivable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210,124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the rental property management business in August 2018, Altisource was to receive $3.0 million on the earlier of a RESI change of control or on August 8, 2023. On October 19, 2020, RESI announced that it had entered into a definitive merger agreement to sell RESI. The merger closed on January 11, 2021 and the Company subsequently received the $3.0 million payment (See Note 3 for additional information). We measure long-term receivables without a stated interest rate based on the present value of the future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34% of its revenue from Ocwen for the three months ended March 31, 2021 (see Note 2 for additional information 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12"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15 — SHAREHOLDERS’ EQUITY AND SHARE-BASED COMPENSATION Share Repurchase Program</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2021, approximately 2.4 million shares of common stock remain available for repurchase under the program. There were no purchases of shares of common stock during the three months ended March 31, 2021 and 2020. Luxembourg law limits share repurchases to the balance of Altisource Portfolio Solutions S.A. (unconsolidated parent company) retained earnings, less the value of shares repurchased. As of March 31, 2021, we can repurchase up to approximately $86 million of our common stock under Luxembourg law. Our Credit Agreement also limits the amount we can spend on share repurchases, which limit was approximately $398 million as of March 31, 2021, and may prevent repurchases in certain circumstances, including if our leverage ratio exceeds 3.50 to 1.00. Our leverage ratio exceeded 3.50 to 1.00 for the twelve months ended March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$1.4 million and $2.9 million for the three months ended March 31, 2021 and 2020, respectively. As of March 31, 2021, estimated unrecognized compensation costs related to share-based awards amounted to $7.7 million, which we expect to recognize over a weighted average remaining requisite service period of approximately 1.60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249 thousand service-based options were outstanding as of March 31, 2021.</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198 thousand market-based options were outstanding as of March 31, 2021.</w:t>
      </w:r>
    </w:p>
    <w:p>
      <w:pPr>
        <w:spacing w:after="0" w:line="13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446 thousand performance-based options outstanding as of March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three months ended March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pricing model and the fair values of the market-based options were determined using a lattice (binomial) model.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 date fair value of stock options that vested during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 March 31,</w:t>
            </w:r>
          </w:p>
        </w:tc>
      </w:tr>
      <w:tr>
        <w:trPr>
          <w:trHeight w:val="19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144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1"/>
                <w:szCs w:val="11"/>
                <w:color w:val="auto"/>
              </w:rPr>
            </w:pPr>
          </w:p>
        </w:tc>
        <w:tc>
          <w:tcPr>
            <w:tcW w:w="12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as of March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Exercisable as of March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restricted share units. The restricted shares and restricted share units are composed of a combination of service-based awards, performance-based awards and market-based awards.</w:t>
      </w:r>
    </w:p>
    <w:p>
      <w:pPr>
        <w:spacing w:after="0" w:line="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restricted shares and restricted share units at the end of the vesting period. A total of 433 thousand service-based awards were outstanding as of March 31, 2021. Beginning in 2019, the Company granted service-based restricted share units as a component of most employees’ annual incentive compensation rather than cash.</w:t>
      </w:r>
    </w:p>
    <w:p>
      <w:pPr>
        <w:spacing w:after="0" w:line="13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252 thousand performance-based awards were outstanding as of March 31, 2021.</w:t>
      </w:r>
    </w:p>
    <w:p>
      <w:pPr>
        <w:spacing w:after="0" w:line="12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Market-Based Awards. </w:t>
      </w:r>
      <w:r>
        <w:rPr>
          <w:rFonts w:ascii="Arial" w:cs="Arial" w:eastAsia="Arial" w:hAnsi="Arial"/>
          <w:sz w:val="17"/>
          <w:szCs w:val="17"/>
          <w:color w:val="auto"/>
        </w:rPr>
        <w:t>50% of these awards generally vest if certain specific market conditions are achieved over a 30-day period and the remaining</w:t>
      </w:r>
      <w:r>
        <w:rPr>
          <w:rFonts w:ascii="Arial" w:cs="Arial" w:eastAsia="Arial" w:hAnsi="Arial"/>
          <w:sz w:val="17"/>
          <w:szCs w:val="17"/>
          <w:i w:val="1"/>
          <w:iCs w:val="1"/>
          <w:color w:val="auto"/>
        </w:rPr>
        <w:t xml:space="preserve"> </w:t>
      </w:r>
      <w:r>
        <w:rPr>
          <w:rFonts w:ascii="Arial" w:cs="Arial" w:eastAsia="Arial" w:hAnsi="Arial"/>
          <w:sz w:val="17"/>
          <w:szCs w:val="17"/>
          <w:color w:val="auto"/>
        </w:rPr>
        <w:t>50% of these awards generally vest on the one year anniversary of the initial vesting. The Company estimates the grant date fair value of these awards using a lattice (binomial) model. A total of 176 thousand market-based awards were outstanding as of March 31, 2021.</w:t>
      </w:r>
    </w:p>
    <w:p>
      <w:pPr>
        <w:spacing w:after="0" w:line="1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96 thousand performance-based and market-based awards were outstanding as of March 31, 2021.</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338 thousand restricted share units (at a weighted average grant date fair value of $9.53 per share) during the three months ended March 31, 2021. These grants include 29 thousand performance-based awards that include both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condition and a market condition. The Company granted 37 thousand performance-based awards that include both a performance condition and a market condition for the three months ended March 31, 2020. There were no market-based awards granted for the three months ended March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878,521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337,971</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(131,054)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Arial" w:cs="Arial" w:eastAsia="Arial" w:hAnsi="Arial"/>
                <w:sz w:val="18"/>
                <w:szCs w:val="18"/>
                <w:color w:val="auto"/>
                <w:w w:val="93"/>
              </w:rPr>
              <w:t>(128,470)</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March 31, 2021</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956,968</w:t>
            </w:r>
          </w:p>
        </w:tc>
      </w:tr>
      <w:tr>
        <w:trPr>
          <w:trHeight w:val="21"/>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REVENUE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 for the three months ended March 31: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113,176</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7,845</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major source is as follows:</w:t>
      </w:r>
    </w:p>
    <w:p>
      <w:pPr>
        <w:spacing w:after="0" w:line="1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 recognized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 related to</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Reimbursable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performed or assets</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and professional</w:t>
            </w:r>
          </w:p>
        </w:tc>
        <w:tc>
          <w:tcPr>
            <w:tcW w:w="1560" w:type="dxa"/>
            <w:vAlign w:val="bottom"/>
            <w:gridSpan w:val="2"/>
            <w:vMerge w:val="continue"/>
          </w:tcPr>
          <w:p>
            <w:pPr>
              <w:spacing w:after="0"/>
              <w:rPr>
                <w:sz w:val="11"/>
                <w:szCs w:val="11"/>
                <w:color w:val="auto"/>
              </w:rPr>
            </w:pPr>
          </w:p>
        </w:tc>
        <w:tc>
          <w:tcPr>
            <w:tcW w:w="14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5000" w:type="dxa"/>
            <w:vAlign w:val="bottom"/>
            <w:gridSpan w:val="2"/>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are sold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services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expenses revenue</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45,251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Three months ended March 31, 2020</w:t>
            </w:r>
          </w:p>
        </w:tc>
        <w:tc>
          <w:tcPr>
            <w:tcW w:w="1420" w:type="dxa"/>
            <w:vAlign w:val="bottom"/>
          </w:tcPr>
          <w:p>
            <w:pPr>
              <w:jc w:val="right"/>
              <w:ind w:right="2"/>
              <w:spacing w:after="0"/>
              <w:rPr>
                <w:sz w:val="20"/>
                <w:szCs w:val="20"/>
                <w:color w:val="auto"/>
              </w:rPr>
            </w:pPr>
            <w:r>
              <w:rPr>
                <w:rFonts w:ascii="Arial" w:cs="Arial" w:eastAsia="Arial" w:hAnsi="Arial"/>
                <w:sz w:val="18"/>
                <w:szCs w:val="18"/>
                <w:color w:val="auto"/>
              </w:rPr>
              <w:t>108,008</w:t>
            </w:r>
          </w:p>
        </w:tc>
        <w:tc>
          <w:tcPr>
            <w:tcW w:w="10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7,845</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121,444</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contract assets consist of unbilled accounts receivable (see Note 5). Our contract liabilities consist of current deferred revenue and other non-current liabilities as reported on the accompanying condensed consolidated balance sheets. Revenue recognized that was included in the contract liability at the beginning of the period was $2.2 million and $2.5 million for the three months ended March 31, 2021 and 2020,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as well as depreciation and amortization of operating assets. The components of cost of revenue were as follows for the three months ended March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48,140</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7,845</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three months ended March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19 — OTHER INCOME (EXPENSE),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 for the three months ended March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an income tax provision of $0.8 million and $2.4 million for the three months ended March 31, 2021 and 2020, respectively. The income tax provision for the three months ended March 31, 2021 was driven by income tax on transfer pricing income from India, minimum tax in Luxembourg, no tax benefit on the pretax loss from our Luxembourg operating company and tax on unrepatriated earnings in India.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LOSS PER SHARE</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 for the three months ended March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8"/>
        </w:trPr>
        <w:tc>
          <w:tcPr>
            <w:tcW w:w="82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15,497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and 2020, 1.7 million and 1.9 million stock options, restricted shares and restricted share units, respectively, were excluded from the computation of loss per share, as a result of the following:</w:t>
      </w:r>
    </w:p>
    <w:p>
      <w:pPr>
        <w:spacing w:after="0" w:line="116" w:lineRule="exact"/>
        <w:rPr>
          <w:sz w:val="20"/>
          <w:szCs w:val="20"/>
          <w:color w:val="auto"/>
        </w:rPr>
      </w:pPr>
    </w:p>
    <w:p>
      <w:pPr>
        <w:ind w:left="500" w:right="20" w:hanging="330"/>
        <w:spacing w:after="0" w:line="258"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both the three months ended March 31, 2021 and 2020, 0.3 million stock options, restricted shares and restricted share units were anti-dilutive and have been excluded from the computation of diluted loss per share because the Company incurred a net loss</w:t>
      </w:r>
    </w:p>
    <w:p>
      <w:pPr>
        <w:spacing w:after="0" w:line="1" w:lineRule="exact"/>
        <w:rPr>
          <w:rFonts w:ascii="Arial" w:cs="Arial" w:eastAsia="Arial" w:hAnsi="Arial"/>
          <w:sz w:val="18"/>
          <w:szCs w:val="18"/>
          <w:color w:val="auto"/>
        </w:rPr>
      </w:pPr>
    </w:p>
    <w:p>
      <w:pPr>
        <w:ind w:left="500" w:hanging="330"/>
        <w:spacing w:after="0" w:line="281" w:lineRule="auto"/>
        <w:tabs>
          <w:tab w:leader="none" w:pos="495"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months ended March 31, 2021 and 2020, 0.3 million and 0.9 million, respectively, stock options were anti-dilutive and have been excluded from the computation of diluted loss per share because their exercise price was greater than the average market price of our common stock</w:t>
      </w:r>
    </w:p>
    <w:p>
      <w:pPr>
        <w:spacing w:after="0" w:line="1" w:lineRule="exact"/>
        <w:rPr>
          <w:rFonts w:ascii="Arial" w:cs="Arial" w:eastAsia="Arial" w:hAnsi="Arial"/>
          <w:sz w:val="16"/>
          <w:szCs w:val="16"/>
          <w:color w:val="auto"/>
        </w:rPr>
      </w:pPr>
    </w:p>
    <w:p>
      <w:pPr>
        <w:jc w:val="both"/>
        <w:ind w:left="500" w:hanging="330"/>
        <w:spacing w:after="0" w:line="253"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months ended March 31, 2021 and 2020, 1.2 million and 0.8 million,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RESTRUCTURING CHARGES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three months ended March 31, 2020, Altisource incurred $2.9 million of severance costs, professional services fees, facility consolidation costs, technology costs and business wind down costs related to the plan (no comparative amount for the three months ended March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year ended December 31, 2019, the Company completed the analysis of its services for potential exposure to sales tax in various jurisdictions in the United States. Future changes in our estimated sales tax exposure could result in a material adjustment to our condensed consolidated financial statements, which would impact our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during the three months ended March 31, 2021, Ocwen was our largest customer, accounting for 34% of our total revenue. Additionally, 5% of our revenue for the three months ended March 31, 2021 was earned on the loan portfolios serviced by Ocwen, when a party other than Ocwen or the MSR owner selected Altisource as the service provider.</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March 31, 2021, approximately 36% of loans serviced and subserviced by Ocwen (measured in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$0.2 million and $29.3 million of service revenue from Ocwen for the three months ended March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$1.0 million and $8.0 million of service revenue from Ocwen for the three months ended March 31, 2021 and 2020, respectively, was derived from default valuations and title services referrals from the NRZ portfolios.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entered into an Agreement with Ocwen on May 5, 2021 pursuant to which the term of the services agreements between us and Ocwen were extended from August 2025 through August 2030 and the scope of solutions we provide to Ocwen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were expanded to, among other things, include the opportunity to provide field services, first and second chance foreclosure auctions, and title services on Ocwen’s F.H.A., V.A. and U.S.D.A. loans, subject to a process to confirm Altisource’s ability to meet reasonable performance requirements.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$0.3 million for the three months ended March 31, 2021 and 2020. The amortization periods of right-of-use assets are generally limited by the expected lease term. Our leases generally have expected lease terms at adoption of one to six years. As of March 31, 2021, we entered into a five year lease for additional office space which has not yet commenced.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 for the three months ended March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02"/>
        </w:trPr>
        <w:tc>
          <w:tcPr>
            <w:tcW w:w="80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7.01 %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7.16 %</w:t>
            </w:r>
          </w:p>
        </w:tc>
        <w:tc>
          <w:tcPr>
            <w:tcW w:w="20" w:type="dxa"/>
            <w:vAlign w:val="bottom"/>
          </w:tcPr>
          <w:p>
            <w:pPr>
              <w:spacing w:after="0"/>
              <w:rPr>
                <w:sz w:val="20"/>
                <w:szCs w:val="20"/>
                <w:color w:val="auto"/>
              </w:rPr>
            </w:pPr>
          </w:p>
        </w:tc>
      </w:tr>
      <w:tr>
        <w:trPr>
          <w:trHeight w:val="904"/>
        </w:trPr>
        <w:tc>
          <w:tcPr>
            <w:tcW w:w="8000" w:type="dxa"/>
            <w:vAlign w:val="bottom"/>
          </w:tcPr>
          <w:p>
            <w:pPr>
              <w:jc w:val="right"/>
              <w:ind w:right="2195"/>
              <w:spacing w:after="0"/>
              <w:rPr>
                <w:sz w:val="20"/>
                <w:szCs w:val="20"/>
                <w:color w:val="auto"/>
              </w:rPr>
            </w:pPr>
            <w:r>
              <w:rPr>
                <w:rFonts w:ascii="Arial" w:cs="Arial" w:eastAsia="Arial" w:hAnsi="Arial"/>
                <w:sz w:val="18"/>
                <w:szCs w:val="18"/>
                <w:color w:val="auto"/>
              </w:rPr>
              <w:t>22</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lease activity during the period is as follows for the three months ended March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 for amounts included in the measurement of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472"/>
        </w:trPr>
        <w:tc>
          <w:tcPr>
            <w:tcW w:w="826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March 31, 2021 are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Operating lease</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197"/>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$34.0 million and $20.0 million as of March 31, 2021 and December 31, 2020,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2020 filed with the Securities and Exchange Commission (“SEC”) on March 11,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as a result of Project Catalyst and otherwise in response to lower revenues due to COVID-19, or other factors;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2020 including: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anticipated increase in default related referrals following the expiration of foreclosure and eviction moratoriums and forbearance programs, the timing of the expiration of such moratoriums and programs, and any other delays occasioned by government, investor or servicer actions;</w:t>
      </w:r>
    </w:p>
    <w:p>
      <w:pPr>
        <w:spacing w:after="0" w:line="2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4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and uncertainties related to pandemics, epidemics or other force majeure events, including the COVID-19 pandemic, and associated impacts on the economy, supply chain, transportation, movement of people, availability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provide loan servicers and originators with marketplaces, services and technologies that span the residential mortgage lifecycle. We provide buyers, sellers, servicers and investors with the technology enabled marketplaces and other solutions that span the residential real estate lifecycle.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right="1860" w:firstLine="332"/>
        <w:spacing w:after="0" w:line="309" w:lineRule="auto"/>
        <w:tabs>
          <w:tab w:leader="none" w:pos="64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Property preservation and inspection services and vendor management oversight software-as-a-service (“SaaS”) platform </w:t>
      </w:r>
      <w:r>
        <w:rPr>
          <w:rFonts w:ascii="Arial" w:cs="Arial" w:eastAsia="Arial" w:hAnsi="Arial"/>
          <w:sz w:val="18"/>
          <w:szCs w:val="18"/>
          <w:u w:val="single" w:color="auto"/>
          <w:color w:val="auto"/>
        </w:rPr>
        <w:t>Marketplace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spacing w:after="0" w:line="26" w:lineRule="exact"/>
        <w:rPr>
          <w:rFonts w:ascii="Arial" w:cs="Arial" w:eastAsia="Arial" w:hAnsi="Arial"/>
          <w:sz w:val="18"/>
          <w:szCs w:val="18"/>
          <w:color w:val="auto"/>
        </w:rPr>
      </w:pPr>
    </w:p>
    <w:p>
      <w:pPr>
        <w:ind w:right="960" w:firstLine="332"/>
        <w:spacing w:after="0" w:line="254" w:lineRule="auto"/>
        <w:tabs>
          <w:tab w:leader="none" w:pos="643"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Equator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w:t>
      </w:r>
      <w:r>
        <w:rPr>
          <w:rFonts w:ascii="Arial" w:cs="Arial" w:eastAsia="Arial" w:hAnsi="Arial"/>
          <w:sz w:val="18"/>
          <w:szCs w:val="18"/>
          <w:u w:val="single" w:color="auto"/>
          <w:color w:val="auto"/>
        </w:rPr>
        <w:t>Mortgage and Real Estate Solutions</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insurance (as an agent) and settlement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mortgage banking cooperative</w:t>
      </w:r>
    </w:p>
    <w:p>
      <w:pPr>
        <w:spacing w:after="0" w:line="6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platform</w:t>
      </w:r>
    </w:p>
    <w:p>
      <w:pPr>
        <w:spacing w:after="0" w:line="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loan investors and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out businesses to provide long term value to our shareholders.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our offerings that support residential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rise, or customers and prospects consolidate to larger, full-service providers or outsource services that have historically been performed in-house.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provide services to mortgage loan originators (or other similar mortgage market participants) in originating, buying and selling residential mortgages. We provide a suite of solutions and technologies to meet the evolving and growing needs of lenders, mortgage purchasers and securitizers. We are focused on growing referrals from our existing customer base and attracting new customers to our offerings. We have a customer base that includes the Lenders One cooperative mortgage bankers and mid-size and larger bank and non-bank loan originators. We believe our suite of services, technologies and unique access to the members of the Lenders One mortgage cooperative position us to grow our relationships with our existing customer base by cross-selling existing offerings and developing new offerings. Further, we believe we are well positioned to gain market share from existing and new customers as customers and prospects consolidate to larger, full-service providers or outsource services that have historically been performed in-house.</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response to the COVID-19 pandemic, various governmental entities and servicers implemented unprecedented foreclosure and eviction moratoriums and forbearance programs to help mitigate the impact to borrowers and renters. Additionally, at various times throughout 2020, certain jurisdictions in the United States placed restrictions on non-essential services and travel. As a result of these measures, foreclosure initiations were 86% lower for the first quarter of 2021 compared to the first quarter of 2020 despite 232% growth in the number of delinquent mortgages in March 2021 compared to March 2020 (according to data from a recent Black Knight report). The decline in foreclosure initiations resulted in significantly lower REO referrals and negatively impacted virtually all of the default related services performed on delinquent loans, loans in foreclosure and REO. With the expectation that the pandemic-related foreclosure and eviction moratoriums will continue through at least June 30, 2021, and that there will be additional pandemic-related borrower protection measures in place through December 31, 2021, we anticipate that default related referrals will remain severely depressed throughout 2021.</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same time, to reduce interest rates, the Federal Reserve lowered the target for the federal funds rate to 0% to 0.25% and bought billions of dollars of mortgage backed securities on the secondary market. As a result of the lower interest rate environment, first quarter 2021 mortgage originations were 94% higher than first quarter 2020 (according to the Mortgage Bankers Association) driving higher demand for origination related services. For the full year, the Mortgage Bankers Association forecasts that origination volume will decline by 14%.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cannot predict the duration of the pandemic and future governmental measures, we anticipate that revenue from our default related businesses will continue to be under significant pressure throughout 2021 with referrals being impacted by the foreclosure and eviction moratoriums, forbearance plans, and borrower protection measures that may be undertaken, and Ocwen’s transition of field services, valuation and title referrals associated with certain investor's mortgage servicing rights (“MSRs”) to the investor's captive service provider (see Ocwen Related Matters below). Furthermore, we anticipate that our Marketplace and Field Services businesses will continue to be negatively impacted by low REO referrals and declining REO inventory. We further anticipate that our origination related business will continue to experience growth from new customer wins and, more recently, new product launches. However, due to the relative size of Altisource’s default related businesses compared to its origination related businesses, we anticipate that Altisource’s total service revenue will decline in 2021 compared to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address the lower anticipated revenue, Altisource is working to (1) reduce our cost structure, (2) maintain the infrastructure to deliver default related services for our customer base and support the anticipated surge in demand following the expiration of the moratoriums and forbearance plans, and (3) accelerate the growth of our originations related businesses.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anticipate that demand for default related services will begin to return in late 2021 and into 2022 after the expiration of the pandemic related foreclosure and eviction moratoriums, forbearance plans and other loss mitigation activities. We anticipate that the volume of referrals will be significantly higher driven by the return to a more normal default operating environment. We believe the magnitude of the increase in demand for default services will be largely based upon the delinquency rate at the time the foreclosure and eviction moratoriums and forbearance plans expire. We currently anticipate that the default related business should stabilize in 2023 when foreclosures commenced after the expiration of the foreclosure moratoriums and forbearance plans become REO. We further anticipate that our originations related business will continue to grow from new customer wins, and cross selling existing and new offerings to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2021, approximately 2.4 million shares of common stock remain available for repurchase under the program. There were no purchases of shares of common stock during the three months ended March 31, 2021 and 2020. Luxembourg law limits share repurchases to the balance of Altisource Portfolio Solutions S.A. (unconsolidated parent company) retained earnings, less the value of shares repurchased. As of March 31, 2021, we can repurchase up to approximately $86 million of our common stock under Luxembourg law. Our Credit Agreement also limits the amount we can spend on share repurchases, which limit was approximately $398 million as of March 31, 2021, and may prevent repurchases in certain circumstances, including if our leverage ratio exceeds 3.50 to 1.00. Our leverage ratio exceeded 3.50 to 1.00 for the twelve months ended March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Ocwen was our largest customer, accounting for 34% of our total revenue for the three months ended March 31, 2021. Additionally, 5% of our revenue for the three months ended March 31, 2021 was earned on the loan portfolios serviced by Ocwen, when a party other than Ocwen or the MSRs owner selected Altisource as the service provider.</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Ocwen has disclosed that NRZ is its largest client. As of March 31, 2021, approximately 36% of loans serviced and subserviced by Ocwen (measured in unpaid principal balance)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MSRs”) and under which Ocwen will subservice mortgage loans underlying the MSRs for an initial term of five years. NRZ can terminate its sub-servicing agreement with Ocwen in exchange for the payment of a termination fee.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$0.2 million and $29.3 million of service revenue from Ocwen for the three months ended March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$1.0 million and $8.0 million of service revenue from Ocwen for the three months ended March 31, 2021 and 2020, respectively, was derived from default valuations and title services referrals from the NRZ portfolios.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reduction in revenue, Altisource is undertaking several measures to further reduce its cost structure and strengthen its operations.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entered into an agreement with Ocwen on May 5, 2021 (the “Agreement”) pursuant to which the term of the services agreements between us and Ocwen were extended from August 2025 through August 2030 and the scope of solutions we provide to Ocwen were expanded to, among other things, include the opportunity to provide field services, first and second chance foreclosure auctions, and title services on Ocwen’s Federal Housing Administration, Veterans Affairs and United States Department of Agriculture loans, subject to a process to confirm Altisource’s ability to meet reasonable performance requirements.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87" w:lineRule="auto"/>
        <w:tabs>
          <w:tab w:leader="none" w:pos="655"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Company’s financial performance in its default related businesses was negatively impacted by the COVID-19 pandemic for the three months ended March 31, 2021. Governmental, and in some instances, servicer measures to provide support to borrowers, including foreclosure and eviction moratoriums and forbearance programs, reduced referral volumes and inflows of REO. COVID-19 pandemic related governmental restrictions and changing vendor and consumer behavior also impacted financial performance. These impacts were partially offset by stronger performance from the Company’s origination related businesses that benefited from lower interest rates, customer wins and new offerings for the three months ended March 31, 2021 compared to the three months ended March 31, 2020. Across the Company’s three core businesses, service revenue from customers other than Ocwen, NRZ and RESI for the three months ended March 31, 2021 grew by 12% compared to the three months ended March 31, 2020. Compared to the three months ended March 31, 2020, the increase is primarily from 68% growth in our origination businesses partially offset by a 70% decline in our default business. Service revenue from our default and other business was $30.5 million and $101.3 million for the three months ended March 31, 2021 and 2020, respectively, and service revenue from our origination business was $16.8 million and $10.0 million for the three months ended March 31, 2021 and 2020, respectively.</w:t>
      </w:r>
    </w:p>
    <w:p>
      <w:pPr>
        <w:spacing w:after="0" w:line="9" w:lineRule="exact"/>
        <w:rPr>
          <w:rFonts w:ascii="Arial" w:cs="Arial" w:eastAsia="Arial" w:hAnsi="Arial"/>
          <w:sz w:val="16"/>
          <w:szCs w:val="16"/>
          <w:b w:val="1"/>
          <w:bCs w:val="1"/>
          <w:color w:val="auto"/>
        </w:rPr>
      </w:pPr>
    </w:p>
    <w:p>
      <w:pPr>
        <w:jc w:val="both"/>
        <w:ind w:left="660" w:hanging="328"/>
        <w:spacing w:after="0" w:line="28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$0.2 million and $29.3 million of service revenue from Ocwen for the three months ended March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$1.0 million and $8.0 million of service revenue from Ocwen for the three months ended March 31, 2021 and 2020, respectively, was derived from default valuations and title services referrals from the NRZ portfolios. To address the reduction in revenue, Altisource is undertaking several measures to further reduce its cost structure and strengthen its operations.</w:t>
      </w:r>
    </w:p>
    <w:p>
      <w:pPr>
        <w:spacing w:after="0" w:line="5"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three months ended March 31, 2020, we recognized an unrealized loss of $(1.3) million from the change in fair value on our investment in RESI in other income (expense), net in the condensed consolidated statements of operations and comprehensive loss from a change in the market value of RESI common shares (no comparative amount for the three months ended March 31, 2021).</w:t>
      </w:r>
    </w:p>
    <w:p>
      <w:pPr>
        <w:spacing w:after="0" w:line="3"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(finalized in 2020). During the three months ended March 31, 2020, Altisource incurred $2.9 million of severance costs, professional services fees, facility consolidation costs, technology costs and business wind down costs related to the reorganization plan (no comparative amount for the three months ended March 31, 2021).</w:t>
      </w:r>
    </w:p>
    <w:p>
      <w:pPr>
        <w:spacing w:after="0" w:line="9"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recognized an income tax provision of $0.8 million and $2.4 million for the three months ended March 31, 2021 and 2020, respectively. The income tax provision for the three months ended March 31, 2021 was driven by income tax on transfer pricing income from India, minimum tax in Luxembourg, no tax benefit on the pretax loss from our Luxembourg operating company and tax on unrepatriated earnings in India.</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 for the three months ended March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18"/>
                <w:szCs w:val="18"/>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 (decrease)</w:t>
            </w:r>
          </w:p>
        </w:tc>
      </w:tr>
      <w:tr>
        <w:trPr>
          <w:trHeight w:val="199"/>
        </w:trPr>
        <w:tc>
          <w:tcPr>
            <w:tcW w:w="6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113,176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7,845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423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50,465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121,444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94,581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26,863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28,093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2,925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(18,579)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(4,155)</w:t>
            </w:r>
          </w:p>
        </w:tc>
        <w:tc>
          <w:tcPr>
            <w:tcW w:w="1500" w:type="dxa"/>
            <w:vAlign w:val="bottom"/>
            <w:gridSpan w:val="2"/>
          </w:tcPr>
          <w:p>
            <w:pPr>
              <w:jc w:val="right"/>
              <w:ind w:right="8"/>
              <w:spacing w:after="0"/>
              <w:rPr>
                <w:sz w:val="20"/>
                <w:szCs w:val="20"/>
                <w:color w:val="auto"/>
              </w:rPr>
            </w:pPr>
            <w:r>
              <w:rPr>
                <w:rFonts w:ascii="Arial" w:cs="Arial" w:eastAsia="Arial" w:hAnsi="Arial"/>
                <w:sz w:val="18"/>
                <w:szCs w:val="18"/>
                <w:color w:val="auto"/>
              </w:rPr>
              <w:t>347</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(4,716)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on investment in equity securities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(1,347)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1,094</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(4,969)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6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 and non-controlling interests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(9,124)</w:t>
            </w:r>
          </w:p>
        </w:tc>
        <w:tc>
          <w:tcPr>
            <w:tcW w:w="1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131</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(2,421)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w:t>
            </w:r>
          </w:p>
        </w:tc>
      </w:tr>
      <w:tr>
        <w:trPr>
          <w:trHeight w:val="196"/>
        </w:trPr>
        <w:tc>
          <w:tcPr>
            <w:tcW w:w="6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(11,545)</w:t>
            </w:r>
          </w:p>
        </w:tc>
        <w:tc>
          <w:tcPr>
            <w:tcW w:w="1500" w:type="dxa"/>
            <w:vAlign w:val="bottom"/>
            <w:gridSpan w:val="2"/>
          </w:tcPr>
          <w:p>
            <w:pPr>
              <w:jc w:val="right"/>
              <w:ind w:right="8"/>
              <w:spacing w:after="0"/>
              <w:rPr>
                <w:sz w:val="20"/>
                <w:szCs w:val="20"/>
                <w:color w:val="auto"/>
              </w:rPr>
            </w:pPr>
            <w:r>
              <w:rPr>
                <w:rFonts w:ascii="Arial" w:cs="Arial" w:eastAsia="Arial" w:hAnsi="Arial"/>
                <w:sz w:val="18"/>
                <w:szCs w:val="18"/>
                <w:color w:val="auto"/>
              </w:rPr>
              <w:t>90</w:t>
            </w:r>
          </w:p>
        </w:tc>
      </w:tr>
      <w:tr>
        <w:trPr>
          <w:trHeight w:val="229"/>
        </w:trPr>
        <w:tc>
          <w:tcPr>
            <w:tcW w:w="6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4"/>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Altisource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(11,650)</w:t>
            </w:r>
          </w:p>
        </w:tc>
        <w:tc>
          <w:tcPr>
            <w:tcW w:w="1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Gross profit/service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from operations/service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(0.75)</w:t>
            </w:r>
          </w:p>
        </w:tc>
        <w:tc>
          <w:tcPr>
            <w:tcW w:w="1500" w:type="dxa"/>
            <w:vAlign w:val="bottom"/>
            <w:gridSpan w:val="2"/>
          </w:tcPr>
          <w:p>
            <w:pPr>
              <w:jc w:val="right"/>
              <w:ind w:right="8"/>
              <w:spacing w:after="0"/>
              <w:rPr>
                <w:sz w:val="20"/>
                <w:szCs w:val="20"/>
                <w:color w:val="auto"/>
              </w:rPr>
            </w:pPr>
            <w:r>
              <w:rPr>
                <w:rFonts w:ascii="Arial" w:cs="Arial" w:eastAsia="Arial" w:hAnsi="Arial"/>
                <w:sz w:val="18"/>
                <w:szCs w:val="18"/>
                <w:color w:val="auto"/>
              </w:rPr>
              <w:t>86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(0.75)</w:t>
            </w:r>
          </w:p>
        </w:tc>
        <w:tc>
          <w:tcPr>
            <w:tcW w:w="1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15,497</w:t>
            </w:r>
          </w:p>
        </w:tc>
        <w:tc>
          <w:tcPr>
            <w:tcW w:w="1500" w:type="dxa"/>
            <w:vAlign w:val="bottom"/>
            <w:gridSpan w:val="2"/>
          </w:tcPr>
          <w:p>
            <w:pPr>
              <w:jc w:val="right"/>
              <w:ind w:right="8"/>
              <w:spacing w:after="0"/>
              <w:rPr>
                <w:sz w:val="20"/>
                <w:szCs w:val="20"/>
                <w:color w:val="auto"/>
              </w:rPr>
            </w:pPr>
            <w:r>
              <w:rPr>
                <w:rFonts w:ascii="Arial" w:cs="Arial" w:eastAsia="Arial" w:hAnsi="Arial"/>
                <w:sz w:val="18"/>
                <w:szCs w:val="18"/>
                <w:color w:val="auto"/>
              </w:rPr>
              <w:t>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15,497</w:t>
            </w:r>
          </w:p>
        </w:tc>
        <w:tc>
          <w:tcPr>
            <w:tcW w:w="1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consists of the following for the three months ended March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54,913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30,276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Earlier Stage Business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reimbursable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6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$48.1 million for the three months ended March 31, 2021, a 58% decrease compared to the three months ended March 31, 2020, primarily from COVID-19 pandemic related foreclosure and eviction moratoriums and borrower forbearance plans, an MSR investor’s 2020 instructions to Ocwen to transition field services, title and valuation referrals historically provided to Altisource to the MSR investor’s captive vendors. The decrease for the three months ended March 31, 2021 was partially offset by a 70% increase in revenue from customers other than Ocwen, NRZ and RESI in our Mortgage and Real Estate Solutions businesses from higher origination related volumes driven by a lower interest rate environment, customer wins and new offerings.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reimbursable expense revenue of $2.0 million for the three months ended March 31, 2021, a 74% decrease compared to the three months ended March 31, 2020. The decrease in reimbursable expenses for the three months ended March 31, 2021 was consistent with the decline in service revenue discussed above.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cost of revenue of $50.2 million for the three months ended March 31, 2021, a 47% decrease compared to the three months ended March 31, 2020. The decrease in outside fees and services were primarily driven by lower service revenue in Field Services and Marketplace businesses, discussed in the revenue section above. Compensation and benefits decreased primarily due to lower headcount in connection with cash cost savings measures taken in 2020 in response to the COVID-19 related decreases in service revenue and reduction in revenue from Ocwen discussed in the revenue section above. The Company also continued to reduce employee costs in the three months ended March 31, 2021 as a result of the extension of the expiration of foreclosure moratoriums and forbearance plans. The decreases in reimbursable expenses were consistent with the changes in reimbursable expense revenue discussed in the revenue section above.</w:t>
      </w:r>
    </w:p>
    <w:p>
      <w:pPr>
        <w:spacing w:after="0" w:line="14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Gross profit decreased to $0.3 million, representing 1% of service revenue, for the three months ended March 31, 2021 compared to $26.9 million, representing 24% of service revenue, for the three months ended March 31, 2020. Gross profit as a percentage of service revenue for the three months ended March 31, 2021 decreased compared to the three months ended March 31, 2020 primarily due to revenue mix with lower revenue from the higher margin Marketplace businesses and lower gross profit margin in the Field Services business. These decreases were partially offset by our COVID-19 cash cost savings measures.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three months ended March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(35)</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5,421</w:t>
            </w:r>
          </w:p>
        </w:tc>
        <w:tc>
          <w:tcPr>
            <w:tcW w:w="154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(41)</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(38)</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2,635</w:t>
            </w:r>
          </w:p>
        </w:tc>
        <w:tc>
          <w:tcPr>
            <w:tcW w:w="154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22</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(67)</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w:t>
            </w:r>
          </w:p>
        </w:tc>
        <w:tc>
          <w:tcPr>
            <w:tcW w:w="154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(43)</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(31)</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28,093</w:t>
            </w:r>
          </w:p>
        </w:tc>
        <w:tc>
          <w:tcPr>
            <w:tcW w:w="1540" w:type="dxa"/>
            <w:vAlign w:val="bottom"/>
            <w:tcBorders>
              <w:bottom w:val="single" w:sz="8" w:color="CCEEFF"/>
            </w:tcBorders>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(33)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expenses for the three months ended March 31, 2021 of $18.9 million decreased by 33% compared to the three months ended March 31, 2020. The decreases were primarily driven by lower compensation and benefits, occupancy related costs, amortization of intangible assets and marketing costs. Compensation and benefits decreased primarily due to lower headcount in connection with cash cost savings measures taken in 2020 in response to the COVID-19 related decreases in service revenue and reduction in revenue from Ocwen discussed in the revenue section above. The Company also continued to reduce compensation and benefits costs in the three months ended March 31, 2021 as a result of the extension of the expiration of foreclosure moratoriums and forbearance plans. The decreases in occupancy related costs primarily resulted from facility consolidation initiatives. The decrease in amortization of intangible assets was driven by the completion of the amortization period of certain intangible assets during 2020 and lower revenue generated from the Homeward Residential, Inc. and Residential Capital, LLC portfolios (revenue-based amortization) consistent with the reduction in the size of Ocwen’s portfolio, discussed in the revenue section above. The decreases in marketing costs were primarily driven by COVID-19 cost savings measures and the decline in revenue. For the three months ended March 31, 2021, Other expenses decreased primarily due to lower travel and entertainment costs driven by COVID-19 travel restrictions, lower billings to Transworld Systems Inc. for transition services in connection with the July 1, 2019 sale of the Financial Services Business and lower bad debt expense.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three months ended March 31, 2020, Altisource incurred $2.9 million of severance costs, professional services fees, facility consolidation costs, technology costs and business wind down costs related to the reorganization plan (no comparative amount for the three months ended March 31,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Loss from operations for the three months ended March 31, 2021 was $(18.6) million, representing (39)% of service revenue, compared to $(4.2) million, representing (4)% of service revenue, for the three months ended March 31, 2020. Loss from operations as a percentage of service revenue increased for the three months ended March 31, 2021 compared to the three months ended March 31, 2020, primarily as a result of lower gross profit margins during the three months ended March 31, 2020, partially offset by lower SG&amp;A expenses and restructuring charges, as discussed above.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Ocwen is our largest customer, 2021 declines in service revenue from Ocwen and the changes in mix of revenue from Ocwen have had a negative impact on our loss from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loss on our investment in RESI common shares and other non-operating gains and losses.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was $(2.5) million for the three months ended March 31, 2021 compared to $(5.0) million for the three months ended March 31, 2020. The decrease in other expense for the three months ended March 31, 2021 was primarily driven by a $(1.3) million unrealized loss on our investment in RESI common shares for the three months ended March 31, 2020 (no comparative amount for the three months ended March 31, 2021). The decrease in other expense was partially offset by lower interest expense during the three months ended March 31, 2021. Interest expense decreased primarily due to lower average outstanding balances of the senior secured term loan as a result of repayments during 2020 and lower interest rates. For the three months ended March 31, 2021, the interest rate of the senior secured term loan was 5.00% compared to 5.94% for the three months ended March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an income tax provision of $0.8 million and $2.4 million for the three months ended March 31, 2021 and 2020, respectively. The income tax provision for the three months ended March 31, 2021 was driven by income tax on transfer pricing income from India, minimum tax in Luxembourg, no tax benefit on the pretax loss from our Luxembourg operating company and tax on unrepatriated earnings in India.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 of liquidity has historically been cash flow from operations, cash proceeds from sales of businesses and cash on hand. However, due to the COVID-19 pandemic and an MSR investor’s instructions to Ocwen to transition field services, valuation and title services to the investor’s captive service providers, revenue has declined significantly. The lower revenue, partially offset by cost savings initiatives, resulted in a negative operating cash flow from operations for three months ended March 31, 2021. To address our current operating environment, we plan to continue our cost reduction initiatives to reduce cash burn. We are also evaluating options to increase our liquidity to provide a greater cushion. While we are in active discussions, there is no guaranty that we will be successful. We also anticipate that we will continue to grow our origination businesses and that referral volumes from delinquent mortgages will increase following the expiration of the pandemic related foreclosure moratoriums and other pandemic related borrower relief measures.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and capital investments. In addition, from time to time, we consider and evaluate business acquisitions, dispositions, closures or other similar actions that are aligned with our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March 31, 2021, $247.2 million of the Term B Loans were outstanding. Borrowings under the revolving credit facility are not permitted if our leverage ratio exceeds to 3.50 to 1.00. Our leverage ratio exceeded 3.50 to 1.00 for the twelve months ended March 31, 2021. There were no borrowings outstanding under the revolving credit facility as of March 31, 2021.</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mandatory repayments of the Term B Loans due until maturity in April 2024, except as otherwise described herein. All amounts outstanding under the Term B Loans will become due on the earlier of (i) April 3, 2024, and (ii) the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for the twelve months ended March 31, 2021. The Company did not generate any Consolidated Excess Cash Flow during the three months ended March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March 31, 2021 was 5.00%.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for the twelve months ended March 31, 2021. The lenders have no obligation to provide any incremental indebtedness.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c>
          <w:tcPr>
            <w:tcW w:w="0" w:type="dxa"/>
            <w:vAlign w:val="bottom"/>
          </w:tcPr>
          <w:p>
            <w:pPr>
              <w:spacing w:after="0"/>
              <w:rPr>
                <w:sz w:val="1"/>
                <w:szCs w:val="1"/>
                <w:color w:val="auto"/>
              </w:rPr>
            </w:pP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adjusted for non-cash items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loss. For the three months ended March 31, 2021, cash flows used in operating activities were $(16.8) million, or approximately $(0.35) for every dollar of service revenue, compared to cash flows used in operating activities of $(1.6) million, or approximately $(0.01) for every dollar of service revenue for the three months ended March 31, 2020. During the three months ended March 31, 2021, the increase in cash used in operating activities was driven by an $18.2 million increase in net loss, adjusted for non-cash items, partially offset by lower cash used for changes in operating assets and liabilities of $3.0 million. The increase in net loss, adjusted for non-cash items, was primarily due to lower gross profit during the three months ended March 31, 2021 from lower service revenue driven by the COVID-19 pandemic and the loss of certain services relating to one of Ocwen’s subservicing customers, partially offset by decreases in expenses as a result of COVID-19 cash cost savings measures, the Project Catalyst cost reduction initiatives and lower SG&amp;A expenses. The decrease in cash used for changes in operating assets and liabilities was primarily driven by a decrease in accounts receivable of $2.2 million for the three months ended March 31, 2021 compared to an increase in accounts receivable of $0.3 million during the three months ended March 31, 2020, largely driven by the timing of collections.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complete, the REO asset is sold, etc.). Furthermore, lower margin services generate lower income and cash flows from operations. Consequently, our cash flows from operations may be negatively impacted when comparing one period to another.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investing activities for the three months ended March 31, 2021 and 2020 consisted of additions to premises and equipment and proceeds from the sale of a business. Cash flows provided by (used in) investing activities were $2.5 million and $(0.5) million for the three months ended March 31, 2021 and 2020, respectively. The change in cash provided by investing activities was primarily driven by $3.0 million in proceeds received in connection with the second installment from the August 2018 sale of the rental property management business to RESI. In addition, we used $(0.5) million for the three months ended March 31, 2021 and 2020, for additions to premises and equipment primarily related to investments in the development of certain software applications and facility improvements.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flows from financing activities for the three months ended March 31, 2021 and 2020 primarily included payments of tax withholdings on issuance of restricted share units and restricted shares and distributions to non-controlling interests. Cash flows used in financing activities were $(2.2) million and $(1.5) million for the three months ended March 31, 2021 and 2020, respectively. During the three months ended March 31, 2021 and 2020, we made payments of $(0.8) million and $(1.2)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three months ended March 31, 2021 and 2020, we distributed $(1.4) million and $(0.3) million, respectively, to non-controlling interests.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March 31, 2021</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significant future liquidity obligations primarily pertain to long-term debt repayments and interest expense under the Credit Agreement (see Liquidity section above), lease payments and distributions to Lenders One members. During the next 12 months, we expect to pay $12.4 million of interest expense (assuming no further principal repayments and the March 31, 2021 interest rate) under the Credit Agreement and make lease payments of $7.7 million.</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and cash equivalents balances, net of our anticipated cash flows used in operations, will be sufficient to meet our liquidity needs, including to fund operating expenses, required interest and lease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there were no significant changes to our contractual obligations from those identified in our Form 10-K for the fiscal year ended December 31, 2020 and this Form 10-Q, other than those that occur in the normal course of business. See Note 23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2020 filed with the SEC on March 11, 2021. There have been no material changes to our critical accounting policies during the three months ended March 31,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interest rate charged on the Term B Loan was 5.00%.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principal amount outstanding and the Adjusted Eurodollar Rate as of March 31, 2021, a one percentage point increase in the Eurodollar rate would increase our annual interest expense by approximately $2.5 million. There would be no decrease in our annual interest expense if there was a one percentage point decrease in the Eurodollar Rate, as a result of the 1.00% minimum floor.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2021, a one percentage point increase or decrease in value of the Indian rupee in relation to the United States dollar would increase or decrease our annual expenses by approximately $0.4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2021.</w:t>
      </w:r>
    </w:p>
    <w:p>
      <w:pPr>
        <w:spacing w:after="0" w:line="13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2020 filed with the SEC on March 11,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purchases of shares of common stock during the three months ended March 31, 2021.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March 31, 2021, the maximum number of shares that may be purchased under the repurchase program is 2.4 million shares of the Company’s common stock. In addition to the share repurchase program, during the three months ended March 31, 2021, 79,260 common shares were withheld from employees to satisfy tax withholding obligations that arose from the vesting of restricted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01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1012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auto"/>
            </w:tcBorders>
            <w:gridSpan w:val="3"/>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7"/>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Binding Term Sheet dated as of May 5, 2021 between Altisource S.à r.l., Ocwen Financial Corporation and and Ocwen USVI Services,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w:anchor="page40">
              <w:r>
                <w:rPr>
                  <w:rFonts w:ascii="Arial" w:cs="Arial" w:eastAsia="Arial" w:hAnsi="Arial"/>
                  <w:sz w:val="18"/>
                  <w:szCs w:val="18"/>
                  <w:color w:val="0000FF"/>
                  <w:w w:val="96"/>
                </w:rPr>
                <w:t>LLC</w:t>
              </w:r>
            </w:hyperlink>
          </w:p>
        </w:tc>
        <w:tc>
          <w:tcPr>
            <w:tcW w:w="97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Settlement Agreement and Full Release dated as of April 28, 2021 between Marcello Mastioni and Altisource S.à r.l.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Post-Separation Covenant Agreement dated as of April 28, 2021 between Marcello Mastioni and Altisource S.à r.l.</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Section 302 Certification of the Chief Executive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Section 302 Certification of the Chief Financial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7"/>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Certification by the Chief Executive Officer and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7"/>
          </w:tcPr>
          <w:p>
            <w:pPr>
              <w:spacing w:after="0" w:line="176" w:lineRule="exact"/>
              <w:rPr>
                <w:sz w:val="20"/>
                <w:szCs w:val="20"/>
                <w:color w:val="auto"/>
              </w:rPr>
            </w:pPr>
            <w:r>
              <w:rPr>
                <w:rFonts w:ascii="Arial" w:cs="Arial" w:eastAsia="Arial" w:hAnsi="Arial"/>
                <w:sz w:val="18"/>
                <w:szCs w:val="18"/>
                <w:color w:val="auto"/>
                <w:w w:val="93"/>
              </w:rPr>
              <w:t>period ended March 31, 2021 is formatted in Inline XBRL interactive data files: (i) Condensed Consolidated Balance Sheets as of March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7"/>
          </w:tcPr>
          <w:p>
            <w:pPr>
              <w:spacing w:after="0" w:line="176" w:lineRule="exact"/>
              <w:rPr>
                <w:sz w:val="20"/>
                <w:szCs w:val="20"/>
                <w:color w:val="auto"/>
              </w:rPr>
            </w:pPr>
            <w:r>
              <w:rPr>
                <w:rFonts w:ascii="Arial" w:cs="Arial" w:eastAsia="Arial" w:hAnsi="Arial"/>
                <w:sz w:val="18"/>
                <w:szCs w:val="18"/>
                <w:color w:val="auto"/>
                <w:w w:val="92"/>
              </w:rPr>
              <w:t>31, 2021 and December 31, 2020; (ii) Condensed Consolidated Statements of Operations and Comprehensive Loss for the 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7"/>
          </w:tcPr>
          <w:p>
            <w:pPr>
              <w:spacing w:after="0" w:line="176" w:lineRule="exact"/>
              <w:rPr>
                <w:sz w:val="20"/>
                <w:szCs w:val="20"/>
                <w:color w:val="auto"/>
              </w:rPr>
            </w:pPr>
            <w:r>
              <w:rPr>
                <w:rFonts w:ascii="Arial" w:cs="Arial" w:eastAsia="Arial" w:hAnsi="Arial"/>
                <w:sz w:val="18"/>
                <w:szCs w:val="18"/>
                <w:color w:val="auto"/>
                <w:w w:val="91"/>
              </w:rPr>
              <w:t>ended March 31, 2021 and 2020; (iii) Condensed Consolidated Statements of Equity for the three months ended March 31, 2021 and 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7"/>
          </w:tcPr>
          <w:p>
            <w:pPr>
              <w:spacing w:after="0" w:line="176" w:lineRule="exact"/>
              <w:rPr>
                <w:sz w:val="20"/>
                <w:szCs w:val="20"/>
                <w:color w:val="auto"/>
              </w:rPr>
            </w:pPr>
            <w:r>
              <w:rPr>
                <w:rFonts w:ascii="Arial" w:cs="Arial" w:eastAsia="Arial" w:hAnsi="Arial"/>
                <w:sz w:val="18"/>
                <w:szCs w:val="18"/>
                <w:color w:val="auto"/>
                <w:w w:val="90"/>
              </w:rPr>
              <w:t>(iv) Condensed Consolidated Statements of Cash Flows for the three months ended March 31, 2021 and 2020; and (v) Notes to Condensed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283"/>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1120" w:hanging="1094"/>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Michelle D. Esterman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(On behalf of the Registrant and as its Principal Financial</w:t>
      </w:r>
    </w:p>
    <w:p>
      <w:pPr>
        <w:ind w:left="6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ind w:left="10320"/>
        <w:spacing w:after="0"/>
        <w:rPr>
          <w:sz w:val="20"/>
          <w:szCs w:val="20"/>
          <w:color w:val="auto"/>
        </w:rPr>
      </w:pPr>
      <w:r>
        <w:rPr>
          <w:rFonts w:ascii="Arial" w:cs="Arial" w:eastAsia="Arial" w:hAnsi="Arial"/>
          <w:sz w:val="16"/>
          <w:szCs w:val="16"/>
          <w:b w:val="1"/>
          <w:bCs w:val="1"/>
          <w:color w:val="auto"/>
        </w:rPr>
        <w:t>Exhibit 10.1</w:t>
      </w:r>
    </w:p>
    <w:p>
      <w:pPr>
        <w:spacing w:after="0" w:line="27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NOT MATERIAL AND IS THE TYPE THAT THE REGISTRANT TREATS AS PRIVATE OR CONFIDENTIAL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Binding Term Sheet</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items set forth in this term sheet and the attached exhibit (collectively, this “Term Sheet”) are binding and hereby agreed to by Ocwen Financial Corporation and Ocwen USVI Services, LLC (individually and together, with affiliates, “Ocwen”) and Altisource S.à r.l. (“Altisource”). The parties may also execute detailed agreements to further memorialize some or all of the below. This Term Sheet shall be read in conjunction with the February 22, 2019 Binding Term Sheet among the parties (as subsequently modified, supplemented and/or amended, including by this Term Sheet, the “2019 Term Sheet”) and existing agreements between the parties, and does not supersede the same except as may be expressly set forth herein. The effective date of this Term Sheet is May 5, 2021.</w:t>
      </w:r>
    </w:p>
    <w:p>
      <w:pPr>
        <w:jc w:val="both"/>
        <w:ind w:left="660" w:hanging="328"/>
        <w:spacing w:after="0" w:line="255" w:lineRule="auto"/>
        <w:tabs>
          <w:tab w:leader="none" w:pos="649"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Term of Existing Agreement</w:t>
      </w:r>
      <w:r>
        <w:rPr>
          <w:rFonts w:ascii="Arial" w:cs="Arial" w:eastAsia="Arial" w:hAnsi="Arial"/>
          <w:sz w:val="19"/>
          <w:szCs w:val="19"/>
          <w:color w:val="auto"/>
        </w:rPr>
        <w:t>. Extend the term of the Services Agreement (between Altisource and Ocwen Financial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dated August 10, 2009 (as amended), the Services Agreement (between Altisource and Ocwen Mortgage Servicing, Inc., as succeeded in interest by Ocwen USVI Services, LLC) dated October 1, 2012 (as amended), all Services Letters (and amendments thereto) made pursuant to the foregoing Services Agreements and the 2019 Term Sheet (collectively, the “Agreement”), all pursuant to which Altisource currently provides services, along with the additional services set forth below, to August 31, 2030 (the applicable terms, as so extended being the “Extended Term”).</w:t>
      </w:r>
    </w:p>
    <w:p>
      <w:pPr>
        <w:spacing w:after="0" w:line="211" w:lineRule="exact"/>
        <w:rPr>
          <w:rFonts w:ascii="Arial" w:cs="Arial" w:eastAsia="Arial" w:hAnsi="Arial"/>
          <w:sz w:val="19"/>
          <w:szCs w:val="19"/>
          <w:color w:val="auto"/>
        </w:rPr>
      </w:pPr>
    </w:p>
    <w:p>
      <w:pPr>
        <w:jc w:val="both"/>
        <w:ind w:left="660"/>
        <w:spacing w:after="0" w:line="274" w:lineRule="auto"/>
        <w:rPr>
          <w:rFonts w:ascii="Arial" w:cs="Arial" w:eastAsia="Arial" w:hAnsi="Arial"/>
          <w:sz w:val="19"/>
          <w:szCs w:val="19"/>
          <w:color w:val="auto"/>
        </w:rPr>
      </w:pPr>
      <w:r>
        <w:rPr>
          <w:rFonts w:ascii="Arial" w:cs="Arial" w:eastAsia="Arial" w:hAnsi="Arial"/>
          <w:sz w:val="18"/>
          <w:szCs w:val="18"/>
          <w:color w:val="auto"/>
        </w:rPr>
        <w:t>Notwithstanding anything in the Agreement to the contrary, in the event that an Altisource Change of Control (as defined below) to a Competitor (as defined below) is to occur on or after September 1, 2028, Altisource shall notify Ocwen of such potential Change of Control following public disclosure thereof (or earlier, if Altisource elects). Following such notice, if Ocwen reasonably believes that such a Change of Control may negatively impact Ocwen, the parties will promptly meet to discuss remedial actions to prevent such negative impacts. If the parties are not able to agree on appropriate remedial actions to prevent such negative impacts to Ocwen’s reasonable satisfaction prior to the consummation of the Change in Control (“Closing”), Ocwen may terminate the Agreement upon no less than sixty (60) days’ prior written notice delivered to Altisource:</w:t>
      </w:r>
    </w:p>
    <w:p>
      <w:pPr>
        <w:spacing w:after="0" w:line="195" w:lineRule="exact"/>
        <w:rPr>
          <w:rFonts w:ascii="Arial" w:cs="Arial" w:eastAsia="Arial" w:hAnsi="Arial"/>
          <w:sz w:val="19"/>
          <w:szCs w:val="19"/>
          <w:color w:val="auto"/>
        </w:rPr>
      </w:pPr>
    </w:p>
    <w:p>
      <w:pPr>
        <w:ind w:left="1620" w:hanging="316"/>
        <w:spacing w:after="0"/>
        <w:tabs>
          <w:tab w:leader="none" w:pos="16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prior to the Closing, in which case the termination will be effective only in the event of the Closing; or</w:t>
      </w:r>
    </w:p>
    <w:p>
      <w:pPr>
        <w:spacing w:after="0" w:line="15" w:lineRule="exact"/>
        <w:rPr>
          <w:rFonts w:ascii="Arial" w:cs="Arial" w:eastAsia="Arial" w:hAnsi="Arial"/>
          <w:sz w:val="20"/>
          <w:szCs w:val="20"/>
          <w:color w:val="auto"/>
        </w:rPr>
      </w:pPr>
    </w:p>
    <w:p>
      <w:pPr>
        <w:ind w:left="1620" w:hanging="316"/>
        <w:spacing w:after="0"/>
        <w:tabs>
          <w:tab w:leader="none" w:pos="16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within sixty (60) days immediately following the Closing.</w:t>
      </w:r>
    </w:p>
    <w:p>
      <w:pPr>
        <w:spacing w:after="0" w:line="227"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As used herein, “Change of Control” means a change in ownership of (a) greater than fifty percent (50%) of the voting securities of Altisource in a single transaction or related series of transactions (unless securities representing more than fifty percent (50%) of the total voting power are beneficially owned, directly or indirectly, by the persons who beneficially owned the outstanding voting securities immediately prior to such transaction) or (b) all or substantially all of the consolidated assets of Altisource. As used herein, “Competitor” means an entity (or an affiliate with greater than fifty percent (50%) of the voting securities owned by or under common control with such entity) whose business includes the servicing of residential mortgages with scale substantially similar to or greater than the scale of Ocwen (as of the time of the Change of Control).</w:t>
      </w:r>
    </w:p>
    <w:p>
      <w:pPr>
        <w:spacing w:after="0" w:line="212"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Notwithstanding anything in the Agreement to the contrary, on and after September 1, 2028, Section D.1 of the 2019 Term Sheet shall not apply in connection with Altisource’s sale or assignment of all or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61" w:right="339" w:bottom="1440" w:gutter="0" w:footer="0" w:header="0"/>
        </w:sectPr>
      </w:pPr>
    </w:p>
    <w:bookmarkStart w:id="40" w:name="page41"/>
    <w:bookmarkEnd w:id="40"/>
    <w:p>
      <w:pPr>
        <w:jc w:val="both"/>
        <w:ind w:left="436"/>
        <w:spacing w:after="0" w:line="256" w:lineRule="auto"/>
        <w:rPr>
          <w:sz w:val="20"/>
          <w:szCs w:val="20"/>
          <w:color w:val="auto"/>
        </w:rPr>
      </w:pPr>
      <w:r>
        <w:rPr>
          <w:rFonts w:ascii="Arial" w:cs="Arial" w:eastAsia="Arial" w:hAnsi="Arial"/>
          <w:sz w:val="19"/>
          <w:szCs w:val="19"/>
          <w:color w:val="auto"/>
        </w:rPr>
        <w:t>portion of Altisource’s business or any line of business to a Competitor which does not constitute a Change of Control (such transaction, an “Altisource Business Sale”), and Ocwen shall not be required to consent to an assignment of all or a portion of the Agreement, any statement of work (“SOW”) or any Services (the “Applicable Services”) pursuant to such an Altisource Business Sale, provided, Altisource shall notify Ocwen of such potential Altisource Business Sale following public disclosure thereof (or earlier, if Altisource elects). Following such notice, if Ocwen reasonably believes that such Altisource Business Sale may negatively impact Ocwen, the parties will promptly meet to discuss remedial actions to prevent such negative impacts such that Ocwen would consent to and reasonably cooperate with such Altisource Business Sale. If the parties are not able to agree on appropriate remedial actions to prevent such negative impacts to Ocwen’s reasonable satisfaction, Ocwen may terminate the Applicable Services upon no less than sixty (60) days’ prior written notice delivered to Altisource:</w:t>
      </w:r>
    </w:p>
    <w:p>
      <w:pPr>
        <w:spacing w:after="0" w:line="211" w:lineRule="exact"/>
        <w:rPr>
          <w:sz w:val="20"/>
          <w:szCs w:val="20"/>
          <w:color w:val="auto"/>
        </w:rPr>
      </w:pPr>
    </w:p>
    <w:p>
      <w:pPr>
        <w:ind w:left="1396" w:right="20" w:hanging="316"/>
        <w:spacing w:after="0" w:line="247" w:lineRule="auto"/>
        <w:tabs>
          <w:tab w:leader="none" w:pos="1386"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prior to the consummation of the Altisource Business Sale, in which case the termination will be effective only in the event of the consummation of the Altisource Business Sale; or</w:t>
      </w:r>
    </w:p>
    <w:p>
      <w:pPr>
        <w:spacing w:after="0" w:line="1" w:lineRule="exact"/>
        <w:rPr>
          <w:rFonts w:ascii="Arial" w:cs="Arial" w:eastAsia="Arial" w:hAnsi="Arial"/>
          <w:sz w:val="20"/>
          <w:szCs w:val="20"/>
          <w:color w:val="auto"/>
        </w:rPr>
      </w:pPr>
    </w:p>
    <w:p>
      <w:pPr>
        <w:ind w:left="1396" w:hanging="316"/>
        <w:spacing w:after="0"/>
        <w:tabs>
          <w:tab w:leader="none" w:pos="13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within sixty (60) days immediately following the consummation of the Altisource Business Sale.</w:t>
      </w:r>
    </w:p>
    <w:p>
      <w:pPr>
        <w:spacing w:after="0" w:line="227" w:lineRule="exact"/>
        <w:rPr>
          <w:sz w:val="20"/>
          <w:szCs w:val="20"/>
          <w:color w:val="auto"/>
        </w:rPr>
      </w:pPr>
    </w:p>
    <w:p>
      <w:pPr>
        <w:jc w:val="both"/>
        <w:ind w:left="436"/>
        <w:spacing w:after="0" w:line="276" w:lineRule="auto"/>
        <w:rPr>
          <w:sz w:val="20"/>
          <w:szCs w:val="20"/>
          <w:color w:val="auto"/>
        </w:rPr>
      </w:pPr>
      <w:r>
        <w:rPr>
          <w:rFonts w:ascii="Arial" w:cs="Arial" w:eastAsia="Arial" w:hAnsi="Arial"/>
          <w:sz w:val="18"/>
          <w:szCs w:val="18"/>
          <w:color w:val="auto"/>
        </w:rPr>
        <w:t>In the event of a termination of the Agreement (or the applicable portion thereof) related to a Change of Control, or termination of Applicable Services related to an Altisource Business Sale, Altisource will cause the assignee to agree to permit Ocwen to purchase post-termination services for a period of up to 270 days from the date on which the Agreement (or the applicable portion thereof)</w:t>
      </w:r>
    </w:p>
    <w:p>
      <w:pPr>
        <w:spacing w:after="0" w:line="1" w:lineRule="exact"/>
        <w:rPr>
          <w:sz w:val="20"/>
          <w:szCs w:val="20"/>
          <w:color w:val="auto"/>
        </w:rPr>
      </w:pPr>
    </w:p>
    <w:p>
      <w:pPr>
        <w:jc w:val="both"/>
        <w:ind w:left="436"/>
        <w:spacing w:after="0" w:line="250" w:lineRule="auto"/>
        <w:rPr>
          <w:sz w:val="20"/>
          <w:szCs w:val="20"/>
          <w:color w:val="auto"/>
        </w:rPr>
      </w:pPr>
      <w:r>
        <w:rPr>
          <w:rFonts w:ascii="Arial" w:cs="Arial" w:eastAsia="Arial" w:hAnsi="Arial"/>
          <w:sz w:val="20"/>
          <w:szCs w:val="20"/>
          <w:color w:val="auto"/>
        </w:rPr>
        <w:t>terminates on the current terms thereunder. Notwithstanding anything to the contrary in the Agreement, Ocwen shall not be obligated to reimburse Altisource for any expenses or costs attributable to a termination related to a Change in Control or an Altisource Business Sale.</w:t>
      </w:r>
    </w:p>
    <w:p>
      <w:pPr>
        <w:spacing w:after="0" w:line="207" w:lineRule="exact"/>
        <w:rPr>
          <w:sz w:val="20"/>
          <w:szCs w:val="20"/>
          <w:color w:val="auto"/>
        </w:rPr>
      </w:pPr>
    </w:p>
    <w:p>
      <w:pPr>
        <w:ind w:left="416" w:hanging="308"/>
        <w:spacing w:after="0"/>
        <w:tabs>
          <w:tab w:leader="none" w:pos="416"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Services</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ind w:left="1076" w:hanging="324"/>
        <w:spacing w:after="0" w:line="242" w:lineRule="auto"/>
        <w:rPr>
          <w:rFonts w:ascii="Arial" w:cs="Arial" w:eastAsia="Arial" w:hAnsi="Arial"/>
          <w:sz w:val="20"/>
          <w:szCs w:val="20"/>
          <w:color w:val="auto"/>
        </w:rPr>
      </w:pPr>
      <w:r>
        <w:rPr>
          <w:rFonts w:ascii="Arial" w:cs="Arial" w:eastAsia="Arial" w:hAnsi="Arial"/>
          <w:sz w:val="20"/>
          <w:szCs w:val="20"/>
          <w:color w:val="auto"/>
        </w:rPr>
        <w:t>a. With respect to each service identified in Exhibit A (an “Additional Service”), the parties shall commence (or, if already commenced, shall continue) the negotiation of a statement of work or other agreement, to the extent applicable for such Additional Service (each such statement of work or other agreement, including those existing per Exhibit A, an “Applicable Additional Service Agreement”) by the applicable Agreement Negotiation Commencement Date specified in Exhibit A. With respect to such negotiations for each Additional Service:</w:t>
      </w:r>
    </w:p>
    <w:p>
      <w:pPr>
        <w:spacing w:after="0" w:line="4" w:lineRule="exact"/>
        <w:rPr>
          <w:rFonts w:ascii="Arial" w:cs="Arial" w:eastAsia="Arial" w:hAnsi="Arial"/>
          <w:sz w:val="20"/>
          <w:szCs w:val="20"/>
          <w:color w:val="auto"/>
        </w:rPr>
      </w:pPr>
    </w:p>
    <w:p>
      <w:pPr>
        <w:jc w:val="both"/>
        <w:ind w:left="1736" w:hanging="274"/>
        <w:spacing w:after="0" w:line="239" w:lineRule="auto"/>
        <w:tabs>
          <w:tab w:leader="none" w:pos="1736" w:val="left"/>
        </w:tabs>
        <w:numPr>
          <w:ilvl w:val="3"/>
          <w:numId w:val="17"/>
        </w:numPr>
        <w:rPr>
          <w:rFonts w:ascii="Arial" w:cs="Arial" w:eastAsia="Arial" w:hAnsi="Arial"/>
          <w:sz w:val="20"/>
          <w:szCs w:val="20"/>
          <w:color w:val="auto"/>
        </w:rPr>
      </w:pPr>
      <w:r>
        <w:rPr>
          <w:rFonts w:ascii="Arial" w:cs="Arial" w:eastAsia="Arial" w:hAnsi="Arial"/>
          <w:sz w:val="20"/>
          <w:szCs w:val="20"/>
          <w:color w:val="auto"/>
        </w:rPr>
        <w:t>Such negotiations shall be conducted in good faith, with each party using commercially reasonable best efforts to finalize such negotiations in an expedient manner, which efforts shall include each party responding to reasonable requests for information and proposed revisions to the Applicable Additional Service Agreement reasonably promptly and fully, dedicating personnel and if applicable executive resources to such negotiation, and conducting periodic virtual meetings reasonably designed to facilitate a prompt finalization and execution of the Applicable Additional Service Agreement;</w:t>
      </w:r>
    </w:p>
    <w:p>
      <w:pPr>
        <w:spacing w:after="0" w:line="2" w:lineRule="exact"/>
        <w:rPr>
          <w:rFonts w:ascii="Arial" w:cs="Arial" w:eastAsia="Arial" w:hAnsi="Arial"/>
          <w:sz w:val="20"/>
          <w:szCs w:val="20"/>
          <w:color w:val="auto"/>
        </w:rPr>
      </w:pPr>
    </w:p>
    <w:p>
      <w:pPr>
        <w:jc w:val="both"/>
        <w:ind w:left="1736" w:hanging="329"/>
        <w:spacing w:after="0" w:line="239" w:lineRule="auto"/>
        <w:tabs>
          <w:tab w:leader="none" w:pos="1736" w:val="left"/>
        </w:tabs>
        <w:numPr>
          <w:ilvl w:val="3"/>
          <w:numId w:val="17"/>
        </w:numPr>
        <w:rPr>
          <w:rFonts w:ascii="Arial" w:cs="Arial" w:eastAsia="Arial" w:hAnsi="Arial"/>
          <w:sz w:val="20"/>
          <w:szCs w:val="20"/>
          <w:color w:val="auto"/>
        </w:rPr>
      </w:pPr>
      <w:r>
        <w:rPr>
          <w:rFonts w:ascii="Arial" w:cs="Arial" w:eastAsia="Arial" w:hAnsi="Arial"/>
          <w:sz w:val="20"/>
          <w:szCs w:val="20"/>
          <w:color w:val="auto"/>
        </w:rPr>
        <w:t>Such negotiations shall continue with respect to each such Additional Service until the earlier of the parties executing the Applicable Additional Service Agreement or the parties agreeing to cease such negotiations with respect to such Additional Service; and</w:t>
      </w:r>
    </w:p>
    <w:p>
      <w:pPr>
        <w:spacing w:after="0" w:line="1" w:lineRule="exact"/>
        <w:rPr>
          <w:rFonts w:ascii="Arial" w:cs="Arial" w:eastAsia="Arial" w:hAnsi="Arial"/>
          <w:sz w:val="20"/>
          <w:szCs w:val="20"/>
          <w:color w:val="auto"/>
        </w:rPr>
      </w:pPr>
    </w:p>
    <w:p>
      <w:pPr>
        <w:jc w:val="both"/>
        <w:ind w:left="1736" w:hanging="384"/>
        <w:spacing w:after="0" w:line="276" w:lineRule="auto"/>
        <w:tabs>
          <w:tab w:leader="none" w:pos="1736" w:val="left"/>
        </w:tabs>
        <w:numPr>
          <w:ilvl w:val="3"/>
          <w:numId w:val="17"/>
        </w:numPr>
        <w:rPr>
          <w:rFonts w:ascii="Arial" w:cs="Arial" w:eastAsia="Arial" w:hAnsi="Arial"/>
          <w:sz w:val="18"/>
          <w:szCs w:val="18"/>
          <w:color w:val="auto"/>
        </w:rPr>
      </w:pPr>
      <w:r>
        <w:rPr>
          <w:rFonts w:ascii="Arial" w:cs="Arial" w:eastAsia="Arial" w:hAnsi="Arial"/>
          <w:sz w:val="18"/>
          <w:szCs w:val="18"/>
          <w:color w:val="auto"/>
        </w:rPr>
        <w:t>In accordance with Section 4(b) of the 2019 Term Sheet, Ocwen shall conduct a benchmarking study of pricing and performance standards prior to Altisource providing any Additional Services to the NY PHH Portfolio as required by the Conditional Approval dated September 27, 2018 issued by the New York Department of Financial Services to Ocwen, with Ocwen using commercially reasonable efforts to complete such study in a timely manner.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136" w:hanging="136"/>
        <w:spacing w:after="0"/>
        <w:tabs>
          <w:tab w:leader="none" w:pos="136" w:val="left"/>
        </w:tabs>
        <w:numPr>
          <w:ilvl w:val="0"/>
          <w:numId w:val="17"/>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016"/>
          </w:cols>
          <w:pgMar w:left="544" w:top="1162" w:right="339" w:bottom="1440" w:gutter="0" w:footer="0" w:header="0"/>
        </w:sectPr>
      </w:pPr>
    </w:p>
    <w:bookmarkStart w:id="41" w:name="page42"/>
    <w:bookmarkEnd w:id="41"/>
    <w:p>
      <w:pPr>
        <w:ind w:left="1080" w:hanging="320"/>
        <w:spacing w:after="0" w:line="260"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For each Additional Service, the two-stage process defined below shall be followed by the parties to implement such Additional Service.</w:t>
      </w:r>
    </w:p>
    <w:p>
      <w:pPr>
        <w:spacing w:after="0" w:line="230" w:lineRule="exact"/>
        <w:rPr>
          <w:rFonts w:ascii="Arial" w:cs="Arial" w:eastAsia="Arial" w:hAnsi="Arial"/>
          <w:sz w:val="20"/>
          <w:szCs w:val="20"/>
          <w:color w:val="auto"/>
        </w:rPr>
      </w:pPr>
    </w:p>
    <w:p>
      <w:pPr>
        <w:jc w:val="both"/>
        <w:ind w:left="1080" w:hanging="320"/>
        <w:spacing w:after="0" w:line="237" w:lineRule="auto"/>
        <w:tabs>
          <w:tab w:leader="none" w:pos="1072" w:val="left"/>
        </w:tabs>
        <w:numPr>
          <w:ilvl w:val="0"/>
          <w:numId w:val="18"/>
        </w:numPr>
        <w:rPr>
          <w:rFonts w:ascii="Arial" w:cs="Arial" w:eastAsia="Arial" w:hAnsi="Arial"/>
          <w:sz w:val="22"/>
          <w:szCs w:val="22"/>
          <w:color w:val="auto"/>
        </w:rPr>
      </w:pPr>
      <w:r>
        <w:rPr>
          <w:rFonts w:ascii="Arial" w:cs="Arial" w:eastAsia="Arial" w:hAnsi="Arial"/>
          <w:sz w:val="20"/>
          <w:szCs w:val="20"/>
          <w:color w:val="auto"/>
        </w:rPr>
        <w:t>Stage 1 shall commence for each Additional Service upon the parties executing an Applicable Additional Service Agreement (which statement of work or agreement shall contain applicable performance standards (“Applicable SLAs”)) for such service.</w:t>
      </w:r>
    </w:p>
    <w:p>
      <w:pPr>
        <w:jc w:val="both"/>
        <w:ind w:left="1740" w:hanging="274"/>
        <w:spacing w:after="0" w:line="252" w:lineRule="auto"/>
        <w:tabs>
          <w:tab w:leader="none" w:pos="1740" w:val="left"/>
        </w:tabs>
        <w:numPr>
          <w:ilvl w:val="2"/>
          <w:numId w:val="18"/>
        </w:numPr>
        <w:rPr>
          <w:rFonts w:ascii="Arial" w:cs="Arial" w:eastAsia="Arial" w:hAnsi="Arial"/>
          <w:sz w:val="19"/>
          <w:szCs w:val="19"/>
          <w:color w:val="auto"/>
        </w:rPr>
      </w:pPr>
      <w:r>
        <w:rPr>
          <w:rFonts w:ascii="Arial" w:cs="Arial" w:eastAsia="Arial" w:hAnsi="Arial"/>
          <w:sz w:val="19"/>
          <w:szCs w:val="19"/>
          <w:color w:val="auto"/>
        </w:rPr>
        <w:t>Ocwen shall commence providing orders to Altisource for each such Additional Service promptly following execution of such Applicable Additional Service Agreement. Ocwen shall provide Additional Service orders in a reasonable volume and reasonable consistency to permit Altisource to demonstrate an ability to satisfy the Applicable SLAs. Notwithstanding the foregoing, the Applicable SLAs shall not be deemed a Performance Standard (as defined in the Services Agreement between the parties dated August 10, 2009 (as amended, the “Services Agreement”), shall not otherwise constitute an obligation of Altisource nor shall Altisource’s performance with respect to the Applicable SLAs prior to Order Volume Compliance (defined below) be used to terminate the Applicable Additional Service Agreement (except as specified in subsection iv below).</w:t>
      </w:r>
    </w:p>
    <w:p>
      <w:pPr>
        <w:jc w:val="both"/>
        <w:ind w:left="1740" w:hanging="329"/>
        <w:spacing w:after="0" w:line="239" w:lineRule="auto"/>
        <w:tabs>
          <w:tab w:leader="none" w:pos="1740" w:val="left"/>
        </w:tabs>
        <w:numPr>
          <w:ilvl w:val="2"/>
          <w:numId w:val="18"/>
        </w:numPr>
        <w:rPr>
          <w:rFonts w:ascii="Arial" w:cs="Arial" w:eastAsia="Arial" w:hAnsi="Arial"/>
          <w:sz w:val="20"/>
          <w:szCs w:val="20"/>
          <w:color w:val="auto"/>
        </w:rPr>
      </w:pPr>
      <w:r>
        <w:rPr>
          <w:rFonts w:ascii="Arial" w:cs="Arial" w:eastAsia="Arial" w:hAnsi="Arial"/>
          <w:sz w:val="20"/>
          <w:szCs w:val="20"/>
          <w:color w:val="auto"/>
        </w:rPr>
        <w:t>The parties shall reasonably cooperate to implement processes, communicate and provide feedback (as applicable) regarding each Additional Service, and otherwise act as reasonably necessary to facilitate Altisource providing such Additional Service according to the Applicable SLAs.</w:t>
      </w:r>
    </w:p>
    <w:p>
      <w:pPr>
        <w:spacing w:after="0" w:line="1" w:lineRule="exact"/>
        <w:rPr>
          <w:rFonts w:ascii="Arial" w:cs="Arial" w:eastAsia="Arial" w:hAnsi="Arial"/>
          <w:sz w:val="20"/>
          <w:szCs w:val="20"/>
          <w:color w:val="auto"/>
        </w:rPr>
      </w:pPr>
    </w:p>
    <w:p>
      <w:pPr>
        <w:jc w:val="both"/>
        <w:ind w:left="1740" w:hanging="384"/>
        <w:spacing w:after="0" w:line="239" w:lineRule="auto"/>
        <w:tabs>
          <w:tab w:leader="none" w:pos="1740" w:val="left"/>
        </w:tabs>
        <w:numPr>
          <w:ilvl w:val="2"/>
          <w:numId w:val="18"/>
        </w:numPr>
        <w:rPr>
          <w:rFonts w:ascii="Arial" w:cs="Arial" w:eastAsia="Arial" w:hAnsi="Arial"/>
          <w:sz w:val="20"/>
          <w:szCs w:val="20"/>
          <w:color w:val="auto"/>
        </w:rPr>
      </w:pPr>
      <w:r>
        <w:rPr>
          <w:rFonts w:ascii="Arial" w:cs="Arial" w:eastAsia="Arial" w:hAnsi="Arial"/>
          <w:sz w:val="20"/>
          <w:szCs w:val="20"/>
          <w:color w:val="auto"/>
        </w:rPr>
        <w:t>Ocwen shall promptly communicate to Altisource in writing any specific, reasonable concerns Ocwen may have with Altisource’s cooperation or Altisource’s ability to meet the Applicable SLAs, and shall reasonably cooperate with Altisource in resolving such concerns (collectively, “Feedback”).</w:t>
      </w:r>
    </w:p>
    <w:p>
      <w:pPr>
        <w:spacing w:after="0" w:line="1" w:lineRule="exact"/>
        <w:rPr>
          <w:rFonts w:ascii="Arial" w:cs="Arial" w:eastAsia="Arial" w:hAnsi="Arial"/>
          <w:sz w:val="20"/>
          <w:szCs w:val="20"/>
          <w:color w:val="auto"/>
        </w:rPr>
      </w:pPr>
    </w:p>
    <w:p>
      <w:pPr>
        <w:jc w:val="both"/>
        <w:ind w:left="1740" w:hanging="373"/>
        <w:spacing w:after="0"/>
        <w:tabs>
          <w:tab w:leader="none" w:pos="1727" w:val="left"/>
        </w:tabs>
        <w:numPr>
          <w:ilvl w:val="1"/>
          <w:numId w:val="18"/>
        </w:numPr>
        <w:rPr>
          <w:rFonts w:ascii="Arial" w:cs="Arial" w:eastAsia="Arial" w:hAnsi="Arial"/>
          <w:sz w:val="20"/>
          <w:szCs w:val="20"/>
          <w:color w:val="auto"/>
        </w:rPr>
      </w:pPr>
      <w:r>
        <w:rPr>
          <w:rFonts w:ascii="Arial" w:cs="Arial" w:eastAsia="Arial" w:hAnsi="Arial"/>
          <w:sz w:val="20"/>
          <w:szCs w:val="20"/>
          <w:color w:val="auto"/>
        </w:rPr>
        <w:t>Ocwen shall evaluate Altisource fairly and in good faith. If, following such fair and good faith evaluation, and after Ocwen consults with Altisource and gives Altisource a reasonable opportunity to address any Feedback provided, Ocwen reasonably believes that Altisource will not reasonably be able to meet the Applicable SLAs or other reasonable requirements Ocwen imposes on its other vendors, then Ocwen shall be permitted to terminate the Applicable Additional Service Agreement by providing written notice.</w:t>
      </w:r>
    </w:p>
    <w:p>
      <w:pPr>
        <w:spacing w:after="0" w:line="224" w:lineRule="exact"/>
        <w:rPr>
          <w:rFonts w:ascii="Arial" w:cs="Arial" w:eastAsia="Arial" w:hAnsi="Arial"/>
          <w:sz w:val="20"/>
          <w:szCs w:val="20"/>
          <w:color w:val="auto"/>
        </w:rPr>
      </w:pPr>
    </w:p>
    <w:p>
      <w:pPr>
        <w:jc w:val="both"/>
        <w:ind w:left="1080" w:hanging="320"/>
        <w:spacing w:after="0" w:line="245"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Stage 2 shall commence for an Additional Service upon Altisource satisfying the applicable SLA metrics for [REDACTED] months for such Additional Service. Stage 2 shall not commence for a given Additional Service if Stage 1 of such Additional Services is terminated by Ocwen pursuant to Section 2.c.iv. of this Term Sheet.</w:t>
      </w:r>
    </w:p>
    <w:p>
      <w:pPr>
        <w:jc w:val="both"/>
        <w:ind w:left="1740" w:hanging="268"/>
        <w:spacing w:after="0" w:line="239" w:lineRule="auto"/>
        <w:tabs>
          <w:tab w:leader="none" w:pos="1734" w:val="left"/>
        </w:tabs>
        <w:numPr>
          <w:ilvl w:val="2"/>
          <w:numId w:val="18"/>
        </w:numPr>
        <w:rPr>
          <w:rFonts w:ascii="Arial" w:cs="Arial" w:eastAsia="Arial" w:hAnsi="Arial"/>
          <w:sz w:val="20"/>
          <w:szCs w:val="20"/>
          <w:color w:val="auto"/>
        </w:rPr>
      </w:pPr>
      <w:r>
        <w:rPr>
          <w:rFonts w:ascii="Arial" w:cs="Arial" w:eastAsia="Arial" w:hAnsi="Arial"/>
          <w:sz w:val="20"/>
          <w:szCs w:val="20"/>
          <w:color w:val="auto"/>
        </w:rPr>
        <w:t>The parties shall mutually cooperate to designate a reasonable period of time at the beginning of Stage 2 over which Ocwen shall increase the orders to Altisource for such Additional Service such that Ocwen will comply with the referral volume requirements set forth in the 2019 Term Sheet.</w:t>
      </w:r>
    </w:p>
    <w:p>
      <w:pPr>
        <w:spacing w:after="0" w:line="1" w:lineRule="exact"/>
        <w:rPr>
          <w:rFonts w:ascii="Arial" w:cs="Arial" w:eastAsia="Arial" w:hAnsi="Arial"/>
          <w:sz w:val="20"/>
          <w:szCs w:val="20"/>
          <w:color w:val="auto"/>
        </w:rPr>
      </w:pPr>
    </w:p>
    <w:p>
      <w:pPr>
        <w:ind w:left="1740" w:hanging="329"/>
        <w:spacing w:after="0" w:line="239" w:lineRule="auto"/>
        <w:tabs>
          <w:tab w:leader="none" w:pos="1740" w:val="left"/>
        </w:tabs>
        <w:numPr>
          <w:ilvl w:val="2"/>
          <w:numId w:val="18"/>
        </w:numPr>
        <w:rPr>
          <w:rFonts w:ascii="Arial" w:cs="Arial" w:eastAsia="Arial" w:hAnsi="Arial"/>
          <w:sz w:val="20"/>
          <w:szCs w:val="20"/>
          <w:color w:val="auto"/>
        </w:rPr>
      </w:pPr>
      <w:r>
        <w:rPr>
          <w:rFonts w:ascii="Arial" w:cs="Arial" w:eastAsia="Arial" w:hAnsi="Arial"/>
          <w:sz w:val="20"/>
          <w:szCs w:val="20"/>
          <w:color w:val="auto"/>
        </w:rPr>
        <w:t>Upon Ocwen complying with such volume requirements with respect to such Additional Service (“Order Volume Compliance”):</w:t>
      </w:r>
    </w:p>
    <w:p>
      <w:pPr>
        <w:ind w:left="2380" w:hanging="324"/>
        <w:spacing w:after="0" w:line="239" w:lineRule="auto"/>
        <w:tabs>
          <w:tab w:leader="none" w:pos="2380" w:val="left"/>
        </w:tabs>
        <w:numPr>
          <w:ilvl w:val="3"/>
          <w:numId w:val="18"/>
        </w:numPr>
        <w:rPr>
          <w:rFonts w:ascii="Arial" w:cs="Arial" w:eastAsia="Arial" w:hAnsi="Arial"/>
          <w:sz w:val="20"/>
          <w:szCs w:val="20"/>
          <w:color w:val="auto"/>
        </w:rPr>
      </w:pPr>
      <w:r>
        <w:rPr>
          <w:rFonts w:ascii="Arial" w:cs="Arial" w:eastAsia="Arial" w:hAnsi="Arial"/>
          <w:sz w:val="20"/>
          <w:szCs w:val="20"/>
          <w:color w:val="auto"/>
        </w:rPr>
        <w:t>such Additional Service shall be a Standard Service (as defined in the 2019 Term Sheet) and subject to the obligations for Standard Services in the 2019 Term Sheet; and</w:t>
      </w:r>
    </w:p>
    <w:p>
      <w:pPr>
        <w:ind w:left="2380" w:hanging="324"/>
        <w:spacing w:after="0"/>
        <w:tabs>
          <w:tab w:leader="none" w:pos="2380" w:val="left"/>
        </w:tabs>
        <w:numPr>
          <w:ilvl w:val="3"/>
          <w:numId w:val="18"/>
        </w:numPr>
        <w:rPr>
          <w:rFonts w:ascii="Arial" w:cs="Arial" w:eastAsia="Arial" w:hAnsi="Arial"/>
          <w:sz w:val="20"/>
          <w:szCs w:val="20"/>
          <w:color w:val="auto"/>
        </w:rPr>
      </w:pPr>
      <w:r>
        <w:rPr>
          <w:rFonts w:ascii="Arial" w:cs="Arial" w:eastAsia="Arial" w:hAnsi="Arial"/>
          <w:sz w:val="20"/>
          <w:szCs w:val="20"/>
          <w:color w:val="auto"/>
        </w:rPr>
        <w:t>the Applicable SLAs shall be in full force and effect.</w:t>
      </w:r>
    </w:p>
    <w:p>
      <w:pPr>
        <w:spacing w:after="0" w:line="226" w:lineRule="exact"/>
        <w:rPr>
          <w:rFonts w:ascii="Arial" w:cs="Arial" w:eastAsia="Arial" w:hAnsi="Arial"/>
          <w:sz w:val="20"/>
          <w:szCs w:val="20"/>
          <w:color w:val="auto"/>
        </w:rPr>
      </w:pPr>
    </w:p>
    <w:p>
      <w:pPr>
        <w:ind w:left="1080" w:hanging="320"/>
        <w:spacing w:after="0" w:line="260" w:lineRule="auto"/>
        <w:tabs>
          <w:tab w:leader="none" w:pos="106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This Term Sheet hereby amends the Statement of Work dated December 1, 2020 (“FHA SOW”) to delete and render void any and all termination clauses and exclusivity or volume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020"/>
          </w:cols>
          <w:pgMar w:left="540" w:top="1162" w:right="339" w:bottom="1440" w:gutter="0" w:footer="0" w:header="0"/>
        </w:sectPr>
      </w:pPr>
    </w:p>
    <w:bookmarkStart w:id="42" w:name="page43"/>
    <w:bookmarkEnd w:id="42"/>
    <w:p>
      <w:pPr>
        <w:jc w:val="both"/>
        <w:ind w:left="1080"/>
        <w:spacing w:after="0" w:line="269" w:lineRule="auto"/>
        <w:rPr>
          <w:sz w:val="20"/>
          <w:szCs w:val="20"/>
          <w:color w:val="auto"/>
        </w:rPr>
      </w:pPr>
      <w:r>
        <w:rPr>
          <w:rFonts w:ascii="Arial" w:cs="Arial" w:eastAsia="Arial" w:hAnsi="Arial"/>
          <w:sz w:val="19"/>
          <w:szCs w:val="19"/>
          <w:color w:val="auto"/>
        </w:rPr>
        <w:t>clauses in such FHA SOW in conflict with any clause herein (including without limitation Section XV therein); provided, however, that the second paragraph of Section XVI of the FHA SOW shall remain unchanged by this Term Sheet (except for the first sentence thereof, which shall not have any effect upon execution of this Term Sheet).</w:t>
      </w:r>
    </w:p>
    <w:p>
      <w:pPr>
        <w:spacing w:after="0" w:line="197" w:lineRule="exact"/>
        <w:rPr>
          <w:sz w:val="20"/>
          <w:szCs w:val="20"/>
          <w:color w:val="auto"/>
        </w:rPr>
      </w:pPr>
    </w:p>
    <w:p>
      <w:pPr>
        <w:ind w:left="1080" w:hanging="320"/>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left="1080" w:hanging="320"/>
        <w:spacing w:after="0" w:line="26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Solely with respect to the Additional Services identified in the Applicable Additional Service Agreement as requiring integration services (collectively, the “Integration Services”), to the extent that Ocwen currently utilizes an integration or other interface with a third party system to order or permit fulfillment of such Integration Service (collectively, an “Interface”), Ocwen shall (as mutually agreed upon by the parties and subject to any confidentiality restrictions in place with third parties, with Ocwen using reasonable efforts to disclose applicable information to Altisource as needed) provide Altisource with written material specifications of such Interface (including, without limitation, all APIs and software dependences) as reasonably necessary for Altisource to develop a materially similar Interface (the “Replacement”). To the extent such confidentiality restrictions prevent Ocwen from providing necessary specifications of such Interface to enable Altisource to develop such Replacement using commercially reasonable efforts, Altisource shall in accordance with the Applicable Additional Service Agreement be permitted to develop an alternative Replacement to serve similar functionality. Ocwen shall reasonably cooperate with Altisource in developing and testing the Replacement. Testing of a Replacement shall be completed for determining whether the Replacement provides materially the same or better functionality as the Interface. Upon successful completion of the applicable testing, Ocwen shall in accordance with the Applicable Additional Service Agreement engage Altisource to provide the applicable Integration Service.</w:t>
      </w:r>
    </w:p>
    <w:p>
      <w:pPr>
        <w:spacing w:after="0" w:line="208" w:lineRule="exact"/>
        <w:rPr>
          <w:rFonts w:ascii="Arial" w:cs="Arial" w:eastAsia="Arial" w:hAnsi="Arial"/>
          <w:sz w:val="18"/>
          <w:szCs w:val="18"/>
          <w:color w:val="auto"/>
        </w:rPr>
      </w:pPr>
    </w:p>
    <w:p>
      <w:pPr>
        <w:ind w:left="1080" w:hanging="320"/>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Deleted.</w:t>
      </w:r>
    </w:p>
    <w:p>
      <w:pPr>
        <w:spacing w:after="0" w:line="242" w:lineRule="exact"/>
        <w:rPr>
          <w:rFonts w:ascii="Arial" w:cs="Arial" w:eastAsia="Arial" w:hAnsi="Arial"/>
          <w:sz w:val="20"/>
          <w:szCs w:val="20"/>
          <w:color w:val="auto"/>
        </w:rPr>
      </w:pPr>
    </w:p>
    <w:p>
      <w:pPr>
        <w:jc w:val="both"/>
        <w:ind w:left="1080" w:hanging="320"/>
        <w:spacing w:after="0" w:line="232" w:lineRule="auto"/>
        <w:tabs>
          <w:tab w:leader="none" w:pos="1076" w:val="left"/>
        </w:tabs>
        <w:numPr>
          <w:ilvl w:val="0"/>
          <w:numId w:val="19"/>
        </w:numPr>
        <w:rPr>
          <w:rFonts w:ascii="Arial" w:cs="Arial" w:eastAsia="Arial" w:hAnsi="Arial"/>
          <w:sz w:val="20"/>
          <w:szCs w:val="20"/>
          <w:color w:val="auto"/>
        </w:rPr>
      </w:pPr>
      <w:r>
        <w:rPr>
          <w:rFonts w:ascii="Arial" w:cs="Arial" w:eastAsia="Arial" w:hAnsi="Arial"/>
          <w:sz w:val="20"/>
          <w:szCs w:val="20"/>
          <w:color w:val="auto"/>
        </w:rPr>
        <w:t>Ocwen shall, no later than the date hereof, apply to become a member of the Lenders One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mortgage cooperative and shall take all actions reasonably necessary to become and remain a member in good standing of the cooperative throughout the Extended Term. The parties have discussed and will promptly finalize the terms of the Lenders One member agreement. Unless otherwise agreed upon by the parties, the fees paid by Ocwen for being a member of Lenders One shall not increase during the Extended Term.</w:t>
      </w:r>
    </w:p>
    <w:p>
      <w:pPr>
        <w:spacing w:after="0" w:line="223" w:lineRule="exact"/>
        <w:rPr>
          <w:rFonts w:ascii="Arial" w:cs="Arial" w:eastAsia="Arial" w:hAnsi="Arial"/>
          <w:sz w:val="20"/>
          <w:szCs w:val="20"/>
          <w:color w:val="auto"/>
        </w:rPr>
      </w:pPr>
    </w:p>
    <w:p>
      <w:pPr>
        <w:ind w:left="1080" w:hanging="320"/>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Ocwen hereby represents and warrants that [REDACTED].</w:t>
      </w:r>
    </w:p>
    <w:p>
      <w:pPr>
        <w:spacing w:after="0" w:line="242" w:lineRule="exact"/>
        <w:rPr>
          <w:rFonts w:ascii="Arial" w:cs="Arial" w:eastAsia="Arial" w:hAnsi="Arial"/>
          <w:sz w:val="20"/>
          <w:szCs w:val="20"/>
          <w:color w:val="auto"/>
        </w:rPr>
      </w:pPr>
    </w:p>
    <w:p>
      <w:pPr>
        <w:jc w:val="both"/>
        <w:ind w:left="1080" w:hanging="320"/>
        <w:spacing w:after="0" w:line="250" w:lineRule="auto"/>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Services Agreement, Services Letter, 2019 Term Sheet and any applicable statements of work, memoranda of understanding or other agreements thereunder shall be deemed amended to clarify and/or specify the below (with all the foregoing agreements continuing in effect except as specifically modified by the below):</w:t>
      </w:r>
    </w:p>
    <w:p>
      <w:pPr>
        <w:spacing w:after="0" w:line="212" w:lineRule="exact"/>
        <w:rPr>
          <w:rFonts w:ascii="Arial" w:cs="Arial" w:eastAsia="Arial" w:hAnsi="Arial"/>
          <w:sz w:val="20"/>
          <w:szCs w:val="20"/>
          <w:color w:val="auto"/>
        </w:rPr>
      </w:pPr>
    </w:p>
    <w:p>
      <w:pPr>
        <w:jc w:val="both"/>
        <w:ind w:left="1740" w:hanging="274"/>
        <w:spacing w:after="0" w:line="269" w:lineRule="auto"/>
        <w:tabs>
          <w:tab w:leader="none" w:pos="17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Performance Standard for REO Management Services shall be reviewed by the parties in good faith, as applicable, to determine if the parties need to implement process, system and any other changes reasonably necessary to facilitate the replacement of Altisource as the provider of certain field services.</w:t>
      </w:r>
    </w:p>
    <w:p>
      <w:pPr>
        <w:spacing w:after="0" w:line="196" w:lineRule="exact"/>
        <w:rPr>
          <w:rFonts w:ascii="Arial" w:cs="Arial" w:eastAsia="Arial" w:hAnsi="Arial"/>
          <w:sz w:val="19"/>
          <w:szCs w:val="19"/>
          <w:color w:val="auto"/>
        </w:rPr>
      </w:pPr>
    </w:p>
    <w:p>
      <w:pPr>
        <w:ind w:left="1080" w:right="20" w:hanging="320"/>
        <w:spacing w:after="0" w:line="260" w:lineRule="auto"/>
        <w:tabs>
          <w:tab w:leader="none" w:pos="1076"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Promptly following execution of this Term Sheet, the parties shall review in good faith any issues raised by the parties pertaining to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020"/>
          </w:cols>
          <w:pgMar w:left="540" w:top="1162" w:right="339" w:bottom="1440" w:gutter="0" w:footer="0" w:header="0"/>
        </w:sectPr>
      </w:pPr>
    </w:p>
    <w:bookmarkStart w:id="43" w:name="page44"/>
    <w:bookmarkEnd w:id="43"/>
    <w:p>
      <w:pPr>
        <w:ind w:left="436" w:hanging="328"/>
        <w:spacing w:after="0" w:line="267" w:lineRule="auto"/>
        <w:tabs>
          <w:tab w:leader="none" w:pos="425"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Fees. </w:t>
      </w:r>
      <w:r>
        <w:rPr>
          <w:rFonts w:ascii="Arial" w:cs="Arial" w:eastAsia="Arial" w:hAnsi="Arial"/>
          <w:sz w:val="20"/>
          <w:szCs w:val="20"/>
          <w:color w:val="auto"/>
        </w:rPr>
        <w:t>Fees charged for Services shall be at prevailing market rates. Either party may reasonably request renegotiation of such fees</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90" w:lineRule="exact"/>
        <w:rPr>
          <w:rFonts w:ascii="Arial" w:cs="Arial" w:eastAsia="Arial" w:hAnsi="Arial"/>
          <w:sz w:val="20"/>
          <w:szCs w:val="20"/>
          <w:color w:val="auto"/>
        </w:rPr>
      </w:pPr>
    </w:p>
    <w:p>
      <w:pPr>
        <w:ind w:left="416" w:hanging="308"/>
        <w:spacing w:after="0"/>
        <w:tabs>
          <w:tab w:leader="none" w:pos="416"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Reserved.</w:t>
      </w:r>
    </w:p>
    <w:p>
      <w:pPr>
        <w:spacing w:after="0" w:line="242" w:lineRule="exact"/>
        <w:rPr>
          <w:rFonts w:ascii="Arial" w:cs="Arial" w:eastAsia="Arial" w:hAnsi="Arial"/>
          <w:sz w:val="20"/>
          <w:szCs w:val="20"/>
          <w:color w:val="auto"/>
        </w:rPr>
      </w:pPr>
    </w:p>
    <w:p>
      <w:pPr>
        <w:ind w:left="416" w:hanging="308"/>
        <w:spacing w:after="0"/>
        <w:tabs>
          <w:tab w:leader="none" w:pos="416"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Reserved.</w:t>
      </w:r>
    </w:p>
    <w:p>
      <w:pPr>
        <w:spacing w:after="0" w:line="242" w:lineRule="exact"/>
        <w:rPr>
          <w:rFonts w:ascii="Arial" w:cs="Arial" w:eastAsia="Arial" w:hAnsi="Arial"/>
          <w:sz w:val="20"/>
          <w:szCs w:val="20"/>
          <w:color w:val="auto"/>
        </w:rPr>
      </w:pPr>
    </w:p>
    <w:p>
      <w:pPr>
        <w:ind w:left="416" w:hanging="308"/>
        <w:spacing w:after="0"/>
        <w:tabs>
          <w:tab w:leader="none" w:pos="416"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Reserved.</w:t>
      </w:r>
    </w:p>
    <w:p>
      <w:pPr>
        <w:spacing w:after="0" w:line="242" w:lineRule="exact"/>
        <w:rPr>
          <w:rFonts w:ascii="Arial" w:cs="Arial" w:eastAsia="Arial" w:hAnsi="Arial"/>
          <w:sz w:val="20"/>
          <w:szCs w:val="20"/>
          <w:color w:val="auto"/>
        </w:rPr>
      </w:pPr>
    </w:p>
    <w:p>
      <w:pPr>
        <w:ind w:left="416" w:hanging="308"/>
        <w:spacing w:after="0"/>
        <w:tabs>
          <w:tab w:leader="none" w:pos="416"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Transfers of Services</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jc w:val="both"/>
        <w:ind w:left="1076" w:hanging="320"/>
        <w:spacing w:after="0" w:line="271" w:lineRule="auto"/>
        <w:tabs>
          <w:tab w:leader="none" w:pos="1065" w:val="left"/>
        </w:tabs>
        <w:numPr>
          <w:ilvl w:val="2"/>
          <w:numId w:val="20"/>
        </w:numPr>
        <w:rPr>
          <w:rFonts w:ascii="Arial" w:cs="Arial" w:eastAsia="Arial" w:hAnsi="Arial"/>
          <w:sz w:val="18"/>
          <w:szCs w:val="18"/>
          <w:color w:val="auto"/>
        </w:rPr>
      </w:pPr>
      <w:r>
        <w:rPr>
          <w:rFonts w:ascii="Arial" w:cs="Arial" w:eastAsia="Arial" w:hAnsi="Arial"/>
          <w:sz w:val="18"/>
          <w:szCs w:val="18"/>
          <w:color w:val="auto"/>
        </w:rPr>
        <w:t>To the extent that, at any time during the Extended Term, Ocwen transfers away from Altisource, causes to be transferred away from Altisource, or otherwise takes any action resulting in a party other than Altisource receiving, orders to perform one or more Services (the “Transferred Service(s)”) on one or more Portfolios (as defined in the 2019 Term Sheet), or portions thereof (a “Transfer”), then, except for Section 6(e) of the Services Agreement and in addition to the other rights and remedies that the parties may have under the applicable agreements, Altisource shall not be required to incur any costs or perform any services or other work to assist Ocwen in such Transfer (“Transfer Services”) and Ocwen shall not be required to pay any costs and services, except as agreed to in writing by the parties (a “Transfer Services Agreement”). Upon request by Ocwen, Altisource shall provide Ocwen with a reasonable estimate of fees and costs for providing the Transfer Services. Any such Transfer Services Agreement shall include a mutually acceptable project plan with reasonable and sufficient detail as to the Transfer Services needed and reasonable deadlines for the performance of such Transfer Services.</w:t>
      </w:r>
    </w:p>
    <w:p>
      <w:pPr>
        <w:spacing w:after="0" w:line="200" w:lineRule="exact"/>
        <w:rPr>
          <w:rFonts w:ascii="Arial" w:cs="Arial" w:eastAsia="Arial" w:hAnsi="Arial"/>
          <w:sz w:val="18"/>
          <w:szCs w:val="18"/>
          <w:color w:val="auto"/>
        </w:rPr>
      </w:pPr>
    </w:p>
    <w:p>
      <w:pPr>
        <w:jc w:val="both"/>
        <w:ind w:left="1076" w:hanging="320"/>
        <w:spacing w:after="0" w:line="243" w:lineRule="auto"/>
        <w:tabs>
          <w:tab w:leader="none" w:pos="1076" w:val="left"/>
        </w:tabs>
        <w:numPr>
          <w:ilvl w:val="2"/>
          <w:numId w:val="20"/>
        </w:numPr>
        <w:rPr>
          <w:rFonts w:ascii="Arial" w:cs="Arial" w:eastAsia="Arial" w:hAnsi="Arial"/>
          <w:sz w:val="20"/>
          <w:szCs w:val="20"/>
          <w:color w:val="auto"/>
        </w:rPr>
      </w:pPr>
      <w:r>
        <w:rPr>
          <w:rFonts w:ascii="Arial" w:cs="Arial" w:eastAsia="Arial" w:hAnsi="Arial"/>
          <w:sz w:val="20"/>
          <w:szCs w:val="20"/>
          <w:color w:val="auto"/>
        </w:rPr>
        <w:t>To the extent that Altisource continues to provide any Service on such Portfolios, it shall notify Ocwen if Altisource used materials created in connection with the Transferred Services in connection with the remaining Services. Upon such notice, Ocwen shall use commercially reasonable efforts to obtain on a royalty-free basis the right for Altisource and its affiliates to use solely in furtherance of providing any Service to Ocwen or its affiliates, or on behalf of Ocwen, to a client that the parties have in common or such client’s affiliates or the relevant investor or servicers, the equivalent work product, deliverables or other materials created by or on behalf of, or otherwise at the direction of, Ocwen or the party performing such Transferred Service(s).</w:t>
      </w:r>
    </w:p>
    <w:p>
      <w:pPr>
        <w:spacing w:after="0" w:line="219" w:lineRule="exact"/>
        <w:rPr>
          <w:rFonts w:ascii="Arial" w:cs="Arial" w:eastAsia="Arial" w:hAnsi="Arial"/>
          <w:sz w:val="20"/>
          <w:szCs w:val="20"/>
          <w:color w:val="auto"/>
        </w:rPr>
      </w:pPr>
    </w:p>
    <w:p>
      <w:pPr>
        <w:jc w:val="both"/>
        <w:ind w:left="1076" w:hanging="320"/>
        <w:spacing w:after="0" w:line="250" w:lineRule="auto"/>
        <w:tabs>
          <w:tab w:leader="none" w:pos="1065" w:val="left"/>
        </w:tabs>
        <w:numPr>
          <w:ilvl w:val="2"/>
          <w:numId w:val="20"/>
        </w:numPr>
        <w:rPr>
          <w:rFonts w:ascii="Arial" w:cs="Arial" w:eastAsia="Arial" w:hAnsi="Arial"/>
          <w:sz w:val="20"/>
          <w:szCs w:val="20"/>
          <w:i w:val="1"/>
          <w:iCs w:val="1"/>
          <w:color w:val="auto"/>
        </w:rPr>
      </w:pPr>
      <w:r>
        <w:rPr>
          <w:rFonts w:ascii="Arial" w:cs="Arial" w:eastAsia="Arial" w:hAnsi="Arial"/>
          <w:sz w:val="20"/>
          <w:szCs w:val="20"/>
          <w:color w:val="auto"/>
        </w:rPr>
        <w:t>All Performance Standards impacted or otherwise affected by a Transfer shall be reviewed by the parties in good faith. During such period, Altisource and Ocwen shall reasonably cooperate to mitigate adverse impacts to applicable Performance Standards</w:t>
      </w:r>
      <w:r>
        <w:rPr>
          <w:rFonts w:ascii="Arial" w:cs="Arial" w:eastAsia="Arial" w:hAnsi="Arial"/>
          <w:sz w:val="20"/>
          <w:szCs w:val="20"/>
          <w:i w:val="1"/>
          <w:iCs w:val="1"/>
          <w:color w:val="auto"/>
        </w:rPr>
        <w:t>.</w:t>
      </w:r>
    </w:p>
    <w:p>
      <w:pPr>
        <w:spacing w:after="0" w:line="233" w:lineRule="exact"/>
        <w:rPr>
          <w:rFonts w:ascii="Arial" w:cs="Arial" w:eastAsia="Arial" w:hAnsi="Arial"/>
          <w:sz w:val="20"/>
          <w:szCs w:val="20"/>
          <w:i w:val="1"/>
          <w:iCs w:val="1"/>
          <w:color w:val="auto"/>
        </w:rPr>
      </w:pPr>
    </w:p>
    <w:p>
      <w:pPr>
        <w:jc w:val="both"/>
        <w:ind w:left="436" w:hanging="328"/>
        <w:spacing w:after="0"/>
        <w:tabs>
          <w:tab w:leader="none" w:pos="427" w:val="left"/>
        </w:tabs>
        <w:numPr>
          <w:ilvl w:val="1"/>
          <w:numId w:val="20"/>
        </w:numPr>
        <w:rPr>
          <w:rFonts w:ascii="Arial" w:cs="Arial" w:eastAsia="Arial" w:hAnsi="Arial"/>
          <w:sz w:val="22"/>
          <w:szCs w:val="22"/>
          <w:color w:val="auto"/>
        </w:rPr>
      </w:pPr>
      <w:r>
        <w:rPr>
          <w:rFonts w:ascii="Arial" w:cs="Arial" w:eastAsia="Arial" w:hAnsi="Arial"/>
          <w:sz w:val="20"/>
          <w:szCs w:val="20"/>
          <w:b w:val="1"/>
          <w:bCs w:val="1"/>
          <w:color w:val="auto"/>
        </w:rPr>
        <w:t>COVID-19 Event</w:t>
      </w:r>
      <w:r>
        <w:rPr>
          <w:rFonts w:ascii="Arial" w:cs="Arial" w:eastAsia="Arial" w:hAnsi="Arial"/>
          <w:sz w:val="20"/>
          <w:szCs w:val="20"/>
          <w:color w:val="auto"/>
        </w:rPr>
        <w:t>. In the event scorecards are adversely impacted as a result of a Force Majeure Event (as defined in the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parties agree that the Total Weighted Score for the scorecards for all impacted Performance Standards (as defined in the Services Agreement and the 2019 Term Sheet) shall be deemed to be at the Meet Expectations level from March 2020 through March 2021.</w:t>
      </w:r>
    </w:p>
    <w:p>
      <w:pPr>
        <w:spacing w:after="0" w:line="218" w:lineRule="exact"/>
        <w:rPr>
          <w:rFonts w:ascii="Arial" w:cs="Arial" w:eastAsia="Arial" w:hAnsi="Arial"/>
          <w:sz w:val="22"/>
          <w:szCs w:val="22"/>
          <w:color w:val="auto"/>
        </w:rPr>
      </w:pPr>
    </w:p>
    <w:p>
      <w:pPr>
        <w:ind w:left="436" w:hanging="328"/>
        <w:spacing w:after="0" w:line="250" w:lineRule="auto"/>
        <w:tabs>
          <w:tab w:leader="none" w:pos="425"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Sales Taxes</w:t>
      </w:r>
      <w:r>
        <w:rPr>
          <w:rFonts w:ascii="Arial" w:cs="Arial" w:eastAsia="Arial" w:hAnsi="Arial"/>
          <w:sz w:val="20"/>
          <w:szCs w:val="20"/>
          <w:color w:val="auto"/>
        </w:rPr>
        <w:t>. With respect to the total sales tax that Altisource has confirmed as paid on behalf of Ocwen and/or its clients that is</w:t>
      </w:r>
      <w:r>
        <w:rPr>
          <w:rFonts w:ascii="Arial" w:cs="Arial" w:eastAsia="Arial" w:hAnsi="Arial"/>
          <w:sz w:val="20"/>
          <w:szCs w:val="20"/>
          <w:b w:val="1"/>
          <w:bCs w:val="1"/>
          <w:color w:val="auto"/>
        </w:rPr>
        <w:t xml:space="preserve"> </w:t>
      </w:r>
      <w:r>
        <w:rPr>
          <w:rFonts w:ascii="Arial" w:cs="Arial" w:eastAsia="Arial" w:hAnsi="Arial"/>
          <w:sz w:val="20"/>
          <w:szCs w:val="20"/>
          <w:color w:val="auto"/>
        </w:rPr>
        <w:t>outstanding and unpaid as of the date of this Term Sheet [REDACTED]</w:t>
      </w:r>
    </w:p>
    <w:p>
      <w:pPr>
        <w:spacing w:after="0" w:line="1" w:lineRule="exact"/>
        <w:rPr>
          <w:rFonts w:ascii="Arial" w:cs="Arial" w:eastAsia="Arial" w:hAnsi="Arial"/>
          <w:sz w:val="20"/>
          <w:szCs w:val="20"/>
          <w:color w:val="auto"/>
        </w:rPr>
      </w:pPr>
    </w:p>
    <w:p>
      <w:pPr>
        <w:ind w:left="436"/>
        <w:spacing w:after="0"/>
        <w:rPr>
          <w:rFonts w:ascii="Arial" w:cs="Arial" w:eastAsia="Arial" w:hAnsi="Arial"/>
          <w:sz w:val="20"/>
          <w:szCs w:val="20"/>
          <w:color w:val="auto"/>
        </w:rPr>
      </w:pPr>
      <w:r>
        <w:rPr>
          <w:rFonts w:ascii="Arial" w:cs="Arial" w:eastAsia="Arial" w:hAnsi="Arial"/>
          <w:sz w:val="20"/>
          <w:szCs w:val="20"/>
          <w:color w:val="auto"/>
        </w:rPr>
        <w:t>(the “Total Outstanding Sales Tax”).</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left="136" w:hanging="136"/>
        <w:spacing w:after="0"/>
        <w:tabs>
          <w:tab w:leader="none" w:pos="136" w:val="left"/>
        </w:tabs>
        <w:numPr>
          <w:ilvl w:val="0"/>
          <w:numId w:val="20"/>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016"/>
          </w:cols>
          <w:pgMar w:left="544" w:top="1156" w:right="339" w:bottom="1440" w:gutter="0" w:footer="0" w:header="0"/>
        </w:sectPr>
      </w:pPr>
    </w:p>
    <w:bookmarkStart w:id="44" w:name="page45"/>
    <w:bookmarkEnd w:id="44"/>
    <w:p>
      <w:pPr>
        <w:jc w:val="both"/>
        <w:ind w:left="1076" w:hanging="320"/>
        <w:spacing w:after="0" w:line="242" w:lineRule="auto"/>
        <w:tabs>
          <w:tab w:leader="none" w:pos="1065" w:val="left"/>
        </w:tabs>
        <w:numPr>
          <w:ilvl w:val="2"/>
          <w:numId w:val="21"/>
        </w:numPr>
        <w:rPr>
          <w:rFonts w:ascii="Arial" w:cs="Arial" w:eastAsia="Arial" w:hAnsi="Arial"/>
          <w:sz w:val="20"/>
          <w:szCs w:val="20"/>
          <w:color w:val="auto"/>
        </w:rPr>
      </w:pPr>
      <w:r>
        <w:rPr>
          <w:rFonts w:ascii="Arial" w:cs="Arial" w:eastAsia="Arial" w:hAnsi="Arial"/>
          <w:sz w:val="20"/>
          <w:szCs w:val="20"/>
          <w:color w:val="auto"/>
        </w:rPr>
        <w:t>Ocwen shall provide to Altisource within a reasonable period of time following the date hereof, a reasonable written plan to collect that portion of the Outstanding Sales Tax that Ocwen believes is collectible (the “First Sales Tax Portion”), and consider in good faith any feedback that Altisource provides on such plan. Promptly thereafter, Ocwen shall commence (or shall continue) using its commercially reasonable best efforts to collect such First Sales Tax Portion as promptly as reasonably possible, provided that Altisource shall use its commercially reasonable best efforts to provide timely support to Ocwen with respect to such collection efforts. Ocwen shall provide reasonable updates on its collection efforts and collections progress to Altisource until no further amounts from the First Sales Tax Portion are reasonably likely to be collected by Ocwen.</w:t>
      </w:r>
    </w:p>
    <w:p>
      <w:pPr>
        <w:spacing w:after="0" w:line="217" w:lineRule="exact"/>
        <w:rPr>
          <w:rFonts w:ascii="Arial" w:cs="Arial" w:eastAsia="Arial" w:hAnsi="Arial"/>
          <w:sz w:val="20"/>
          <w:szCs w:val="20"/>
          <w:color w:val="auto"/>
        </w:rPr>
      </w:pPr>
    </w:p>
    <w:p>
      <w:pPr>
        <w:ind w:left="436" w:hanging="328"/>
        <w:spacing w:after="0" w:line="267" w:lineRule="auto"/>
        <w:tabs>
          <w:tab w:leader="none" w:pos="430" w:val="left"/>
        </w:tabs>
        <w:numPr>
          <w:ilvl w:val="1"/>
          <w:numId w:val="22"/>
        </w:numPr>
        <w:rPr>
          <w:rFonts w:ascii="Arial" w:cs="Arial" w:eastAsia="Arial" w:hAnsi="Arial"/>
          <w:sz w:val="20"/>
          <w:szCs w:val="20"/>
          <w:color w:val="auto"/>
        </w:rPr>
      </w:pPr>
      <w:r>
        <w:rPr>
          <w:rFonts w:ascii="Arial" w:cs="Arial" w:eastAsia="Arial" w:hAnsi="Arial"/>
          <w:sz w:val="20"/>
          <w:szCs w:val="20"/>
          <w:b w:val="1"/>
          <w:bCs w:val="1"/>
          <w:color w:val="auto"/>
        </w:rPr>
        <w:t>Outstanding Accounts Receivable</w:t>
      </w:r>
      <w:r>
        <w:rPr>
          <w:rFonts w:ascii="Arial" w:cs="Arial" w:eastAsia="Arial" w:hAnsi="Arial"/>
          <w:sz w:val="20"/>
          <w:szCs w:val="20"/>
          <w:color w:val="auto"/>
        </w:rPr>
        <w:t>. The parties shall continue to discuss in good faith and resolve in the ordinary course any of</w:t>
      </w:r>
      <w:r>
        <w:rPr>
          <w:rFonts w:ascii="Arial" w:cs="Arial" w:eastAsia="Arial" w:hAnsi="Arial"/>
          <w:sz w:val="20"/>
          <w:szCs w:val="20"/>
          <w:b w:val="1"/>
          <w:bCs w:val="1"/>
          <w:color w:val="auto"/>
        </w:rPr>
        <w:t xml:space="preserve"> </w:t>
      </w:r>
      <w:r>
        <w:rPr>
          <w:rFonts w:ascii="Arial" w:cs="Arial" w:eastAsia="Arial" w:hAnsi="Arial"/>
          <w:sz w:val="20"/>
          <w:szCs w:val="20"/>
          <w:color w:val="auto"/>
        </w:rPr>
        <w:t>Altisource’s outstanding and billed accounts receivable.</w:t>
      </w:r>
    </w:p>
    <w:p>
      <w:pPr>
        <w:spacing w:after="0" w:line="190" w:lineRule="exact"/>
        <w:rPr>
          <w:rFonts w:ascii="Arial" w:cs="Arial" w:eastAsia="Arial" w:hAnsi="Arial"/>
          <w:sz w:val="20"/>
          <w:szCs w:val="20"/>
          <w:color w:val="auto"/>
        </w:rPr>
      </w:pPr>
    </w:p>
    <w:p>
      <w:pPr>
        <w:ind w:left="416" w:hanging="308"/>
        <w:spacing w:after="0"/>
        <w:tabs>
          <w:tab w:leader="none" w:pos="416" w:val="left"/>
        </w:tabs>
        <w:numPr>
          <w:ilvl w:val="1"/>
          <w:numId w:val="22"/>
        </w:numPr>
        <w:rPr>
          <w:rFonts w:ascii="Arial" w:cs="Arial" w:eastAsia="Arial" w:hAnsi="Arial"/>
          <w:sz w:val="20"/>
          <w:szCs w:val="20"/>
          <w:color w:val="auto"/>
        </w:rPr>
      </w:pPr>
      <w:r>
        <w:rPr>
          <w:rFonts w:ascii="Arial" w:cs="Arial" w:eastAsia="Arial" w:hAnsi="Arial"/>
          <w:sz w:val="20"/>
          <w:szCs w:val="20"/>
          <w:b w:val="1"/>
          <w:bCs w:val="1"/>
          <w:color w:val="auto"/>
        </w:rPr>
        <w:t>Reserved.</w:t>
      </w:r>
    </w:p>
    <w:p>
      <w:pPr>
        <w:spacing w:after="0" w:line="242" w:lineRule="exact"/>
        <w:rPr>
          <w:rFonts w:ascii="Arial" w:cs="Arial" w:eastAsia="Arial" w:hAnsi="Arial"/>
          <w:sz w:val="20"/>
          <w:szCs w:val="20"/>
          <w:color w:val="auto"/>
        </w:rPr>
      </w:pPr>
    </w:p>
    <w:p>
      <w:pPr>
        <w:ind w:left="436" w:hanging="328"/>
        <w:spacing w:after="0" w:line="267" w:lineRule="auto"/>
        <w:tabs>
          <w:tab w:leader="none" w:pos="430" w:val="left"/>
        </w:tabs>
        <w:numPr>
          <w:ilvl w:val="1"/>
          <w:numId w:val="22"/>
        </w:numPr>
        <w:rPr>
          <w:rFonts w:ascii="Arial" w:cs="Arial" w:eastAsia="Arial" w:hAnsi="Arial"/>
          <w:sz w:val="20"/>
          <w:szCs w:val="20"/>
          <w:color w:val="auto"/>
        </w:rPr>
      </w:pPr>
      <w:r>
        <w:rPr>
          <w:rFonts w:ascii="Arial" w:cs="Arial" w:eastAsia="Arial" w:hAnsi="Arial"/>
          <w:sz w:val="20"/>
          <w:szCs w:val="20"/>
          <w:b w:val="1"/>
          <w:bCs w:val="1"/>
          <w:color w:val="auto"/>
        </w:rPr>
        <w:t>Release</w:t>
      </w:r>
      <w:r>
        <w:rPr>
          <w:rFonts w:ascii="Arial" w:cs="Arial" w:eastAsia="Arial" w:hAnsi="Arial"/>
          <w:sz w:val="20"/>
          <w:szCs w:val="20"/>
          <w:color w:val="auto"/>
        </w:rPr>
        <w:t>. Following the parties’ execution of this Term Sheet and in consideration of the covenants, recitals and agreements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w:t>
      </w:r>
    </w:p>
    <w:p>
      <w:pPr>
        <w:spacing w:after="0" w:line="196" w:lineRule="exact"/>
        <w:rPr>
          <w:rFonts w:ascii="Arial" w:cs="Arial" w:eastAsia="Arial" w:hAnsi="Arial"/>
          <w:sz w:val="20"/>
          <w:szCs w:val="20"/>
          <w:color w:val="auto"/>
        </w:rPr>
      </w:pPr>
    </w:p>
    <w:p>
      <w:pPr>
        <w:jc w:val="both"/>
        <w:ind w:left="1076" w:hanging="320"/>
        <w:spacing w:after="0" w:line="255" w:lineRule="auto"/>
        <w:tabs>
          <w:tab w:leader="none" w:pos="1065" w:val="left"/>
        </w:tabs>
        <w:numPr>
          <w:ilvl w:val="2"/>
          <w:numId w:val="22"/>
        </w:numPr>
        <w:rPr>
          <w:rFonts w:ascii="Arial" w:cs="Arial" w:eastAsia="Arial" w:hAnsi="Arial"/>
          <w:sz w:val="19"/>
          <w:szCs w:val="19"/>
          <w:color w:val="auto"/>
        </w:rPr>
      </w:pPr>
      <w:r>
        <w:rPr>
          <w:rFonts w:ascii="Arial" w:cs="Arial" w:eastAsia="Arial" w:hAnsi="Arial"/>
          <w:sz w:val="19"/>
          <w:szCs w:val="19"/>
          <w:color w:val="auto"/>
        </w:rPr>
        <w:t>Altisource, on behalf of itself and its officers, directors, agents, employees, representatives, attorneys, insurers, affiliates, parents, subsidiaries, successors, assigns, and related persons and entities (the “Altisource Parties”), shall release and forever discharge Ocwen and its officers, directors, agents, employees, representatives, attorneys, insurers, affiliates, parents, subsidiaries, successors, assigns, and related persons and entities (the “Ocwen Parties”) from and against any and all claims, demands, causes of action, lawsuits, remedies, costs, damages, attorneys’ fees, and liabilities of any kind, nature or amount, whether in law or equity, known or unknown, anticipated or unanticipated, that the Altisource Parties now have or may hereafter acquire, based on actions or inactions occurring on or prior to the date hereof arising from or relating in any manner to any and all transactions described in the Reservation of Rights letter dated February 22, 2019, with respect to any and all claims arising from or related in any way to Ocwen’s transfer of service referrals and services to providers other than Altisource.</w:t>
      </w:r>
    </w:p>
    <w:p>
      <w:pPr>
        <w:spacing w:after="0" w:line="216" w:lineRule="exact"/>
        <w:rPr>
          <w:rFonts w:ascii="Arial" w:cs="Arial" w:eastAsia="Arial" w:hAnsi="Arial"/>
          <w:sz w:val="19"/>
          <w:szCs w:val="19"/>
          <w:color w:val="auto"/>
        </w:rPr>
      </w:pPr>
    </w:p>
    <w:p>
      <w:pPr>
        <w:jc w:val="both"/>
        <w:ind w:left="1076" w:hanging="320"/>
        <w:spacing w:after="0" w:line="257" w:lineRule="auto"/>
        <w:tabs>
          <w:tab w:leader="none" w:pos="1076" w:val="left"/>
        </w:tabs>
        <w:numPr>
          <w:ilvl w:val="2"/>
          <w:numId w:val="22"/>
        </w:numPr>
        <w:rPr>
          <w:rFonts w:ascii="Arial" w:cs="Arial" w:eastAsia="Arial" w:hAnsi="Arial"/>
          <w:sz w:val="19"/>
          <w:szCs w:val="19"/>
          <w:color w:val="auto"/>
        </w:rPr>
      </w:pPr>
      <w:r>
        <w:rPr>
          <w:rFonts w:ascii="Arial" w:cs="Arial" w:eastAsia="Arial" w:hAnsi="Arial"/>
          <w:sz w:val="19"/>
          <w:szCs w:val="19"/>
          <w:color w:val="auto"/>
        </w:rPr>
        <w:t>Ocwen, on behalf of itself and the Ocwen Parties, shall release and forever discharge the Altisource Parties from and against any and all claims, demands, causes of action, lawsuits, remedies, costs, damages, attorneys’ fees, and liabilities of any kind, nature or amount, whether in law or equity, known or unknown, anticipated or unanticipated, that the Ocwen Parties now have or may hereafter acquire, based on actions or inactions occurring on or prior to the date hereof arising from or relating in any manner to any and all transactions described in the Reservation of Rights letter dated February 22, 2019, with respect to any and all claims arising from or related in any way to Ocwen’s transfer of service referrals and services to providers other than Altisource.</w:t>
      </w:r>
    </w:p>
    <w:p>
      <w:pPr>
        <w:spacing w:after="0" w:line="211" w:lineRule="exact"/>
        <w:rPr>
          <w:rFonts w:ascii="Arial" w:cs="Arial" w:eastAsia="Arial" w:hAnsi="Arial"/>
          <w:sz w:val="19"/>
          <w:szCs w:val="19"/>
          <w:color w:val="auto"/>
        </w:rPr>
      </w:pPr>
    </w:p>
    <w:p>
      <w:pPr>
        <w:ind w:left="1076" w:hanging="320"/>
        <w:spacing w:after="0" w:line="260" w:lineRule="auto"/>
        <w:tabs>
          <w:tab w:leader="none" w:pos="1065" w:val="left"/>
        </w:tabs>
        <w:numPr>
          <w:ilvl w:val="2"/>
          <w:numId w:val="22"/>
        </w:numPr>
        <w:rPr>
          <w:rFonts w:ascii="Arial" w:cs="Arial" w:eastAsia="Arial" w:hAnsi="Arial"/>
          <w:sz w:val="20"/>
          <w:szCs w:val="20"/>
          <w:color w:val="auto"/>
        </w:rPr>
      </w:pPr>
      <w:r>
        <w:rPr>
          <w:rFonts w:ascii="Arial" w:cs="Arial" w:eastAsia="Arial" w:hAnsi="Arial"/>
          <w:sz w:val="20"/>
          <w:szCs w:val="20"/>
          <w:color w:val="auto"/>
        </w:rPr>
        <w:t>Notwithstanding the foregoing, the Ocwen Parties and the Altisource Parties are not released from any obligations they have under this Term Sheet.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0" w:lineRule="exact"/>
        <w:rPr>
          <w:rFonts w:ascii="Arial" w:cs="Arial" w:eastAsia="Arial" w:hAnsi="Arial"/>
          <w:sz w:val="20"/>
          <w:szCs w:val="20"/>
          <w:color w:val="auto"/>
        </w:rPr>
      </w:pPr>
    </w:p>
    <w:p>
      <w:pPr>
        <w:ind w:left="136" w:hanging="136"/>
        <w:spacing w:after="0"/>
        <w:tabs>
          <w:tab w:leader="none" w:pos="136" w:val="left"/>
        </w:tabs>
        <w:numPr>
          <w:ilvl w:val="0"/>
          <w:numId w:val="22"/>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016"/>
          </w:cols>
          <w:pgMar w:left="544" w:top="1162"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20"/>
          <w:szCs w:val="20"/>
          <w:color w:val="auto"/>
        </w:rPr>
        <w:t>Accepted and agreed by:</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Altisource S.à r.l.</w:t>
            </w:r>
          </w:p>
        </w:tc>
        <w:tc>
          <w:tcPr>
            <w:tcW w:w="5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Ocwen Financial Corporation</w:t>
            </w:r>
          </w:p>
        </w:tc>
      </w:tr>
      <w:tr>
        <w:trPr>
          <w:trHeight w:val="716"/>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By: ______________________</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By: ______________________</w:t>
            </w:r>
          </w:p>
        </w:tc>
      </w:tr>
      <w:tr>
        <w:trPr>
          <w:trHeight w:val="445"/>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Name:____________________</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Name:____________________</w:t>
            </w:r>
          </w:p>
        </w:tc>
      </w:tr>
      <w:tr>
        <w:trPr>
          <w:trHeight w:val="446"/>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Title:______________________</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Title:______________________</w:t>
            </w:r>
          </w:p>
        </w:tc>
      </w:tr>
      <w:tr>
        <w:trPr>
          <w:trHeight w:val="446"/>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Date:______________________</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Date:______________________</w:t>
            </w:r>
          </w:p>
        </w:tc>
      </w:tr>
      <w:tr>
        <w:trPr>
          <w:trHeight w:val="239"/>
        </w:trPr>
        <w:tc>
          <w:tcPr>
            <w:tcW w:w="5320" w:type="dxa"/>
            <w:vAlign w:val="bottom"/>
            <w:tcBorders>
              <w:left w:val="single" w:sz="8" w:color="auto"/>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r>
      <w:tr>
        <w:trPr>
          <w:trHeight w:val="254"/>
        </w:trPr>
        <w:tc>
          <w:tcPr>
            <w:tcW w:w="5320" w:type="dxa"/>
            <w:vAlign w:val="bottom"/>
            <w:tcBorders>
              <w:left w:val="single" w:sz="8" w:color="auto"/>
              <w:right w:val="single" w:sz="8" w:color="auto"/>
            </w:tcBorders>
          </w:tcPr>
          <w:p>
            <w:pPr>
              <w:spacing w:after="0"/>
              <w:rPr>
                <w:sz w:val="22"/>
                <w:szCs w:val="22"/>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Ocwen USVI Services, LLC</w:t>
            </w:r>
          </w:p>
        </w:tc>
      </w:tr>
      <w:tr>
        <w:trPr>
          <w:trHeight w:val="716"/>
        </w:trPr>
        <w:tc>
          <w:tcPr>
            <w:tcW w:w="5320" w:type="dxa"/>
            <w:vAlign w:val="bottom"/>
            <w:tcBorders>
              <w:left w:val="single" w:sz="8" w:color="auto"/>
              <w:right w:val="single" w:sz="8" w:color="auto"/>
            </w:tcBorders>
          </w:tcPr>
          <w:p>
            <w:pPr>
              <w:spacing w:after="0"/>
              <w:rPr>
                <w:sz w:val="24"/>
                <w:szCs w:val="24"/>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By: ______________________</w:t>
            </w:r>
          </w:p>
        </w:tc>
      </w:tr>
      <w:tr>
        <w:trPr>
          <w:trHeight w:val="445"/>
        </w:trPr>
        <w:tc>
          <w:tcPr>
            <w:tcW w:w="5320" w:type="dxa"/>
            <w:vAlign w:val="bottom"/>
            <w:tcBorders>
              <w:left w:val="single" w:sz="8" w:color="auto"/>
              <w:right w:val="single" w:sz="8" w:color="auto"/>
            </w:tcBorders>
          </w:tcPr>
          <w:p>
            <w:pPr>
              <w:spacing w:after="0"/>
              <w:rPr>
                <w:sz w:val="24"/>
                <w:szCs w:val="24"/>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Name:____________________</w:t>
            </w:r>
          </w:p>
        </w:tc>
      </w:tr>
      <w:tr>
        <w:trPr>
          <w:trHeight w:val="446"/>
        </w:trPr>
        <w:tc>
          <w:tcPr>
            <w:tcW w:w="5320" w:type="dxa"/>
            <w:vAlign w:val="bottom"/>
            <w:tcBorders>
              <w:left w:val="single" w:sz="8" w:color="auto"/>
              <w:right w:val="single" w:sz="8" w:color="auto"/>
            </w:tcBorders>
          </w:tcPr>
          <w:p>
            <w:pPr>
              <w:spacing w:after="0"/>
              <w:rPr>
                <w:sz w:val="24"/>
                <w:szCs w:val="24"/>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Title:______________________</w:t>
            </w:r>
          </w:p>
        </w:tc>
      </w:tr>
      <w:tr>
        <w:trPr>
          <w:trHeight w:val="445"/>
        </w:trPr>
        <w:tc>
          <w:tcPr>
            <w:tcW w:w="5320" w:type="dxa"/>
            <w:vAlign w:val="bottom"/>
            <w:tcBorders>
              <w:left w:val="single" w:sz="8" w:color="auto"/>
              <w:right w:val="single" w:sz="8" w:color="auto"/>
            </w:tcBorders>
          </w:tcPr>
          <w:p>
            <w:pPr>
              <w:spacing w:after="0"/>
              <w:rPr>
                <w:sz w:val="24"/>
                <w:szCs w:val="24"/>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Date:______________________</w:t>
            </w:r>
          </w:p>
        </w:tc>
      </w:tr>
      <w:tr>
        <w:trPr>
          <w:trHeight w:val="239"/>
        </w:trPr>
        <w:tc>
          <w:tcPr>
            <w:tcW w:w="5320" w:type="dxa"/>
            <w:vAlign w:val="bottom"/>
            <w:tcBorders>
              <w:left w:val="single" w:sz="8" w:color="auto"/>
              <w:bottom w:val="single" w:sz="8" w:color="auto"/>
              <w:right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0600"/>
          </w:cols>
          <w:pgMar w:left="320" w:top="1162" w:right="979" w:bottom="1440" w:gutter="0" w:footer="0" w:header="0"/>
        </w:sectPr>
      </w:pPr>
    </w:p>
    <w:bookmarkStart w:id="46" w:name="page47"/>
    <w:bookmarkEnd w:id="46"/>
    <w:p>
      <w:pPr>
        <w:jc w:val="center"/>
        <w:ind w:right="-139"/>
        <w:spacing w:after="0"/>
        <w:rPr>
          <w:sz w:val="20"/>
          <w:szCs w:val="20"/>
          <w:color w:val="auto"/>
        </w:rPr>
      </w:pPr>
      <w:r>
        <w:rPr>
          <w:rFonts w:ascii="Arial" w:cs="Arial" w:eastAsia="Arial" w:hAnsi="Arial"/>
          <w:sz w:val="20"/>
          <w:szCs w:val="20"/>
          <w:b w:val="1"/>
          <w:bCs w:val="1"/>
          <w:color w:val="auto"/>
        </w:rPr>
        <w:t>Exhibit A – Additional Services</w:t>
      </w:r>
    </w:p>
    <w:p>
      <w:pPr>
        <w:spacing w:after="0" w:line="200" w:lineRule="exact"/>
        <w:rPr>
          <w:sz w:val="20"/>
          <w:szCs w:val="20"/>
          <w:color w:val="auto"/>
        </w:rPr>
      </w:pP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8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Service Category</w:t>
            </w:r>
          </w:p>
        </w:tc>
        <w:tc>
          <w:tcPr>
            <w:tcW w:w="5460" w:type="dxa"/>
            <w:vAlign w:val="bottom"/>
            <w:tcBorders>
              <w:top w:val="single" w:sz="8" w:color="auto"/>
              <w:right w:val="single" w:sz="8" w:color="auto"/>
            </w:tcBorders>
          </w:tcPr>
          <w:p>
            <w:pPr>
              <w:ind w:left="20"/>
              <w:spacing w:after="0" w:line="247" w:lineRule="exact"/>
              <w:rPr>
                <w:sz w:val="20"/>
                <w:szCs w:val="20"/>
                <w:color w:val="auto"/>
              </w:rPr>
            </w:pPr>
            <w:r>
              <w:rPr>
                <w:rFonts w:ascii="Arial" w:cs="Arial" w:eastAsia="Arial" w:hAnsi="Arial"/>
                <w:sz w:val="20"/>
                <w:szCs w:val="20"/>
                <w:b w:val="1"/>
                <w:bCs w:val="1"/>
                <w:color w:val="auto"/>
              </w:rPr>
              <w:t>Service</w:t>
            </w:r>
            <w:r>
              <w:rPr>
                <w:rFonts w:ascii="Arial" w:cs="Arial" w:eastAsia="Arial" w:hAnsi="Arial"/>
                <w:sz w:val="25"/>
                <w:szCs w:val="25"/>
                <w:b w:val="1"/>
                <w:bCs w:val="1"/>
                <w:color w:val="auto"/>
                <w:vertAlign w:val="superscript"/>
              </w:rPr>
              <w:t>1</w:t>
            </w:r>
          </w:p>
        </w:tc>
        <w:tc>
          <w:tcPr>
            <w:tcW w:w="30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Agreement Negotiation</w:t>
            </w:r>
          </w:p>
        </w:tc>
      </w:tr>
      <w:tr>
        <w:trPr>
          <w:trHeight w:val="279"/>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line="280" w:lineRule="exact"/>
              <w:rPr>
                <w:sz w:val="20"/>
                <w:szCs w:val="20"/>
                <w:color w:val="auto"/>
              </w:rPr>
            </w:pPr>
            <w:r>
              <w:rPr>
                <w:rFonts w:ascii="Arial" w:cs="Arial" w:eastAsia="Arial" w:hAnsi="Arial"/>
                <w:sz w:val="20"/>
                <w:szCs w:val="20"/>
                <w:b w:val="1"/>
                <w:bCs w:val="1"/>
                <w:color w:val="auto"/>
              </w:rPr>
              <w:t>Commencement Date</w:t>
            </w:r>
            <w:r>
              <w:rPr>
                <w:rFonts w:ascii="Arial" w:cs="Arial" w:eastAsia="Arial" w:hAnsi="Arial"/>
                <w:sz w:val="25"/>
                <w:szCs w:val="25"/>
                <w:b w:val="1"/>
                <w:bCs w:val="1"/>
                <w:color w:val="auto"/>
                <w:vertAlign w:val="superscript"/>
              </w:rPr>
              <w:t>2</w:t>
            </w:r>
          </w:p>
        </w:tc>
      </w:tr>
      <w:tr>
        <w:trPr>
          <w:trHeight w:val="247"/>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FHA/VA Loans</w:t>
            </w: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Field services</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 – Already Executed</w:t>
            </w: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CWCOT first and second chance auction services</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 – Already Executed</w:t>
            </w: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insurance services</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 – Already Executed</w:t>
            </w: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[REDACTED]</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 – Already Executed</w:t>
            </w: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[REDACTED]</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 – Already Executed</w:t>
            </w:r>
          </w:p>
        </w:tc>
      </w:tr>
      <w:tr>
        <w:trPr>
          <w:trHeight w:val="186"/>
        </w:trPr>
        <w:tc>
          <w:tcPr>
            <w:tcW w:w="1820" w:type="dxa"/>
            <w:vAlign w:val="bottom"/>
            <w:tcBorders>
              <w:left w:val="single" w:sz="8" w:color="auto"/>
              <w:right w:val="single" w:sz="8" w:color="auto"/>
            </w:tcBorders>
          </w:tcPr>
          <w:p>
            <w:pPr>
              <w:spacing w:after="0"/>
              <w:rPr>
                <w:sz w:val="16"/>
                <w:szCs w:val="16"/>
                <w:color w:val="auto"/>
              </w:rPr>
            </w:pPr>
          </w:p>
        </w:tc>
        <w:tc>
          <w:tcPr>
            <w:tcW w:w="54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0"/>
                <w:szCs w:val="20"/>
                <w:color w:val="auto"/>
                <w:w w:val="99"/>
              </w:rPr>
              <w:t>[REDACTED]</w:t>
            </w:r>
          </w:p>
        </w:tc>
        <w:tc>
          <w:tcPr>
            <w:tcW w:w="30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20"/>
                <w:szCs w:val="20"/>
                <w:color w:val="auto"/>
                <w:w w:val="89"/>
              </w:rPr>
              <w:t>As mutually agreed upon by the</w:t>
            </w:r>
          </w:p>
        </w:tc>
      </w:tr>
      <w:tr>
        <w:trPr>
          <w:trHeight w:val="264"/>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parties</w:t>
            </w:r>
          </w:p>
        </w:tc>
      </w:tr>
      <w:tr>
        <w:trPr>
          <w:trHeight w:val="260"/>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9"/>
              </w:rPr>
              <w:t>Foreclosure auction</w:t>
            </w: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[REDACTED]</w:t>
            </w: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[REDACTED]</w:t>
            </w:r>
          </w:p>
        </w:tc>
      </w:tr>
      <w:tr>
        <w:trPr>
          <w:trHeight w:val="266"/>
        </w:trPr>
        <w:tc>
          <w:tcPr>
            <w:tcW w:w="1820" w:type="dxa"/>
            <w:vAlign w:val="bottom"/>
            <w:tcBorders>
              <w:left w:val="single" w:sz="8" w:color="auto"/>
              <w:bottom w:val="single" w:sz="8" w:color="auto"/>
              <w:right w:val="single" w:sz="8" w:color="auto"/>
            </w:tcBorders>
          </w:tcPr>
          <w:p>
            <w:pPr>
              <w:spacing w:after="0"/>
              <w:rPr>
                <w:sz w:val="23"/>
                <w:szCs w:val="23"/>
                <w:color w:val="auto"/>
              </w:rPr>
            </w:pPr>
          </w:p>
        </w:tc>
        <w:tc>
          <w:tcPr>
            <w:tcW w:w="546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r>
      <w:tr>
        <w:trPr>
          <w:trHeight w:val="196"/>
        </w:trPr>
        <w:tc>
          <w:tcPr>
            <w:tcW w:w="1820" w:type="dxa"/>
            <w:vAlign w:val="bottom"/>
            <w:tcBorders>
              <w:left w:val="single" w:sz="8" w:color="auto"/>
              <w:right w:val="single" w:sz="8" w:color="auto"/>
            </w:tcBorders>
          </w:tcPr>
          <w:p>
            <w:pPr>
              <w:ind w:left="40"/>
              <w:spacing w:after="0" w:line="196" w:lineRule="exact"/>
              <w:rPr>
                <w:sz w:val="20"/>
                <w:szCs w:val="20"/>
                <w:color w:val="auto"/>
              </w:rPr>
            </w:pPr>
            <w:r>
              <w:rPr>
                <w:rFonts w:ascii="Arial" w:cs="Arial" w:eastAsia="Arial" w:hAnsi="Arial"/>
                <w:sz w:val="20"/>
                <w:szCs w:val="20"/>
                <w:color w:val="auto"/>
              </w:rPr>
              <w:t>Reverse Mortgage</w:t>
            </w:r>
          </w:p>
        </w:tc>
        <w:tc>
          <w:tcPr>
            <w:tcW w:w="54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color w:val="auto"/>
                <w:w w:val="99"/>
              </w:rPr>
              <w:t>[REDACTED]</w:t>
            </w:r>
          </w:p>
        </w:tc>
        <w:tc>
          <w:tcPr>
            <w:tcW w:w="3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color w:val="auto"/>
                <w:w w:val="89"/>
              </w:rPr>
              <w:t>As mutually agreed upon by the</w:t>
            </w:r>
          </w:p>
        </w:tc>
      </w:tr>
      <w:tr>
        <w:trPr>
          <w:trHeight w:val="250"/>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Services</w:t>
            </w:r>
          </w:p>
        </w:tc>
        <w:tc>
          <w:tcPr>
            <w:tcW w:w="546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parties</w:t>
            </w:r>
          </w:p>
        </w:tc>
      </w:tr>
      <w:tr>
        <w:trPr>
          <w:trHeight w:val="560"/>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r>
      <w:tr>
        <w:trPr>
          <w:trHeight w:val="183"/>
        </w:trPr>
        <w:tc>
          <w:tcPr>
            <w:tcW w:w="18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20"/>
                <w:szCs w:val="20"/>
                <w:color w:val="auto"/>
              </w:rPr>
              <w:t>Trustee services</w:t>
            </w:r>
          </w:p>
        </w:tc>
        <w:tc>
          <w:tcPr>
            <w:tcW w:w="54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9"/>
              </w:rPr>
              <w:t>[REDACTED]</w:t>
            </w:r>
          </w:p>
        </w:tc>
        <w:tc>
          <w:tcPr>
            <w:tcW w:w="30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Not applicable as parties would use</w:t>
            </w:r>
          </w:p>
        </w:tc>
      </w:tr>
      <w:tr>
        <w:trPr>
          <w:trHeight w:val="189"/>
        </w:trPr>
        <w:tc>
          <w:tcPr>
            <w:tcW w:w="1820" w:type="dxa"/>
            <w:vAlign w:val="bottom"/>
            <w:tcBorders>
              <w:left w:val="single" w:sz="8" w:color="auto"/>
              <w:right w:val="single" w:sz="8" w:color="auto"/>
            </w:tcBorders>
          </w:tcPr>
          <w:p>
            <w:pPr>
              <w:spacing w:after="0"/>
              <w:rPr>
                <w:sz w:val="16"/>
                <w:szCs w:val="16"/>
                <w:color w:val="auto"/>
              </w:rPr>
            </w:pPr>
          </w:p>
        </w:tc>
        <w:tc>
          <w:tcPr>
            <w:tcW w:w="546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7"/>
              </w:rPr>
              <w:t>the existing agreements between</w:t>
            </w: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546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them pertaining to trustee services</w:t>
            </w:r>
          </w:p>
        </w:tc>
      </w:tr>
      <w:tr>
        <w:trPr>
          <w:trHeight w:val="196"/>
        </w:trPr>
        <w:tc>
          <w:tcPr>
            <w:tcW w:w="1820" w:type="dxa"/>
            <w:vAlign w:val="bottom"/>
            <w:tcBorders>
              <w:left w:val="single" w:sz="8" w:color="auto"/>
              <w:right w:val="single" w:sz="8" w:color="auto"/>
            </w:tcBorders>
          </w:tcPr>
          <w:p>
            <w:pPr>
              <w:ind w:left="40"/>
              <w:spacing w:after="0" w:line="196" w:lineRule="exact"/>
              <w:rPr>
                <w:sz w:val="20"/>
                <w:szCs w:val="20"/>
                <w:color w:val="auto"/>
              </w:rPr>
            </w:pPr>
            <w:r>
              <w:rPr>
                <w:rFonts w:ascii="Arial" w:cs="Arial" w:eastAsia="Arial" w:hAnsi="Arial"/>
                <w:sz w:val="20"/>
                <w:szCs w:val="20"/>
                <w:color w:val="auto"/>
              </w:rPr>
              <w:t>Other</w:t>
            </w:r>
          </w:p>
        </w:tc>
        <w:tc>
          <w:tcPr>
            <w:tcW w:w="54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color w:val="auto"/>
                <w:w w:val="99"/>
              </w:rPr>
              <w:t>[REDACTED]</w:t>
            </w:r>
          </w:p>
        </w:tc>
        <w:tc>
          <w:tcPr>
            <w:tcW w:w="3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color w:val="auto"/>
                <w:w w:val="89"/>
              </w:rPr>
              <w:t>As mutually agreed upon by the</w:t>
            </w: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546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parties</w:t>
            </w:r>
          </w:p>
        </w:tc>
      </w:tr>
      <w:tr>
        <w:trPr>
          <w:trHeight w:val="74"/>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5460" w:type="dxa"/>
            <w:vAlign w:val="bottom"/>
            <w:tcBorders>
              <w:bottom w:val="single" w:sz="8" w:color="auto"/>
              <w:right w:val="single" w:sz="8" w:color="auto"/>
            </w:tcBorders>
          </w:tcPr>
          <w:p>
            <w:pPr>
              <w:spacing w:after="0"/>
              <w:rPr>
                <w:sz w:val="6"/>
                <w:szCs w:val="6"/>
                <w:color w:val="auto"/>
              </w:rPr>
            </w:pPr>
          </w:p>
        </w:tc>
        <w:tc>
          <w:tcPr>
            <w:tcW w:w="30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29" w:lineRule="exact"/>
        <w:rPr>
          <w:sz w:val="20"/>
          <w:szCs w:val="20"/>
          <w:color w:val="auto"/>
        </w:rPr>
      </w:pPr>
    </w:p>
    <w:p>
      <w:pPr>
        <w:ind w:firstLine="8"/>
        <w:spacing w:after="0" w:line="225" w:lineRule="auto"/>
        <w:tabs>
          <w:tab w:leader="none" w:pos="114" w:val="left"/>
        </w:tabs>
        <w:numPr>
          <w:ilvl w:val="0"/>
          <w:numId w:val="23"/>
        </w:numPr>
        <w:rPr>
          <w:rFonts w:ascii="Arial" w:cs="Arial" w:eastAsia="Arial" w:hAnsi="Arial"/>
          <w:sz w:val="25"/>
          <w:szCs w:val="25"/>
          <w:color w:val="auto"/>
          <w:vertAlign w:val="superscript"/>
        </w:rPr>
      </w:pPr>
      <w:r>
        <w:rPr>
          <w:rFonts w:ascii="Arial" w:cs="Arial" w:eastAsia="Arial" w:hAnsi="Arial"/>
          <w:sz w:val="19"/>
          <w:szCs w:val="19"/>
          <w:color w:val="auto"/>
        </w:rPr>
        <w:t>The services are applicable solely to the extent Ocwen engages a third party to provide such services. Accordingly, Ocwen retains the right at all times to perform such services, in whole or in part, internally, including through its affiliates; [REDACTED].</w:t>
      </w:r>
    </w:p>
    <w:p>
      <w:pPr>
        <w:ind w:right="40"/>
        <w:spacing w:after="0" w:line="225"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2</w:t>
      </w:r>
      <w:r>
        <w:rPr>
          <w:rFonts w:ascii="Arial" w:cs="Arial" w:eastAsia="Arial" w:hAnsi="Arial"/>
          <w:sz w:val="19"/>
          <w:szCs w:val="19"/>
          <w:color w:val="auto"/>
        </w:rPr>
        <w:t xml:space="preserve"> Ocwen will not be required to breach any of its non-terminable contractual requirements, existing as of the effective date of the Applicable Additional Service Agreement, to provide a certain volume of referrals for the applicable services to third parties.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20"/>
          </w:cols>
          <w:pgMar w:left="320" w:top="1413"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SETTLEMENT AGREEMENT AND FULL RELEASE</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 xml:space="preserve">This Settlement Agreement and Full Release (the “Agreement”), dated as of April 28, 2021 is by and between </w:t>
      </w:r>
      <w:r>
        <w:rPr>
          <w:rFonts w:ascii="Arial" w:cs="Arial" w:eastAsia="Arial" w:hAnsi="Arial"/>
          <w:sz w:val="20"/>
          <w:szCs w:val="20"/>
          <w:b w:val="1"/>
          <w:bCs w:val="1"/>
          <w:color w:val="auto"/>
        </w:rPr>
        <w:t>Marcello Mastioni</w:t>
      </w:r>
      <w:r>
        <w:rPr>
          <w:rFonts w:ascii="Arial" w:cs="Arial" w:eastAsia="Arial" w:hAnsi="Arial"/>
          <w:sz w:val="20"/>
          <w:szCs w:val="20"/>
          <w:color w:val="auto"/>
        </w:rPr>
        <w:t xml:space="preserve"> (“Executive”) and </w:t>
      </w:r>
      <w:r>
        <w:rPr>
          <w:rFonts w:ascii="Arial" w:cs="Arial" w:eastAsia="Arial" w:hAnsi="Arial"/>
          <w:sz w:val="20"/>
          <w:szCs w:val="20"/>
          <w:b w:val="1"/>
          <w:bCs w:val="1"/>
          <w:color w:val="auto"/>
        </w:rPr>
        <w:t>Altisource S.à r.l.</w:t>
      </w:r>
      <w:r>
        <w:rPr>
          <w:rFonts w:ascii="Arial" w:cs="Arial" w:eastAsia="Arial" w:hAnsi="Arial"/>
          <w:sz w:val="20"/>
          <w:szCs w:val="20"/>
          <w:color w:val="auto"/>
        </w:rPr>
        <w:t>, with registered offices at 40, avenue Monterey, L-2163 Luxembourg and registered at the Luxembourg Trade and Companies Register under number B.147.268 (the “Company” and, together with any successor entities, parent companies, subsidiaries and affiliates, including Altisource Portfolio Solutions S.A., “Altisource”) (Executive and Altisource each may be referred to herein as “Party” and collectively as the “Parties”).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148" w:lineRule="exact"/>
        <w:rPr>
          <w:sz w:val="20"/>
          <w:szCs w:val="20"/>
          <w:color w:val="auto"/>
        </w:rPr>
      </w:pPr>
    </w:p>
    <w:p>
      <w:pPr>
        <w:ind w:left="340" w:hanging="332"/>
        <w:spacing w:after="0" w:line="303" w:lineRule="auto"/>
        <w:tabs>
          <w:tab w:leader="none" w:pos="328"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Executive is employed by the Company by virtue of a </w:t>
      </w:r>
      <w:r>
        <w:rPr>
          <w:rFonts w:ascii="Arial" w:cs="Arial" w:eastAsia="Arial" w:hAnsi="Arial"/>
          <w:sz w:val="20"/>
          <w:szCs w:val="20"/>
          <w:i w:val="1"/>
          <w:iCs w:val="1"/>
          <w:color w:val="auto"/>
        </w:rPr>
        <w:t>Amended and Restated Employment Contract of Indefinite Duration</w:t>
      </w:r>
      <w:r>
        <w:rPr>
          <w:rFonts w:ascii="Arial" w:cs="Arial" w:eastAsia="Arial" w:hAnsi="Arial"/>
          <w:sz w:val="20"/>
          <w:szCs w:val="20"/>
          <w:color w:val="auto"/>
        </w:rPr>
        <w:t xml:space="preserve"> dated March 22, 2019 (the “Employment Contract”);</w:t>
      </w:r>
    </w:p>
    <w:p>
      <w:pPr>
        <w:spacing w:after="0" w:line="67" w:lineRule="exact"/>
        <w:rPr>
          <w:rFonts w:ascii="Arial" w:cs="Arial" w:eastAsia="Arial" w:hAnsi="Arial"/>
          <w:sz w:val="20"/>
          <w:szCs w:val="20"/>
          <w:color w:val="auto"/>
        </w:rPr>
      </w:pPr>
    </w:p>
    <w:p>
      <w:pPr>
        <w:ind w:left="340" w:hanging="332"/>
        <w:spacing w:after="0" w:line="303" w:lineRule="auto"/>
        <w:tabs>
          <w:tab w:leader="none" w:pos="328" w:val="left"/>
        </w:tabs>
        <w:numPr>
          <w:ilvl w:val="0"/>
          <w:numId w:val="24"/>
        </w:numPr>
        <w:rPr>
          <w:rFonts w:ascii="Arial" w:cs="Arial" w:eastAsia="Arial" w:hAnsi="Arial"/>
          <w:sz w:val="20"/>
          <w:szCs w:val="20"/>
          <w:color w:val="auto"/>
        </w:rPr>
      </w:pPr>
      <w:r>
        <w:rPr>
          <w:rFonts w:ascii="Arial" w:cs="Arial" w:eastAsia="Arial" w:hAnsi="Arial"/>
          <w:sz w:val="20"/>
          <w:szCs w:val="20"/>
          <w:color w:val="auto"/>
        </w:rPr>
        <w:t>By letter delivered to the Executive, the Executive’s employment has been terminated by Company with a three (3) months’ notice period;</w:t>
      </w:r>
    </w:p>
    <w:p>
      <w:pPr>
        <w:spacing w:after="0" w:line="67" w:lineRule="exact"/>
        <w:rPr>
          <w:rFonts w:ascii="Arial" w:cs="Arial" w:eastAsia="Arial" w:hAnsi="Arial"/>
          <w:sz w:val="20"/>
          <w:szCs w:val="20"/>
          <w:color w:val="auto"/>
        </w:rPr>
      </w:pPr>
    </w:p>
    <w:p>
      <w:pPr>
        <w:ind w:left="320" w:hanging="312"/>
        <w:spacing w:after="0"/>
        <w:tabs>
          <w:tab w:leader="none" w:pos="3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Executive’s employment will terminate at midnight on May 31, 2021 (the “Separation Date”).</w:t>
      </w:r>
    </w:p>
    <w:p>
      <w:pPr>
        <w:spacing w:after="0" w:line="148" w:lineRule="exact"/>
        <w:rPr>
          <w:rFonts w:ascii="Arial" w:cs="Arial" w:eastAsia="Arial" w:hAnsi="Arial"/>
          <w:sz w:val="20"/>
          <w:szCs w:val="20"/>
          <w:color w:val="auto"/>
        </w:rPr>
      </w:pPr>
    </w:p>
    <w:p>
      <w:pPr>
        <w:ind w:left="340" w:right="20" w:hanging="332"/>
        <w:spacing w:after="0" w:line="303" w:lineRule="auto"/>
        <w:tabs>
          <w:tab w:leader="none" w:pos="32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Parties wish to settle immediately and definitely any actual or potential disputes between Executive and Altisource through the Separation Date particularly in respect of Executive’s employment and termination.</w:t>
      </w:r>
    </w:p>
    <w:p>
      <w:pPr>
        <w:spacing w:after="0" w:line="67"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In consideration of the mutual covenants and agreements contained herein and other good and valuable consideration, the receipt and sufficiency of which are hereby acknowledged, the Parties hereto agree as follows:</w:t>
      </w:r>
    </w:p>
    <w:p>
      <w:pPr>
        <w:spacing w:after="0" w:line="67" w:lineRule="exact"/>
        <w:rPr>
          <w:sz w:val="20"/>
          <w:szCs w:val="20"/>
          <w:color w:val="auto"/>
        </w:rPr>
      </w:pPr>
    </w:p>
    <w:p>
      <w:pPr>
        <w:jc w:val="both"/>
        <w:ind w:left="340"/>
        <w:spacing w:after="0" w:line="338" w:lineRule="auto"/>
        <w:rPr>
          <w:sz w:val="20"/>
          <w:szCs w:val="20"/>
          <w:color w:val="auto"/>
        </w:rPr>
      </w:pPr>
      <w:r>
        <w:rPr>
          <w:rFonts w:ascii="Arial" w:cs="Arial" w:eastAsia="Arial" w:hAnsi="Arial"/>
          <w:sz w:val="18"/>
          <w:szCs w:val="18"/>
          <w:color w:val="auto"/>
        </w:rPr>
        <w:t>The Parties acknowledge that Executive’s employment with the Company will end at midnight on the Separation Date. Except for any consideration set forth in section 4 and base salary owed through the Separation Date, Executive acknowledges that he has been paid all compensation and benefits due to him and waives any right to additional compensation or consideration whatsoever.</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Executive agrees that he will:</w:t>
      </w:r>
    </w:p>
    <w:p>
      <w:pPr>
        <w:spacing w:after="0" w:line="148" w:lineRule="exact"/>
        <w:rPr>
          <w:sz w:val="20"/>
          <w:szCs w:val="20"/>
          <w:color w:val="auto"/>
        </w:rPr>
      </w:pPr>
    </w:p>
    <w:p>
      <w:pPr>
        <w:jc w:val="both"/>
        <w:ind w:left="820" w:hanging="488"/>
        <w:spacing w:after="0" w:line="287" w:lineRule="auto"/>
        <w:tabs>
          <w:tab w:leader="none" w:pos="818"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exercise his functions in a professional and cooperative manner for time worked through the Separation Date (or earlier date mutually agreed to with the Company), provided that Executive will not be required to come to the Company offices during the notice period and provided further, that beginning April 1, 2021 and continuing through the Separation Date, the Executive’s job duties will be limited to making himself available to Company personnel to consult on such matters related to the Company as may be requested;</w:t>
      </w:r>
    </w:p>
    <w:p>
      <w:pPr>
        <w:spacing w:after="0" w:line="82" w:lineRule="exact"/>
        <w:rPr>
          <w:rFonts w:ascii="Arial" w:cs="Arial" w:eastAsia="Arial" w:hAnsi="Arial"/>
          <w:sz w:val="20"/>
          <w:szCs w:val="20"/>
          <w:color w:val="auto"/>
        </w:rPr>
      </w:pPr>
    </w:p>
    <w:p>
      <w:pPr>
        <w:ind w:left="820" w:hanging="488"/>
        <w:spacing w:after="0"/>
        <w:tabs>
          <w:tab w:leader="none" w:pos="8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cooperate with the transition of his responsibilities in a professional manner; and</w:t>
      </w:r>
    </w:p>
    <w:p>
      <w:pPr>
        <w:spacing w:after="0" w:line="148" w:lineRule="exact"/>
        <w:rPr>
          <w:rFonts w:ascii="Arial" w:cs="Arial" w:eastAsia="Arial" w:hAnsi="Arial"/>
          <w:sz w:val="20"/>
          <w:szCs w:val="20"/>
          <w:color w:val="auto"/>
        </w:rPr>
      </w:pPr>
    </w:p>
    <w:p>
      <w:pPr>
        <w:ind w:left="820" w:hanging="488"/>
        <w:spacing w:after="0" w:line="303" w:lineRule="auto"/>
        <w:tabs>
          <w:tab w:leader="none" w:pos="8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assist with the identification and location of all files and materials, electronic or otherwise, necessary for the completion of his duties and responsibilities.</w:t>
      </w:r>
    </w:p>
    <w:p>
      <w:pPr>
        <w:spacing w:after="0" w:line="67" w:lineRule="exact"/>
        <w:rPr>
          <w:sz w:val="20"/>
          <w:szCs w:val="20"/>
          <w:color w:val="auto"/>
        </w:rPr>
      </w:pPr>
    </w:p>
    <w:p>
      <w:pPr>
        <w:ind w:left="340"/>
        <w:spacing w:after="0" w:line="303" w:lineRule="auto"/>
        <w:rPr>
          <w:sz w:val="20"/>
          <w:szCs w:val="20"/>
          <w:color w:val="auto"/>
        </w:rPr>
      </w:pPr>
      <w:r>
        <w:rPr>
          <w:rFonts w:ascii="Arial" w:cs="Arial" w:eastAsia="Arial" w:hAnsi="Arial"/>
          <w:sz w:val="20"/>
          <w:szCs w:val="20"/>
          <w:color w:val="auto"/>
        </w:rPr>
        <w:t>The Executive shall maintain the confidentiality of all Confidential Information (as defined below) concerning the activities of Altisource.</w:t>
      </w:r>
    </w:p>
    <w:p>
      <w:pPr>
        <w:spacing w:after="0" w:line="67" w:lineRule="exact"/>
        <w:rPr>
          <w:sz w:val="20"/>
          <w:szCs w:val="20"/>
          <w:color w:val="auto"/>
        </w:rPr>
      </w:pPr>
    </w:p>
    <w:p>
      <w:pPr>
        <w:ind w:left="340" w:right="20"/>
        <w:spacing w:after="0" w:line="303" w:lineRule="auto"/>
        <w:rPr>
          <w:sz w:val="20"/>
          <w:szCs w:val="20"/>
          <w:color w:val="auto"/>
        </w:rPr>
      </w:pPr>
      <w:r>
        <w:rPr>
          <w:rFonts w:ascii="Arial" w:cs="Arial" w:eastAsia="Arial" w:hAnsi="Arial"/>
          <w:sz w:val="20"/>
          <w:szCs w:val="20"/>
          <w:color w:val="auto"/>
        </w:rPr>
        <w:t>Following the execution of this Agreement by both Parties and contingent upon the Company’s receipt of the executed Agreement, Executive’s compliance with sections 2, 3, 5 and 11 of this Agreement, the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1240"/>
          </w:cols>
          <w:pgMar w:left="320" w:top="1417" w:right="339" w:bottom="1440" w:gutter="0" w:footer="0" w:header="0"/>
        </w:sectPr>
      </w:pPr>
    </w:p>
    <w:bookmarkStart w:id="48" w:name="page49"/>
    <w:bookmarkEnd w:id="48"/>
    <w:p>
      <w:pPr>
        <w:spacing w:after="0" w:line="6" w:lineRule="exact"/>
        <w:rPr>
          <w:sz w:val="20"/>
          <w:szCs w:val="20"/>
          <w:color w:val="auto"/>
        </w:rPr>
      </w:pPr>
    </w:p>
    <w:p>
      <w:pPr>
        <w:ind w:left="89"/>
        <w:spacing w:after="0" w:line="303" w:lineRule="auto"/>
        <w:rPr>
          <w:sz w:val="20"/>
          <w:szCs w:val="20"/>
          <w:color w:val="auto"/>
        </w:rPr>
      </w:pPr>
      <w:r>
        <w:rPr>
          <w:rFonts w:ascii="Arial" w:cs="Arial" w:eastAsia="Arial" w:hAnsi="Arial"/>
          <w:sz w:val="20"/>
          <w:szCs w:val="20"/>
          <w:color w:val="auto"/>
        </w:rPr>
        <w:t>the revocation period referred to in Section 15 (collectively, the “Conditions”), the Company shall (in each case subject to applicable withholdings and other deductions required by law, if any):</w:t>
      </w:r>
    </w:p>
    <w:p>
      <w:pPr>
        <w:spacing w:after="0" w:line="67" w:lineRule="exact"/>
        <w:rPr>
          <w:sz w:val="20"/>
          <w:szCs w:val="20"/>
          <w:color w:val="auto"/>
        </w:rPr>
      </w:pPr>
    </w:p>
    <w:p>
      <w:pPr>
        <w:ind w:left="409" w:hanging="409"/>
        <w:spacing w:after="0" w:line="303" w:lineRule="auto"/>
        <w:tabs>
          <w:tab w:leader="none" w:pos="4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Within fifteen (15) days of the Separation Date, complete the payment of the Minimum Guaranteed Compensation Payment (as defined in section 4(k) of the Employment Contract).</w:t>
      </w:r>
    </w:p>
    <w:p>
      <w:pPr>
        <w:spacing w:after="0" w:line="67" w:lineRule="exact"/>
        <w:rPr>
          <w:rFonts w:ascii="Arial" w:cs="Arial" w:eastAsia="Arial" w:hAnsi="Arial"/>
          <w:sz w:val="20"/>
          <w:szCs w:val="20"/>
          <w:color w:val="auto"/>
        </w:rPr>
      </w:pPr>
    </w:p>
    <w:p>
      <w:pPr>
        <w:ind w:left="409" w:hanging="409"/>
        <w:spacing w:after="0" w:line="303" w:lineRule="auto"/>
        <w:tabs>
          <w:tab w:leader="none" w:pos="408"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Pay Executive his 2020 annual incentive compensation (“AIP”) consisting of 9,918 restricted share units that will vest on June 30, 2021.</w:t>
      </w:r>
    </w:p>
    <w:p>
      <w:pPr>
        <w:spacing w:after="0" w:line="67" w:lineRule="exact"/>
        <w:rPr>
          <w:rFonts w:ascii="Arial" w:cs="Arial" w:eastAsia="Arial" w:hAnsi="Arial"/>
          <w:sz w:val="20"/>
          <w:szCs w:val="20"/>
          <w:color w:val="auto"/>
        </w:rPr>
      </w:pPr>
    </w:p>
    <w:p>
      <w:pPr>
        <w:ind w:left="409" w:hanging="409"/>
        <w:spacing w:after="0" w:line="303" w:lineRule="auto"/>
        <w:tabs>
          <w:tab w:leader="none" w:pos="409"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Within fifteen (15) days of the Separation Date, pay Executive the sum of €3,000 to cover certain relocation costs incurred by Executive at the time of joining the Company.</w:t>
      </w:r>
    </w:p>
    <w:p>
      <w:pPr>
        <w:spacing w:after="0" w:line="67" w:lineRule="exact"/>
        <w:rPr>
          <w:rFonts w:ascii="Arial" w:cs="Arial" w:eastAsia="Arial" w:hAnsi="Arial"/>
          <w:sz w:val="20"/>
          <w:szCs w:val="20"/>
          <w:color w:val="auto"/>
        </w:rPr>
      </w:pPr>
    </w:p>
    <w:p>
      <w:pPr>
        <w:ind w:left="409" w:hanging="409"/>
        <w:spacing w:after="0" w:line="303" w:lineRule="auto"/>
        <w:tabs>
          <w:tab w:leader="none" w:pos="398"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Provide: (a) tax preparation for tax year 2020, consistent with past practice; and (b) tax preparation for tax year 2021, but in all cases only with respect to tax obligations in Luxembourg and in Switzerland.</w:t>
      </w:r>
    </w:p>
    <w:p>
      <w:pPr>
        <w:spacing w:after="0" w:line="67" w:lineRule="exact"/>
        <w:rPr>
          <w:sz w:val="20"/>
          <w:szCs w:val="20"/>
          <w:color w:val="auto"/>
        </w:rPr>
      </w:pPr>
    </w:p>
    <w:p>
      <w:pPr>
        <w:jc w:val="both"/>
        <w:ind w:left="89"/>
        <w:spacing w:after="0" w:line="331" w:lineRule="auto"/>
        <w:rPr>
          <w:sz w:val="20"/>
          <w:szCs w:val="20"/>
          <w:color w:val="auto"/>
        </w:rPr>
      </w:pPr>
      <w:r>
        <w:rPr>
          <w:rFonts w:ascii="Arial" w:cs="Arial" w:eastAsia="Arial" w:hAnsi="Arial"/>
          <w:sz w:val="19"/>
          <w:szCs w:val="19"/>
          <w:color w:val="auto"/>
        </w:rPr>
        <w:t>Notwithstanding Executive’s separation and the terms of the applicable equity award agreements, the treatment of Executive’s outstanding equity of Altisource Portfolio Solutions S.A. (“ASPS”) will be as set forth in Exhibit A to this Agreement.</w:t>
      </w:r>
    </w:p>
    <w:p>
      <w:pPr>
        <w:spacing w:after="0" w:line="45" w:lineRule="exact"/>
        <w:rPr>
          <w:sz w:val="20"/>
          <w:szCs w:val="20"/>
          <w:color w:val="auto"/>
        </w:rPr>
      </w:pPr>
    </w:p>
    <w:p>
      <w:pPr>
        <w:jc w:val="both"/>
        <w:ind w:left="89"/>
        <w:spacing w:after="0" w:line="287" w:lineRule="auto"/>
        <w:rPr>
          <w:sz w:val="20"/>
          <w:szCs w:val="20"/>
          <w:color w:val="auto"/>
        </w:rPr>
      </w:pPr>
      <w:r>
        <w:rPr>
          <w:rFonts w:ascii="Arial" w:cs="Arial" w:eastAsia="Arial" w:hAnsi="Arial"/>
          <w:sz w:val="20"/>
          <w:szCs w:val="20"/>
          <w:color w:val="auto"/>
        </w:rPr>
        <w:t>Except as set forth in this section 4 and section 5 below and Exhibit A, nothing in this Agreement shall vary the terms of the applicable equity award agreements, which provisions shall govern the treatment of the equity in all other respects. In accordance with Altisource’s Insider Trading Policy, Executive will not transact in Altisource stock for the longer of (a) the period continuing until three (3) business days after Altisource’s first filing of its 10-Q immediately following the Separation Date, or (b) Executive is in possession of material non-public information concerning Altisource.</w:t>
      </w:r>
    </w:p>
    <w:p>
      <w:pPr>
        <w:spacing w:after="0" w:line="83" w:lineRule="exact"/>
        <w:rPr>
          <w:sz w:val="20"/>
          <w:szCs w:val="20"/>
          <w:color w:val="auto"/>
        </w:rPr>
      </w:pPr>
    </w:p>
    <w:p>
      <w:pPr>
        <w:jc w:val="both"/>
        <w:ind w:left="89"/>
        <w:spacing w:after="0" w:line="292" w:lineRule="auto"/>
        <w:rPr>
          <w:sz w:val="20"/>
          <w:szCs w:val="20"/>
          <w:color w:val="auto"/>
        </w:rPr>
      </w:pPr>
      <w:r>
        <w:rPr>
          <w:rFonts w:ascii="Arial" w:cs="Arial" w:eastAsia="Arial" w:hAnsi="Arial"/>
          <w:sz w:val="20"/>
          <w:szCs w:val="20"/>
          <w:color w:val="auto"/>
        </w:rPr>
        <w:t>The Company will provide the benefits and make the payments described in this section in consideration and in exchange for Executive’ promises, representations, warranties, covenants, agreements, releases and other obligations, including post separation obligations, set out in this Agreement and his adherence thereto.</w:t>
      </w:r>
    </w:p>
    <w:p>
      <w:pPr>
        <w:spacing w:after="0" w:line="79" w:lineRule="exact"/>
        <w:rPr>
          <w:sz w:val="20"/>
          <w:szCs w:val="20"/>
          <w:color w:val="auto"/>
        </w:rPr>
      </w:pPr>
    </w:p>
    <w:p>
      <w:pPr>
        <w:jc w:val="both"/>
        <w:ind w:left="89"/>
        <w:spacing w:after="0" w:line="316" w:lineRule="auto"/>
        <w:rPr>
          <w:sz w:val="20"/>
          <w:szCs w:val="20"/>
          <w:color w:val="auto"/>
        </w:rPr>
      </w:pPr>
      <w:r>
        <w:rPr>
          <w:rFonts w:ascii="Arial" w:cs="Arial" w:eastAsia="Arial" w:hAnsi="Arial"/>
          <w:sz w:val="18"/>
          <w:szCs w:val="18"/>
          <w:color w:val="auto"/>
        </w:rPr>
        <w:t>Executive hereby: (i) waives any and all rights to salary, incentive compensation and other benefits, whether earned or unearned, and whether due or to become due, after the Separation Date, except as set forth in section 4 above; (ii) except as set forth in section 4 above, waives any and all claims to any equity-based compensation granted, allocated, assigned or otherwise attributed to the Executive prior to the Separation Date (whether vested or unvested), including any equity-based compensation that purports to give the employee the right to benefit from or participate in the appreciation or increase in value of, or profits or dividends from, any division, business unit or other sub-division of Altisource, including without limitation, any award granted, allocated, assigned or otherwise attributed to the employee; and (iii) fully and forever releases and discharges from liability, and covenants not to sue Altisource or its officers, directors, managers, employees, counsel and agents and representatives of any sort, both present and former, for any and all claims, damages, actions and causes of action, arising from the beginning of time until the execution of the Agreement by Executive, whether in contract, tort, negligence or otherwise, in law or in equity, of every nature which Executive may ever have had, or now has, which are known or may subsequently be discovered by Executive arising out of, in connection with or related to Executive’s recruitment, hiring, employment with Altisource and/or separation from employment with Altisource, the acts or omissions of Altisource, including but not limited to any contracts, agreements and promises, written and oral; claims for wrongful termination actions of any type (such as claim for indemnity for non-pecuniary loss “indemnité pour préjudice moral”,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0989"/>
          </w:cols>
          <w:pgMar w:left="571" w:top="1440" w:right="339" w:bottom="1440" w:gutter="0" w:footer="0" w:header="0"/>
        </w:sectPr>
      </w:pPr>
    </w:p>
    <w:bookmarkStart w:id="49" w:name="page50"/>
    <w:bookmarkEnd w:id="49"/>
    <w:p>
      <w:pPr>
        <w:spacing w:after="0" w:line="6" w:lineRule="exact"/>
        <w:rPr>
          <w:sz w:val="20"/>
          <w:szCs w:val="20"/>
          <w:color w:val="auto"/>
        </w:rPr>
      </w:pPr>
    </w:p>
    <w:p>
      <w:pPr>
        <w:jc w:val="both"/>
        <w:ind w:left="340"/>
        <w:spacing w:after="0" w:line="301" w:lineRule="auto"/>
        <w:rPr>
          <w:sz w:val="20"/>
          <w:szCs w:val="20"/>
          <w:color w:val="auto"/>
        </w:rPr>
      </w:pPr>
      <w:r>
        <w:rPr>
          <w:rFonts w:ascii="Arial" w:cs="Arial" w:eastAsia="Arial" w:hAnsi="Arial"/>
          <w:sz w:val="19"/>
          <w:szCs w:val="19"/>
          <w:color w:val="auto"/>
        </w:rPr>
        <w:t>indemnity for material injury “indemnité pour préjudice matériel”, indemnity for improper nature of the dismissal procedure “indemnité pour licenciement irrégulier pour vice de forme”, compensatory allowance for notice period “indemnité compensatoire de préavis”, and severance pay “indemnité de départ”), breach of express or implied covenant of good faith and fair dealing; intentional or negligent infliction of emotional distress; intentional or negligent failure to supervise, train, hire or dismiss; claims for fraud, misrepresentation, libel, slander or invasion of privacy and claim on salary arrears or overtime payment, compensation for legal or contractual holidays not taken by Executive, reimbursement of expenses, bonuses, commissions or premiums, entertainment expenses, options, warrants, relocation costs, contributions in a supplementary pension plan, other elements of the remuneration or salary, damages, allocation portion of profits, special advantages, etc, without exception nor reservation.</w:t>
      </w:r>
    </w:p>
    <w:p>
      <w:pPr>
        <w:spacing w:after="0" w:line="76" w:lineRule="exact"/>
        <w:rPr>
          <w:sz w:val="20"/>
          <w:szCs w:val="20"/>
          <w:color w:val="auto"/>
        </w:rPr>
      </w:pPr>
    </w:p>
    <w:p>
      <w:pPr>
        <w:jc w:val="both"/>
        <w:ind w:left="340" w:hanging="332"/>
        <w:spacing w:after="0" w:line="315"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Executive represents and covenants that he has not and will not remove from the Company premises any item belonging to Altisource, including files (neither hard nor soft), Confidential Information, or office equipment. Executive shall account for and return to the Company, on or before the Separation Date (or earlier date decided by the Company in its sole discretion) all Altisource property (including but not limited to iPhone, blackberry, laptop, documents and disks, equipment, keys and passes belonging to the Company which is or has been in the Executive’s possession or under the Executive’s control). Documents and disks shall include but not be limited to correspondence, files, emails, memos, reports, minutes, plans, records, surveys, software, diagrams, computer print-outs, manuals, customer documentation or any other medium for storing information. Executive represents and covenants that he has not and will not disclose or use any Confidential Information and/or trade secrets of Altisource. Executive shall keep all such Confidential Information confidential and not disclose or use the Confidential Information for any purpose, or divulge or disclose that Confidential Information to any person. Any breach, even minimal, of these obligations may constitute a serious offence, which may trigger a claim that may be exercised on the basis of civil, and/or criminal law. As used in this Agreement, “Confidential Information” means information: (i) disclosed to or known by Executive as a consequence of or through his employment with Altisource; (ii) not generally known outside Altisource; and (iii) which relates to any aspect of Altisource or its business or prospective business. By example and without limitation, Confidential Information includes, but is not limited to, any and all information of the following or similar nature, whether transmitted verbally, electronically or in writing: copyright, service mark and trademark registrations and applications; patents and patent applications; licenses; agreements; unique and special methods; techniques; procedures; processes; routines; formulas; know-how; trade secrets; innovations; inventions; discoveries; improvements; research proposals, development, test results or papers; specifications; technical data and/or information; software; models; sales figures; files; marketing plans; strategies; business plans, operations, expenses, customers, competitors and forecasts; customer, pricing, and financial information; budgets; methodologies; computer code and programs; compilations of information; reports; records; compensation and benefit information; customer, vendor, and supplier identities and characteristics; information provided to Altisource by a third party under restrictions against disclosure or use by Altisource or others; information designated confidential by Altisource; and information of which unauthorized disclosure could be detrimental to the interests of Altisource, whether or not such information is identified as confidential information by Altisource.</w:t>
      </w:r>
    </w:p>
    <w:p>
      <w:pPr>
        <w:spacing w:after="0" w:line="69" w:lineRule="exact"/>
        <w:rPr>
          <w:rFonts w:ascii="Arial" w:cs="Arial" w:eastAsia="Arial" w:hAnsi="Arial"/>
          <w:sz w:val="18"/>
          <w:szCs w:val="18"/>
          <w:b w:val="1"/>
          <w:bCs w:val="1"/>
          <w:color w:val="auto"/>
        </w:rPr>
      </w:pPr>
    </w:p>
    <w:p>
      <w:pPr>
        <w:ind w:left="340"/>
        <w:spacing w:after="0" w:line="303" w:lineRule="auto"/>
        <w:rPr>
          <w:rFonts w:ascii="Arial" w:cs="Arial" w:eastAsia="Arial" w:hAnsi="Arial"/>
          <w:sz w:val="18"/>
          <w:szCs w:val="18"/>
          <w:b w:val="1"/>
          <w:bCs w:val="1"/>
          <w:color w:val="auto"/>
        </w:rPr>
      </w:pPr>
      <w:r>
        <w:rPr>
          <w:rFonts w:ascii="Arial" w:cs="Arial" w:eastAsia="Arial" w:hAnsi="Arial"/>
          <w:sz w:val="20"/>
          <w:szCs w:val="20"/>
          <w:color w:val="auto"/>
        </w:rPr>
        <w:t>Executive acknowledges that during his time of employment he has been provided access to Confidential Information and Altisource’s clients, employees, customers and others with whom Altisource has 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6" w:lineRule="exact"/>
        <w:rPr>
          <w:sz w:val="20"/>
          <w:szCs w:val="20"/>
          <w:color w:val="auto"/>
        </w:rPr>
      </w:pPr>
    </w:p>
    <w:p>
      <w:pPr>
        <w:ind w:left="80"/>
        <w:spacing w:after="0" w:line="303" w:lineRule="auto"/>
        <w:rPr>
          <w:sz w:val="20"/>
          <w:szCs w:val="20"/>
          <w:color w:val="auto"/>
        </w:rPr>
      </w:pPr>
      <w:r>
        <w:rPr>
          <w:rFonts w:ascii="Arial" w:cs="Arial" w:eastAsia="Arial" w:hAnsi="Arial"/>
          <w:sz w:val="20"/>
          <w:szCs w:val="20"/>
          <w:color w:val="auto"/>
        </w:rPr>
        <w:t>valuable business arrangements. Executive shall not, prior to or for a period of twenty-four (24) months commencing on the Separation Date, directly or indirectly:</w:t>
      </w:r>
    </w:p>
    <w:p>
      <w:pPr>
        <w:spacing w:after="0" w:line="67" w:lineRule="exact"/>
        <w:rPr>
          <w:sz w:val="20"/>
          <w:szCs w:val="20"/>
          <w:color w:val="auto"/>
        </w:rPr>
      </w:pPr>
    </w:p>
    <w:p>
      <w:pPr>
        <w:jc w:val="both"/>
        <w:ind w:left="380" w:right="20" w:hanging="404"/>
        <w:spacing w:after="0" w:line="303" w:lineRule="auto"/>
        <w:tabs>
          <w:tab w:leader="none" w:pos="360" w:val="left"/>
        </w:tabs>
        <w:rPr>
          <w:sz w:val="20"/>
          <w:szCs w:val="20"/>
          <w:color w:val="auto"/>
        </w:rPr>
      </w:pPr>
      <w:r>
        <w:rPr>
          <w:rFonts w:ascii="Arial" w:cs="Arial" w:eastAsia="Arial" w:hAnsi="Arial"/>
          <w:sz w:val="20"/>
          <w:szCs w:val="20"/>
          <w:color w:val="auto"/>
        </w:rPr>
        <w:t>(i).</w:t>
        <w:tab/>
        <w:t>Take any action that would interfere with, diminish or impair the relationships that Altisource has with its employees, clients and customers (whether current or prospective);</w:t>
      </w:r>
    </w:p>
    <w:p>
      <w:pPr>
        <w:spacing w:after="0" w:line="67" w:lineRule="exact"/>
        <w:rPr>
          <w:sz w:val="20"/>
          <w:szCs w:val="20"/>
          <w:color w:val="auto"/>
        </w:rPr>
      </w:pPr>
    </w:p>
    <w:p>
      <w:pPr>
        <w:jc w:val="both"/>
        <w:ind w:left="400" w:hanging="404"/>
        <w:spacing w:after="0" w:line="288" w:lineRule="auto"/>
        <w:rPr>
          <w:sz w:val="20"/>
          <w:szCs w:val="20"/>
          <w:color w:val="auto"/>
        </w:rPr>
      </w:pPr>
      <w:r>
        <w:rPr>
          <w:rFonts w:ascii="Arial" w:cs="Arial" w:eastAsia="Arial" w:hAnsi="Arial"/>
          <w:sz w:val="20"/>
          <w:szCs w:val="20"/>
          <w:color w:val="auto"/>
        </w:rPr>
        <w:t>(ii). Recruit or otherwise solicit for employment or induce to terminate Altisource’s employment of or consultancy with, any person (natural or otherwise) who is or becomes an employee or consultant of Altisource or hire any such employee or consultant who has left the employ of Altisource within six (6) months after the termination or expiration of such employee’s or consultant’s employment with Altisource, as the case may be.</w:t>
      </w:r>
    </w:p>
    <w:p>
      <w:pPr>
        <w:spacing w:after="0" w:line="84" w:lineRule="exact"/>
        <w:rPr>
          <w:sz w:val="20"/>
          <w:szCs w:val="20"/>
          <w:color w:val="auto"/>
        </w:rPr>
      </w:pPr>
    </w:p>
    <w:p>
      <w:pPr>
        <w:jc w:val="both"/>
        <w:ind w:left="400" w:hanging="404"/>
        <w:spacing w:after="0" w:line="325" w:lineRule="auto"/>
        <w:rPr>
          <w:sz w:val="20"/>
          <w:szCs w:val="20"/>
          <w:color w:val="auto"/>
        </w:rPr>
      </w:pPr>
      <w:r>
        <w:rPr>
          <w:rFonts w:ascii="Arial" w:cs="Arial" w:eastAsia="Arial" w:hAnsi="Arial"/>
          <w:sz w:val="18"/>
          <w:szCs w:val="18"/>
          <w:color w:val="auto"/>
        </w:rPr>
        <w:t>(iii). Solicit or attempt to solicit any business from any of Altisource’s present customers, or actively sought prospective customers, with whom Executive had material contact for purposes of providing products or services that are competitive with those provided by Altisource: provided that "material contact" is agreed to exist between Executive and each customer or potential customer: (a) with whom Executive dealt; (b) whose dealings with Altisource were coordinated or supervised by Executive; or (c) about whom Executive obtained Confidential Information in the ordinary course of business as a result of his association with Altisource; or</w:t>
      </w:r>
    </w:p>
    <w:p>
      <w:pPr>
        <w:spacing w:after="0" w:line="57" w:lineRule="exact"/>
        <w:rPr>
          <w:sz w:val="20"/>
          <w:szCs w:val="20"/>
          <w:color w:val="auto"/>
        </w:rPr>
      </w:pPr>
    </w:p>
    <w:p>
      <w:pPr>
        <w:jc w:val="both"/>
        <w:ind w:left="400" w:hanging="404"/>
        <w:spacing w:after="0" w:line="292" w:lineRule="auto"/>
        <w:rPr>
          <w:sz w:val="20"/>
          <w:szCs w:val="20"/>
          <w:color w:val="auto"/>
        </w:rPr>
      </w:pPr>
      <w:r>
        <w:rPr>
          <w:rFonts w:ascii="Arial" w:cs="Arial" w:eastAsia="Arial" w:hAnsi="Arial"/>
          <w:sz w:val="20"/>
          <w:szCs w:val="20"/>
          <w:color w:val="auto"/>
        </w:rPr>
        <w:t>(iv). Assist, cause or authorize, directly or indirectly, any other person, partnership, association, corporation or other entity that Executive is employed by, consults with, obtains an ownership interest in, or in which he is materially involved in any manner as to the ownership, management, operation, or control of to engage in any of the foregoing.</w:t>
      </w:r>
    </w:p>
    <w:p>
      <w:pPr>
        <w:spacing w:after="0" w:line="79" w:lineRule="exact"/>
        <w:rPr>
          <w:sz w:val="20"/>
          <w:szCs w:val="20"/>
          <w:color w:val="auto"/>
        </w:rPr>
      </w:pPr>
    </w:p>
    <w:p>
      <w:pPr>
        <w:jc w:val="both"/>
        <w:ind w:left="80"/>
        <w:spacing w:after="0" w:line="331" w:lineRule="auto"/>
        <w:rPr>
          <w:sz w:val="20"/>
          <w:szCs w:val="20"/>
          <w:color w:val="auto"/>
        </w:rPr>
      </w:pPr>
      <w:r>
        <w:rPr>
          <w:rFonts w:ascii="Arial" w:cs="Arial" w:eastAsia="Arial" w:hAnsi="Arial"/>
          <w:sz w:val="19"/>
          <w:szCs w:val="19"/>
          <w:color w:val="auto"/>
        </w:rPr>
        <w:t>Executive further expressly agrees and acknowledges that he is bound by his non-competition obligations under Article 9(a) of his Employment Contract for the duration of the Restrictive Period (as the term is defined in the Employment Contract).</w:t>
      </w:r>
    </w:p>
    <w:p>
      <w:pPr>
        <w:spacing w:after="0" w:line="45" w:lineRule="exact"/>
        <w:rPr>
          <w:sz w:val="20"/>
          <w:szCs w:val="20"/>
          <w:color w:val="auto"/>
        </w:rPr>
      </w:pPr>
    </w:p>
    <w:p>
      <w:pPr>
        <w:jc w:val="both"/>
        <w:ind w:left="80" w:right="20"/>
        <w:spacing w:after="0" w:line="303" w:lineRule="auto"/>
        <w:rPr>
          <w:sz w:val="20"/>
          <w:szCs w:val="20"/>
          <w:color w:val="auto"/>
        </w:rPr>
      </w:pPr>
      <w:r>
        <w:rPr>
          <w:rFonts w:ascii="Arial" w:cs="Arial" w:eastAsia="Arial" w:hAnsi="Arial"/>
          <w:sz w:val="20"/>
          <w:szCs w:val="20"/>
          <w:color w:val="auto"/>
        </w:rPr>
        <w:t>The restrictive covenants in this section shall supersede the non-competition and non-solicitation covenants set forth in Executive’s equity award agreements and such provisions shall be deemed to be replaced in their entirety by this section.</w:t>
      </w:r>
    </w:p>
    <w:p>
      <w:pPr>
        <w:spacing w:after="0" w:line="67" w:lineRule="exact"/>
        <w:rPr>
          <w:sz w:val="20"/>
          <w:szCs w:val="20"/>
          <w:color w:val="auto"/>
        </w:rPr>
      </w:pPr>
    </w:p>
    <w:p>
      <w:pPr>
        <w:jc w:val="both"/>
        <w:ind w:left="80"/>
        <w:spacing w:after="0" w:line="300" w:lineRule="auto"/>
        <w:rPr>
          <w:sz w:val="20"/>
          <w:szCs w:val="20"/>
          <w:color w:val="auto"/>
        </w:rPr>
      </w:pPr>
      <w:r>
        <w:rPr>
          <w:rFonts w:ascii="Arial" w:cs="Arial" w:eastAsia="Arial" w:hAnsi="Arial"/>
          <w:sz w:val="19"/>
          <w:szCs w:val="19"/>
          <w:color w:val="auto"/>
        </w:rPr>
        <w:t>Executive shall make himself reasonably available to Altisource at no cost and upon reasonable notice during business hours to respond to inquiries of Altisource and its advisors for a period of twenty-four (24) months from the Separation Date. During such period, Executive shall fully cooperate with Altisource and, upon reasonable notice, furnish any such information and assistance to Altisource, at Altisource’s expense, as may be required by Altisource in connection with Altisource’s defense or pursuit of any litigation, administrative action or investigation in which Altisource is or hereafter becomes a party or which Altisource undertakes. Executive’s duty of cooperation includes, but is not limited to: (i) meeting with Altisource’s attorneys by telephone or in person at mutually convenient times and places in order to state truthfully his recollection of events; (ii) appearing at Altisource’s reasonable request as a witness at depositions or trials, without the necessity of a subpoena, in order to state truthfully his knowledge of matters at issue; and (iii) signing at Altisource’s request declarations or affidavits that truthfully state matters of which Executive has knowledge. In addition, Executive agrees to notify the Altisource Chief Legal and Compliance Officer promptly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0980"/>
          </w:cols>
          <w:pgMar w:left="580" w:top="1440" w:right="339" w:bottom="1440" w:gutter="0" w:footer="0" w:header="0"/>
        </w:sectPr>
      </w:pPr>
    </w:p>
    <w:bookmarkStart w:id="51" w:name="page52"/>
    <w:bookmarkEnd w:id="51"/>
    <w:p>
      <w:pPr>
        <w:spacing w:after="0" w:line="6" w:lineRule="exact"/>
        <w:rPr>
          <w:sz w:val="20"/>
          <w:szCs w:val="20"/>
          <w:color w:val="auto"/>
        </w:rPr>
      </w:pPr>
    </w:p>
    <w:p>
      <w:pPr>
        <w:jc w:val="both"/>
        <w:ind w:left="440"/>
        <w:spacing w:after="0" w:line="303" w:lineRule="auto"/>
        <w:rPr>
          <w:sz w:val="20"/>
          <w:szCs w:val="20"/>
          <w:color w:val="auto"/>
        </w:rPr>
      </w:pPr>
      <w:r>
        <w:rPr>
          <w:rFonts w:ascii="Arial" w:cs="Arial" w:eastAsia="Arial" w:hAnsi="Arial"/>
          <w:sz w:val="20"/>
          <w:szCs w:val="20"/>
          <w:color w:val="auto"/>
        </w:rPr>
        <w:t>requests for information or testimony that he receives in connection with any litigation or investigation, pending or threatened, relating to Altisource’s business.</w:t>
      </w:r>
    </w:p>
    <w:p>
      <w:pPr>
        <w:spacing w:after="0" w:line="67" w:lineRule="exact"/>
        <w:rPr>
          <w:sz w:val="20"/>
          <w:szCs w:val="20"/>
          <w:color w:val="auto"/>
        </w:rPr>
      </w:pPr>
    </w:p>
    <w:p>
      <w:pPr>
        <w:jc w:val="both"/>
        <w:ind w:left="440"/>
        <w:spacing w:after="0" w:line="288" w:lineRule="auto"/>
        <w:rPr>
          <w:sz w:val="20"/>
          <w:szCs w:val="20"/>
          <w:color w:val="auto"/>
        </w:rPr>
      </w:pPr>
      <w:r>
        <w:rPr>
          <w:rFonts w:ascii="Arial" w:cs="Arial" w:eastAsia="Arial" w:hAnsi="Arial"/>
          <w:sz w:val="20"/>
          <w:szCs w:val="20"/>
          <w:color w:val="auto"/>
        </w:rPr>
        <w:t>It is the intention of the Parties hereto that all questions with respect to the construction of this Agreement and the rights and liabilities of the Parties hereunder shall be determined in accordance with the laws of the Grand Duchy of Luxembourg. Any dispute with respect to the construction of this Agreement and the rights and liabilities of the Parties hereunder will be brought before the courts and tribunals in the district of Luxembourg City.</w:t>
      </w:r>
    </w:p>
    <w:p>
      <w:pPr>
        <w:spacing w:after="0" w:line="84" w:lineRule="exact"/>
        <w:rPr>
          <w:sz w:val="20"/>
          <w:szCs w:val="20"/>
          <w:color w:val="auto"/>
        </w:rPr>
      </w:pPr>
    </w:p>
    <w:p>
      <w:pPr>
        <w:ind w:left="440" w:hanging="440"/>
        <w:spacing w:after="0" w:line="331" w:lineRule="auto"/>
        <w:tabs>
          <w:tab w:leader="none" w:pos="431"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Notwithstanding any term contained herein, Executive acknowledges and reaffirms his obligations in the Employee Intellectual Property Agreement and understands that those obligations remain effective following his separation from the Company.</w:t>
      </w:r>
    </w:p>
    <w:p>
      <w:pPr>
        <w:spacing w:after="0" w:line="45" w:lineRule="exact"/>
        <w:rPr>
          <w:rFonts w:ascii="Arial" w:cs="Arial" w:eastAsia="Arial" w:hAnsi="Arial"/>
          <w:sz w:val="19"/>
          <w:szCs w:val="19"/>
          <w:b w:val="1"/>
          <w:bCs w:val="1"/>
          <w:color w:val="auto"/>
        </w:rPr>
      </w:pPr>
    </w:p>
    <w:p>
      <w:pPr>
        <w:ind w:left="440" w:hanging="440"/>
        <w:spacing w:after="0" w:line="303" w:lineRule="auto"/>
        <w:tabs>
          <w:tab w:leader="none" w:pos="42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In consideration for the compensation set forth in Section 4 above, Executive will sign as of the Separation Date a release and acknowledgment document in the form and content limited to what set forth in Exhibit B hereto.</w:t>
      </w:r>
    </w:p>
    <w:p>
      <w:pPr>
        <w:spacing w:after="0" w:line="67" w:lineRule="exact"/>
        <w:rPr>
          <w:rFonts w:ascii="Arial" w:cs="Arial" w:eastAsia="Arial" w:hAnsi="Arial"/>
          <w:sz w:val="20"/>
          <w:szCs w:val="20"/>
          <w:b w:val="1"/>
          <w:bCs w:val="1"/>
          <w:color w:val="auto"/>
        </w:rPr>
      </w:pPr>
    </w:p>
    <w:p>
      <w:pPr>
        <w:jc w:val="both"/>
        <w:ind w:left="440" w:hanging="440"/>
        <w:spacing w:after="0" w:line="329" w:lineRule="auto"/>
        <w:tabs>
          <w:tab w:leader="none" w:pos="431"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Party enters into this Agreement voluntarily, without coercion and in good faith. Both Parties acknowledge that they have had the opportunity to freely consult, if they so desire, with attorneys of their own choosing prior to signing this document regarding the contents and consequences of this document. The Parties understand that the payment and other matters agreed to herein are not to be construed as an admission of or evidence of liability for any violation of the law, willful or otherwise, by any person or entity.</w:t>
      </w:r>
    </w:p>
    <w:p>
      <w:pPr>
        <w:spacing w:after="0" w:line="53" w:lineRule="exact"/>
        <w:rPr>
          <w:rFonts w:ascii="Arial" w:cs="Arial" w:eastAsia="Arial" w:hAnsi="Arial"/>
          <w:sz w:val="18"/>
          <w:szCs w:val="18"/>
          <w:b w:val="1"/>
          <w:bCs w:val="1"/>
          <w:color w:val="auto"/>
        </w:rPr>
      </w:pPr>
    </w:p>
    <w:p>
      <w:pPr>
        <w:jc w:val="both"/>
        <w:ind w:left="440" w:hanging="440"/>
        <w:spacing w:after="0" w:line="305" w:lineRule="auto"/>
        <w:tabs>
          <w:tab w:leader="none" w:pos="431"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The construction of the covenants contained herein shall be in favor of their reasonable nature, legality, and enforceability, in that any reading causing unenforceability shall yield to a construction permitting enforceability. If any single covenant or clause shall be found unenforceable, it shall be severed and the remaining covenants and clauses enforced in accordance with the tenor of this Agreement. In the event a court should determine not to enforce a covenant as written due to overbreadth, said covenant shall be enforced to the extent reasonable, whether said revisions be in time, territory or scope of prohibited activities.</w:t>
      </w:r>
    </w:p>
    <w:p>
      <w:pPr>
        <w:spacing w:after="0" w:line="69" w:lineRule="exact"/>
        <w:rPr>
          <w:rFonts w:ascii="Arial" w:cs="Arial" w:eastAsia="Arial" w:hAnsi="Arial"/>
          <w:sz w:val="19"/>
          <w:szCs w:val="19"/>
          <w:b w:val="1"/>
          <w:bCs w:val="1"/>
          <w:color w:val="auto"/>
        </w:rPr>
      </w:pPr>
    </w:p>
    <w:p>
      <w:pPr>
        <w:jc w:val="both"/>
        <w:ind w:left="440" w:hanging="440"/>
        <w:spacing w:after="0" w:line="285" w:lineRule="auto"/>
        <w:tabs>
          <w:tab w:leader="none" w:pos="431"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In signing this Agreement, Executive acknowledges and certifies that: (i) he has carefully read and fully understands the provisions of this Agreement; (ii) the Company has, by this Agreement, advised him to consult with an attorney of his choice before signing this Agreement, and he has had an opportunity to do so; (iii) he has been allowed a reasonable period of time after receiving this Agreement (up to 21 days) in which to consider this Agreement before signing, and that if he signs this Agreement prior to the expiration of the twenty-one (21) day review period, he is voluntarily and knowingly waiving his twenty-one (21) day review period; and (iv) he agrees to the terms of this Agreement knowingly, voluntarily and without intimidation, coercion or pressure, and he intends to be legally bound by the Agreement.</w:t>
      </w:r>
    </w:p>
    <w:p>
      <w:pPr>
        <w:spacing w:after="0" w:line="86" w:lineRule="exact"/>
        <w:rPr>
          <w:rFonts w:ascii="Arial" w:cs="Arial" w:eastAsia="Arial" w:hAnsi="Arial"/>
          <w:sz w:val="20"/>
          <w:szCs w:val="20"/>
          <w:b w:val="1"/>
          <w:bCs w:val="1"/>
          <w:color w:val="auto"/>
        </w:rPr>
      </w:pPr>
    </w:p>
    <w:p>
      <w:pPr>
        <w:jc w:val="both"/>
        <w:ind w:left="440" w:hanging="440"/>
        <w:spacing w:after="0" w:line="305" w:lineRule="auto"/>
        <w:tabs>
          <w:tab w:leader="none" w:pos="431"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Executive may revoke this Agreement within seven (7) calendar days after he signs it. If he revokes it during that period, it will be null and void, and he will not be entitled to any of the benefits set forth in this Agreement. To revoke, Executive must ensure that written notice of revocation, sent by email, is received by the Chief Legal and Compliance Officer, by no later than 5:00 p.m. on the seventh calendar day after he signs the Agreement. If Executive does not revoke the Agreement during that seven-day revocation period, the effective date of the Agreement shall be the day after the seven-day period has expired.</w:t>
      </w:r>
    </w:p>
    <w:p>
      <w:pPr>
        <w:spacing w:after="0" w:line="69" w:lineRule="exact"/>
        <w:rPr>
          <w:rFonts w:ascii="Arial" w:cs="Arial" w:eastAsia="Arial" w:hAnsi="Arial"/>
          <w:sz w:val="19"/>
          <w:szCs w:val="19"/>
          <w:b w:val="1"/>
          <w:bCs w:val="1"/>
          <w:color w:val="auto"/>
        </w:rPr>
      </w:pPr>
    </w:p>
    <w:p>
      <w:pPr>
        <w:ind w:left="420" w:hanging="420"/>
        <w:spacing w:after="0"/>
        <w:tabs>
          <w:tab w:leader="none" w:pos="42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This Agreement is made in two originals, each Party acknowledging having received one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1340"/>
          </w:cols>
          <w:pgMar w:left="220" w:top="1440" w:right="339" w:bottom="1440" w:gutter="0" w:footer="0" w:header="0"/>
        </w:sectPr>
      </w:pPr>
    </w:p>
    <w:bookmarkStart w:id="52" w:name="page53"/>
    <w:bookmarkEnd w:id="52"/>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hereby voluntarily and knowingly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MARCELLO MASTIONI</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ALTISOURCE S.À R.L.</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1240"/>
          </w:cols>
          <w:pgMar w:left="320" w:top="144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54"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To the extent not vested as of the Separation Date, the ASPS Restricted Stock Units (“RSUs”), restricted shares and outstanding ASPS stock options set forth in the table below will vest as specified in such table.</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00" w:type="dxa"/>
            <w:vAlign w:val="bottom"/>
            <w:tcBorders>
              <w:left w:val="single" w:sz="8" w:color="auto"/>
            </w:tcBorders>
            <w:shd w:val="clear" w:color="auto" w:fill="000000"/>
          </w:tcPr>
          <w:p>
            <w:pPr>
              <w:spacing w:after="0"/>
              <w:rPr>
                <w:sz w:val="14"/>
                <w:szCs w:val="14"/>
                <w:color w:val="auto"/>
              </w:rPr>
            </w:pPr>
          </w:p>
        </w:tc>
        <w:tc>
          <w:tcPr>
            <w:tcW w:w="1800" w:type="dxa"/>
            <w:vAlign w:val="bottom"/>
            <w:tcBorders>
              <w:right w:val="single" w:sz="8" w:color="auto"/>
            </w:tcBorders>
            <w:shd w:val="clear" w:color="auto" w:fill="000000"/>
          </w:tcPr>
          <w:p>
            <w:pPr>
              <w:spacing w:after="0"/>
              <w:rPr>
                <w:sz w:val="14"/>
                <w:szCs w:val="14"/>
                <w:color w:val="auto"/>
              </w:rPr>
            </w:pPr>
          </w:p>
        </w:tc>
        <w:tc>
          <w:tcPr>
            <w:tcW w:w="1020" w:type="dxa"/>
            <w:vAlign w:val="bottom"/>
            <w:tcBorders>
              <w:right w:val="single" w:sz="8" w:color="auto"/>
            </w:tcBorders>
            <w:shd w:val="clear" w:color="auto" w:fill="000000"/>
          </w:tcPr>
          <w:p>
            <w:pPr>
              <w:spacing w:after="0"/>
              <w:rPr>
                <w:sz w:val="14"/>
                <w:szCs w:val="14"/>
                <w:color w:val="auto"/>
              </w:rPr>
            </w:pPr>
          </w:p>
        </w:tc>
        <w:tc>
          <w:tcPr>
            <w:tcW w:w="900" w:type="dxa"/>
            <w:vAlign w:val="bottom"/>
            <w:tcBorders>
              <w:right w:val="single" w:sz="8" w:color="auto"/>
            </w:tcBorders>
            <w:shd w:val="clear" w:color="auto" w:fill="000000"/>
          </w:tcPr>
          <w:p>
            <w:pPr>
              <w:spacing w:after="0"/>
              <w:rPr>
                <w:sz w:val="14"/>
                <w:szCs w:val="14"/>
                <w:color w:val="auto"/>
              </w:rPr>
            </w:pPr>
          </w:p>
        </w:tc>
        <w:tc>
          <w:tcPr>
            <w:tcW w:w="1120" w:type="dxa"/>
            <w:vAlign w:val="bottom"/>
            <w:tcBorders>
              <w:right w:val="single" w:sz="8" w:color="auto"/>
            </w:tcBorders>
            <w:vMerge w:val="restart"/>
            <w:shd w:val="clear" w:color="auto" w:fill="000000"/>
          </w:tcPr>
          <w:p>
            <w:pPr>
              <w:ind w:left="200"/>
              <w:spacing w:after="0"/>
              <w:rPr>
                <w:sz w:val="20"/>
                <w:szCs w:val="20"/>
                <w:color w:val="auto"/>
              </w:rPr>
            </w:pPr>
            <w:r>
              <w:rPr>
                <w:rFonts w:ascii="Arial" w:cs="Arial" w:eastAsia="Arial" w:hAnsi="Arial"/>
                <w:sz w:val="13"/>
                <w:szCs w:val="13"/>
                <w:b w:val="1"/>
                <w:bCs w:val="1"/>
                <w:color w:val="FFFFFF"/>
              </w:rPr>
              <w:t>RSUs Vested</w:t>
            </w:r>
          </w:p>
        </w:tc>
        <w:tc>
          <w:tcPr>
            <w:tcW w:w="10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86"/>
              </w:rPr>
              <w:t>RSUs</w:t>
            </w:r>
          </w:p>
        </w:tc>
        <w:tc>
          <w:tcPr>
            <w:tcW w:w="80" w:type="dxa"/>
            <w:vAlign w:val="bottom"/>
            <w:shd w:val="clear" w:color="auto" w:fill="000000"/>
          </w:tcPr>
          <w:p>
            <w:pPr>
              <w:spacing w:after="0"/>
              <w:rPr>
                <w:sz w:val="14"/>
                <w:szCs w:val="14"/>
                <w:color w:val="auto"/>
              </w:rPr>
            </w:pPr>
          </w:p>
        </w:tc>
        <w:tc>
          <w:tcPr>
            <w:tcW w:w="1380" w:type="dxa"/>
            <w:vAlign w:val="bottom"/>
            <w:tcBorders>
              <w:right w:val="single" w:sz="8" w:color="auto"/>
            </w:tcBorders>
            <w:vMerge w:val="restart"/>
            <w:shd w:val="clear" w:color="auto" w:fill="000000"/>
          </w:tcPr>
          <w:p>
            <w:pPr>
              <w:jc w:val="center"/>
              <w:ind w:right="57"/>
              <w:spacing w:after="0"/>
              <w:rPr>
                <w:sz w:val="20"/>
                <w:szCs w:val="20"/>
                <w:color w:val="auto"/>
              </w:rPr>
            </w:pPr>
            <w:r>
              <w:rPr>
                <w:rFonts w:ascii="Arial" w:cs="Arial" w:eastAsia="Arial" w:hAnsi="Arial"/>
                <w:sz w:val="13"/>
                <w:szCs w:val="13"/>
                <w:b w:val="1"/>
                <w:bCs w:val="1"/>
                <w:color w:val="FFFFFF"/>
                <w:w w:val="87"/>
              </w:rPr>
              <w:t>Remaining Vesting</w:t>
            </w:r>
          </w:p>
        </w:tc>
        <w:tc>
          <w:tcPr>
            <w:tcW w:w="3520" w:type="dxa"/>
            <w:vAlign w:val="bottom"/>
            <w:tcBorders>
              <w:right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100" w:type="dxa"/>
            <w:vAlign w:val="bottom"/>
            <w:tcBorders>
              <w:left w:val="single" w:sz="8" w:color="auto"/>
              <w:right w:val="single" w:sz="8" w:color="auto"/>
            </w:tcBorders>
            <w:gridSpan w:val="2"/>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Description – Type</w:t>
            </w:r>
          </w:p>
        </w:tc>
        <w:tc>
          <w:tcPr>
            <w:tcW w:w="1020" w:type="dxa"/>
            <w:vAlign w:val="bottom"/>
            <w:tcBorders>
              <w:right w:val="single" w:sz="8" w:color="auto"/>
            </w:tcBorders>
            <w:vMerge w:val="restart"/>
            <w:shd w:val="clear" w:color="auto" w:fill="000000"/>
          </w:tcPr>
          <w:p>
            <w:pPr>
              <w:ind w:left="200"/>
              <w:spacing w:after="0"/>
              <w:rPr>
                <w:sz w:val="20"/>
                <w:szCs w:val="20"/>
                <w:color w:val="auto"/>
              </w:rPr>
            </w:pPr>
            <w:r>
              <w:rPr>
                <w:rFonts w:ascii="Arial" w:cs="Arial" w:eastAsia="Arial" w:hAnsi="Arial"/>
                <w:sz w:val="13"/>
                <w:szCs w:val="13"/>
                <w:b w:val="1"/>
                <w:bCs w:val="1"/>
                <w:color w:val="FFFFFF"/>
              </w:rPr>
              <w:t>Grant Date</w:t>
            </w:r>
          </w:p>
        </w:tc>
        <w:tc>
          <w:tcPr>
            <w:tcW w:w="90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w w:val="92"/>
              </w:rPr>
              <w:t>RSUs Granted</w:t>
            </w:r>
          </w:p>
        </w:tc>
        <w:tc>
          <w:tcPr>
            <w:tcW w:w="1120" w:type="dxa"/>
            <w:vAlign w:val="bottom"/>
            <w:tcBorders>
              <w:right w:val="single" w:sz="8" w:color="auto"/>
            </w:tcBorders>
            <w:vMerge w:val="continue"/>
            <w:shd w:val="clear" w:color="auto" w:fill="000000"/>
          </w:tcPr>
          <w:p>
            <w:pPr>
              <w:spacing w:after="0"/>
              <w:rPr>
                <w:sz w:val="5"/>
                <w:szCs w:val="5"/>
                <w:color w:val="auto"/>
              </w:rPr>
            </w:pPr>
          </w:p>
        </w:tc>
        <w:tc>
          <w:tcPr>
            <w:tcW w:w="104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84"/>
              </w:rPr>
              <w:t>Unvested as of</w:t>
            </w:r>
          </w:p>
        </w:tc>
        <w:tc>
          <w:tcPr>
            <w:tcW w:w="80" w:type="dxa"/>
            <w:vAlign w:val="bottom"/>
            <w:shd w:val="clear" w:color="auto" w:fill="000000"/>
          </w:tcPr>
          <w:p>
            <w:pPr>
              <w:spacing w:after="0"/>
              <w:rPr>
                <w:sz w:val="5"/>
                <w:szCs w:val="5"/>
                <w:color w:val="auto"/>
              </w:rPr>
            </w:pPr>
          </w:p>
        </w:tc>
        <w:tc>
          <w:tcPr>
            <w:tcW w:w="1380" w:type="dxa"/>
            <w:vAlign w:val="bottom"/>
            <w:tcBorders>
              <w:right w:val="single" w:sz="8" w:color="auto"/>
            </w:tcBorders>
            <w:vMerge w:val="continue"/>
            <w:shd w:val="clear" w:color="auto" w:fill="000000"/>
          </w:tcPr>
          <w:p>
            <w:pPr>
              <w:spacing w:after="0"/>
              <w:rPr>
                <w:sz w:val="5"/>
                <w:szCs w:val="5"/>
                <w:color w:val="auto"/>
              </w:rPr>
            </w:pPr>
          </w:p>
        </w:tc>
        <w:tc>
          <w:tcPr>
            <w:tcW w:w="3520" w:type="dxa"/>
            <w:vAlign w:val="bottom"/>
            <w:tcBorders>
              <w:right w:val="single" w:sz="8" w:color="auto"/>
            </w:tcBorders>
            <w:vMerge w:val="restart"/>
            <w:shd w:val="clear" w:color="auto" w:fill="000000"/>
          </w:tcPr>
          <w:p>
            <w:pPr>
              <w:ind w:left="1460"/>
              <w:spacing w:after="0"/>
              <w:rPr>
                <w:sz w:val="20"/>
                <w:szCs w:val="20"/>
                <w:color w:val="auto"/>
              </w:rPr>
            </w:pPr>
            <w:r>
              <w:rPr>
                <w:rFonts w:ascii="Arial" w:cs="Arial" w:eastAsia="Arial" w:hAnsi="Arial"/>
                <w:sz w:val="13"/>
                <w:szCs w:val="13"/>
                <w:b w:val="1"/>
                <w:bCs w:val="1"/>
                <w:color w:val="FFFFFF"/>
              </w:rPr>
              <w:t>Treatment</w:t>
            </w:r>
          </w:p>
        </w:tc>
        <w:tc>
          <w:tcPr>
            <w:tcW w:w="0" w:type="dxa"/>
            <w:vAlign w:val="bottom"/>
          </w:tcPr>
          <w:p>
            <w:pPr>
              <w:spacing w:after="0"/>
              <w:rPr>
                <w:sz w:val="1"/>
                <w:szCs w:val="1"/>
                <w:color w:val="auto"/>
              </w:rPr>
            </w:pPr>
          </w:p>
        </w:tc>
      </w:tr>
      <w:tr>
        <w:trPr>
          <w:trHeight w:val="90"/>
        </w:trPr>
        <w:tc>
          <w:tcPr>
            <w:tcW w:w="2100" w:type="dxa"/>
            <w:vAlign w:val="bottom"/>
            <w:tcBorders>
              <w:left w:val="single" w:sz="8" w:color="auto"/>
              <w:right w:val="single" w:sz="8" w:color="auto"/>
            </w:tcBorders>
            <w:gridSpan w:val="2"/>
            <w:vMerge w:val="continue"/>
            <w:shd w:val="clear" w:color="auto" w:fill="000000"/>
          </w:tcPr>
          <w:p>
            <w:pPr>
              <w:spacing w:after="0"/>
              <w:rPr>
                <w:sz w:val="7"/>
                <w:szCs w:val="7"/>
                <w:color w:val="auto"/>
              </w:rPr>
            </w:pPr>
          </w:p>
        </w:tc>
        <w:tc>
          <w:tcPr>
            <w:tcW w:w="1020" w:type="dxa"/>
            <w:vAlign w:val="bottom"/>
            <w:tcBorders>
              <w:right w:val="single" w:sz="8" w:color="auto"/>
            </w:tcBorders>
            <w:vMerge w:val="continue"/>
            <w:shd w:val="clear" w:color="auto" w:fill="000000"/>
          </w:tcPr>
          <w:p>
            <w:pPr>
              <w:spacing w:after="0"/>
              <w:rPr>
                <w:sz w:val="7"/>
                <w:szCs w:val="7"/>
                <w:color w:val="auto"/>
              </w:rPr>
            </w:pPr>
          </w:p>
        </w:tc>
        <w:tc>
          <w:tcPr>
            <w:tcW w:w="900" w:type="dxa"/>
            <w:vAlign w:val="bottom"/>
            <w:tcBorders>
              <w:right w:val="single" w:sz="8" w:color="auto"/>
            </w:tcBorders>
            <w:vMerge w:val="continue"/>
            <w:shd w:val="clear" w:color="auto" w:fill="000000"/>
          </w:tcPr>
          <w:p>
            <w:pPr>
              <w:spacing w:after="0"/>
              <w:rPr>
                <w:sz w:val="7"/>
                <w:szCs w:val="7"/>
                <w:color w:val="auto"/>
              </w:rPr>
            </w:pPr>
          </w:p>
        </w:tc>
        <w:tc>
          <w:tcPr>
            <w:tcW w:w="1120" w:type="dxa"/>
            <w:vAlign w:val="bottom"/>
            <w:tcBorders>
              <w:right w:val="single" w:sz="8" w:color="auto"/>
            </w:tcBorders>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rPr>
              <w:t>as of 05/31/21</w:t>
            </w:r>
          </w:p>
        </w:tc>
        <w:tc>
          <w:tcPr>
            <w:tcW w:w="1040" w:type="dxa"/>
            <w:vAlign w:val="bottom"/>
            <w:tcBorders>
              <w:right w:val="single" w:sz="8" w:color="auto"/>
            </w:tcBorders>
            <w:vMerge w:val="continue"/>
            <w:shd w:val="clear" w:color="auto" w:fill="000000"/>
          </w:tcPr>
          <w:p>
            <w:pPr>
              <w:spacing w:after="0"/>
              <w:rPr>
                <w:sz w:val="7"/>
                <w:szCs w:val="7"/>
                <w:color w:val="auto"/>
              </w:rPr>
            </w:pPr>
          </w:p>
        </w:tc>
        <w:tc>
          <w:tcPr>
            <w:tcW w:w="80" w:type="dxa"/>
            <w:vAlign w:val="bottom"/>
            <w:shd w:val="clear" w:color="auto" w:fill="000000"/>
          </w:tcPr>
          <w:p>
            <w:pPr>
              <w:spacing w:after="0"/>
              <w:rPr>
                <w:sz w:val="7"/>
                <w:szCs w:val="7"/>
                <w:color w:val="auto"/>
              </w:rPr>
            </w:pPr>
          </w:p>
        </w:tc>
        <w:tc>
          <w:tcPr>
            <w:tcW w:w="1380" w:type="dxa"/>
            <w:vAlign w:val="bottom"/>
            <w:tcBorders>
              <w:right w:val="single" w:sz="8" w:color="auto"/>
            </w:tcBorders>
            <w:vMerge w:val="restart"/>
            <w:shd w:val="clear" w:color="auto" w:fill="000000"/>
          </w:tcPr>
          <w:p>
            <w:pPr>
              <w:jc w:val="center"/>
              <w:ind w:right="57"/>
              <w:spacing w:after="0"/>
              <w:rPr>
                <w:sz w:val="20"/>
                <w:szCs w:val="20"/>
                <w:color w:val="auto"/>
              </w:rPr>
            </w:pPr>
            <w:r>
              <w:rPr>
                <w:rFonts w:ascii="Arial" w:cs="Arial" w:eastAsia="Arial" w:hAnsi="Arial"/>
                <w:sz w:val="13"/>
                <w:szCs w:val="13"/>
                <w:b w:val="1"/>
                <w:bCs w:val="1"/>
                <w:color w:val="FFFFFF"/>
                <w:w w:val="86"/>
              </w:rPr>
              <w:t>Tranches as of 05/31/21</w:t>
            </w:r>
          </w:p>
        </w:tc>
        <w:tc>
          <w:tcPr>
            <w:tcW w:w="3520" w:type="dxa"/>
            <w:vAlign w:val="bottom"/>
            <w:tcBorders>
              <w:right w:val="single" w:sz="8" w:color="auto"/>
            </w:tcBorders>
            <w:vMerge w:val="continue"/>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00" w:type="dxa"/>
            <w:vAlign w:val="bottom"/>
            <w:tcBorders>
              <w:left w:val="single" w:sz="8" w:color="auto"/>
            </w:tcBorders>
            <w:shd w:val="clear" w:color="auto" w:fill="000000"/>
          </w:tcPr>
          <w:p>
            <w:pPr>
              <w:spacing w:after="0"/>
              <w:rPr>
                <w:sz w:val="7"/>
                <w:szCs w:val="7"/>
                <w:color w:val="auto"/>
              </w:rPr>
            </w:pPr>
          </w:p>
        </w:tc>
        <w:tc>
          <w:tcPr>
            <w:tcW w:w="1800" w:type="dxa"/>
            <w:vAlign w:val="bottom"/>
            <w:tcBorders>
              <w:right w:val="single" w:sz="8" w:color="auto"/>
            </w:tcBorders>
            <w:shd w:val="clear" w:color="auto" w:fill="000000"/>
          </w:tcPr>
          <w:p>
            <w:pPr>
              <w:spacing w:after="0"/>
              <w:rPr>
                <w:sz w:val="7"/>
                <w:szCs w:val="7"/>
                <w:color w:val="auto"/>
              </w:rPr>
            </w:pPr>
          </w:p>
        </w:tc>
        <w:tc>
          <w:tcPr>
            <w:tcW w:w="1020" w:type="dxa"/>
            <w:vAlign w:val="bottom"/>
            <w:tcBorders>
              <w:right w:val="single" w:sz="8" w:color="auto"/>
            </w:tcBorders>
            <w:shd w:val="clear" w:color="auto" w:fill="000000"/>
          </w:tcPr>
          <w:p>
            <w:pPr>
              <w:spacing w:after="0"/>
              <w:rPr>
                <w:sz w:val="7"/>
                <w:szCs w:val="7"/>
                <w:color w:val="auto"/>
              </w:rPr>
            </w:pPr>
          </w:p>
        </w:tc>
        <w:tc>
          <w:tcPr>
            <w:tcW w:w="900" w:type="dxa"/>
            <w:vAlign w:val="bottom"/>
            <w:tcBorders>
              <w:right w:val="single" w:sz="8" w:color="auto"/>
            </w:tcBorders>
            <w:shd w:val="clear" w:color="auto" w:fill="000000"/>
          </w:tcPr>
          <w:p>
            <w:pPr>
              <w:spacing w:after="0"/>
              <w:rPr>
                <w:sz w:val="7"/>
                <w:szCs w:val="7"/>
                <w:color w:val="auto"/>
              </w:rPr>
            </w:pPr>
          </w:p>
        </w:tc>
        <w:tc>
          <w:tcPr>
            <w:tcW w:w="1120" w:type="dxa"/>
            <w:vAlign w:val="bottom"/>
            <w:tcBorders>
              <w:right w:val="single" w:sz="8" w:color="auto"/>
            </w:tcBorders>
            <w:vMerge w:val="continue"/>
            <w:shd w:val="clear" w:color="auto" w:fill="000000"/>
          </w:tcPr>
          <w:p>
            <w:pPr>
              <w:spacing w:after="0"/>
              <w:rPr>
                <w:sz w:val="7"/>
                <w:szCs w:val="7"/>
                <w:color w:val="auto"/>
              </w:rPr>
            </w:pPr>
          </w:p>
        </w:tc>
        <w:tc>
          <w:tcPr>
            <w:tcW w:w="104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86"/>
              </w:rPr>
              <w:t>05/31/21</w:t>
            </w:r>
          </w:p>
        </w:tc>
        <w:tc>
          <w:tcPr>
            <w:tcW w:w="80" w:type="dxa"/>
            <w:vAlign w:val="bottom"/>
            <w:shd w:val="clear" w:color="auto" w:fill="000000"/>
          </w:tcPr>
          <w:p>
            <w:pPr>
              <w:spacing w:after="0"/>
              <w:rPr>
                <w:sz w:val="7"/>
                <w:szCs w:val="7"/>
                <w:color w:val="auto"/>
              </w:rPr>
            </w:pPr>
          </w:p>
        </w:tc>
        <w:tc>
          <w:tcPr>
            <w:tcW w:w="1380" w:type="dxa"/>
            <w:vAlign w:val="bottom"/>
            <w:tcBorders>
              <w:right w:val="single" w:sz="8" w:color="auto"/>
            </w:tcBorders>
            <w:vMerge w:val="continue"/>
            <w:shd w:val="clear" w:color="auto" w:fill="000000"/>
          </w:tcPr>
          <w:p>
            <w:pPr>
              <w:spacing w:after="0"/>
              <w:rPr>
                <w:sz w:val="7"/>
                <w:szCs w:val="7"/>
                <w:color w:val="auto"/>
              </w:rPr>
            </w:pPr>
          </w:p>
        </w:tc>
        <w:tc>
          <w:tcPr>
            <w:tcW w:w="3520" w:type="dxa"/>
            <w:vAlign w:val="bottom"/>
            <w:tcBorders>
              <w:right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00" w:type="dxa"/>
            <w:vAlign w:val="bottom"/>
            <w:tcBorders>
              <w:left w:val="single" w:sz="8" w:color="auto"/>
              <w:bottom w:val="single" w:sz="8" w:color="auto"/>
            </w:tcBorders>
            <w:shd w:val="clear" w:color="auto" w:fill="000000"/>
          </w:tcPr>
          <w:p>
            <w:pPr>
              <w:spacing w:after="0"/>
              <w:rPr>
                <w:sz w:val="9"/>
                <w:szCs w:val="9"/>
                <w:color w:val="auto"/>
              </w:rPr>
            </w:pPr>
          </w:p>
        </w:tc>
        <w:tc>
          <w:tcPr>
            <w:tcW w:w="1800" w:type="dxa"/>
            <w:vAlign w:val="bottom"/>
            <w:tcBorders>
              <w:bottom w:val="single" w:sz="8" w:color="auto"/>
              <w:right w:val="single" w:sz="8" w:color="auto"/>
            </w:tcBorders>
            <w:shd w:val="clear" w:color="auto" w:fill="000000"/>
          </w:tcPr>
          <w:p>
            <w:pPr>
              <w:spacing w:after="0"/>
              <w:rPr>
                <w:sz w:val="9"/>
                <w:szCs w:val="9"/>
                <w:color w:val="auto"/>
              </w:rPr>
            </w:pPr>
          </w:p>
        </w:tc>
        <w:tc>
          <w:tcPr>
            <w:tcW w:w="1020" w:type="dxa"/>
            <w:vAlign w:val="bottom"/>
            <w:tcBorders>
              <w:bottom w:val="single" w:sz="8" w:color="auto"/>
              <w:right w:val="single" w:sz="8" w:color="auto"/>
            </w:tcBorders>
            <w:shd w:val="clear" w:color="auto" w:fill="000000"/>
          </w:tcPr>
          <w:p>
            <w:pPr>
              <w:spacing w:after="0"/>
              <w:rPr>
                <w:sz w:val="9"/>
                <w:szCs w:val="9"/>
                <w:color w:val="auto"/>
              </w:rPr>
            </w:pPr>
          </w:p>
        </w:tc>
        <w:tc>
          <w:tcPr>
            <w:tcW w:w="900" w:type="dxa"/>
            <w:vAlign w:val="bottom"/>
            <w:tcBorders>
              <w:bottom w:val="single" w:sz="8" w:color="auto"/>
              <w:right w:val="single" w:sz="8" w:color="auto"/>
            </w:tcBorders>
            <w:shd w:val="clear" w:color="auto" w:fill="000000"/>
          </w:tcPr>
          <w:p>
            <w:pPr>
              <w:spacing w:after="0"/>
              <w:rPr>
                <w:sz w:val="9"/>
                <w:szCs w:val="9"/>
                <w:color w:val="auto"/>
              </w:rPr>
            </w:pPr>
          </w:p>
        </w:tc>
        <w:tc>
          <w:tcPr>
            <w:tcW w:w="1120" w:type="dxa"/>
            <w:vAlign w:val="bottom"/>
            <w:tcBorders>
              <w:bottom w:val="single" w:sz="8" w:color="auto"/>
              <w:right w:val="single" w:sz="8" w:color="auto"/>
            </w:tcBorders>
            <w:shd w:val="clear" w:color="auto" w:fill="000000"/>
          </w:tcPr>
          <w:p>
            <w:pPr>
              <w:spacing w:after="0"/>
              <w:rPr>
                <w:sz w:val="9"/>
                <w:szCs w:val="9"/>
                <w:color w:val="auto"/>
              </w:rPr>
            </w:pPr>
          </w:p>
        </w:tc>
        <w:tc>
          <w:tcPr>
            <w:tcW w:w="1040" w:type="dxa"/>
            <w:vAlign w:val="bottom"/>
            <w:tcBorders>
              <w:bottom w:val="single" w:sz="8" w:color="auto"/>
              <w:right w:val="single" w:sz="8" w:color="auto"/>
            </w:tcBorders>
            <w:vMerge w:val="continue"/>
            <w:shd w:val="clear" w:color="auto" w:fill="000000"/>
          </w:tcPr>
          <w:p>
            <w:pPr>
              <w:spacing w:after="0"/>
              <w:rPr>
                <w:sz w:val="9"/>
                <w:szCs w:val="9"/>
                <w:color w:val="auto"/>
              </w:rPr>
            </w:pPr>
          </w:p>
        </w:tc>
        <w:tc>
          <w:tcPr>
            <w:tcW w:w="80" w:type="dxa"/>
            <w:vAlign w:val="bottom"/>
            <w:tcBorders>
              <w:bottom w:val="single" w:sz="8" w:color="auto"/>
            </w:tcBorders>
            <w:shd w:val="clear" w:color="auto" w:fill="000000"/>
          </w:tcPr>
          <w:p>
            <w:pPr>
              <w:spacing w:after="0"/>
              <w:rPr>
                <w:sz w:val="9"/>
                <w:szCs w:val="9"/>
                <w:color w:val="auto"/>
              </w:rPr>
            </w:pPr>
          </w:p>
        </w:tc>
        <w:tc>
          <w:tcPr>
            <w:tcW w:w="1380" w:type="dxa"/>
            <w:vAlign w:val="bottom"/>
            <w:tcBorders>
              <w:bottom w:val="single" w:sz="8" w:color="auto"/>
              <w:right w:val="single" w:sz="8" w:color="auto"/>
            </w:tcBorders>
            <w:shd w:val="clear" w:color="auto" w:fill="000000"/>
          </w:tcPr>
          <w:p>
            <w:pPr>
              <w:spacing w:after="0"/>
              <w:rPr>
                <w:sz w:val="9"/>
                <w:szCs w:val="9"/>
                <w:color w:val="auto"/>
              </w:rPr>
            </w:pPr>
          </w:p>
        </w:tc>
        <w:tc>
          <w:tcPr>
            <w:tcW w:w="3520" w:type="dxa"/>
            <w:vAlign w:val="bottom"/>
            <w:tcBorders>
              <w:bottom w:val="single" w:sz="8" w:color="auto"/>
              <w:right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2018</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Time-Based – LTIP </w:t>
            </w:r>
            <w:r>
              <w:rPr>
                <w:rFonts w:ascii="Arial" w:cs="Arial" w:eastAsia="Arial" w:hAnsi="Arial"/>
                <w:sz w:val="16"/>
                <w:szCs w:val="16"/>
                <w:color w:val="auto"/>
                <w:vertAlign w:val="superscript"/>
              </w:rPr>
              <w:t>(1)</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2/12/2018</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6,373</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4,780</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1,593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RSUs to vest on 06/30/2021</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2018</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Time-Based – Award</w:t>
            </w:r>
            <w:r>
              <w:rPr>
                <w:rFonts w:ascii="Arial" w:cs="Arial" w:eastAsia="Arial" w:hAnsi="Arial"/>
                <w:sz w:val="16"/>
                <w:szCs w:val="16"/>
                <w:color w:val="auto"/>
                <w:vertAlign w:val="superscript"/>
              </w:rPr>
              <w:t>(1)</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11/12/2018</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15,000</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10,000</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5,000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RSUs to vest on 06/30/2021</w:t>
            </w:r>
          </w:p>
        </w:tc>
        <w:tc>
          <w:tcPr>
            <w:tcW w:w="0" w:type="dxa"/>
            <w:vAlign w:val="bottom"/>
          </w:tcPr>
          <w:p>
            <w:pPr>
              <w:spacing w:after="0"/>
              <w:rPr>
                <w:sz w:val="1"/>
                <w:szCs w:val="1"/>
                <w:color w:val="auto"/>
              </w:rPr>
            </w:pPr>
          </w:p>
        </w:tc>
      </w:tr>
      <w:tr>
        <w:trPr>
          <w:trHeight w:val="115"/>
        </w:trPr>
        <w:tc>
          <w:tcPr>
            <w:tcW w:w="30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3"/>
                <w:szCs w:val="13"/>
                <w:color w:val="auto"/>
              </w:rPr>
              <w:t>RSUs to vest according to the LTIP performance metrics as</w:t>
            </w:r>
          </w:p>
        </w:tc>
        <w:tc>
          <w:tcPr>
            <w:tcW w:w="0" w:type="dxa"/>
            <w:vAlign w:val="bottom"/>
          </w:tcPr>
          <w:p>
            <w:pPr>
              <w:spacing w:after="0"/>
              <w:rPr>
                <w:sz w:val="1"/>
                <w:szCs w:val="1"/>
                <w:color w:val="auto"/>
              </w:rPr>
            </w:pPr>
          </w:p>
        </w:tc>
      </w:tr>
      <w:tr>
        <w:trPr>
          <w:trHeight w:val="122"/>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color w:val="auto"/>
                <w:w w:val="82"/>
              </w:rPr>
              <w:t>2019</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w w:val="87"/>
              </w:rPr>
              <w:t>Performance-Based - LTIP Type 2</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3/21/2019</w:t>
            </w:r>
          </w:p>
        </w:tc>
        <w:tc>
          <w:tcPr>
            <w:tcW w:w="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7,649</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7,649</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1</w:t>
            </w:r>
          </w:p>
        </w:tc>
        <w:tc>
          <w:tcPr>
            <w:tcW w:w="13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99"/>
              </w:rPr>
              <w:t>determined by the Compensation Committee of the Board of</w:t>
            </w:r>
          </w:p>
        </w:tc>
        <w:tc>
          <w:tcPr>
            <w:tcW w:w="0" w:type="dxa"/>
            <w:vAlign w:val="bottom"/>
          </w:tcPr>
          <w:p>
            <w:pPr>
              <w:spacing w:after="0"/>
              <w:rPr>
                <w:sz w:val="1"/>
                <w:szCs w:val="1"/>
                <w:color w:val="auto"/>
              </w:rPr>
            </w:pPr>
          </w:p>
        </w:tc>
      </w:tr>
      <w:tr>
        <w:trPr>
          <w:trHeight w:val="122"/>
        </w:trPr>
        <w:tc>
          <w:tcPr>
            <w:tcW w:w="300" w:type="dxa"/>
            <w:vAlign w:val="bottom"/>
            <w:tcBorders>
              <w:lef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89"/>
              </w:rPr>
              <w:t>Directors in its discretion and consistent with the terms of the award</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88"/>
              </w:rPr>
              <w:t>grant except that Executive is not required to remain employed to be</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eligible for the RSUs to vest</w:t>
            </w:r>
          </w:p>
        </w:tc>
        <w:tc>
          <w:tcPr>
            <w:tcW w:w="0" w:type="dxa"/>
            <w:vAlign w:val="bottom"/>
          </w:tcPr>
          <w:p>
            <w:pPr>
              <w:spacing w:after="0"/>
              <w:rPr>
                <w:sz w:val="1"/>
                <w:szCs w:val="1"/>
                <w:color w:val="auto"/>
              </w:rPr>
            </w:pPr>
          </w:p>
        </w:tc>
      </w:tr>
      <w:tr>
        <w:trPr>
          <w:trHeight w:val="203"/>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2019</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Time-Based – LTIP</w:t>
            </w:r>
            <w:r>
              <w:rPr>
                <w:rFonts w:ascii="Arial" w:cs="Arial" w:eastAsia="Arial" w:hAnsi="Arial"/>
                <w:sz w:val="16"/>
                <w:szCs w:val="16"/>
                <w:color w:val="auto"/>
                <w:vertAlign w:val="superscript"/>
              </w:rPr>
              <w:t>(1)</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3/21/2019</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7,649</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5,099</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2,550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RSUs to vest on 06/30/2021</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2020</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Time-Based - LTIP </w:t>
            </w:r>
            <w:r>
              <w:rPr>
                <w:rFonts w:ascii="Arial" w:cs="Arial" w:eastAsia="Arial" w:hAnsi="Arial"/>
                <w:sz w:val="16"/>
                <w:szCs w:val="16"/>
                <w:color w:val="auto"/>
                <w:vertAlign w:val="superscript"/>
              </w:rPr>
              <w:t>(1)</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1/24/2020</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9,638</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3,213</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6,425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2</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6,425 RSUs to vest on 06/30/2021</w:t>
            </w:r>
          </w:p>
        </w:tc>
        <w:tc>
          <w:tcPr>
            <w:tcW w:w="0" w:type="dxa"/>
            <w:vAlign w:val="bottom"/>
          </w:tcPr>
          <w:p>
            <w:pPr>
              <w:spacing w:after="0"/>
              <w:rPr>
                <w:sz w:val="1"/>
                <w:szCs w:val="1"/>
                <w:color w:val="auto"/>
              </w:rPr>
            </w:pPr>
          </w:p>
        </w:tc>
      </w:tr>
      <w:tr>
        <w:trPr>
          <w:trHeight w:val="155"/>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color w:val="auto"/>
                <w:w w:val="82"/>
              </w:rPr>
              <w:t>2020</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w w:val="87"/>
              </w:rPr>
              <w:t>Performance-Based - LTIP Type 2</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1/24/2020</w:t>
            </w:r>
          </w:p>
        </w:tc>
        <w:tc>
          <w:tcPr>
            <w:tcW w:w="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9,638</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9,638</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1</w:t>
            </w:r>
          </w:p>
        </w:tc>
        <w:tc>
          <w:tcPr>
            <w:tcW w:w="13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2"/>
              </w:rPr>
              <w:t>RSUs to be forfeited (the performance hurdle cannot be achieved</w:t>
            </w:r>
          </w:p>
        </w:tc>
        <w:tc>
          <w:tcPr>
            <w:tcW w:w="0" w:type="dxa"/>
            <w:vAlign w:val="bottom"/>
          </w:tcPr>
          <w:p>
            <w:pPr>
              <w:spacing w:after="0"/>
              <w:rPr>
                <w:sz w:val="1"/>
                <w:szCs w:val="1"/>
                <w:color w:val="auto"/>
              </w:rPr>
            </w:pPr>
          </w:p>
        </w:tc>
      </w:tr>
      <w:tr>
        <w:trPr>
          <w:trHeight w:val="79"/>
        </w:trPr>
        <w:tc>
          <w:tcPr>
            <w:tcW w:w="300" w:type="dxa"/>
            <w:vAlign w:val="bottom"/>
            <w:tcBorders>
              <w:left w:val="single" w:sz="8" w:color="auto"/>
            </w:tcBorders>
            <w:vMerge w:val="continue"/>
          </w:tcPr>
          <w:p>
            <w:pPr>
              <w:spacing w:after="0"/>
              <w:rPr>
                <w:sz w:val="6"/>
                <w:szCs w:val="6"/>
                <w:color w:val="auto"/>
              </w:rPr>
            </w:pPr>
          </w:p>
        </w:tc>
        <w:tc>
          <w:tcPr>
            <w:tcW w:w="18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within 90 days of the Separation Date)</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00" w:type="dxa"/>
            <w:vAlign w:val="bottom"/>
            <w:tcBorders>
              <w:left w:val="single" w:sz="8" w:color="auto"/>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2020</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Time-Based – 2019 AIP</w:t>
            </w:r>
            <w:r>
              <w:rPr>
                <w:rFonts w:ascii="Arial" w:cs="Arial" w:eastAsia="Arial" w:hAnsi="Arial"/>
                <w:sz w:val="16"/>
                <w:szCs w:val="16"/>
                <w:color w:val="auto"/>
                <w:vertAlign w:val="superscript"/>
              </w:rPr>
              <w:t>(2)</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2/26/2020</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5,119</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2,560</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2,559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RSUs to vest on 06/30/2021</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2020</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Time-Based – Award</w:t>
            </w:r>
            <w:r>
              <w:rPr>
                <w:rFonts w:ascii="Arial" w:cs="Arial" w:eastAsia="Arial" w:hAnsi="Arial"/>
                <w:sz w:val="16"/>
                <w:szCs w:val="16"/>
                <w:color w:val="auto"/>
                <w:vertAlign w:val="superscript"/>
              </w:rPr>
              <w:t>(1)</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2/26/2020</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3,000</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1,000</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2,000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2</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2,000 RSUs to vest on 06/30/2021</w:t>
            </w:r>
          </w:p>
        </w:tc>
        <w:tc>
          <w:tcPr>
            <w:tcW w:w="0" w:type="dxa"/>
            <w:vAlign w:val="bottom"/>
          </w:tcPr>
          <w:p>
            <w:pPr>
              <w:spacing w:after="0"/>
              <w:rPr>
                <w:sz w:val="1"/>
                <w:szCs w:val="1"/>
                <w:color w:val="auto"/>
              </w:rPr>
            </w:pPr>
          </w:p>
        </w:tc>
      </w:tr>
      <w:tr>
        <w:trPr>
          <w:trHeight w:val="115"/>
        </w:trPr>
        <w:tc>
          <w:tcPr>
            <w:tcW w:w="30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color w:val="auto"/>
                <w:w w:val="82"/>
              </w:rPr>
              <w:t>2020</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Performance Based - Award</w:t>
            </w:r>
          </w:p>
        </w:tc>
        <w:tc>
          <w:tcPr>
            <w:tcW w:w="10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3"/>
                <w:szCs w:val="13"/>
                <w:color w:val="auto"/>
                <w:w w:val="95"/>
              </w:rPr>
              <w:t>RSUs to be forfeited (unless performance hurdles are achieved</w:t>
            </w:r>
          </w:p>
        </w:tc>
        <w:tc>
          <w:tcPr>
            <w:tcW w:w="0" w:type="dxa"/>
            <w:vAlign w:val="bottom"/>
          </w:tcPr>
          <w:p>
            <w:pPr>
              <w:spacing w:after="0"/>
              <w:rPr>
                <w:sz w:val="1"/>
                <w:szCs w:val="1"/>
                <w:color w:val="auto"/>
              </w:rPr>
            </w:pPr>
          </w:p>
        </w:tc>
      </w:tr>
      <w:tr>
        <w:trPr>
          <w:trHeight w:val="54"/>
        </w:trPr>
        <w:tc>
          <w:tcPr>
            <w:tcW w:w="300" w:type="dxa"/>
            <w:vAlign w:val="bottom"/>
            <w:tcBorders>
              <w:left w:val="single" w:sz="8" w:color="auto"/>
            </w:tcBorders>
            <w:vMerge w:val="continue"/>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vMerge w:val="restart"/>
          </w:tcPr>
          <w:p>
            <w:pPr>
              <w:ind w:left="20"/>
              <w:spacing w:after="0" w:line="122" w:lineRule="exact"/>
              <w:rPr>
                <w:sz w:val="20"/>
                <w:szCs w:val="20"/>
                <w:color w:val="auto"/>
              </w:rPr>
            </w:pPr>
            <w:r>
              <w:rPr>
                <w:rFonts w:ascii="Arial" w:cs="Arial" w:eastAsia="Arial" w:hAnsi="Arial"/>
                <w:sz w:val="13"/>
                <w:szCs w:val="13"/>
                <w:color w:val="auto"/>
              </w:rPr>
              <w:t>10/1/2020</w:t>
            </w:r>
          </w:p>
        </w:tc>
        <w:tc>
          <w:tcPr>
            <w:tcW w:w="900" w:type="dxa"/>
            <w:vAlign w:val="bottom"/>
            <w:tcBorders>
              <w:right w:val="single" w:sz="8" w:color="auto"/>
            </w:tcBorders>
            <w:vMerge w:val="restart"/>
          </w:tcPr>
          <w:p>
            <w:pPr>
              <w:ind w:left="20"/>
              <w:spacing w:after="0" w:line="122" w:lineRule="exact"/>
              <w:rPr>
                <w:sz w:val="20"/>
                <w:szCs w:val="20"/>
                <w:color w:val="auto"/>
              </w:rPr>
            </w:pPr>
            <w:r>
              <w:rPr>
                <w:rFonts w:ascii="Arial" w:cs="Arial" w:eastAsia="Arial" w:hAnsi="Arial"/>
                <w:sz w:val="13"/>
                <w:szCs w:val="13"/>
                <w:color w:val="auto"/>
              </w:rPr>
              <w:t>25,000</w:t>
            </w:r>
          </w:p>
        </w:tc>
        <w:tc>
          <w:tcPr>
            <w:tcW w:w="1120" w:type="dxa"/>
            <w:vAlign w:val="bottom"/>
            <w:tcBorders>
              <w:right w:val="single" w:sz="8" w:color="auto"/>
            </w:tcBorders>
            <w:vMerge w:val="restart"/>
          </w:tcPr>
          <w:p>
            <w:pPr>
              <w:ind w:left="20"/>
              <w:spacing w:after="0" w:line="122"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vMerge w:val="restart"/>
          </w:tcPr>
          <w:p>
            <w:pPr>
              <w:spacing w:after="0" w:line="122" w:lineRule="exact"/>
              <w:rPr>
                <w:sz w:val="20"/>
                <w:szCs w:val="20"/>
                <w:color w:val="auto"/>
              </w:rPr>
            </w:pPr>
            <w:r>
              <w:rPr>
                <w:rFonts w:ascii="Arial" w:cs="Arial" w:eastAsia="Arial" w:hAnsi="Arial"/>
                <w:sz w:val="13"/>
                <w:szCs w:val="13"/>
                <w:color w:val="auto"/>
              </w:rPr>
              <w:t>25,000</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138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restart"/>
          </w:tcPr>
          <w:p>
            <w:pPr>
              <w:ind w:left="20"/>
              <w:spacing w:after="0" w:line="122" w:lineRule="exact"/>
              <w:rPr>
                <w:sz w:val="20"/>
                <w:szCs w:val="20"/>
                <w:color w:val="auto"/>
              </w:rPr>
            </w:pPr>
            <w:r>
              <w:rPr>
                <w:rFonts w:ascii="Arial" w:cs="Arial" w:eastAsia="Arial" w:hAnsi="Arial"/>
                <w:sz w:val="13"/>
                <w:szCs w:val="13"/>
                <w:color w:val="auto"/>
                <w:w w:val="88"/>
              </w:rPr>
              <w:t>within 90 days of the Separation Date, in which case RSUs linked to</w:t>
            </w:r>
          </w:p>
        </w:tc>
        <w:tc>
          <w:tcPr>
            <w:tcW w:w="0" w:type="dxa"/>
            <w:vAlign w:val="bottom"/>
          </w:tcPr>
          <w:p>
            <w:pPr>
              <w:spacing w:after="0"/>
              <w:rPr>
                <w:sz w:val="1"/>
                <w:szCs w:val="1"/>
                <w:color w:val="auto"/>
              </w:rPr>
            </w:pPr>
          </w:p>
        </w:tc>
      </w:tr>
      <w:tr>
        <w:trPr>
          <w:trHeight w:val="68"/>
        </w:trPr>
        <w:tc>
          <w:tcPr>
            <w:tcW w:w="21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(Price Hurdles $20, $25 and $35)</w:t>
            </w:r>
          </w:p>
        </w:tc>
        <w:tc>
          <w:tcPr>
            <w:tcW w:w="10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100" w:type="dxa"/>
            <w:vAlign w:val="bottom"/>
            <w:tcBorders>
              <w:left w:val="single" w:sz="8" w:color="auto"/>
              <w:right w:val="single" w:sz="8" w:color="auto"/>
            </w:tcBorders>
            <w:gridSpan w:val="2"/>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that hurdle will vest)</w:t>
            </w:r>
          </w:p>
        </w:tc>
        <w:tc>
          <w:tcPr>
            <w:tcW w:w="0" w:type="dxa"/>
            <w:vAlign w:val="bottom"/>
          </w:tcPr>
          <w:p>
            <w:pPr>
              <w:spacing w:after="0"/>
              <w:rPr>
                <w:sz w:val="1"/>
                <w:szCs w:val="1"/>
                <w:color w:val="auto"/>
              </w:rPr>
            </w:pPr>
          </w:p>
        </w:tc>
      </w:tr>
      <w:tr>
        <w:trPr>
          <w:trHeight w:val="76"/>
        </w:trPr>
        <w:tc>
          <w:tcPr>
            <w:tcW w:w="300" w:type="dxa"/>
            <w:vAlign w:val="bottom"/>
            <w:tcBorders>
              <w:left w:val="single" w:sz="8" w:color="auto"/>
              <w:bottom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35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color w:val="auto"/>
                <w:w w:val="82"/>
              </w:rPr>
              <w:t>2020</w:t>
            </w:r>
          </w:p>
        </w:tc>
        <w:tc>
          <w:tcPr>
            <w:tcW w:w="1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Time-Based – Award </w:t>
            </w:r>
            <w:r>
              <w:rPr>
                <w:rFonts w:ascii="Arial" w:cs="Arial" w:eastAsia="Arial" w:hAnsi="Arial"/>
                <w:sz w:val="16"/>
                <w:szCs w:val="16"/>
                <w:color w:val="auto"/>
                <w:vertAlign w:val="superscript"/>
              </w:rPr>
              <w:t>(1)</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10/1/2020</w:t>
            </w:r>
          </w:p>
        </w:tc>
        <w:tc>
          <w:tcPr>
            <w:tcW w:w="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6,250</w:t>
            </w:r>
          </w:p>
        </w:tc>
        <w:tc>
          <w:tcPr>
            <w:tcW w:w="1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6,250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3</w:t>
            </w:r>
          </w:p>
        </w:tc>
        <w:tc>
          <w:tcPr>
            <w:tcW w:w="13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6,250 RSUs to vest on 06/30/2021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20" w:right="40" w:hanging="412"/>
        <w:spacing w:after="0" w:line="250" w:lineRule="auto"/>
        <w:tabs>
          <w:tab w:leader="none" w:pos="444"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For all time-based awards except AIP – RSU awards, RSUs scheduled to vest within 12 months of the Separation Date shall vest 30 days after the Separation Date and any remaining unvested RSUs shall be forfeited as of the Separation Date, unless otherwise indicated in the Treatment column in the table above</w:t>
      </w:r>
    </w:p>
    <w:p>
      <w:pPr>
        <w:spacing w:after="0" w:line="77" w:lineRule="exact"/>
        <w:rPr>
          <w:rFonts w:ascii="Arial" w:cs="Arial" w:eastAsia="Arial" w:hAnsi="Arial"/>
          <w:sz w:val="20"/>
          <w:szCs w:val="20"/>
          <w:color w:val="auto"/>
        </w:rPr>
      </w:pPr>
    </w:p>
    <w:p>
      <w:pPr>
        <w:ind w:left="440" w:hanging="432"/>
        <w:spacing w:after="0"/>
        <w:tabs>
          <w:tab w:leader="none" w:pos="4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For all time-based AIP – RSU awards, all unvested RSUs shall vest 30 days after the date of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1240"/>
          </w:cols>
          <w:pgMar w:left="320" w:top="144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Full Release</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This Full Release (the “Release”), dated as of May 31, 2021 is made by </w:t>
      </w:r>
      <w:r>
        <w:rPr>
          <w:rFonts w:ascii="Arial" w:cs="Arial" w:eastAsia="Arial" w:hAnsi="Arial"/>
          <w:sz w:val="20"/>
          <w:szCs w:val="20"/>
          <w:b w:val="1"/>
          <w:bCs w:val="1"/>
          <w:color w:val="auto"/>
        </w:rPr>
        <w:t>Marcello Mastioni</w:t>
      </w:r>
      <w:r>
        <w:rPr>
          <w:rFonts w:ascii="Arial" w:cs="Arial" w:eastAsia="Arial" w:hAnsi="Arial"/>
          <w:sz w:val="20"/>
          <w:szCs w:val="20"/>
          <w:color w:val="auto"/>
        </w:rPr>
        <w:t xml:space="preserve"> (“Executive”) for the benefit of </w:t>
      </w:r>
      <w:r>
        <w:rPr>
          <w:rFonts w:ascii="Arial" w:cs="Arial" w:eastAsia="Arial" w:hAnsi="Arial"/>
          <w:sz w:val="20"/>
          <w:szCs w:val="20"/>
          <w:b w:val="1"/>
          <w:bCs w:val="1"/>
          <w:color w:val="auto"/>
        </w:rPr>
        <w:t>Altisource S.à</w:t>
      </w:r>
      <w:r>
        <w:rPr>
          <w:rFonts w:ascii="Arial" w:cs="Arial" w:eastAsia="Arial" w:hAnsi="Arial"/>
          <w:sz w:val="20"/>
          <w:szCs w:val="20"/>
          <w:color w:val="auto"/>
        </w:rPr>
        <w:t xml:space="preserve"> </w:t>
      </w:r>
      <w:r>
        <w:rPr>
          <w:rFonts w:ascii="Arial" w:cs="Arial" w:eastAsia="Arial" w:hAnsi="Arial"/>
          <w:sz w:val="20"/>
          <w:szCs w:val="20"/>
          <w:b w:val="1"/>
          <w:bCs w:val="1"/>
          <w:color w:val="auto"/>
        </w:rPr>
        <w:t>r.l.</w:t>
      </w:r>
      <w:r>
        <w:rPr>
          <w:rFonts w:ascii="Arial" w:cs="Arial" w:eastAsia="Arial" w:hAnsi="Arial"/>
          <w:sz w:val="20"/>
          <w:szCs w:val="20"/>
          <w:color w:val="auto"/>
        </w:rPr>
        <w:t>, with registered offices at 40, avenue Monterey, L-2163 Luxembourg and registered at the Luxembourg Trade and Companies Register</w:t>
      </w:r>
      <w:r>
        <w:rPr>
          <w:rFonts w:ascii="Arial" w:cs="Arial" w:eastAsia="Arial" w:hAnsi="Arial"/>
          <w:sz w:val="20"/>
          <w:szCs w:val="20"/>
          <w:b w:val="1"/>
          <w:bCs w:val="1"/>
          <w:color w:val="auto"/>
        </w:rPr>
        <w:t xml:space="preserve"> </w:t>
      </w:r>
      <w:r>
        <w:rPr>
          <w:rFonts w:ascii="Arial" w:cs="Arial" w:eastAsia="Arial" w:hAnsi="Arial"/>
          <w:sz w:val="20"/>
          <w:szCs w:val="20"/>
          <w:color w:val="auto"/>
        </w:rPr>
        <w:t>under number B.147.268 (the “Company” and, together with any successor entities, parent companies, subsidiaries and affiliates, including Altisource Portfolio Solutions S.A., “Altisource”).</w:t>
      </w:r>
    </w:p>
    <w:p>
      <w:pPr>
        <w:spacing w:after="0" w:line="82"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WHEREAS, this Release is given by Executive pursuant to that Settlement Agreement and Full Release dated April XX, 2021 by and between the Parties (the “Agreement”). Capitalized terms not otherwise defined in this Release will have the meaning set forth in the Agreement.</w:t>
      </w:r>
    </w:p>
    <w:p>
      <w:pPr>
        <w:spacing w:after="0" w:line="79"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In consideration of the consideration, mutual covenants and agreements contained in the Agreement and other good and valuable consideration, the receipt and sufficiency of which are hereby acknowledged, the Executive agrees as follows:</w:t>
      </w:r>
    </w:p>
    <w:p>
      <w:pPr>
        <w:spacing w:after="0" w:line="67" w:lineRule="exact"/>
        <w:rPr>
          <w:sz w:val="20"/>
          <w:szCs w:val="20"/>
          <w:color w:val="auto"/>
        </w:rPr>
      </w:pPr>
    </w:p>
    <w:p>
      <w:pPr>
        <w:jc w:val="both"/>
        <w:ind w:left="660" w:hanging="328"/>
        <w:spacing w:after="0" w:line="292"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Except for any consideration set forth in section 4 of the Agreement and base salary owed through the Separation Date, Executive acknowledges that he has been paid all compensation and benefits due to him and waives any right to additional compensation or consideration whatsoever.</w:t>
      </w:r>
    </w:p>
    <w:p>
      <w:pPr>
        <w:spacing w:after="0" w:line="78" w:lineRule="exact"/>
        <w:rPr>
          <w:rFonts w:ascii="Arial" w:cs="Arial" w:eastAsia="Arial" w:hAnsi="Arial"/>
          <w:sz w:val="20"/>
          <w:szCs w:val="20"/>
          <w:color w:val="auto"/>
        </w:rPr>
      </w:pPr>
    </w:p>
    <w:p>
      <w:pPr>
        <w:jc w:val="both"/>
        <w:ind w:left="660" w:hanging="328"/>
        <w:spacing w:after="0" w:line="31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hereby: (i) waives any and all rights to salary, incentive compensation and other benefits, whether earned or unearned, and whether due or to become due, after the Separation Date, except as set forth in section 4 of the Agreement; (ii) except as set forth in section 4 of the Agreement, waives any and all claims to any equity-based compensation granted, allocated, assigned or otherwise attributed to the Executive prior to the Separation Date (whether vested or unvested), including any equity-based compensation that purports to give the employee the right to benefit from or participate in the appreciation or increase in value of, or profits or dividends from, any division, business unit or other sub-division of Altisource, including without limitation, any award granted, allocated, assigned or otherwise attributed to the employee; and (iii) fully and forever releases and discharges from liability, and covenants not to sue Altisource or its officers, directors, managers, employees, counsel and agents and representatives of any sort, both present and former, for any and all claims, damages, actions and causes of action, arising from the beginning of time until the execution of the Agreement by Executive, whether in contract, tort, negligence or otherwise, in law or in equity, of every nature which Executive may ever have had, or now has, which are known or may subsequently be discovered by Executive arising out of, in connection with or related to Executive’s recruitment, hiring, employment with Altisource and/or separation from employment with Altisource, the acts or omissions of Altisource, including but not limited to any contracts, agreements and promises, written and oral; claims for wrongful termination actions of any type (such as claim for indemnity for non-pecuniary loss “indemnité pour préjudice moral”, indemnity for material injury “indemnité pour préjudice matériel”, indemnity for improper nature of the dismissal procedure “indemnité pour licenciement irrégulier pour vice de forme”, compensatory allowance for notice period “indemnité compensatoire de préavis”, and severance pay “indemnité de départ”), breach of express or implied covenant of good faith and fair dealing; intentional or negligent infliction of emotional distress; intentional or negligent failure to supervise, train, hire or dismiss; claims for fraud, misrepresentation, libel, slander or invasion of privacy and claim on salary arrears or overtime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10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6" w:lineRule="exact"/>
        <w:rPr>
          <w:sz w:val="20"/>
          <w:szCs w:val="20"/>
          <w:color w:val="auto"/>
        </w:rPr>
      </w:pPr>
    </w:p>
    <w:p>
      <w:pPr>
        <w:jc w:val="both"/>
        <w:ind w:left="660"/>
        <w:spacing w:after="0" w:line="288" w:lineRule="auto"/>
        <w:rPr>
          <w:sz w:val="20"/>
          <w:szCs w:val="20"/>
          <w:color w:val="auto"/>
        </w:rPr>
      </w:pPr>
      <w:r>
        <w:rPr>
          <w:rFonts w:ascii="Arial" w:cs="Arial" w:eastAsia="Arial" w:hAnsi="Arial"/>
          <w:sz w:val="20"/>
          <w:szCs w:val="20"/>
          <w:color w:val="auto"/>
        </w:rPr>
        <w:t>payment, compensation for legal or contractual holidays not taken by Executive, reimbursement of expenses, bonuses, commissions or premiums, entertainment expenses, options, warrants, relocation costs, contributions in a supplementary pension plan, other elements of the remuneration or salary, damages, allocation portion of profits, special advantages, etc, without exception nor reservation.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Executive hereby voluntarily and knowingly enters into and gives this Release.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MARCELLO MASTIONI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By: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251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Acknowledged and received by: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ALTISOURCE S.À 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By: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28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10</w:t>
      </w:r>
    </w:p>
    <w:p>
      <w:pPr>
        <w:sectPr>
          <w:pgSz w:w="11900" w:h="16838" w:orient="portrait"/>
          <w:cols w:equalWidth="0" w:num="1">
            <w:col w:w="11240"/>
          </w:cols>
          <w:pgMar w:left="320" w:top="1440" w:right="339" w:bottom="1440" w:gutter="0" w:footer="0" w:header="0"/>
        </w:sectPr>
      </w:pPr>
    </w:p>
    <w:bookmarkStart w:id="56" w:name="page57"/>
    <w:bookmarkEnd w:id="56"/>
    <w:p>
      <w:pPr>
        <w:ind w:left="10320"/>
        <w:spacing w:after="0"/>
        <w:rPr>
          <w:sz w:val="20"/>
          <w:szCs w:val="20"/>
          <w:color w:val="auto"/>
        </w:rPr>
      </w:pPr>
      <w:r>
        <w:rPr>
          <w:rFonts w:ascii="Arial" w:cs="Arial" w:eastAsia="Arial" w:hAnsi="Arial"/>
          <w:sz w:val="16"/>
          <w:szCs w:val="16"/>
          <w:b w:val="1"/>
          <w:bCs w:val="1"/>
          <w:color w:val="auto"/>
        </w:rPr>
        <w:t>Exhibit 10.3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POST -SEPARATION COVENANT AGREEMENT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This Post-Separation Covenant Agreement (the “Covenant Agreement”) dated as of April 28, 2021 is by and between </w:t>
      </w:r>
      <w:r>
        <w:rPr>
          <w:rFonts w:ascii="Arial" w:cs="Arial" w:eastAsia="Arial" w:hAnsi="Arial"/>
          <w:sz w:val="20"/>
          <w:szCs w:val="20"/>
          <w:b w:val="1"/>
          <w:bCs w:val="1"/>
          <w:color w:val="auto"/>
        </w:rPr>
        <w:t>Marcello Mastioni</w:t>
      </w:r>
      <w:r>
        <w:rPr>
          <w:rFonts w:ascii="Arial" w:cs="Arial" w:eastAsia="Arial" w:hAnsi="Arial"/>
          <w:sz w:val="20"/>
          <w:szCs w:val="20"/>
          <w:color w:val="auto"/>
        </w:rPr>
        <w:t xml:space="preserve"> (“Executive”) and </w:t>
      </w:r>
      <w:r>
        <w:rPr>
          <w:rFonts w:ascii="Arial" w:cs="Arial" w:eastAsia="Arial" w:hAnsi="Arial"/>
          <w:sz w:val="20"/>
          <w:szCs w:val="20"/>
          <w:b w:val="1"/>
          <w:bCs w:val="1"/>
          <w:color w:val="auto"/>
        </w:rPr>
        <w:t>Altisource S.à r.l.</w:t>
      </w:r>
      <w:r>
        <w:rPr>
          <w:rFonts w:ascii="Arial" w:cs="Arial" w:eastAsia="Arial" w:hAnsi="Arial"/>
          <w:sz w:val="20"/>
          <w:szCs w:val="20"/>
          <w:color w:val="auto"/>
        </w:rPr>
        <w:t>, with registered offices at 40, avenue Monterey, L-2163 Luxembourg and registered at the Luxembourg Trade and Companies Register under number B.147.268 (the “Company” and, together with any successor entities, parent companies, subsidiaries and affiliates, including Altisource Portfolio Solutions S.A., “Altisource”) (Executive and Altisource each may be referred to herein as “Party” and collectively as the “Parties”).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162" w:lineRule="exact"/>
        <w:rPr>
          <w:sz w:val="20"/>
          <w:szCs w:val="20"/>
          <w:color w:val="auto"/>
        </w:rPr>
      </w:pPr>
    </w:p>
    <w:p>
      <w:pPr>
        <w:ind w:left="340" w:right="20" w:hanging="324"/>
        <w:spacing w:after="0" w:line="274" w:lineRule="auto"/>
        <w:rPr>
          <w:sz w:val="20"/>
          <w:szCs w:val="20"/>
          <w:color w:val="auto"/>
        </w:rPr>
      </w:pPr>
      <w:r>
        <w:rPr>
          <w:rFonts w:ascii="Arial" w:cs="Arial" w:eastAsia="Arial" w:hAnsi="Arial"/>
          <w:sz w:val="20"/>
          <w:szCs w:val="20"/>
          <w:color w:val="auto"/>
        </w:rPr>
        <w:t>– The Parties contemporaneously with entering into this Covenant Agreement entered into that certain Settlement Agreement and Full Release dated April 28, 2021 (the “Settlement Agreement”);</w:t>
      </w:r>
    </w:p>
    <w:p>
      <w:pPr>
        <w:spacing w:after="0" w:line="109" w:lineRule="exact"/>
        <w:rPr>
          <w:sz w:val="20"/>
          <w:szCs w:val="20"/>
          <w:color w:val="auto"/>
        </w:rPr>
      </w:pPr>
    </w:p>
    <w:p>
      <w:pPr>
        <w:ind w:left="340" w:right="20" w:hanging="324"/>
        <w:spacing w:after="0" w:line="274" w:lineRule="auto"/>
        <w:rPr>
          <w:sz w:val="20"/>
          <w:szCs w:val="20"/>
          <w:color w:val="auto"/>
        </w:rPr>
      </w:pPr>
      <w:r>
        <w:rPr>
          <w:rFonts w:ascii="Arial" w:cs="Arial" w:eastAsia="Arial" w:hAnsi="Arial"/>
          <w:sz w:val="20"/>
          <w:szCs w:val="20"/>
          <w:color w:val="auto"/>
        </w:rPr>
        <w:t>– The parties intend for consideration provided pursuant to the Settlement Agreement to also constitute consideration for this Covenant Agreement.</w:t>
      </w:r>
    </w:p>
    <w:p>
      <w:pPr>
        <w:spacing w:after="0" w:line="109"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In consideration of the mutual covenants and agreements contained herein and in the Settlement Agreement, and other good and valuable consideration, the receipt and sufficiency of which are hereby acknowledged, the Parties hereto agree as follows:</w:t>
      </w:r>
    </w:p>
    <w:p>
      <w:pPr>
        <w:spacing w:after="0" w:line="54" w:lineRule="exact"/>
        <w:rPr>
          <w:sz w:val="20"/>
          <w:szCs w:val="20"/>
          <w:color w:val="auto"/>
        </w:rPr>
      </w:pPr>
    </w:p>
    <w:p>
      <w:pPr>
        <w:jc w:val="both"/>
        <w:ind w:left="340" w:hanging="332"/>
        <w:spacing w:after="0" w:line="345" w:lineRule="auto"/>
        <w:tabs>
          <w:tab w:leader="none" w:pos="34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Violation of any provision of the Settlement Agreement by Executive will entitle the Company, in addition to and not in limitation of any and all other remedies available to the Company at law or in equity, to recover any and all consideration provided to Executive pursuant to section 4 of the Settlement Agreement. In addition, all payments and benefits made to Executive pursuant to the Settlement Agreement shall be subject to claw-back by Altisource to the extent required by applicable law or pursuant to any Altisource claw-back policy.</w:t>
      </w:r>
    </w:p>
    <w:p>
      <w:pPr>
        <w:spacing w:after="0" w:line="76" w:lineRule="exact"/>
        <w:rPr>
          <w:rFonts w:ascii="Arial" w:cs="Arial" w:eastAsia="Arial" w:hAnsi="Arial"/>
          <w:sz w:val="16"/>
          <w:szCs w:val="16"/>
          <w:b w:val="1"/>
          <w:bCs w:val="1"/>
          <w:color w:val="auto"/>
        </w:rPr>
      </w:pPr>
    </w:p>
    <w:p>
      <w:pPr>
        <w:jc w:val="both"/>
        <w:ind w:left="340" w:hanging="332"/>
        <w:spacing w:after="0" w:line="292" w:lineRule="auto"/>
        <w:tabs>
          <w:tab w:leader="none" w:pos="3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Sections 12 through 14 (inclusive) of the Settlement Agreement are hereby incorporated each in its entirety into this Covenant Agreement; provided, however, that references to “Agreement” in such provisions will be deemed to refer to “Covenant Agreement,” as applicable.</w:t>
      </w:r>
    </w:p>
    <w:p>
      <w:pPr>
        <w:spacing w:after="0" w:line="78" w:lineRule="exact"/>
        <w:rPr>
          <w:rFonts w:ascii="Arial" w:cs="Arial" w:eastAsia="Arial" w:hAnsi="Arial"/>
          <w:sz w:val="20"/>
          <w:szCs w:val="20"/>
          <w:b w:val="1"/>
          <w:bCs w:val="1"/>
          <w:color w:val="auto"/>
        </w:rPr>
      </w:pPr>
    </w:p>
    <w:p>
      <w:pPr>
        <w:ind w:left="340" w:hanging="332"/>
        <w:spacing w:after="0" w:line="303" w:lineRule="auto"/>
        <w:tabs>
          <w:tab w:leader="none" w:pos="3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If Executive exercises his revocation rights pursuant to Section 15 of the Settlement Agreement, this Covenant Agreement shall be null and void.</w:t>
      </w:r>
    </w:p>
    <w:p>
      <w:pPr>
        <w:spacing w:after="0" w:line="67" w:lineRule="exact"/>
        <w:rPr>
          <w:rFonts w:ascii="Arial" w:cs="Arial" w:eastAsia="Arial" w:hAnsi="Arial"/>
          <w:sz w:val="20"/>
          <w:szCs w:val="20"/>
          <w:b w:val="1"/>
          <w:bCs w:val="1"/>
          <w:color w:val="auto"/>
        </w:rPr>
      </w:pPr>
    </w:p>
    <w:p>
      <w:pPr>
        <w:jc w:val="both"/>
        <w:ind w:left="340" w:hanging="332"/>
        <w:spacing w:after="0" w:line="288" w:lineRule="auto"/>
        <w:tabs>
          <w:tab w:leader="none" w:pos="3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It is the intention of the Parties hereto that all questions with respect to the construction of this Covenant Agreement and the rights and liabilities of the Parties hereunder shall be determined in accordance with the laws of the Grand Duchy of Luxembourg. Any dispute with respect to the construction of this Covenant Agreement and the rights and liabilities of the Parties hereunder will be brought before the courts and tribunals in the district of Luxembourg City.</w:t>
      </w:r>
    </w:p>
    <w:p>
      <w:pPr>
        <w:spacing w:after="0" w:line="84" w:lineRule="exact"/>
        <w:rPr>
          <w:rFonts w:ascii="Arial" w:cs="Arial" w:eastAsia="Arial" w:hAnsi="Arial"/>
          <w:sz w:val="20"/>
          <w:szCs w:val="20"/>
          <w:b w:val="1"/>
          <w:bCs w:val="1"/>
          <w:color w:val="auto"/>
        </w:rPr>
      </w:pPr>
    </w:p>
    <w:p>
      <w:pPr>
        <w:jc w:val="both"/>
        <w:ind w:left="340" w:hanging="332"/>
        <w:spacing w:after="0" w:line="288" w:lineRule="auto"/>
        <w:tabs>
          <w:tab w:leader="none" w:pos="3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This Covenant Agreement together with the Settlement Agreement (including the Exhibits thereto and the Full Release provided by Executive pursuant to the Settlement Agreement) set forth all the promises and agreements between the Parties concerning Executive’s separation of employment and supersede all prior and contemporaneous agreements, understandings, inducements or conditions, express or implied, oral or written, except as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20"/>
        <w:spacing w:after="0"/>
        <w:rPr>
          <w:sz w:val="20"/>
          <w:szCs w:val="20"/>
          <w:color w:val="auto"/>
        </w:rPr>
      </w:pPr>
      <w:r>
        <w:rPr>
          <w:rFonts w:ascii="Arial" w:cs="Arial" w:eastAsia="Arial" w:hAnsi="Arial"/>
          <w:sz w:val="19"/>
          <w:szCs w:val="19"/>
          <w:color w:val="auto"/>
        </w:rPr>
        <w:t>Page 1 of 2</w:t>
      </w:r>
    </w:p>
    <w:p>
      <w:pPr>
        <w:sectPr>
          <w:pgSz w:w="11900" w:h="16838" w:orient="portrait"/>
          <w:cols w:equalWidth="0" w:num="1">
            <w:col w:w="11240"/>
          </w:cols>
          <w:pgMar w:left="320" w:top="1417" w:right="339" w:bottom="1440" w:gutter="0" w:footer="0" w:header="0"/>
        </w:sectPr>
      </w:pPr>
    </w:p>
    <w:bookmarkStart w:id="57" w:name="page58"/>
    <w:bookmarkEnd w:id="57"/>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hereby voluntarily and knowingly enter into this Covenant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MARCELLO MASTIONI</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ALTISOURCE S.À R.L.</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 of 2</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May 10, 2021</w:t>
            </w:r>
          </w:p>
        </w:tc>
        <w:tc>
          <w:tcPr>
            <w:tcW w:w="7180" w:type="dxa"/>
            <w:vAlign w:val="bottom"/>
            <w:gridSpan w:val="2"/>
          </w:tcPr>
          <w:p>
            <w:pPr>
              <w:ind w:left="2320"/>
              <w:spacing w:after="0"/>
              <w:rPr>
                <w:sz w:val="20"/>
                <w:szCs w:val="20"/>
                <w:color w:val="auto"/>
              </w:rPr>
            </w:pPr>
            <w:r>
              <w:rPr>
                <w:rFonts w:ascii="Arial" w:cs="Arial" w:eastAsia="Arial" w:hAnsi="Arial"/>
                <w:sz w:val="18"/>
                <w:szCs w:val="18"/>
                <w:color w:val="auto"/>
              </w:rPr>
              <w:t>By:   /s/ William B. Shepro</w:t>
            </w:r>
          </w:p>
        </w:tc>
      </w:tr>
      <w:tr>
        <w:trPr>
          <w:trHeight w:val="222"/>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30"/>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May 10, 2021</w:t>
            </w:r>
          </w:p>
        </w:tc>
        <w:tc>
          <w:tcPr>
            <w:tcW w:w="7180" w:type="dxa"/>
            <w:vAlign w:val="bottom"/>
            <w:gridSpan w:val="2"/>
          </w:tcPr>
          <w:p>
            <w:pPr>
              <w:ind w:left="2320"/>
              <w:spacing w:after="0"/>
              <w:rPr>
                <w:sz w:val="20"/>
                <w:szCs w:val="20"/>
                <w:color w:val="auto"/>
              </w:rPr>
            </w:pPr>
            <w:r>
              <w:rPr>
                <w:rFonts w:ascii="Arial" w:cs="Arial" w:eastAsia="Arial" w:hAnsi="Arial"/>
                <w:sz w:val="18"/>
                <w:szCs w:val="18"/>
                <w:color w:val="auto"/>
              </w:rPr>
              <w:t>By:   /s/ Michelle D. Esterman</w:t>
            </w:r>
          </w:p>
        </w:tc>
      </w:tr>
      <w:tr>
        <w:trPr>
          <w:trHeight w:val="222"/>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37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3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340" w:right="218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2021</w:t>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(the “Company”) for the quarterly period ended March 31, 2021,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214" w:lineRule="exact"/>
        <w:rPr>
          <w:sz w:val="20"/>
          <w:szCs w:val="20"/>
          <w:color w:val="auto"/>
        </w:rPr>
      </w:pPr>
    </w:p>
    <w:p>
      <w:pPr>
        <w:ind w:left="720" w:hanging="388"/>
        <w:spacing w:after="0"/>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63" w:lineRule="exact"/>
        <w:rPr>
          <w:rFonts w:ascii="Arial" w:cs="Arial" w:eastAsia="Arial" w:hAnsi="Arial"/>
          <w:sz w:val="17"/>
          <w:szCs w:val="17"/>
          <w:color w:val="auto"/>
        </w:rPr>
      </w:pPr>
    </w:p>
    <w:p>
      <w:pPr>
        <w:ind w:left="720" w:hanging="388"/>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29"/>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May 10, 2021</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May 10,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Roman"/>
      <w:start w:val="2"/>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lvl w:ilvl="1">
      <w:lvlJc w:val="left"/>
      <w:lvlText w:val="(%2)"/>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7">
    <w:nsid w:val="189A769B"/>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lvl w:ilvl="3">
      <w:lvlJc w:val="left"/>
      <w:lvlText w:val="%4."/>
      <w:numFmt w:val="decimal"/>
      <w:start w:val="1"/>
    </w:lvl>
  </w:abstractNum>
  <w:abstractNum w:abstractNumId="18">
    <w:nsid w:val="54E49EB4"/>
    <w:multiLevelType w:val="hybridMultilevel"/>
    <w:lvl w:ilvl="0">
      <w:lvlJc w:val="left"/>
      <w:lvlText w:val="%1."/>
      <w:numFmt w:val="lowerLetter"/>
      <w:start w:val="6"/>
    </w:lvl>
    <w:lvl w:ilvl="1">
      <w:lvlJc w:val="left"/>
      <w:lvlText w:val="%2."/>
      <w:numFmt w:val="lowerRoman"/>
      <w:start w:val="1"/>
    </w:lvl>
  </w:abstractNum>
  <w:abstractNum w:abstractNumId="19">
    <w:nsid w:val="71F3245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0">
    <w:nsid w:val="2CA8861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1">
    <w:nsid w:val="836C40E"/>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22">
    <w:nsid w:val="2901D82"/>
    <w:multiLevelType w:val="hybridMultilevel"/>
    <w:lvl w:ilvl="0">
      <w:lvlJc w:val="left"/>
      <w:lvlText w:val="1"/>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decimal"/>
      <w:start w:val="6"/>
    </w:lvl>
  </w:abstractNum>
  <w:abstractNum w:abstractNumId="27">
    <w:nsid w:val="737B8DDC"/>
    <w:multiLevelType w:val="hybridMultilevel"/>
    <w:lvl w:ilvl="0">
      <w:lvlJc w:val="left"/>
      <w:lvlText w:val="%1."/>
      <w:numFmt w:val="decimal"/>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endash "/>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2021-05-10T06:05:07Z</dcterms:created>
  <dcterms:modified xsi:type="dcterms:W3CDTF">2021-05-10T06:05:07Z</dcterms:modified>
</cp:coreProperties>
</file>