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812800</wp:posOffset>
            </wp:positionH>
            <wp:positionV relativeFrom="page">
              <wp:posOffset>821055</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page">
              <wp:posOffset>812800</wp:posOffset>
            </wp:positionH>
            <wp:positionV relativeFrom="page">
              <wp:posOffset>779145</wp:posOffset>
            </wp:positionV>
            <wp:extent cx="65913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1714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111760</wp:posOffset>
            </wp:positionV>
            <wp:extent cx="2002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48895</wp:posOffset>
            </wp:positionV>
            <wp:extent cx="2002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20"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(Mark One)</w:t>
      </w:r>
    </w:p>
    <w:p>
      <w:pPr>
        <w:spacing w:after="0" w:line="39" w:lineRule="exact"/>
        <w:rPr>
          <w:sz w:val="24"/>
          <w:szCs w:val="24"/>
          <w:color w:val="auto"/>
        </w:rPr>
      </w:pPr>
    </w:p>
    <w:p>
      <w:pPr>
        <w:ind w:left="1000" w:hanging="597"/>
        <w:spacing w:after="0"/>
        <w:tabs>
          <w:tab w:leader="none" w:pos="10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quarterly period ended September 30,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7" w:lineRule="exact"/>
        <w:rPr>
          <w:sz w:val="24"/>
          <w:szCs w:val="24"/>
          <w:color w:val="auto"/>
        </w:rPr>
      </w:pPr>
    </w:p>
    <w:p>
      <w:pPr>
        <w:ind w:left="1000" w:hanging="597"/>
        <w:spacing w:after="0"/>
        <w:tabs>
          <w:tab w:leader="none" w:pos="10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7" w:lineRule="exact"/>
        <w:rPr>
          <w:rFonts w:ascii="MS PGothic" w:cs="MS PGothic" w:eastAsia="MS PGothic" w:hAnsi="MS PGothic"/>
          <w:sz w:val="21"/>
          <w:szCs w:val="21"/>
          <w:color w:val="auto"/>
        </w:rPr>
      </w:pPr>
    </w:p>
    <w:p>
      <w:pPr>
        <w:ind w:left="438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transition period from to</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159385</wp:posOffset>
            </wp:positionV>
            <wp:extent cx="2002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120650</wp:posOffset>
            </wp:positionV>
            <wp:extent cx="2002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500" w:type="dxa"/>
            <w:vAlign w:val="bottom"/>
            <w:gridSpan w:val="3"/>
          </w:tcPr>
          <w:p>
            <w:pPr>
              <w:jc w:val="center"/>
              <w:ind w:left="1047"/>
              <w:spacing w:after="0"/>
              <w:rPr>
                <w:sz w:val="20"/>
                <w:szCs w:val="20"/>
                <w:color w:val="auto"/>
              </w:rPr>
            </w:pPr>
            <w:r>
              <w:rPr>
                <w:rFonts w:ascii="Times New Roman" w:cs="Times New Roman" w:eastAsia="Times New Roman" w:hAnsi="Times New Roman"/>
                <w:sz w:val="18"/>
                <w:szCs w:val="18"/>
                <w:b w:val="1"/>
                <w:bCs w:val="1"/>
                <w:color w:val="auto"/>
                <w:w w:val="97"/>
              </w:rPr>
              <w:t>Luxembourg</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jc w:val="right"/>
              <w:ind w:right="2346"/>
              <w:spacing w:after="0"/>
              <w:rPr>
                <w:sz w:val="20"/>
                <w:szCs w:val="20"/>
                <w:color w:val="auto"/>
              </w:rPr>
            </w:pPr>
            <w:r>
              <w:rPr>
                <w:rFonts w:ascii="Times New Roman" w:cs="Times New Roman" w:eastAsia="Times New Roman" w:hAnsi="Times New Roman"/>
                <w:sz w:val="18"/>
                <w:szCs w:val="18"/>
                <w:b w:val="1"/>
                <w:bCs w:val="1"/>
                <w:color w:val="auto"/>
              </w:rPr>
              <w:t>98-0554932</w:t>
            </w:r>
          </w:p>
        </w:tc>
      </w:tr>
      <w:tr>
        <w:trPr>
          <w:trHeight w:val="184"/>
        </w:trPr>
        <w:tc>
          <w:tcPr>
            <w:tcW w:w="4500" w:type="dxa"/>
            <w:vAlign w:val="bottom"/>
            <w:gridSpan w:val="3"/>
          </w:tcPr>
          <w:p>
            <w:pPr>
              <w:jc w:val="center"/>
              <w:ind w:left="102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0" w:type="dxa"/>
            <w:vAlign w:val="bottom"/>
          </w:tcPr>
          <w:p>
            <w:pPr>
              <w:jc w:val="center"/>
              <w:ind w:right="1606"/>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48"/>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33, Boulevard Prince Henri</w:t>
            </w:r>
          </w:p>
        </w:tc>
        <w:tc>
          <w:tcPr>
            <w:tcW w:w="4000" w:type="dxa"/>
            <w:vAlign w:val="bottom"/>
          </w:tcPr>
          <w:p>
            <w:pPr>
              <w:spacing w:after="0"/>
              <w:rPr>
                <w:sz w:val="24"/>
                <w:szCs w:val="24"/>
                <w:color w:val="auto"/>
              </w:rPr>
            </w:pP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L-1724 Luxembourg</w:t>
            </w:r>
          </w:p>
        </w:tc>
        <w:tc>
          <w:tcPr>
            <w:tcW w:w="4000" w:type="dxa"/>
            <w:vAlign w:val="bottom"/>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Grand Duchy of Luxembourg</w:t>
            </w:r>
          </w:p>
        </w:tc>
        <w:tc>
          <w:tcPr>
            <w:tcW w:w="4000" w:type="dxa"/>
            <w:vAlign w:val="bottom"/>
          </w:tcPr>
          <w:p>
            <w:pPr>
              <w:spacing w:after="0"/>
              <w:rPr>
                <w:sz w:val="18"/>
                <w:szCs w:val="18"/>
                <w:color w:val="auto"/>
              </w:rPr>
            </w:pPr>
          </w:p>
        </w:tc>
      </w:tr>
      <w:tr>
        <w:trPr>
          <w:trHeight w:val="184"/>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5"/>
                <w:szCs w:val="15"/>
                <w:color w:val="auto"/>
              </w:rPr>
            </w:pPr>
          </w:p>
        </w:tc>
      </w:tr>
      <w:tr>
        <w:trPr>
          <w:trHeight w:val="306"/>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(352) 2060 2055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4"/>
        </w:trPr>
        <w:tc>
          <w:tcPr>
            <w:tcW w:w="7240" w:type="dxa"/>
            <w:vAlign w:val="bottom"/>
            <w:gridSpan w:val="6"/>
          </w:tcPr>
          <w:p>
            <w:pPr>
              <w:jc w:val="center"/>
              <w:ind w:left="3927"/>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5"/>
                <w:szCs w:val="15"/>
                <w:color w:val="auto"/>
              </w:rPr>
            </w:pPr>
          </w:p>
        </w:tc>
      </w:tr>
      <w:tr>
        <w:trPr>
          <w:trHeight w:val="225"/>
        </w:trPr>
        <w:tc>
          <w:tcPr>
            <w:tcW w:w="45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92"/>
        </w:trPr>
        <w:tc>
          <w:tcPr>
            <w:tcW w:w="4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00" w:type="dxa"/>
            <w:vAlign w:val="bottom"/>
          </w:tcPr>
          <w:p>
            <w:pPr>
              <w:jc w:val="center"/>
              <w:ind w:right="30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00" w:type="dxa"/>
            <w:vAlign w:val="bottom"/>
          </w:tcPr>
          <w:p>
            <w:pPr>
              <w:spacing w:after="0"/>
              <w:rPr>
                <w:sz w:val="2"/>
                <w:szCs w:val="2"/>
                <w:color w:val="auto"/>
              </w:rPr>
            </w:pPr>
          </w:p>
        </w:tc>
      </w:tr>
      <w:tr>
        <w:trPr>
          <w:trHeight w:val="177"/>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ASPS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306"/>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9"/>
        </w:trPr>
        <w:tc>
          <w:tcPr>
            <w:tcW w:w="45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w w:val="99"/>
              </w:rPr>
              <w:t>Cash Exercise Stakeholder Warrants</w:t>
            </w:r>
          </w:p>
        </w:tc>
        <w:tc>
          <w:tcPr>
            <w:tcW w:w="27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w w:val="99"/>
              </w:rPr>
              <w:t>ASPSZ</w:t>
            </w:r>
          </w:p>
        </w:tc>
        <w:tc>
          <w:tcPr>
            <w:tcW w:w="4000" w:type="dxa"/>
            <w:vAlign w:val="bottom"/>
          </w:tcPr>
          <w:p>
            <w:pPr>
              <w:jc w:val="center"/>
              <w:ind w:right="306"/>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45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w w:val="99"/>
              </w:rPr>
              <w:t>Net Settle Stakeholder Warrants</w:t>
            </w:r>
          </w:p>
        </w:tc>
        <w:tc>
          <w:tcPr>
            <w:tcW w:w="27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w w:val="98"/>
              </w:rPr>
              <w:t>ASPSW</w:t>
            </w:r>
          </w:p>
        </w:tc>
        <w:tc>
          <w:tcPr>
            <w:tcW w:w="4000" w:type="dxa"/>
            <w:vAlign w:val="bottom"/>
          </w:tcPr>
          <w:p>
            <w:pPr>
              <w:jc w:val="center"/>
              <w:ind w:right="306"/>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94"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73" w:right="339" w:bottom="1440" w:gutter="0" w:footer="0" w:header="0"/>
        </w:sectPr>
      </w:pPr>
    </w:p>
    <w:p>
      <w:pPr>
        <w:spacing w:after="0" w:line="75" w:lineRule="exact"/>
        <w:rPr>
          <w:sz w:val="24"/>
          <w:szCs w:val="24"/>
          <w:color w:val="auto"/>
        </w:rPr>
      </w:pPr>
    </w:p>
    <w:p>
      <w:pPr>
        <w:ind w:left="140"/>
        <w:spacing w:after="0" w:line="330"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ind w:left="120"/>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tabs>
          <w:tab w:leader="none" w:pos="1300" w:val="left"/>
        </w:tabs>
        <w:rPr>
          <w:sz w:val="20"/>
          <w:szCs w:val="20"/>
          <w:color w:val="auto"/>
        </w:rPr>
      </w:pP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0" w:lineRule="exact"/>
        <w:rPr>
          <w:sz w:val="24"/>
          <w:szCs w:val="24"/>
          <w:color w:val="auto"/>
        </w:rPr>
      </w:pPr>
    </w:p>
    <w:p>
      <w:pPr>
        <w:sectPr>
          <w:pgSz w:w="11900" w:h="16838" w:orient="portrait"/>
          <w:cols w:equalWidth="0" w:num="4">
            <w:col w:w="1420" w:space="360"/>
            <w:col w:w="5540" w:space="720"/>
            <w:col w:w="1540" w:space="520"/>
            <w:col w:w="1140"/>
          </w:cols>
          <w:pgMar w:left="320" w:top="1373" w:right="339" w:bottom="1440" w:gutter="0" w:footer="0" w:header="0"/>
          <w:type w:val="continuous"/>
        </w:sectPr>
      </w:pPr>
    </w:p>
    <w:p>
      <w:pPr>
        <w:spacing w:after="0" w:line="310"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October 17, 2025, there were 10,991,850 outstanding shares of the registrant’s common stock (excluding 29,106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664845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71177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wp:posOffset>
            </wp:positionV>
            <wp:extent cx="7117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3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7780" w:type="dxa"/>
            <w:vAlign w:val="bottom"/>
            <w:gridSpan w:val="12"/>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340" w:type="dxa"/>
            <w:vAlign w:val="bottom"/>
            <w:tcBorders>
              <w:bottom w:val="single" w:sz="8" w:color="0000FF"/>
            </w:tcBorders>
            <w:gridSpan w:val="10"/>
            <w:vMerge w:val="continue"/>
          </w:tcPr>
          <w:p>
            <w:pPr>
              <w:spacing w:after="0"/>
              <w:rPr>
                <w:sz w:val="14"/>
                <w:szCs w:val="14"/>
                <w:color w:val="auto"/>
              </w:rPr>
            </w:pPr>
          </w:p>
        </w:tc>
        <w:tc>
          <w:tcPr>
            <w:tcW w:w="7780" w:type="dxa"/>
            <w:vAlign w:val="bottom"/>
            <w:gridSpan w:val="1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Interim Condensed Consolidated Financial Statements (Unaudited)</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560" w:type="dxa"/>
            <w:vAlign w:val="bottom"/>
            <w:tcBorders>
              <w:top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4280" w:type="dxa"/>
            <w:vAlign w:val="bottom"/>
            <w:gridSpan w:val="3"/>
          </w:tcPr>
          <w:p>
            <w:pPr>
              <w:spacing w:after="0"/>
              <w:rPr>
                <w:sz w:val="17"/>
                <w:szCs w:val="17"/>
                <w:color w:val="auto"/>
              </w:rPr>
            </w:pP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2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Operations and Comprehensive Income (Loss)</w:t>
            </w:r>
          </w:p>
        </w:tc>
        <w:tc>
          <w:tcPr>
            <w:tcW w:w="27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Equity (Deficit)</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Cash Flows</w:t>
            </w:r>
          </w:p>
        </w:tc>
        <w:tc>
          <w:tcPr>
            <w:tcW w:w="280" w:type="dxa"/>
            <w:vAlign w:val="bottom"/>
            <w:tcBorders>
              <w:top w:val="single" w:sz="8" w:color="0000FF"/>
            </w:tcBorders>
            <w:gridSpan w:val="2"/>
          </w:tcPr>
          <w:p>
            <w:pPr>
              <w:spacing w:after="0"/>
              <w:rPr>
                <w:sz w:val="17"/>
                <w:szCs w:val="17"/>
                <w:color w:val="auto"/>
              </w:rPr>
            </w:pPr>
          </w:p>
        </w:tc>
        <w:tc>
          <w:tcPr>
            <w:tcW w:w="490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9</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980" w:type="dxa"/>
            <w:vAlign w:val="bottom"/>
            <w:tcBorders>
              <w:left w:val="single" w:sz="8" w:color="0000FF"/>
            </w:tcBorders>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1A</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00" w:type="dxa"/>
            <w:vAlign w:val="bottom"/>
            <w:gridSpan w:val="2"/>
          </w:tcPr>
          <w:p>
            <w:pPr>
              <w:jc w:val="center"/>
              <w:ind w:left="413"/>
              <w:spacing w:after="0"/>
              <w:rPr>
                <w:sz w:val="20"/>
                <w:szCs w:val="20"/>
                <w:color w:val="auto"/>
              </w:rPr>
            </w:pPr>
            <w:r>
              <w:rPr>
                <w:rFonts w:ascii="Times New Roman" w:cs="Times New Roman" w:eastAsia="Times New Roman" w:hAnsi="Times New Roman"/>
                <w:sz w:val="18"/>
                <w:szCs w:val="18"/>
                <w:color w:val="0000FF"/>
              </w:rPr>
              <w:t>#</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980" w:type="dxa"/>
            <w:vAlign w:val="bottom"/>
            <w:tcBorders>
              <w:left w:val="single" w:sz="8" w:color="0000FF"/>
            </w:tcBorders>
            <w:gridSpan w:val="7"/>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760" w:type="dxa"/>
            <w:vAlign w:val="bottom"/>
            <w:gridSpan w:val="15"/>
          </w:tcPr>
          <w:p>
            <w:pPr>
              <w:ind w:left="448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1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$2,407 and $3,124, respectively</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60"/>
              <w:spacing w:after="0"/>
              <w:rPr>
                <w:sz w:val="20"/>
                <w:szCs w:val="20"/>
                <w:color w:val="auto"/>
              </w:rPr>
            </w:pPr>
            <w:r>
              <w:rPr>
                <w:rFonts w:ascii="Times New Roman" w:cs="Times New Roman" w:eastAsia="Times New Roman" w:hAnsi="Times New Roman"/>
                <w:sz w:val="16"/>
                <w:szCs w:val="16"/>
                <w:color w:val="auto"/>
              </w:rPr>
              <w:t>LIABILITIES AND DEFICIT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33,512</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271,273</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20,016</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regulatory matters (Note 21)</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Deficit: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2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Common stock ($0.01 par value; 250,000 shares authorized, 11,019 issued and 10,990 outstanding as of September 30, 2025;</w:t>
            </w: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3,745 issued and 3,403 outstanding as of December 31, 2024)</w:t>
            </w: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211,523</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(259,977)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(29 shares as of September 30, 2025 and 342 shares as of December 31, 2024)</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Altisource deficit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(157,376)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deficit</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(103,472)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deficit</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ALTISOURCE PORTFOLIO SOLUTIONS S.A. Condensed Consolidated Statements of Operations and Comprehensive (Loss) Income </w:t>
      </w:r>
      <w:r>
        <w:rPr>
          <w:rFonts w:ascii="Times New Roman" w:cs="Times New Roman" w:eastAsia="Times New Roman" w:hAnsi="Times New Roman"/>
          <w:sz w:val="18"/>
          <w:szCs w:val="18"/>
          <w:b w:val="1"/>
          <w:bCs w:val="1"/>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8"/>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40,531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119,121</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30,561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28,461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90,936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82,030</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37,091</w:t>
            </w:r>
          </w:p>
        </w:tc>
      </w:tr>
      <w:tr>
        <w:trPr>
          <w:trHeight w:val="214"/>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10,965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34,451</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w:t>
            </w:r>
          </w:p>
        </w:tc>
      </w:tr>
      <w:tr>
        <w:trPr>
          <w:trHeight w:val="21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(29,277)</w:t>
            </w:r>
          </w:p>
        </w:tc>
      </w:tr>
      <w:tr>
        <w:trPr>
          <w:trHeight w:val="214"/>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exchange transaction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w:t>
            </w:r>
          </w:p>
        </w:tc>
      </w:tr>
      <w:tr>
        <w:trPr>
          <w:trHeight w:val="207"/>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(27,134)</w:t>
            </w:r>
          </w:p>
        </w:tc>
      </w:tr>
      <w:tr>
        <w:trPr>
          <w:trHeight w:val="212"/>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(24,494)</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w:t>
            </w:r>
          </w:p>
        </w:tc>
      </w:tr>
      <w:tr>
        <w:trPr>
          <w:trHeight w:val="194"/>
        </w:trPr>
        <w:tc>
          <w:tcPr>
            <w:tcW w:w="6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(26,731)</w:t>
            </w: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19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Altisource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earnings per share: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2"/>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2"/>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3,559</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20" w:type="dxa"/>
            <w:vAlign w:val="bottom"/>
          </w:tcPr>
          <w:p>
            <w:pPr>
              <w:spacing w:after="0"/>
              <w:rPr>
                <w:sz w:val="18"/>
                <w:szCs w:val="18"/>
                <w:color w:val="auto"/>
              </w:rPr>
            </w:pP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9,062</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(26,731)</w:t>
            </w:r>
          </w:p>
        </w:tc>
      </w:tr>
      <w:tr>
        <w:trPr>
          <w:trHeight w:val="212"/>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194"/>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Altisource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9"/>
                <w:szCs w:val="9"/>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36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212"/>
        </w:trPr>
        <w:tc>
          <w:tcPr>
            <w:tcW w:w="3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2,213</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3"/>
                <w:szCs w:val="13"/>
                <w:color w:val="auto"/>
              </w:rPr>
            </w:pPr>
          </w:p>
        </w:tc>
        <w:tc>
          <w:tcPr>
            <w:tcW w:w="3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0"/>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209,019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(218,517)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(132,698)</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3"/>
                <w:szCs w:val="13"/>
                <w:color w:val="auto"/>
              </w:rPr>
            </w:pPr>
          </w:p>
        </w:tc>
        <w:tc>
          <w:tcPr>
            <w:tcW w:w="3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209,863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(234,351)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(140,200)</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3"/>
                <w:szCs w:val="13"/>
                <w:color w:val="auto"/>
              </w:rPr>
            </w:pPr>
          </w:p>
        </w:tc>
        <w:tc>
          <w:tcPr>
            <w:tcW w:w="3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0"/>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September 30,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210,702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(247,545)</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(112,580)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(148,686)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0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Non-</w:t>
            </w: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Treasury stock,</w:t>
            </w:r>
          </w:p>
        </w:tc>
        <w:tc>
          <w:tcPr>
            <w:tcW w:w="108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6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6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at cost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0" w:type="dxa"/>
            <w:vAlign w:val="bottom"/>
          </w:tcPr>
          <w:p>
            <w:pPr>
              <w:spacing w:after="0"/>
              <w:rPr>
                <w:sz w:val="1"/>
                <w:szCs w:val="1"/>
                <w:color w:val="auto"/>
              </w:rPr>
            </w:pPr>
          </w:p>
        </w:tc>
      </w:tr>
      <w:tr>
        <w:trPr>
          <w:trHeight w:val="212"/>
        </w:trPr>
        <w:tc>
          <w:tcPr>
            <w:tcW w:w="3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1,094</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42,179</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39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254,723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(119,029)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16,658</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fractional shares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255,228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(101,930)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1,308</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256,117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(103,472)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96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8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9,062</w:t>
            </w:r>
          </w:p>
        </w:tc>
        <w:tc>
          <w:tcPr>
            <w:tcW w:w="12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(26,731)</w:t>
            </w:r>
          </w:p>
        </w:tc>
      </w:tr>
      <w:tr>
        <w:trPr>
          <w:trHeight w:val="214"/>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 under operating leases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Paid-in-kind accrual</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premium</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and non-current operating lease liabilities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(16,500)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(3,624)</w:t>
            </w:r>
          </w:p>
        </w:tc>
      </w:tr>
      <w:tr>
        <w:trPr>
          <w:trHeight w:val="194"/>
        </w:trPr>
        <w:tc>
          <w:tcPr>
            <w:tcW w:w="8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to premises and equipment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4"/>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revolving loan agreement</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Super Senior Facility</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cash settle stakeholder warrants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issuance costs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fractional shares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on issuance of restricted share units and restricted shares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194"/>
        </w:trPr>
        <w:tc>
          <w:tcPr>
            <w:tcW w:w="8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r>
      <w:tr>
        <w:trPr>
          <w:trHeight w:val="194"/>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960" w:type="dxa"/>
            <w:vAlign w:val="bottom"/>
            <w:gridSpan w:val="5"/>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8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82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8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880" w:type="dxa"/>
            <w:vAlign w:val="bottom"/>
          </w:tcPr>
          <w:p>
            <w:pPr>
              <w:jc w:val="right"/>
              <w:ind w:right="706"/>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11,315</w:t>
            </w:r>
          </w:p>
        </w:tc>
        <w:tc>
          <w:tcPr>
            <w:tcW w:w="12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18,092</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(refunded) paid, net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right-of-use assets with operating lease liabilities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 of right-of-use assets from operating lease modifications or reassessments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2"/>
        </w:trPr>
        <w:tc>
          <w:tcPr>
            <w:tcW w:w="8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issued in exchange for debt reduction</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ind w:left="20" w:right="580"/>
        <w:spacing w:after="0" w:line="238"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unaudited condensed consolidated balance sheets and the unaudited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98"/>
        </w:trPr>
        <w:tc>
          <w:tcPr>
            <w:tcW w:w="8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28,339</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2,887</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reported in the statements of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(see Note 22 for a description of our business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 Certain prior year balance sheet amounts have been reclassified for consistency with the current year presentation.</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September 30, 2025, Lenders One had total assets of $1.0 million and total liabilities of $0.4 million. As of December 31, 2024, Lenders One had total assets of $0.5 million and total liabilities of $0.4 million.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Annual Report on Form 10-K for the year ended December 31, 2024, as filed with the SEC on March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Consolidation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28, 2025, Altisource Portfolio Solutions S.A. effected a consolidation of its shares of common stock (the “common stock”) (also known as a reverse stock split) at a ratio of 1-for-8 (the “Share Consolidation”). As a result of the Share Consolidation, every 8 shares of common stock outstanding immediately prior to effectiveness of the Share Consolidation were combined and converted into one share of common stock, reducing the total number of issued and outstanding shares from 88,129,766 to 11,016,220. No fractional shares were issued in connection with the Share Consolidation. Instead, shareholders received cash in lieu of fractional shares, based on the closing price of Altisource’s common stock on May 27,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Consolidation did not change the authorized number of shares of Altisource’s common stock.</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All share and per share amounts and exercise prices of stock options, and warrants in the accompanying condensed consolidated financial statements and notes to the condensed consolidated financial statements have been retroactively adjusted to reflect the Share Consolidation for all periods presented.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standard amends the Codification to enhance the transparency and decision usefulness of income tax disclosures, to provide information to better assess how an entity’s operations and related tax risks and tax planning and operational opportunities affect its tax rate and prospects for future cash flows. The Company adopted this standard effective January 1, 2025 and has applied it prospectively. Adoption of this new standard did not have a material impact on the Company’s condensed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This standard amends the Codification to enhance the disclosure requirements in the notes to the financial statements, of specified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costs and expenses in interim and year-end reporting periods. This standard will be effective for annual periods beginning after December 15, 2026, and for interim periods beginning after December 15, 2027. Early adoption of this standard is permitted. The Company is currently evaluating the impact this guidance may have on its condensed consolidated financial statements.</w:t>
      </w:r>
    </w:p>
    <w:p>
      <w:pPr>
        <w:spacing w:after="0" w:line="1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 Assets</w:t>
      </w:r>
      <w:r>
        <w:rPr>
          <w:rFonts w:ascii="Times New Roman" w:cs="Times New Roman" w:eastAsia="Times New Roman" w:hAnsi="Times New Roman"/>
          <w:sz w:val="18"/>
          <w:szCs w:val="18"/>
          <w:color w:val="auto"/>
        </w:rPr>
        <w:t>. This standard provides a practical expedient to assume that conditions as of the balance sheet date remains unchanged over the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estimating expected credit losses for current accounts receivable and current contract assets arising from transactions accounted for under Topic 606. This standard will be effective for annual periods beginning after December 15, 2025, and for interim periods within those annual reporting periods. Early adoption of this standard is permitted. The Company is currently evaluating the impact this guidance may have on its condensed consolidated financial statements.</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This standard adds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derivative scope exception for certain non-exchange-traded contracts whose underlying is based on operations or activities specific to one party, and clarifies that share-based payments received from a customer in a revenue contract should be accounted for under ASC 606 until the entity’s right to receive or retain them is unconditional. This standard will be effective for annual periods beginning after December 15, 2026, and for interim periods within those annual reporting periods. Early adoption of this standard is permitted. The Company is currently evaluating the impact this guidance may have on its condensed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CUSTOMER CONCENTRATION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Onity Group Inc. (together with its subsidiaries, “Onity”) (formerly Ocwen Financial Corporation, or “Ocwen”) is a residential mortgage loan servicer of mortgage servicing rights (“MSRs”) it owns, including those MSRs in which others have an economic interest, and a subservicer of loans owned by others.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and nine months ended September 30, 2025, Onity was our largest customer, accounting for 42% and 43%, respectively, of our total revenue. Onity purchases certain mortgage services from us under the terms of services agreements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and amendments thereto (collectively, the “Onity Services Agreements”) with terms extending through August 2030. Certain of the Onity Services Agreements contain a “most favored nation” provision and also grant the parties the right to renegotiate pricing, among other things.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nine months ended September 30, 2025 and 2024, we recognized revenue from Onity of $55.5 million and $52.6 million, respectively ($17.7 million and $17.6 million for the third quarter of 2025 and 2024, respectively). Revenue from Onity as a percentage of segment and consolidated revenue was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80" w:type="dxa"/>
            <w:vAlign w:val="bottom"/>
            <w:gridSpan w:val="3"/>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6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6"/>
        </w:trPr>
        <w:tc>
          <w:tcPr>
            <w:tcW w:w="58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5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2"/>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8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nine months ended September 30, 2025 and 2024, we recognized $5.9 million and $7.5 million, respectively ($1.9 million and $2.3 million for the third quarter of 2025 and 2024, respectively), of such revenue. These amounts are not included in deriving revenue from Onity and revenue from Onity as a percentage of revenue discussed above.</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2025, accounts receivable from Onity totaled $5.1 million, $2.7 million of which was billed and $2.4 million of which was unbilled. As of December 31, 2024, accounts receivable from Onity totaled $4.4 million, $3.1 million of which was billed and $1.3 million of which was unbilled.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Rithm</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is an asset manager focused on the real estate and financial services industries.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June 30, 2025, Onity reported that approximately 11% of loans serviced and subserviced by Onity (measured in unpaid principal balance (“UPB”)) and approximately 59% of all delinquent loans that Onity services were related to Rithm MSRs or rights to MSRs (the “Subject MSRs”).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Rithm purchased brokerage services for real estate owned (“REO”) exclusively from us, irrespective of the subservicer, subject to certain limitations, for certain MSRs set forth in and pursuant to the terms of a Cooperative Brokerage Agreement, as amended, and related letter agreement (collectively, the ‘Rithm Brokerage Agreement”) through August 2025. The Rithm Brokerage Agreement expired on August 31, 2025. At Rithm’s discretion, Altisource has continued to manage REO and receive referrals with limited exceptions from portfolios previously subject to the Rithm Brokerage Agreement despite the expiration of the Rithm Brokerage Agreement. In addition, Rithm also purchases property inspection, preservation and other services from us pursuant to other agreements.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and 2024, we recognized revenue from Rithm of $3.3 million and $1.8 million, respectively ($1.5 million and $0.5 million for the third quarter of 2025 and 2024, respectively), under the Rithm Brokerage Agreement and other agreements. For the nine months ended September 30, 2025 and 2024, we recognized additional revenue of $7.5 million and $8.6 million, respectively ($2.2 million and $2.5 million for the third quarter of 2025 and 2024, respectively), relating to the Subject MSRs when a party other than Rithm selected us as the service provider.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Unbilled</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18,174</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Billed accounts receivable includes receivables from certain real estate asset management services, REO and foreclosure sales, and title and closing services, for which we generally recognize revenue when the service is provided but collect upon closing of the sale. Unbilled accounts receivable also includes receivables from foreclosure trustee services and property renovation services, for which we generally recognize revenues over the service delivery period but bill following completion of the service. We also include amounts in unbilled accounts receivable that are earned during a month and billed in the following month. As of January 1, 2025, gross accounts receivable totaled $18.2 million, $12.2 million of which was billed and $6.0 million of which was unbilled, less allowance for credit losses of $3.1 million, resulting in net accounts receivable of $15.1 million. As of January 1, 2024, gross accounts receivable totaled $14.8 million, $11.2 million of which was billed and $3.6 million of which was unbilled, less allowance for credit losses of $3.1 million, resulting in net accounts receivable of $11.7 million.</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(Additions) / Subtractions</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
                <w:szCs w:val="2"/>
                <w:color w:val="auto"/>
              </w:rPr>
            </w:pPr>
          </w:p>
        </w:tc>
        <w:tc>
          <w:tcPr>
            <w:tcW w:w="1700" w:type="dxa"/>
            <w:vAlign w:val="bottom"/>
            <w:gridSpan w:val="2"/>
            <w:vMerge w:val="restart"/>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Balance at Beginning of</w:t>
            </w: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Deductions Note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4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2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0" w:type="dxa"/>
            <w:vAlign w:val="bottom"/>
          </w:tcPr>
          <w:p>
            <w:pPr>
              <w:spacing w:after="0"/>
              <w:rPr>
                <w:sz w:val="1"/>
                <w:szCs w:val="1"/>
                <w:color w:val="auto"/>
              </w:rPr>
            </w:pPr>
          </w:p>
        </w:tc>
      </w:tr>
      <w:tr>
        <w:trPr>
          <w:trHeight w:val="199"/>
        </w:trPr>
        <w:tc>
          <w:tcPr>
            <w:tcW w:w="4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ended September 30,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2,407</w:t>
            </w: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Three months ended September 30, 2024</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3,486</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Nine months ended September 30,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2,407</w:t>
            </w:r>
          </w:p>
        </w:tc>
        <w:tc>
          <w:tcPr>
            <w:tcW w:w="0" w:type="dxa"/>
            <w:vAlign w:val="bottom"/>
          </w:tcPr>
          <w:p>
            <w:pPr>
              <w:spacing w:after="0"/>
              <w:rPr>
                <w:sz w:val="1"/>
                <w:szCs w:val="1"/>
                <w:color w:val="auto"/>
              </w:rPr>
            </w:pPr>
          </w:p>
        </w:tc>
      </w:tr>
      <w:tr>
        <w:trPr>
          <w:trHeight w:val="214"/>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Nine months ended September 30, 2024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3,486</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8" w:lineRule="exact"/>
        <w:rPr>
          <w:sz w:val="20"/>
          <w:szCs w:val="20"/>
          <w:color w:val="auto"/>
        </w:rPr>
      </w:pPr>
    </w:p>
    <w:p>
      <w:pPr>
        <w:ind w:left="5540" w:right="5280" w:hanging="5534"/>
        <w:spacing w:after="0" w:line="949" w:lineRule="auto"/>
        <w:tabs>
          <w:tab w:leader="none" w:pos="311"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written off as uncollectible or transferred to other accounts or utilized.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20" w:type="dxa"/>
            <w:vAlign w:val="bottom"/>
            <w:shd w:val="clear" w:color="auto" w:fill="BFE4FF"/>
          </w:tcPr>
          <w:p>
            <w:pPr>
              <w:spacing w:after="0"/>
              <w:rPr>
                <w:sz w:val="18"/>
                <w:szCs w:val="18"/>
                <w:color w:val="auto"/>
              </w:rPr>
            </w:pPr>
          </w:p>
        </w:tc>
        <w:tc>
          <w:tcPr>
            <w:tcW w:w="200" w:type="dxa"/>
            <w:vAlign w:val="bottom"/>
            <w:shd w:val="clear" w:color="auto" w:fill="BFE4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Maintenance agreements, current portion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180" w:type="dxa"/>
            <w:vAlign w:val="bottom"/>
            <w:shd w:val="clear" w:color="auto" w:fill="BFE4FF"/>
          </w:tcPr>
          <w:p>
            <w:pPr>
              <w:spacing w:after="0"/>
              <w:rPr>
                <w:sz w:val="18"/>
                <w:szCs w:val="18"/>
                <w:color w:val="auto"/>
              </w:rPr>
            </w:pPr>
          </w:p>
        </w:tc>
        <w:tc>
          <w:tcPr>
            <w:tcW w:w="12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12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FE4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tcBorders>
              <w:bottom w:val="single" w:sz="8" w:color="BFE4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194"/>
        </w:trPr>
        <w:tc>
          <w:tcPr>
            <w:tcW w:w="816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80" w:type="dxa"/>
            <w:vAlign w:val="bottom"/>
            <w:shd w:val="clear" w:color="auto" w:fill="BFE4FF"/>
          </w:tcPr>
          <w:p>
            <w:pPr>
              <w:spacing w:after="0"/>
              <w:rPr>
                <w:sz w:val="16"/>
                <w:szCs w:val="16"/>
                <w:color w:val="auto"/>
              </w:rPr>
            </w:pPr>
          </w:p>
        </w:tc>
        <w:tc>
          <w:tcPr>
            <w:tcW w:w="124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200" w:type="dxa"/>
            <w:vAlign w:val="bottom"/>
            <w:shd w:val="clear" w:color="auto" w:fill="BFE4FF"/>
          </w:tcPr>
          <w:p>
            <w:pPr>
              <w:spacing w:after="0"/>
              <w:rPr>
                <w:sz w:val="16"/>
                <w:szCs w:val="16"/>
                <w:color w:val="auto"/>
              </w:rPr>
            </w:pPr>
          </w:p>
        </w:tc>
        <w:tc>
          <w:tcPr>
            <w:tcW w:w="122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PREMISES AND EQUIPMENT,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consists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46,074</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(46,171)</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Depreciation and amortization expense amounted to $0.4 million and $0.8 million for the nine months ended September 30, 2025 and 2024, respectively ($0.1 million and $0.2 million for the third quarter of 2025 and 2024, respectively), and is included in cost of revenue for operating assets and in selling, general and administrative expenses for non-operating assets in the accompanying condensed consolidated statements of operations and comprehensive (loss)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ind w:right="540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6 — RIGHT-OF-USE ASSETS UNDER OPERATING LEASES, NET </w:t>
      </w:r>
      <w:r>
        <w:rPr>
          <w:rFonts w:ascii="Times New Roman" w:cs="Times New Roman" w:eastAsia="Times New Roman" w:hAnsi="Times New Roman"/>
          <w:sz w:val="18"/>
          <w:szCs w:val="18"/>
          <w:color w:val="auto"/>
        </w:rPr>
        <w:t>Right-of-use assets under operating leases, net consists of the following:</w:t>
      </w:r>
    </w:p>
    <w:tbl>
      <w:tblPr>
        <w:tblLayout w:type="fixed"/>
        <w:tblInd w:w="0" w:type="dxa"/>
        <w:tblCellMar>
          <w:top w:w="0" w:type="dxa"/>
          <w:left w:w="0" w:type="dxa"/>
          <w:bottom w:w="0" w:type="dxa"/>
          <w:right w:w="0" w:type="dxa"/>
        </w:tblCellMar>
      </w:tblPr>
      <w:tr>
        <w:trPr>
          <w:trHeight w:val="147"/>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220" w:type="dxa"/>
            <w:vAlign w:val="bottom"/>
          </w:tcPr>
          <w:p>
            <w:pPr>
              <w:jc w:val="center"/>
              <w:ind w:right="124"/>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684"/>
              <w:spacing w:after="0"/>
              <w:rPr>
                <w:sz w:val="20"/>
                <w:szCs w:val="20"/>
                <w:color w:val="auto"/>
              </w:rPr>
            </w:pPr>
            <w:r>
              <w:rPr>
                <w:rFonts w:ascii="Times New Roman" w:cs="Times New Roman" w:eastAsia="Times New Roman" w:hAnsi="Times New Roman"/>
                <w:sz w:val="16"/>
                <w:szCs w:val="16"/>
                <w:color w:val="auto"/>
                <w:w w:val="99"/>
              </w:rPr>
              <w:t>6,136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center"/>
              <w:ind w:left="664"/>
              <w:spacing w:after="0"/>
              <w:rPr>
                <w:sz w:val="20"/>
                <w:szCs w:val="20"/>
                <w:color w:val="auto"/>
              </w:rPr>
            </w:pPr>
            <w:r>
              <w:rPr>
                <w:rFonts w:ascii="Times New Roman" w:cs="Times New Roman" w:eastAsia="Times New Roman" w:hAnsi="Times New Roman"/>
                <w:sz w:val="16"/>
                <w:szCs w:val="16"/>
                <w:color w:val="auto"/>
                <w:w w:val="99"/>
              </w:rPr>
              <w:t>6,177</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664"/>
              <w:spacing w:after="0"/>
              <w:rPr>
                <w:sz w:val="20"/>
                <w:szCs w:val="20"/>
                <w:color w:val="auto"/>
              </w:rPr>
            </w:pPr>
            <w:r>
              <w:rPr>
                <w:rFonts w:ascii="Times New Roman" w:cs="Times New Roman" w:eastAsia="Times New Roman" w:hAnsi="Times New Roman"/>
                <w:sz w:val="16"/>
                <w:szCs w:val="16"/>
                <w:color w:val="auto"/>
                <w:w w:val="98"/>
              </w:rPr>
              <w:t>(4,848)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44"/>
              <w:spacing w:after="0"/>
              <w:rPr>
                <w:sz w:val="20"/>
                <w:szCs w:val="20"/>
                <w:color w:val="auto"/>
              </w:rPr>
            </w:pPr>
            <w:r>
              <w:rPr>
                <w:rFonts w:ascii="Times New Roman" w:cs="Times New Roman" w:eastAsia="Times New Roman" w:hAnsi="Times New Roman"/>
                <w:sz w:val="16"/>
                <w:szCs w:val="16"/>
                <w:color w:val="auto"/>
                <w:w w:val="98"/>
              </w:rPr>
              <w:t>(3,934)</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center"/>
              <w:ind w:left="684"/>
              <w:spacing w:after="0"/>
              <w:rPr>
                <w:sz w:val="20"/>
                <w:szCs w:val="20"/>
                <w:color w:val="auto"/>
              </w:rPr>
            </w:pPr>
            <w:r>
              <w:rPr>
                <w:rFonts w:ascii="Times New Roman" w:cs="Times New Roman" w:eastAsia="Times New Roman" w:hAnsi="Times New Roman"/>
                <w:sz w:val="16"/>
                <w:szCs w:val="16"/>
                <w:color w:val="auto"/>
                <w:w w:val="99"/>
              </w:rPr>
              <w:t>1,288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center"/>
              <w:ind w:left="664"/>
              <w:spacing w:after="0"/>
              <w:rPr>
                <w:sz w:val="20"/>
                <w:szCs w:val="20"/>
                <w:color w:val="auto"/>
              </w:rPr>
            </w:pPr>
            <w:r>
              <w:rPr>
                <w:rFonts w:ascii="Times New Roman" w:cs="Times New Roman" w:eastAsia="Times New Roman" w:hAnsi="Times New Roman"/>
                <w:sz w:val="16"/>
                <w:szCs w:val="16"/>
                <w:color w:val="auto"/>
                <w:w w:val="99"/>
              </w:rPr>
              <w:t>2,243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of operating leases was $0.9 million and $1.2 million for the nine months ended September 30, 2025 and 2024, respectively ($0.4 million and $0.4 million for the third quarter of 2025 and 2024, respectively), and is included in cost of revenue for operating assets and in selling, general and administrative expenses for non-operating assets in the accompanying condensed consolidated statements of operations and comprehensive (loss)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100" w:type="dxa"/>
            <w:vAlign w:val="bottom"/>
            <w:vMerge w:val="restart"/>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2025 and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25,279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4"/>
                <w:szCs w:val="14"/>
                <w:color w:val="auto"/>
              </w:rPr>
            </w:pPr>
          </w:p>
        </w:tc>
        <w:tc>
          <w:tcPr>
            <w:tcW w:w="24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20" w:type="dxa"/>
            <w:vAlign w:val="bottom"/>
          </w:tcPr>
          <w:p>
            <w:pPr>
              <w:spacing w:after="0"/>
              <w:rPr>
                <w:sz w:val="14"/>
                <w:szCs w:val="14"/>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20" w:type="dxa"/>
            <w:vAlign w:val="bottom"/>
          </w:tcPr>
          <w:p>
            <w:pPr>
              <w:spacing w:after="0"/>
              <w:rPr>
                <w:sz w:val="14"/>
                <w:szCs w:val="14"/>
                <w:color w:val="auto"/>
              </w:rPr>
            </w:pPr>
          </w:p>
        </w:tc>
        <w:tc>
          <w:tcPr>
            <w:tcW w:w="2320" w:type="dxa"/>
            <w:vAlign w:val="bottom"/>
            <w:gridSpan w:val="4"/>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66"/>
        </w:trPr>
        <w:tc>
          <w:tcPr>
            <w:tcW w:w="258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980" w:type="dxa"/>
            <w:vAlign w:val="bottom"/>
            <w:gridSpan w:val="2"/>
            <w:vMerge w:val="restart"/>
          </w:tcPr>
          <w:p>
            <w:pPr>
              <w:jc w:val="center"/>
              <w:ind w:right="120"/>
              <w:spacing w:after="0" w:line="119"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
                <w:szCs w:val="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
                <w:szCs w:val="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
                <w:szCs w:val="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
                <w:szCs w:val="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
                <w:szCs w:val="2"/>
                <w:color w:val="auto"/>
              </w:rPr>
            </w:pPr>
          </w:p>
        </w:tc>
        <w:tc>
          <w:tcPr>
            <w:tcW w:w="102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line="20" w:lineRule="exact"/>
              <w:rPr>
                <w:sz w:val="1"/>
                <w:szCs w:val="1"/>
                <w:color w:val="auto"/>
              </w:rPr>
            </w:pPr>
          </w:p>
        </w:tc>
      </w:tr>
      <w:tr>
        <w:trPr>
          <w:trHeight w:val="134"/>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2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Customer related intangible assets</w:t>
            </w:r>
          </w:p>
        </w:tc>
        <w:tc>
          <w:tcPr>
            <w:tcW w:w="10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(205,440)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10,691</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agreement</w:t>
            </w:r>
          </w:p>
        </w:tc>
        <w:tc>
          <w:tcPr>
            <w:tcW w:w="100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0" w:type="dxa"/>
            <w:vAlign w:val="bottom"/>
            <w:tcBorders>
              <w:bottom w:val="single" w:sz="8" w:color="CCEEFF"/>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(240,963)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(237,153)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$3.8 million and $3.8 million for the nine months ended September 30, 2025 and 2024, respectively ($1.3 million and $1.3 million for the third quarter of 2025 and 2024, respectively). Forecasted annual definite lived intangible asset amortization expense for 2025 through 2029 is $5.1 million, $4.9 million, $4.7 million, $4.4 million and $2.1 million,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342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9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45"/>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2"/>
                <w:szCs w:val="12"/>
                <w:color w:val="auto"/>
              </w:rPr>
            </w:pPr>
          </w:p>
        </w:tc>
        <w:tc>
          <w:tcPr>
            <w:tcW w:w="136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220" w:type="dxa"/>
            <w:vAlign w:val="bottom"/>
          </w:tcPr>
          <w:p>
            <w:pPr>
              <w:jc w:val="right"/>
              <w:ind w:right="223"/>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17,887</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 general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32,030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Revolving loan agreement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194"/>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3, 2024, in connection with the Company’s Property Renovation Services business, Altisource Solutions, Inc., an indirect subsidiary of Altisource Portfolio Solutions S.A, entered into a revolving loan agreement with a then related-party, Altisource Asset Management Corporation (“AAMC”) (the “Revolving Loan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maturity date of the Revolving Loan Agreement was June 3, 2025 and can be automatically extended for one year on each anniversary of the maturity date. During any extension period, AAMC may terminate the Revolving Loan Agreement upon 150 days prior written notice and the loan will mature upon such termination. During the second quarter of 2025, the Revolving Loan Agreement maturity date was extended to June 3, 2026.</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pays AAMC a monthly unused commitment fee in an amount equal to 0.25% per annum of the average amount of the unused available credit under the Revolving Loan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 The outstanding balance on the Revolving Loan Agreement is due and payable on the maturity date.</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2025 and December 31, 2024, there was $1.0 million of outstanding debt under the Revolving Loan Agreement which is included in other current liabilities in the accompanying consolidated balance sheet.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Super senior term loan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debt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0" w:type="dxa"/>
            <w:vAlign w:val="bottom"/>
          </w:tcPr>
          <w:p>
            <w:pPr>
              <w:spacing w:after="0"/>
              <w:rPr>
                <w:sz w:val="1"/>
                <w:szCs w:val="1"/>
                <w:color w:val="auto"/>
              </w:rPr>
            </w:pPr>
          </w:p>
        </w:tc>
      </w:tr>
      <w:tr>
        <w:trPr>
          <w:trHeight w:val="210"/>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Plus: Unamortized premium</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Unamortized discount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Unamortized debt issuance and amendment costs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07"/>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191,268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are due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5"/>
        </w:trPr>
        <w:tc>
          <w:tcPr>
            <w:tcW w:w="9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14,474</w:t>
            </w:r>
          </w:p>
        </w:tc>
      </w:tr>
      <w:tr>
        <w:trPr>
          <w:trHeight w:val="210"/>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153,433</w:t>
            </w:r>
          </w:p>
        </w:tc>
      </w:tr>
      <w:tr>
        <w:trPr>
          <w:trHeight w:val="232"/>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171,888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April 2018, Altisource Portfolio Solutions S.A. and its wholly-owned subsidiary, Altisource S.à r.l. (the “Borrower”), entered into a credit agreement with Morgan Stanley Senior Funding, Inc., as administrative agent and collateral agent, and certain lenders (the “Credit Agreement”). Under the Credit Agreement, Altisource borrowed $412 million in the form of senior secured term loans (the “SSTL”). Effective February 14, 2023, Altisource Portfolio Solutions S.A. and Altisource S.à r.l. entered into Amendment No. 2 to the Credit Agreement (as amended by Amendment No. 2, the “Amended Credit Agreement”).</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entered into agreements with 100% of the lenders under the SSTL (the “Lenders”). Under these agreements, the Lenders exchanged the SSTL with an outstanding balance of $232.8 million for a $160.0 million new first lien loan facility (the “New Facility”) and 7.3 million shares of common stock (the “Debt Exchange Shares”) (collectively, the “Debt Exchange Transaction”). The New Facility is comprised of a $110.0 million interest-bearing loan (the “New Debt”) and a $50.0 million non-interest-bearing exit fee (the “Exit Fee”). Altisource Portfolio Solutions S.A. and its subsidiaries, subject to applicable exclusions in the New Facility credit agreement, are guarantors on the New Facility (collectively, the “Guarantors”).</w:t>
      </w:r>
    </w:p>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We evaluated the Debt Exchange Transaction in accordance with ASC 470-60 </w:t>
      </w:r>
      <w:r>
        <w:rPr>
          <w:rFonts w:ascii="Times New Roman" w:cs="Times New Roman" w:eastAsia="Times New Roman" w:hAnsi="Times New Roman"/>
          <w:sz w:val="17"/>
          <w:szCs w:val="17"/>
          <w:i w:val="1"/>
          <w:iCs w:val="1"/>
          <w:color w:val="auto"/>
        </w:rPr>
        <w:t>Troubled Debt Restructuring</w:t>
      </w:r>
      <w:r>
        <w:rPr>
          <w:rFonts w:ascii="Times New Roman" w:cs="Times New Roman" w:eastAsia="Times New Roman" w:hAnsi="Times New Roman"/>
          <w:sz w:val="17"/>
          <w:szCs w:val="17"/>
          <w:color w:val="auto"/>
        </w:rPr>
        <w:t xml:space="preserve">. The evaluation for troubled debt restructuring includes assessing both qualitative and quantitative factors to determine whether the creditor granted a concession and whether the Company is experiencing financial difficulties. Our quantitative analysis consisted of comparing the effective borrowing rate on the New Facility to the effective borrowing rate on the SSTL immediately before the Debt Exchange Transaction. For purposes of ASC 470-60 </w:t>
      </w:r>
      <w:r>
        <w:rPr>
          <w:rFonts w:ascii="Times New Roman" w:cs="Times New Roman" w:eastAsia="Times New Roman" w:hAnsi="Times New Roman"/>
          <w:sz w:val="17"/>
          <w:szCs w:val="17"/>
          <w:i w:val="1"/>
          <w:iCs w:val="1"/>
          <w:color w:val="auto"/>
        </w:rPr>
        <w:t>Troubled Debt Restructuring</w:t>
      </w:r>
      <w:r>
        <w:rPr>
          <w:rFonts w:ascii="Times New Roman" w:cs="Times New Roman" w:eastAsia="Times New Roman" w:hAnsi="Times New Roman"/>
          <w:sz w:val="17"/>
          <w:szCs w:val="17"/>
          <w:color w:val="auto"/>
        </w:rPr>
        <w:t>, the Company concluded that (1) the lenders granted the Company a concession by reducing the effective borrowing rate on the debt and (2) the Company was experiencing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financial difficulties. As a result, the Debt Exchange Transaction was accounted for as a troubled debt restructuring. The carrying value of the New Facility was determined as follows: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9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8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SSTL immediately before the Debt Exchange Transaction</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0" w:type="dxa"/>
            <w:vAlign w:val="bottom"/>
          </w:tcPr>
          <w:p>
            <w:pPr>
              <w:spacing w:after="0"/>
              <w:rPr>
                <w:sz w:val="1"/>
                <w:szCs w:val="1"/>
                <w:color w:val="auto"/>
              </w:rPr>
            </w:pPr>
          </w:p>
        </w:tc>
      </w:tr>
      <w:tr>
        <w:trPr>
          <w:trHeight w:val="210"/>
        </w:trPr>
        <w:tc>
          <w:tcPr>
            <w:tcW w:w="9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Unamortized debt issuance costs and discount immediately before the Debt Exchange Transaction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14"/>
        </w:trPr>
        <w:tc>
          <w:tcPr>
            <w:tcW w:w="98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fair value of equity issued to the SSTL lenders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(45,370)</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fees paid to third parties on behalf of the SSTL lenders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197"/>
        </w:trPr>
        <w:tc>
          <w:tcPr>
            <w:tcW w:w="2240" w:type="dxa"/>
            <w:vAlign w:val="bottom"/>
            <w:tcBorders>
              <w:top w:val="single" w:sz="8" w:color="CCEEFF"/>
              <w:left w:val="single" w:sz="8" w:color="CCEEFF"/>
              <w:bottom w:val="single" w:sz="8" w:color="BFE4FF"/>
            </w:tcBorders>
            <w:shd w:val="clear" w:color="auto" w:fill="BFE4FF"/>
          </w:tcPr>
          <w:p>
            <w:pPr>
              <w:ind w:left="20"/>
              <w:spacing w:after="0" w:line="172" w:lineRule="exact"/>
              <w:rPr>
                <w:sz w:val="20"/>
                <w:szCs w:val="20"/>
                <w:color w:val="auto"/>
              </w:rPr>
            </w:pPr>
            <w:r>
              <w:rPr>
                <w:rFonts w:ascii="Times New Roman" w:cs="Times New Roman" w:eastAsia="Times New Roman" w:hAnsi="Times New Roman"/>
                <w:sz w:val="16"/>
                <w:szCs w:val="16"/>
                <w:color w:val="auto"/>
                <w:w w:val="98"/>
                <w:shd w:val="clear" w:color="auto" w:fill="BFE4FF"/>
              </w:rPr>
              <w:t>Carrying value of the New Facility</w:t>
            </w:r>
          </w:p>
        </w:tc>
        <w:tc>
          <w:tcPr>
            <w:tcW w:w="75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auto"/>
            </w:tcBorders>
            <w:shd w:val="clear" w:color="auto" w:fill="CCEEFF"/>
          </w:tcPr>
          <w:p>
            <w:pPr>
              <w:jc w:val="right"/>
              <w:ind w:right="161"/>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CCEEFF"/>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184,989</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Comprised of:</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98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 value of the New Facility</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0" w:type="dxa"/>
            <w:vAlign w:val="bottom"/>
          </w:tcPr>
          <w:p>
            <w:pPr>
              <w:spacing w:after="0"/>
              <w:rPr>
                <w:sz w:val="1"/>
                <w:szCs w:val="1"/>
                <w:color w:val="auto"/>
              </w:rPr>
            </w:pPr>
          </w:p>
        </w:tc>
      </w:tr>
      <w:tr>
        <w:trPr>
          <w:trHeight w:val="210"/>
        </w:trPr>
        <w:tc>
          <w:tcPr>
            <w:tcW w:w="9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Premium</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26,285</w:t>
            </w:r>
          </w:p>
        </w:tc>
        <w:tc>
          <w:tcPr>
            <w:tcW w:w="0" w:type="dxa"/>
            <w:vAlign w:val="bottom"/>
          </w:tcPr>
          <w:p>
            <w:pPr>
              <w:spacing w:after="0"/>
              <w:rPr>
                <w:sz w:val="1"/>
                <w:szCs w:val="1"/>
                <w:color w:val="auto"/>
              </w:rPr>
            </w:pPr>
          </w:p>
        </w:tc>
      </w:tr>
      <w:tr>
        <w:trPr>
          <w:trHeight w:val="212"/>
        </w:trPr>
        <w:tc>
          <w:tcPr>
            <w:tcW w:w="982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debt issuance costs and discount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07"/>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Carrying value of the New Facility</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184,989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connection with the Debt Exchange Transaction, the Company also paid $3.6 million to advisors and others and recorded these payments as other expense in the consolidated statements of operations and comprehensive (loss) income.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for $158.1 million of the New Facility is April 30, 2030 and the maturity date for $1.4 million of the New Facility is January 15, 2029.</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New Facility requires mandatory prepayments of the term loans, subject to customary exceptions, as follows: (i) 100% of the proceeds of any other debt not permitted by the Exchange Credit Agreement, (ii) 95% of the net proceeds from the exercise of the Cash Exercise Stakeholder Warrants, (iii) 100% of the proceeds of Asset Sales, subject to customary reinvestment rights for net proceeds of less than $3 million and certain exceptions, where applicable, (iv) 100% of insurance or condemnation proceeds in excess of $10,000,000 in the aggregate for all losses in any fiscal year, subject to customary reinvestment rights, where applicable, and (v) beginning with the fiscal year ending December 31, 2025, the lesser of (a) 75% of the aggregate Excess Cash Flow for the most recently ended fiscal year of the Borrower for which financial statements have been delivered and (b) such amount which, immediately after giving effect to such repayment, would result in the Borrower and its subsidiaries having no less than $30 million of cash, shall be applied first to the prepayment of the Super Senior Facility (defined below) and, second, to the prepayment of the New Facility. All mandatory and voluntary prepayments under the New Facility are allocated between the New Debt and the Exit Fee on a pro rata basis.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amounts outstanding under the New Facility will become due on the earlier of (i) the maturity date, and (ii) the date on which the loans are declared to be due and owing by the administrative agent at the request (or with the consent) of the Required Lenders (as defined in the New Facility credit agreement; other capitalized terms, unless defined herein, are defined in the New Facility credit agreement) or as otherwise provided in the New Facility credit agreement upon the occurrence of any event of default.</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New Debt bears interest at rates based upon, at our option, the Secured Overnight Financing Rate (“SOFR”) or the Base Rate, as defined in the New Facility credit agreement. SOFR-based term loans bear interest at a rate per annum equal to SOFR plus 6.50% (with a 3.50% SOFR floor) payable in cash. Base Rate-based term loans bear interest at a rate per annum equal to the Base Rate plus 5.50% payable in cash. The interest rate on the SSTL from January 1, 2025 through February 19, 2025 was SOFR plus 5.00% payable in cash. The interest rate on the SSTL in 2024 was SOFR plus 5.00% payable in cash plus 3.75% payable in kind. The interest rate as of September 30, 2025 was 10.90%.</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the Borrower under the New Facility credit agreement is guaranteed by the Guarantors and is secured by a lien on substantially all of the assets of the Borrower, Altisource and the other Guarantors, subject to certain exceptions. The liens securing the New Facility are junior to the liens securing the Super Senior Facility (defined below) pursuant to, and as set forth in, an intercreditor agreement.</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New Facility contains representations, warranties, covenants, term and conditions customary for transactions of this type. This include covenants limiting Altisource, the Borrower and its subsidiaries, subject to certain exceptions and baskets, to (i) incur indebtedness, (ii) incur liens on its assets, (iii) agree to additional negative pledges, (iv) make Restricted Junior Payments, (v) pay dividends or distribute assets, (vi) make investments, (vii) enter into any transaction of merger or consolidation, liquidate, wind-up or dissolve, or convey any part of its business, assets or property, or acquire the business, property or assets of another person, (viii) dispose of the equity interests of any Significant Subsidiaries, (ix) enter into sale and leaseback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transactions, (x) enter into certain transactions with shareholders and affiliates, (xi) engage in a line of business substantially different than existing business and businesses reasonably related, complimentary or ancillary thereto, (xii) modify the terms of certain indebtedness, (xiii) modify the terms of its organizational documents, (xiv) change its fiscal year, and (xv) enter into any transactions undertaken in connection with a Liability Management Transaction.</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New Facility contains certain events of default including (i) failure to pay (x) principal when due or (y) interest or any other amount owing on any other obligation under the Credit Agreement within 5 days of becoming due, (ii) material incorrectness of representations and warranties when made, (iii) 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Borrower or any Material Subsidiary, (vii) entry by a court of one or more judgments against Altisource, Borrower or any Material Subsidiary in an amount in excess of $15 million that remain undischarged, unvacated, unbonded or unstayed for a certain number of days after the entry thereof, (viii) the occurrence of certain ERISA events, (ix) occurrence of a Change in Control, (x) the failure of certain Loan Documents to be in full force and effect or Altisource or any Guarantor challenges the validity of any such Loan Document, (xi) the termination of certain material contracts and (xii) failure to comply in any material respects with the terms of the Shareholder Warrants or the Warrant Agreement. If any event of default occurs and is not cured within applicable grace periods set forth in the Exchange Credit Agreement or waived, all loans and other obligations could become due and immediately payable.</w:t>
      </w:r>
    </w:p>
    <w:p>
      <w:pPr>
        <w:spacing w:after="0" w:line="1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Deer Park Road Management Company, LP (together with its affiliates and managed funds, “Deer Park”), a related party, owns approximately 13% and 16% of Altisource’s common stock as of September 30, 2025 and December 31, 2024, respectively, and $19.9 million and $42.1 million of Altisource debt as of September 30, 2025 and December 31, 2024, respectively. An employee of Deer Park is a member of Altisource’s Board of Directors. During the nine months ended September 30, 2025 and 2024, Deer Park received interest of $1.5 million and $1.1 million, respectively ($0.4 million and $0.4 million for the third quarter of 2025 and 2024, respectively). On April 3, 2025, Deer Park received Stakeholder Warrants to purchase 1.9 million shares of Altisource common stock for $9.5998 per share.</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first quarter of 2025, UBS Asset Management (Americas) LLC (together with its affiliates and managed funds, “UBS”) and Benefit Street Partners L.L.C. (together with its affiliates and managed funds, “Benefit Street”) became related parties of Altisource. As of September 30, 2025, UBS owns approximately 22% of Altisource’s common stock and $63.9 million of Altisource debt. During the three and nine months ended September 30, 2025, UBS received interest of $1.3 million and $4.2 million, respectively. On April 3, 2025, UBS received Stakeholder Warrants to purchase 0.2 million shares of Altisource common stock for $9.5998 per share.</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September 30, 2025, Benefit Street owns approximately 16% of Altisource’s common stock and $30.9 million of Altisource debt. During the three and nine months ended September 30, 2025, Benefit Street received interest of $0.6 million and $1.6 million, respectively. On April 3, 2025, Benefit Street received Stakeholder Warrants to purchase 2.2 million shares of Altisource common stock for $9.5998 per share.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Stakeholder Warrants, see Note 11.</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2025, debt issuance and amendment costs were $1.0 million, net of $9.0 million of accumulated amortization. As of December 31, 2024, debt issuance and amendment costs were $0.9 million, net of $8.5 million of accumulated amortization.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 Senior Credit Facility</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also entered into a $12.5 million super senior credit facility (the “Super Senior Facility”) to fund transaction costs related to the Transactions (defined above) and for general corporate purposes. The maturity date of the Super Senior Facility is February 19, 2029. The original issue discount on the Super Senior Facility is 10.0%.</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with the fiscal year ending December 31, 2025, the lesser of (a) 75% of the aggregate Excess Cash Flow (as defined in the credit agreement) for the most recently ended fiscal year of the Company for which financial statements have been delivered and (b) such amount which, immediately after giving effect to such repayment, would result in the Company having no less than $30 million of total cash on its balance sheet, shall be applied first to the prepayment of the Super Senior Facility and, second, to the prepayment of the New Facility.</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payment of all amounts owing by the Borrower under the Super Senior Credit Agreement is guaranteed by the Guarantors and is secured by a lien on substantially all of the assets of Altisource and the Guarantors, subject to certain exceptions.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liens securing the Super Senior Facility are senior to the liens securing the New Facility pursuant to, and as set forth in, the Super Senior Intercreditor Agreement.</w:t>
      </w:r>
    </w:p>
    <w:p>
      <w:pPr>
        <w:spacing w:after="0" w:line="1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Super Senior Credit Agreement contains representations, warranties, covenants, terms and conditions customary for transactions of this type. These include covenants limiting Altisource Portfolio Solutions S.A., the Borrower and their subsidiaries, subject to certain exceptions and baskets, to (i) incur indebtedness, (ii) incur liens on its assets, (iii) agree to additional negative pledges, (iv) make Restricted Junior Payments, (v) pay dividends or distribute assets, (vi) make investments, (vii) enter into any transaction of merger or consolidation, liquidate, wind-up or dissolve, or convey any part of its business, assets or property, or acquire the business, property or assets of another person, (viii) dispose of the equity interests of any Significant Subsidiaries, (ix) enter into sale and leaseback transactions, (x) enter into certain transactions with shareholders and affiliates, (xi) engage in a line of business substantially different than existing business and businesses reasonably related, complimentary or ancillary thereto, (xii) modify the terms of certain indebtedness, (xiii) modify the terms of its organizational documents, (xiv) change its fiscal year, and (xv) enter into any transactions undertaken in connection with a Liability Management Transaction. The Super Senior Credit Agreement also requires that the Borrower maintain minimum daily liquidity of not less than the lesser of (a) $12.5 million and (b) the aggregate principal amount of Term Loans under the Super Senior Facility outstanding on such date.</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Super Senior Credit Agreement requires mandatory prepayments of the term loans, subject to customary exceptions, as follows: (i) 100% of the proceeds of any other debt not permitted by the Super Senior Credit Agreement, (ii) 95% of the proceeds from the exercise of the Cash Exercise Stakeholder Warrants,</w:t>
      </w:r>
    </w:p>
    <w:p>
      <w:pPr>
        <w:jc w:val="both"/>
        <w:ind w:firstLine="6"/>
        <w:spacing w:after="0" w:line="247" w:lineRule="auto"/>
        <w:tabs>
          <w:tab w:leader="none" w:pos="32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proceeds of Asset Sales, subject to customary reinvestment rights for net proceeds of less than $3 million and certain exceptions, where applicable, (iv) 100% of insurance or condemnation proceeds in excess of $10,000,000 in the aggregate for all losses in any fiscal year, subject to customary reinvestment rights, where applicable, and (v) beginning with the fiscal year ending December 31, 2025, the lesser of (a) 75% of the aggregate Excess Cash Flow for the most recently ended fiscal year of the Borrower for which financial statements have been delivered and (b) such amount which, immediately after giving effect to such repayment, would result in the Borrower and its subsidiaries having no less than $30 million of cash.</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amounts outstanding under the Super Senior Credit Agreement will become due on the earlier of (i) the maturity date, and (ii) the date on which the loans are declared to be due and owing by the administrative agent at the request (or with the consent) of the Required Lenders (as defined in the Super Senior Credit Agreement; other capitalized terms, unless defined herein, are defined in the Super Senior Credit Agreement) or as otherwise provided in the Super Senior Credit Agreement upon the occurrence of any event of default.</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Super Senior Credit Facility bears interest at rates based upon, at our option, the SOFR or the Base Rate, as defined in the Super Senior Credit Agreement. SOFR-based term loans bear interest at a rate per annum equal to SOFR plus 6.50% (with a 3.50% SOFR floor) payable in cash. Base Rate-based term loans bear interest at a rate per annum equal to the Base Rate plus 5.50% payable in cash. The interest rate as of September 30, 2025 was 10.90%.</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Super Senior Credit Agreement contains certain events of default, including (i) failure to pay (x) principal when due or (y) interest or any other amount owing on any other obligation under the Credit Agreement within 5 days of becoming due, (ii) material incorrectness of representations and warranties when made, (iii) 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Borrower or any Material Subsidiary, (vii) entry by a court of one or more judgments against Altisource, Borrower or any Material Subsidiary in an amount in excess of $15 million that remain undischarged, unvacated, unbonded or unstayed for a certain number of days.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STS Master Fund,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(“STS”) (the “Revolver”). STS is an investment fund managed by Deer Park. The Revolver was amended effective February 14, 2023.</w:t>
      </w:r>
    </w:p>
    <w:p>
      <w:pPr>
        <w:spacing w:after="0" w:line="1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19, 2025, Altisource entered into an agreement to terminate the $15.0 million Revolver with STS. As of December 31, 2024, the Company did not have any borrowings outstanding under the Revolver.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Penny Warrants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On February 14, 2023, the lenders under the Amended Credit Agreement (see Note 10 for additional information) received warrants (the “Penny Warrants”) to purchase 402,981 shares of Altisource common stock (the “Penny Warrant Shares”). The number of Penny Warrant Shares was subject to reduction based on the amount of Aggregate Paydowns. Based on Aggregate Paydowns made during 2023, the number of Penny Warrant Shares was reduced to 201,588.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Penny Warrant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20" w:type="dxa"/>
            <w:vAlign w:val="bottom"/>
          </w:tcPr>
          <w:p>
            <w:pPr>
              <w:spacing w:after="0"/>
              <w:rPr>
                <w:sz w:val="16"/>
                <w:szCs w:val="16"/>
                <w:color w:val="auto"/>
              </w:rPr>
            </w:pPr>
          </w:p>
        </w:tc>
        <w:tc>
          <w:tcPr>
            <w:tcW w:w="20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Penny Warrant Shares</w:t>
            </w:r>
          </w:p>
        </w:tc>
      </w:tr>
      <w:tr>
        <w:trPr>
          <w:trHeight w:val="24"/>
        </w:trPr>
        <w:tc>
          <w:tcPr>
            <w:tcW w:w="9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8"/>
        </w:trPr>
        <w:tc>
          <w:tcPr>
            <w:tcW w:w="9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201,588</w:t>
            </w:r>
          </w:p>
        </w:tc>
      </w:tr>
      <w:tr>
        <w:trPr>
          <w:trHeight w:val="223"/>
        </w:trPr>
        <w:tc>
          <w:tcPr>
            <w:tcW w:w="9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(12,105)</w:t>
            </w:r>
          </w:p>
        </w:tc>
      </w:tr>
      <w:tr>
        <w:trPr>
          <w:trHeight w:val="221"/>
        </w:trPr>
        <w:tc>
          <w:tcPr>
            <w:tcW w:w="9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189,483</w:t>
            </w:r>
          </w:p>
        </w:tc>
      </w:tr>
      <w:tr>
        <w:trPr>
          <w:trHeight w:val="21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(189,483)</w:t>
            </w:r>
          </w:p>
        </w:tc>
      </w:tr>
      <w:tr>
        <w:trPr>
          <w:trHeight w:val="243"/>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September 30, 2025</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exercise price per share of common stock under each Penny Warrant was equal to $0.01. As of September 30, 2025, no Penny Warrant Shares remain outstanding.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Stakeholder Warrants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 2025, the Company distributed 70.5 million warrants to purchase approximately 14.3 million shares of Altisource common stock for $9.5998 per share (the “Stakeholder Warrants”). The distribution of Stakeholder Warrants was contingent upon, among other things, approval of the distribution by the Company’s shareholders and the consummation of the Debt Exchange Transaction (such conditions, collectively, the “Distribution Conditions”). The Distribution Conditions were satisfied during the quarter ended March 31, 2025.</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Fifty percent of the Stakeholder Warrants will expire on April 2, 2029 and require settlement through the cash payment to the Company of the exercise price of such Stakeholder Warrant (“Cash Exercise Stakeholder Warrants”). Fifty percent of the Stakeholder Warrants will expire on April 30, 2032 and require settlement through the forfeiture of shares of common stock to the Company equal to the exercise price of such Stakeholder Warrants (“Net Settle Stakeholder Warrants”). Each Cash Exercise Stakeholder Warrant is exercisable for 0.20313 shares of our common stock (“Cash Exercise Stakeholder Warrant Shares). Each Net Settle Stakeholder Warrant is exercisable for 0.20313 shares of our common stock (“Net Settle Stakeholder Warrant Shares” and, collectively with the Cash Exercise Stakeholder Warrant Shares, the “Stakeholder Warrant Shares”). The Stakeholder Warrants became exercisable pursuant to their term on July 28, 2025. The exercise price of the Stakeholder Warrants is $1.95 per Stakeholder Warrant.</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Stakeholder Warrants are listed on the NASDAQ Global Select Market and began trading on May 7, 2025. The Cash Exercise Stakeholder Warrants trade under the symbol “ASPSZ” and the Net Settle Stakeholder Warrants trade under the symbol “ASPSW”.</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purposes of recording the distribution of the Stakeholder Warrants during the three months ended March 31, 2025, the fair values of the Cash Exercise Stakeholder Warrants and the Net Exercise Stakeholder Warrants were determined using the Black-Scholes option pricing model. The following table summarizes the fair value of the Stakeholder Warrants and the assumptions used to determine the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Cash Exercise Stakeholder Warrants</w:t>
            </w:r>
          </w:p>
        </w:tc>
        <w:tc>
          <w:tcPr>
            <w:tcW w:w="25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Net Settle Stakeholder Warrants</w:t>
            </w:r>
          </w:p>
        </w:tc>
      </w:tr>
      <w:tr>
        <w:trPr>
          <w:trHeight w:val="24"/>
        </w:trPr>
        <w:tc>
          <w:tcPr>
            <w:tcW w:w="60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92"/>
        </w:trPr>
        <w:tc>
          <w:tcPr>
            <w:tcW w:w="60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 (%)</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4.29 %</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4.42 %</w:t>
            </w: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 (%)</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57.50 %</w:t>
            </w:r>
          </w:p>
        </w:tc>
        <w:tc>
          <w:tcPr>
            <w:tcW w:w="1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57.50 %</w:t>
            </w:r>
          </w:p>
        </w:tc>
      </w:tr>
      <w:tr>
        <w:trPr>
          <w:trHeight w:val="21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option life (in years)</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1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per Stakeholder Warrant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r>
    </w:tbl>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Stakeholder Warrants are indexed to the common stock and are classified as equity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resulting in a $40.5 million increase in Additional paid-in capital. The distribution of the Stakeholder Warrants are non-reciprocal pro rata distributions and are accounted for as a dividend. Because the Company has negative retained earnings,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Company recorded the dividend as a $40.5 million reduction to Additional paid-in capital. Since the transaction is accounted for as both an increase and a decrease in Additional paid-in capital, the net result is zero and is not reflected in the Condensed Consolidated Statements of Equity (Deficit).</w:t>
      </w:r>
    </w:p>
    <w:p>
      <w:pPr>
        <w:spacing w:after="0" w:line="11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outstanding Stakeholder Warrants and Stakeholder Warrant Shares issuable upon the exercise of outstanding Stakeholder Warrants following the distribution: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Cash Exercise Stakeholder</w:t>
            </w:r>
          </w:p>
        </w:tc>
        <w:tc>
          <w:tcPr>
            <w:tcW w:w="19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Cash Exercise Stakeholder</w:t>
            </w:r>
          </w:p>
        </w:tc>
        <w:tc>
          <w:tcPr>
            <w:tcW w:w="190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Net Settle Stakeholder</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Settle Stakeholder</w:t>
            </w:r>
          </w:p>
        </w:tc>
        <w:tc>
          <w:tcPr>
            <w:tcW w:w="192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Total Stakeholder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Stakeholder Warrant</w:t>
            </w:r>
          </w:p>
        </w:tc>
        <w:tc>
          <w:tcPr>
            <w:tcW w:w="0" w:type="dxa"/>
            <w:vAlign w:val="bottom"/>
          </w:tcPr>
          <w:p>
            <w:pPr>
              <w:spacing w:after="0"/>
              <w:rPr>
                <w:sz w:val="1"/>
                <w:szCs w:val="1"/>
                <w:color w:val="auto"/>
              </w:rPr>
            </w:pPr>
          </w:p>
        </w:tc>
      </w:tr>
      <w:tr>
        <w:trPr>
          <w:trHeight w:val="191"/>
        </w:trPr>
        <w:tc>
          <w:tcPr>
            <w:tcW w:w="1820" w:type="dxa"/>
            <w:vAlign w:val="bottom"/>
          </w:tcPr>
          <w:p>
            <w:pPr>
              <w:jc w:val="right"/>
              <w:ind w:right="56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9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Warrant Shares</w:t>
            </w:r>
          </w:p>
        </w:tc>
        <w:tc>
          <w:tcPr>
            <w:tcW w:w="190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 Shares</w:t>
            </w:r>
          </w:p>
        </w:tc>
        <w:tc>
          <w:tcPr>
            <w:tcW w:w="1920" w:type="dxa"/>
            <w:vAlign w:val="bottom"/>
            <w:vMerge w:val="continue"/>
          </w:tcPr>
          <w:p>
            <w:pPr>
              <w:spacing w:after="0"/>
              <w:rPr>
                <w:sz w:val="16"/>
                <w:szCs w:val="16"/>
                <w:color w:val="auto"/>
              </w:rPr>
            </w:pPr>
          </w:p>
        </w:tc>
        <w:tc>
          <w:tcPr>
            <w:tcW w:w="1800" w:type="dxa"/>
            <w:vAlign w:val="bottom"/>
          </w:tcPr>
          <w:p>
            <w:pPr>
              <w:jc w:val="right"/>
              <w:ind w:right="60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31"/>
        </w:trPr>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35,230,503</w:t>
            </w:r>
          </w:p>
        </w:tc>
        <w:tc>
          <w:tcPr>
            <w:tcW w:w="19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7,156,372</w:t>
            </w:r>
          </w:p>
        </w:tc>
        <w:tc>
          <w:tcPr>
            <w:tcW w:w="19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35,230,503</w:t>
            </w:r>
          </w:p>
        </w:tc>
        <w:tc>
          <w:tcPr>
            <w:tcW w:w="17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7,156,372</w:t>
            </w:r>
          </w:p>
        </w:tc>
        <w:tc>
          <w:tcPr>
            <w:tcW w:w="19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70,461,006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14,312,744</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Stakeholder Warrants:</w:t>
      </w:r>
    </w:p>
    <w:p>
      <w:pPr>
        <w:spacing w:after="0" w:line="198" w:lineRule="exact"/>
        <w:rPr>
          <w:sz w:val="20"/>
          <w:szCs w:val="20"/>
          <w:color w:val="auto"/>
        </w:rPr>
      </w:pPr>
    </w:p>
    <w:p>
      <w:pPr>
        <w:ind w:left="6300"/>
        <w:spacing w:after="0"/>
        <w:tabs>
          <w:tab w:leader="none" w:pos="9000" w:val="left"/>
        </w:tabs>
        <w:rPr>
          <w:sz w:val="20"/>
          <w:szCs w:val="20"/>
          <w:color w:val="auto"/>
        </w:rPr>
      </w:pPr>
      <w:r>
        <w:rPr>
          <w:rFonts w:ascii="Times New Roman" w:cs="Times New Roman" w:eastAsia="Times New Roman" w:hAnsi="Times New Roman"/>
          <w:sz w:val="14"/>
          <w:szCs w:val="14"/>
          <w:b w:val="1"/>
          <w:bCs w:val="1"/>
          <w:color w:val="auto"/>
        </w:rPr>
        <w:t>Cash Exercise Stakeholder Warrants</w:t>
      </w:r>
      <w:r>
        <w:rPr>
          <w:sz w:val="20"/>
          <w:szCs w:val="20"/>
          <w:color w:val="auto"/>
        </w:rPr>
        <w:tab/>
      </w:r>
      <w:r>
        <w:rPr>
          <w:rFonts w:ascii="Times New Roman" w:cs="Times New Roman" w:eastAsia="Times New Roman" w:hAnsi="Times New Roman"/>
          <w:sz w:val="14"/>
          <w:szCs w:val="14"/>
          <w:b w:val="1"/>
          <w:bCs w:val="1"/>
          <w:color w:val="auto"/>
        </w:rPr>
        <w:t>Net Settle Stakeholder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31115</wp:posOffset>
            </wp:positionV>
            <wp:extent cx="32137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Outstanding at December 31, 2024</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Granted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Exercised</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Outstanding at September 30, 2025</w:t>
      </w:r>
    </w:p>
    <w:p>
      <w:pPr>
        <w:spacing w:after="0" w:line="273" w:lineRule="exact"/>
        <w:rPr>
          <w:sz w:val="20"/>
          <w:szCs w:val="20"/>
          <w:color w:val="auto"/>
        </w:rPr>
      </w:pPr>
    </w:p>
    <w:p>
      <w:pPr>
        <w:ind w:right="1320"/>
        <w:spacing w:after="0" w:line="502" w:lineRule="auto"/>
        <w:rPr>
          <w:sz w:val="20"/>
          <w:szCs w:val="20"/>
          <w:color w:val="auto"/>
        </w:rPr>
      </w:pPr>
      <w:r>
        <w:rPr>
          <w:rFonts w:ascii="Times New Roman" w:cs="Times New Roman" w:eastAsia="Times New Roman" w:hAnsi="Times New Roman"/>
          <w:sz w:val="17"/>
          <w:szCs w:val="17"/>
          <w:b w:val="1"/>
          <w:bCs w:val="1"/>
          <w:color w:val="auto"/>
        </w:rPr>
        <w:t xml:space="preserve">NOTE 12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OTHER NON-CURRENT LIABILITIES </w:t>
      </w:r>
      <w:r>
        <w:rPr>
          <w:rFonts w:ascii="Times New Roman" w:cs="Times New Roman" w:eastAsia="Times New Roman" w:hAnsi="Times New Roman"/>
          <w:sz w:val="17"/>
          <w:szCs w:val="17"/>
          <w:color w:val="auto"/>
        </w:rPr>
        <w:t>Other non-current liabilities consist of the following:</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518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8287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 liabilities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35,230,503</w:t>
            </w:r>
          </w:p>
        </w:tc>
        <w:tc>
          <w:tcPr>
            <w:tcW w:w="10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35,230,503</w:t>
            </w:r>
          </w:p>
        </w:tc>
      </w:tr>
      <w:tr>
        <w:trPr>
          <w:trHeight w:val="237"/>
        </w:trPr>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(8,205)</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(58,302)</w:t>
            </w:r>
          </w:p>
        </w:tc>
      </w:tr>
      <w:tr>
        <w:trPr>
          <w:trHeight w:val="218"/>
        </w:trPr>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35,222,298</w:t>
            </w:r>
          </w:p>
        </w:tc>
        <w:tc>
          <w:tcPr>
            <w:tcW w:w="100" w:type="dxa"/>
            <w:vAlign w:val="bottom"/>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35,172,201</w:t>
            </w:r>
          </w:p>
        </w:tc>
      </w:tr>
      <w:tr>
        <w:trPr>
          <w:trHeight w:val="27"/>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-605155</wp:posOffset>
            </wp:positionV>
            <wp:extent cx="713486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-327660</wp:posOffset>
            </wp:positionV>
            <wp:extent cx="7134860"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5"/>
        </w:trPr>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20" w:type="dxa"/>
            <w:vAlign w:val="bottom"/>
          </w:tcPr>
          <w:p>
            <w:pPr>
              <w:spacing w:after="0"/>
              <w:rPr>
                <w:sz w:val="24"/>
                <w:szCs w:val="24"/>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19,068</w:t>
            </w:r>
          </w:p>
        </w:tc>
      </w:tr>
      <w:tr>
        <w:trPr>
          <w:trHeight w:val="212"/>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r>
      <w:tr>
        <w:trPr>
          <w:trHeight w:val="212"/>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404"/>
        </w:trPr>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20,016</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-840740</wp:posOffset>
            </wp:positionV>
            <wp:extent cx="7134860"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-571500</wp:posOffset>
            </wp:positionV>
            <wp:extent cx="7134860"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-302260</wp:posOffset>
            </wp:positionV>
            <wp:extent cx="7134860"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060"/>
          </w:cols>
          <w:pgMar w:left="320" w:top="121"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for a discussion of the reduction in income tax liabilities.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 AND FINANCIAL INSTRUMENTS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September 30, 2025 and December 31, 2024. The following fair values are estimated using market information and what the Company believes to be appropriate valuation methodologies under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1"/>
                <w:szCs w:val="11"/>
                <w:color w:val="auto"/>
              </w:rPr>
            </w:pPr>
          </w:p>
        </w:tc>
        <w:tc>
          <w:tcPr>
            <w:tcW w:w="9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Senior secured term loan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128,040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Super senior term loan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Revolving loan agreement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are measured using Level 1 inputs.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our senior secured term loan is based on quoted mark prices. Based on the frequency of trading, we do not believe that there is an active market for our debt. Therefore, the quoted prices are considered Level 2 inputs.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Super Senior Facility and Revolving Loan Agreement were measured using Level 3 inputs based on the present value of the future payments. As quoted market prices are not available and there is no trading, we believe that the contractual interest rates represent the market rate at the measurement date and therefore the fair value equals the book value.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42% and 43% of its revenue from Onity for the three and nine months ended September 30, 2025, respectively (see Note 2 for additional information on Onity revenues and accounts receivable balance). The Company strives to mitigate its concentrations of credit risk with respect to accounts receivable by actively monitoring past due accounts and the economic status of larger customers, if known.</w:t>
      </w:r>
    </w:p>
    <w:p>
      <w:pPr>
        <w:spacing w:after="0" w:line="130" w:lineRule="exact"/>
        <w:rPr>
          <w:sz w:val="20"/>
          <w:szCs w:val="20"/>
          <w:color w:val="auto"/>
        </w:rPr>
      </w:pPr>
    </w:p>
    <w:p>
      <w:pPr>
        <w:ind w:right="4120" w:firstLine="636"/>
        <w:spacing w:after="0" w:line="431" w:lineRule="auto"/>
        <w:rPr>
          <w:sz w:val="20"/>
          <w:szCs w:val="20"/>
          <w:color w:val="auto"/>
        </w:rPr>
      </w:pPr>
      <w:r>
        <w:rPr>
          <w:rFonts w:ascii="Times New Roman" w:cs="Times New Roman" w:eastAsia="Times New Roman" w:hAnsi="Times New Roman"/>
          <w:sz w:val="18"/>
          <w:szCs w:val="18"/>
          <w:b w:val="1"/>
          <w:bCs w:val="1"/>
          <w:color w:val="auto"/>
        </w:rPr>
        <w:t>NOTE 14 — SHAREHOLDERS’ EQUITY AND SHARE-BASED COMPENSATION Common stock</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18, 2025, the Company’s shareholders approved an increase in the number of authorized shares from 100 million to 250 million, a decrease in the par value of the common stock from $1.00 to $0.01 and an increase in the number of shares of common stock reserved for issuance under the Equity Plan from approximately 1.5 million to approximately 2.0 million.</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19, 2025, the Company issued 7.3 million Debt Exchange Shares to lenders in connection with the Debt Exchange Transaction. See Note 10, Long-Term Debt. Pursuant to the terms of the Exchange Agreement, dated February 19, 2025, by and among the Borrower and Altisource Portfolio Solutions S.A., on the one hand, and the Lenders, on the other hand, with limited exceptions, the Lenders were not, among other things, permitted to sell, offer to sell, grant any option to purchase or otherwise dispose of any Debt Exchange Shares, without the prior written consent of Altisource Portfolio Solutions S.A., until September 17,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our shareholders on May 15, 2018. Under the program, we are authorized to purchase up to 0.4 million shares of 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common stock, based on a limit of 15% of the outstanding shares of common stock on the date of approval, at a minimum price of $8.00 per share and a maximum price of $200.00 per share, until May 16, 2028. As of September 30, 2025, approximately 0.4 million shares of common stock remain available for repurchase under the program. In connection with the Share Consolidation, the Company purchased 204 shares of common stock during the nine months ended September 30, 2025. There were no other purchases of shares of common stock during the nine months ended September 30, 2025 and 2024. Under the New Facility and the Super Senior Facility, we are not permitted to repurchase shares except under limited circumstances.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(“RSUs”) for certain employees, officers and directors. We recognized share-based compensation expense of $3.1 million and $3.9 million for the nine months ended September 30, 2025 and 2024, respectively ($1.3 million and $0.9 million for the third quarter of 2025 and 2024, respectively). As of September 30, 2025, estimated unrecognized compensation costs related to share-based awards amounted to $4.4 million, which we expect to recognize over a weighted average remaining requisite service period of approximately 1.42 years.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2"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five thousand service-based options were outstanding as of September 30, 2025.</w:t>
      </w:r>
    </w:p>
    <w:p>
      <w:pPr>
        <w:spacing w:after="0" w:line="107"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generally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three thousand market-based options were outstanding as of September 30, 2025.</w:t>
      </w:r>
    </w:p>
    <w:p>
      <w:pPr>
        <w:spacing w:after="0" w:line="132"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34 thousand performance-based options outstanding as of September 30,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 grants during the nine months ended September 30, 2025 and 2024.</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stock options granted per share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260" w:type="dxa"/>
            <w:vAlign w:val="bottom"/>
          </w:tcPr>
          <w:p>
            <w:pPr>
              <w:spacing w:after="0"/>
              <w:rPr>
                <w:sz w:val="18"/>
                <w:szCs w:val="18"/>
                <w:color w:val="auto"/>
              </w:rPr>
            </w:pPr>
          </w:p>
        </w:tc>
        <w:tc>
          <w:tcPr>
            <w:tcW w:w="160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that vested</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180" w:type="dxa"/>
            <w:vAlign w:val="bottom"/>
          </w:tcPr>
          <w:p>
            <w:pPr>
              <w:spacing w:after="0"/>
              <w:rPr>
                <w:sz w:val="13"/>
                <w:szCs w:val="13"/>
                <w:color w:val="auto"/>
              </w:rPr>
            </w:pPr>
          </w:p>
        </w:tc>
        <w:tc>
          <w:tcPr>
            <w:tcW w:w="124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240" w:type="dxa"/>
            <w:vAlign w:val="bottom"/>
          </w:tcPr>
          <w:p>
            <w:pPr>
              <w:jc w:val="center"/>
              <w:ind w:right="105"/>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8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85,008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September 30, 2025</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42,193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191.34</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September 30, 2025</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36,894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193.20</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RSUs. The restricted shares and RSUs are comprised of a combination of service-based awards, performance-based awards and performance and market-based awards.</w:t>
      </w:r>
    </w:p>
    <w:p>
      <w:pPr>
        <w:spacing w:after="0" w:line="108"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one-to-four-year periods. A total of 973 thousand service-based awards were outstanding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w:t>
      </w:r>
    </w:p>
    <w:p>
      <w:pPr>
        <w:spacing w:after="0" w:line="107"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29 thousand performance-based awards were outstanding as of September 30, 2025.</w:t>
      </w:r>
    </w:p>
    <w:p>
      <w:pPr>
        <w:spacing w:after="0" w:line="132"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Performance-Based and Market-Based Awards. </w:t>
      </w:r>
      <w:r>
        <w:rPr>
          <w:rFonts w:ascii="Times New Roman" w:cs="Times New Roman" w:eastAsia="Times New Roman" w:hAnsi="Times New Roman"/>
          <w:sz w:val="18"/>
          <w:szCs w:val="18"/>
          <w:color w:val="auto"/>
        </w:rPr>
        <w:t>These awards generally vest if certain specific financial measures are achieved and if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29 thousand performance-based and market-based awards were outstanding as of September 30, 2025.</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granted 1.0 million RSUs (at a weighted average grant date fair value of $7.62 per share) during the nine months ended September 30, 2025. These grants included approximately 0.6 million of RSUs granted to senior management in connection with the Debt Exchange Transaction, 12 thousand performance-based awards and 12 thousand awards that include both a performance condition and a market condition. The Company granted 205 thousand RSUs (at a weighted average grant date fair value of $19.65 per share) during the nine months ended September 30, 2024. These grants included 11 thousand performance-based awards and 11 thousand awards that include both a performance condition and a market condition.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tc>
        <w:tc>
          <w:tcPr>
            <w:tcW w:w="1640" w:type="dxa"/>
            <w:vAlign w:val="bottom"/>
          </w:tcPr>
          <w:p>
            <w:pPr>
              <w:spacing w:after="0"/>
              <w:rPr>
                <w:sz w:val="17"/>
                <w:szCs w:val="17"/>
                <w:color w:val="auto"/>
              </w:rPr>
            </w:pPr>
          </w:p>
        </w:tc>
      </w:tr>
      <w:tr>
        <w:trPr>
          <w:trHeight w:val="235"/>
        </w:trPr>
        <w:tc>
          <w:tcPr>
            <w:tcW w:w="960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tc>
        <w:tc>
          <w:tcPr>
            <w:tcW w:w="1640" w:type="dxa"/>
            <w:vAlign w:val="bottom"/>
          </w:tcPr>
          <w:p>
            <w:pPr>
              <w:spacing w:after="0"/>
              <w:rPr>
                <w:sz w:val="20"/>
                <w:szCs w:val="20"/>
                <w:color w:val="auto"/>
              </w:rPr>
            </w:pPr>
          </w:p>
        </w:tc>
      </w:tr>
      <w:tr>
        <w:trPr>
          <w:trHeight w:val="68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RSUs:</w:t>
            </w:r>
          </w:p>
        </w:tc>
        <w:tc>
          <w:tcPr>
            <w:tcW w:w="1640" w:type="dxa"/>
            <w:vAlign w:val="bottom"/>
          </w:tcPr>
          <w:p>
            <w:pPr>
              <w:spacing w:after="0"/>
              <w:rPr>
                <w:sz w:val="24"/>
                <w:szCs w:val="24"/>
                <w:color w:val="auto"/>
              </w:rPr>
            </w:pPr>
          </w:p>
        </w:tc>
      </w:tr>
      <w:tr>
        <w:trPr>
          <w:trHeight w:val="319"/>
        </w:trPr>
        <w:tc>
          <w:tcPr>
            <w:tcW w:w="96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4"/>
        </w:trPr>
        <w:tc>
          <w:tcPr>
            <w:tcW w:w="960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 and restricted</w:t>
            </w:r>
          </w:p>
        </w:tc>
      </w:tr>
      <w:tr>
        <w:trPr>
          <w:trHeight w:val="192"/>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198"/>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249,562</w:t>
            </w:r>
          </w:p>
        </w:tc>
      </w:tr>
      <w:tr>
        <w:trPr>
          <w:trHeight w:val="210"/>
        </w:trPr>
        <w:tc>
          <w:tcPr>
            <w:tcW w:w="9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964,138</w:t>
            </w:r>
          </w:p>
        </w:tc>
      </w:tr>
      <w:tr>
        <w:trPr>
          <w:trHeight w:val="214"/>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(111,697)</w:t>
            </w:r>
          </w:p>
        </w:tc>
      </w:tr>
      <w:tr>
        <w:trPr>
          <w:trHeight w:val="210"/>
        </w:trPr>
        <w:tc>
          <w:tcPr>
            <w:tcW w:w="9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(71,055)</w:t>
            </w:r>
          </w:p>
        </w:tc>
      </w:tr>
      <w:tr>
        <w:trPr>
          <w:trHeight w:val="194"/>
        </w:trPr>
        <w:tc>
          <w:tcPr>
            <w:tcW w:w="96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September 30, 2025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1,030,948</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REVENUE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One’s earnings are included in revenue and reduced from net (loss) income to arrive at net (loss) income attributable to Altisource (see Note 1). Our services are provided to customers located in the United States. The components of revenue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3"/>
                <w:szCs w:val="13"/>
                <w:color w:val="auto"/>
              </w:rPr>
            </w:pPr>
          </w:p>
        </w:tc>
        <w:tc>
          <w:tcPr>
            <w:tcW w:w="2060" w:type="dxa"/>
            <w:vAlign w:val="bottom"/>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6"/>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4"/>
        </w:trPr>
        <w:tc>
          <w:tcPr>
            <w:tcW w:w="6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38,150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111,904</w:t>
            </w: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94"/>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40,531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128,635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119,121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 by segment and major source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40" w:type="dxa"/>
            <w:vAlign w:val="bottom"/>
          </w:tcPr>
          <w:p>
            <w:pPr>
              <w:spacing w:after="0"/>
              <w:rPr>
                <w:sz w:val="16"/>
                <w:szCs w:val="16"/>
                <w:color w:val="auto"/>
              </w:rPr>
            </w:pPr>
          </w:p>
        </w:tc>
        <w:tc>
          <w:tcPr>
            <w:tcW w:w="3360" w:type="dxa"/>
            <w:vAlign w:val="bottom"/>
            <w:gridSpan w:val="7"/>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Origination</w:t>
            </w: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Origination</w:t>
            </w:r>
          </w:p>
        </w:tc>
        <w:tc>
          <w:tcPr>
            <w:tcW w:w="120" w:type="dxa"/>
            <w:vAlign w:val="bottom"/>
          </w:tcPr>
          <w:p>
            <w:pPr>
              <w:spacing w:after="0"/>
              <w:rPr>
                <w:sz w:val="11"/>
                <w:szCs w:val="11"/>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8"/>
              </w:rPr>
              <w:t>Total revenue</w:t>
            </w:r>
          </w:p>
        </w:tc>
        <w:tc>
          <w:tcPr>
            <w:tcW w:w="0" w:type="dxa"/>
            <w:vAlign w:val="bottom"/>
          </w:tcPr>
          <w:p>
            <w:pPr>
              <w:spacing w:after="0"/>
              <w:rPr>
                <w:sz w:val="1"/>
                <w:szCs w:val="1"/>
                <w:color w:val="auto"/>
              </w:rPr>
            </w:pPr>
          </w:p>
        </w:tc>
      </w:tr>
      <w:tr>
        <w:trPr>
          <w:trHeight w:val="194"/>
        </w:trPr>
        <w:tc>
          <w:tcPr>
            <w:tcW w:w="4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1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recognized when services are performed or assets are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37,275</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27,467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35,121</w:t>
            </w: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w:t>
            </w: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related to technology platforms and professional</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2,462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0" w:type="dxa"/>
            <w:vAlign w:val="bottom"/>
          </w:tcPr>
          <w:p>
            <w:pPr>
              <w:spacing w:after="0"/>
              <w:rPr>
                <w:sz w:val="1"/>
                <w:szCs w:val="1"/>
                <w:color w:val="auto"/>
              </w:rPr>
            </w:pPr>
          </w:p>
        </w:tc>
      </w:tr>
      <w:tr>
        <w:trPr>
          <w:trHeight w:val="21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 revenue</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2,171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0" w:type="dxa"/>
            <w:vAlign w:val="bottom"/>
          </w:tcPr>
          <w:p>
            <w:pPr>
              <w:spacing w:after="0"/>
              <w:rPr>
                <w:sz w:val="1"/>
                <w:szCs w:val="1"/>
                <w:color w:val="auto"/>
              </w:rPr>
            </w:pPr>
          </w:p>
        </w:tc>
      </w:tr>
      <w:tr>
        <w:trPr>
          <w:trHeight w:val="207"/>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41,908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32,549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40,531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40" w:type="dxa"/>
            <w:vAlign w:val="bottom"/>
          </w:tcPr>
          <w:p>
            <w:pPr>
              <w:spacing w:after="0"/>
              <w:rPr>
                <w:sz w:val="24"/>
                <w:szCs w:val="24"/>
                <w:color w:val="auto"/>
              </w:rPr>
            </w:pPr>
          </w:p>
        </w:tc>
        <w:tc>
          <w:tcPr>
            <w:tcW w:w="3360" w:type="dxa"/>
            <w:vAlign w:val="bottom"/>
            <w:gridSpan w:val="7"/>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Origination</w:t>
            </w: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Origination</w:t>
            </w:r>
          </w:p>
        </w:tc>
        <w:tc>
          <w:tcPr>
            <w:tcW w:w="120" w:type="dxa"/>
            <w:vAlign w:val="bottom"/>
          </w:tcPr>
          <w:p>
            <w:pPr>
              <w:spacing w:after="0"/>
              <w:rPr>
                <w:sz w:val="11"/>
                <w:szCs w:val="11"/>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8"/>
              </w:rPr>
              <w:t>Total revenue</w:t>
            </w:r>
          </w:p>
        </w:tc>
        <w:tc>
          <w:tcPr>
            <w:tcW w:w="0" w:type="dxa"/>
            <w:vAlign w:val="bottom"/>
          </w:tcPr>
          <w:p>
            <w:pPr>
              <w:spacing w:after="0"/>
              <w:rPr>
                <w:sz w:val="1"/>
                <w:szCs w:val="1"/>
                <w:color w:val="auto"/>
              </w:rPr>
            </w:pPr>
          </w:p>
        </w:tc>
      </w:tr>
      <w:tr>
        <w:trPr>
          <w:trHeight w:val="194"/>
        </w:trPr>
        <w:tc>
          <w:tcPr>
            <w:tcW w:w="4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1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recognized when services are performed or assets are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114,041</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80,358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103,422</w:t>
            </w: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w:t>
            </w: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8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related to technology platforms and professional</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7,527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8,137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8,618</w:t>
            </w:r>
          </w:p>
        </w:tc>
        <w:tc>
          <w:tcPr>
            <w:tcW w:w="0" w:type="dxa"/>
            <w:vAlign w:val="bottom"/>
          </w:tcPr>
          <w:p>
            <w:pPr>
              <w:spacing w:after="0"/>
              <w:rPr>
                <w:sz w:val="1"/>
                <w:szCs w:val="1"/>
                <w:color w:val="auto"/>
              </w:rPr>
            </w:pPr>
          </w:p>
        </w:tc>
      </w:tr>
      <w:tr>
        <w:trPr>
          <w:trHeight w:val="21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 revenue</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7,067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6,680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0" w:type="dxa"/>
            <w:vAlign w:val="bottom"/>
          </w:tcPr>
          <w:p>
            <w:pPr>
              <w:spacing w:after="0"/>
              <w:rPr>
                <w:sz w:val="1"/>
                <w:szCs w:val="1"/>
                <w:color w:val="auto"/>
              </w:rPr>
            </w:pPr>
          </w:p>
        </w:tc>
      </w:tr>
      <w:tr>
        <w:trPr>
          <w:trHeight w:val="207"/>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26,038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128,635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95,175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23,946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119,121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service revenue by the timing of revenue recognition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3"/>
                <w:szCs w:val="13"/>
                <w:color w:val="auto"/>
              </w:rPr>
            </w:pPr>
          </w:p>
        </w:tc>
        <w:tc>
          <w:tcPr>
            <w:tcW w:w="2060" w:type="dxa"/>
            <w:vAlign w:val="bottom"/>
            <w:gridSpan w:val="4"/>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6"/>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5"/>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Over-time revenue recognition</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8,026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20,794</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Point-in-time revenue recognition</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30,893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30,124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92,332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91,110</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service revenue</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39,666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38,150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121,348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111,904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and unbilled accounts receivable (presented as accounts receivable on our condensed consolidated balance sheets), and customer advances (presented as deferred revenue on our condensed consolidated balance sheets), where applicable.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over-time revenue recognition model consists primarily of the following services for which revenue is recognized over the period during which services are provided:</w:t>
      </w:r>
    </w:p>
    <w:p>
      <w:pPr>
        <w:spacing w:after="0" w:line="110" w:lineRule="exact"/>
        <w:rPr>
          <w:sz w:val="20"/>
          <w:szCs w:val="20"/>
          <w:color w:val="auto"/>
        </w:rPr>
      </w:pPr>
    </w:p>
    <w:p>
      <w:pPr>
        <w:ind w:left="320" w:hanging="314"/>
        <w:spacing w:after="0" w:line="257"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foreclosure trustee services, revenue is recognized as work progresses, in accordance with agreed upon milestones with full recognition upon completion and/or recording the related foreclosure deed</w:t>
      </w:r>
    </w:p>
    <w:p>
      <w:pPr>
        <w:ind w:left="320" w:hanging="314"/>
        <w:spacing w:after="0" w:line="24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software-as-a-service (“SaaS”) based technology to manage REO, we recognize revenue over the estimated average number of months the REO properties are on the platform before they are sold</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transactions, revenue is recognized over the period during which services are provided</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fund disbursement services, we recognize revenue over the period during which we perform the processing services with full recognition upon completion of the disbursements</w:t>
      </w:r>
    </w:p>
    <w:p>
      <w:pPr>
        <w:spacing w:after="0" w:line="1" w:lineRule="exact"/>
        <w:rPr>
          <w:rFonts w:ascii="Times New Roman" w:cs="Times New Roman" w:eastAsia="Times New Roman" w:hAnsi="Times New Roman"/>
          <w:sz w:val="18"/>
          <w:szCs w:val="18"/>
          <w:color w:val="auto"/>
        </w:rPr>
      </w:pPr>
    </w:p>
    <w:p>
      <w:pPr>
        <w:jc w:val="both"/>
        <w:ind w:left="320" w:hanging="314"/>
        <w:spacing w:after="0" w:line="24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real estate renovation services, we recognize revenue over time as work is completed, measured by the percentage of work performed relative to the total project. Field inspections by qualified professionals form a fundamental part of the Company’s assessment, measure and documentation of work completed on real estate renovations. As of September 30, 2025, the value of unfulfilled renovation orders amounted to $3.7 million, with the majority of this backlog expected to be completed and recognized as revenue within the fourth quarter of 2025 and the remainder anticipated to be completed in the first quarter of 2026</w:t>
      </w:r>
    </w:p>
    <w:p>
      <w:pPr>
        <w:spacing w:after="0" w:line="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membership fees from Lender One members ratably over the term of membership</w:t>
      </w:r>
    </w:p>
    <w:p>
      <w:pPr>
        <w:spacing w:after="0" w:line="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oversight SaaS, we recognize revenue over the period during which we perform the services.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John G. Aldridge, Jr., the Managing Partner of Aldridge Pite LLP (“Aldridge Pite”), is a member of the Board of Directors of Altisource. Aldridge Pite provides eviction and other real estate related services to the Company and pays for the use of certain of the Company’s technology in connection with providing these services. The Company recognized service revenue of $0.1 million and less than $0.1 million for the nine months ended September 30, 2025 and 2024, respectively (less than $0.1 million and less than $0.1 million for the third quarter of 2025 and 2024, respectively), relating to services provided to Aldridge Pite.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3). Our contract liabilities consist of current deferred revenue and other non-current liabilities as reported on the accompanying condensed consolidated balance sheets. The deferred revenue opening and closing balances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3"/>
                <w:szCs w:val="13"/>
                <w:color w:val="auto"/>
              </w:rPr>
            </w:pPr>
          </w:p>
        </w:tc>
        <w:tc>
          <w:tcPr>
            <w:tcW w:w="2060" w:type="dxa"/>
            <w:vAlign w:val="bottom"/>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6"/>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48"/>
        </w:trPr>
        <w:tc>
          <w:tcPr>
            <w:tcW w:w="6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beginning balance</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ind w:left="304"/>
              <w:spacing w:after="0"/>
              <w:rPr>
                <w:sz w:val="20"/>
                <w:szCs w:val="20"/>
                <w:color w:val="auto"/>
              </w:rPr>
            </w:pPr>
            <w:r>
              <w:rPr>
                <w:rFonts w:ascii="Times New Roman" w:cs="Times New Roman" w:eastAsia="Times New Roman" w:hAnsi="Times New Roman"/>
                <w:sz w:val="16"/>
                <w:szCs w:val="16"/>
                <w:color w:val="auto"/>
                <w:w w:val="99"/>
              </w:rPr>
              <w:t>3,979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center"/>
              <w:ind w:left="142"/>
              <w:spacing w:after="0"/>
              <w:rPr>
                <w:sz w:val="20"/>
                <w:szCs w:val="20"/>
                <w:color w:val="auto"/>
              </w:rPr>
            </w:pPr>
            <w:r>
              <w:rPr>
                <w:rFonts w:ascii="Times New Roman" w:cs="Times New Roman" w:eastAsia="Times New Roman" w:hAnsi="Times New Roman"/>
                <w:sz w:val="16"/>
                <w:szCs w:val="16"/>
                <w:color w:val="auto"/>
                <w:w w:val="99"/>
              </w:rPr>
              <w:t>3,204</w:t>
            </w:r>
          </w:p>
        </w:tc>
        <w:tc>
          <w:tcPr>
            <w:tcW w:w="0" w:type="dxa"/>
            <w:vAlign w:val="bottom"/>
          </w:tcPr>
          <w:p>
            <w:pPr>
              <w:spacing w:after="0"/>
              <w:rPr>
                <w:sz w:val="1"/>
                <w:szCs w:val="1"/>
                <w:color w:val="auto"/>
              </w:rPr>
            </w:pPr>
          </w:p>
        </w:tc>
      </w:tr>
      <w:tr>
        <w:trPr>
          <w:trHeight w:val="159"/>
        </w:trPr>
        <w:tc>
          <w:tcPr>
            <w:tcW w:w="65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6"/>
                <w:szCs w:val="16"/>
                <w:color w:val="auto"/>
              </w:rPr>
              <w:t>Revenue recognized that was included in the deferred revenue balance at the beginning of the</w:t>
            </w: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center"/>
              <w:ind w:left="244"/>
              <w:spacing w:after="0"/>
              <w:rPr>
                <w:sz w:val="20"/>
                <w:szCs w:val="20"/>
                <w:color w:val="auto"/>
              </w:rPr>
            </w:pPr>
            <w:r>
              <w:rPr>
                <w:rFonts w:ascii="Times New Roman" w:cs="Times New Roman" w:eastAsia="Times New Roman" w:hAnsi="Times New Roman"/>
                <w:sz w:val="16"/>
                <w:szCs w:val="16"/>
                <w:color w:val="auto"/>
                <w:w w:val="98"/>
              </w:rPr>
              <w:t>(3,582)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vMerge w:val="restart"/>
          </w:tcPr>
          <w:p>
            <w:pPr>
              <w:jc w:val="center"/>
              <w:ind w:left="122"/>
              <w:spacing w:after="0"/>
              <w:rPr>
                <w:sz w:val="20"/>
                <w:szCs w:val="20"/>
                <w:color w:val="auto"/>
              </w:rPr>
            </w:pPr>
            <w:r>
              <w:rPr>
                <w:rFonts w:ascii="Times New Roman" w:cs="Times New Roman" w:eastAsia="Times New Roman" w:hAnsi="Times New Roman"/>
                <w:sz w:val="16"/>
                <w:szCs w:val="16"/>
                <w:color w:val="auto"/>
                <w:w w:val="98"/>
              </w:rPr>
              <w:t>(3,167)</w:t>
            </w: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due to billing, excluding amounts recognized as revenue during the period</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304"/>
              <w:spacing w:after="0"/>
              <w:rPr>
                <w:sz w:val="20"/>
                <w:szCs w:val="20"/>
                <w:color w:val="auto"/>
              </w:rPr>
            </w:pPr>
            <w:r>
              <w:rPr>
                <w:rFonts w:ascii="Times New Roman" w:cs="Times New Roman" w:eastAsia="Times New Roman" w:hAnsi="Times New Roman"/>
                <w:sz w:val="16"/>
                <w:szCs w:val="16"/>
                <w:color w:val="auto"/>
                <w:w w:val="99"/>
              </w:rPr>
              <w:t>3,156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142"/>
              <w:spacing w:after="0"/>
              <w:rPr>
                <w:sz w:val="20"/>
                <w:szCs w:val="20"/>
                <w:color w:val="auto"/>
              </w:rPr>
            </w:pPr>
            <w:r>
              <w:rPr>
                <w:rFonts w:ascii="Times New Roman" w:cs="Times New Roman" w:eastAsia="Times New Roman" w:hAnsi="Times New Roman"/>
                <w:sz w:val="16"/>
                <w:szCs w:val="16"/>
                <w:color w:val="auto"/>
                <w:w w:val="99"/>
              </w:rPr>
              <w:t>3,732</w:t>
            </w:r>
          </w:p>
        </w:tc>
        <w:tc>
          <w:tcPr>
            <w:tcW w:w="0" w:type="dxa"/>
            <w:vAlign w:val="bottom"/>
          </w:tcPr>
          <w:p>
            <w:pPr>
              <w:spacing w:after="0"/>
              <w:rPr>
                <w:sz w:val="1"/>
                <w:szCs w:val="1"/>
                <w:color w:val="auto"/>
              </w:rPr>
            </w:pPr>
          </w:p>
        </w:tc>
      </w:tr>
      <w:tr>
        <w:trPr>
          <w:trHeight w:val="2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revenue, ending balance</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center"/>
              <w:ind w:left="304"/>
              <w:spacing w:after="0"/>
              <w:rPr>
                <w:sz w:val="20"/>
                <w:szCs w:val="20"/>
                <w:color w:val="auto"/>
              </w:rPr>
            </w:pPr>
            <w:r>
              <w:rPr>
                <w:rFonts w:ascii="Times New Roman" w:cs="Times New Roman" w:eastAsia="Times New Roman" w:hAnsi="Times New Roman"/>
                <w:sz w:val="16"/>
                <w:szCs w:val="16"/>
                <w:color w:val="auto"/>
                <w:w w:val="99"/>
              </w:rPr>
              <w:t>3,553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center"/>
              <w:ind w:left="142"/>
              <w:spacing w:after="0"/>
              <w:rPr>
                <w:sz w:val="20"/>
                <w:szCs w:val="20"/>
                <w:color w:val="auto"/>
              </w:rPr>
            </w:pPr>
            <w:r>
              <w:rPr>
                <w:rFonts w:ascii="Times New Roman" w:cs="Times New Roman" w:eastAsia="Times New Roman" w:hAnsi="Times New Roman"/>
                <w:sz w:val="16"/>
                <w:szCs w:val="16"/>
                <w:color w:val="auto"/>
                <w:w w:val="99"/>
              </w:rPr>
              <w:t>3,769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COST OF REVENUE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7"/>
                <w:szCs w:val="17"/>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5"/>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44,301</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21,913</w:t>
            </w:r>
          </w:p>
        </w:tc>
      </w:tr>
      <w:tr>
        <w:trPr>
          <w:trHeight w:val="21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w:t>
            </w: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19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28,461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recognized cost of revenue of $0.8 million and $0.7 million for the nine months ended September 30, 2025 and 2024, respectively ($0.3 million and $0.3 million for the third quarter of 2025 and 2024, respectively), relating to services received from Aldridge Pite. As of September 30, 2025, the Company had no amounts payable to Aldridge Pite.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SELLING, GENERAL AND ADMINISTRATIVE EXPENSES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includes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7"/>
                <w:szCs w:val="17"/>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4"/>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14,765</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w:t>
            </w:r>
          </w:p>
        </w:tc>
      </w:tr>
      <w:tr>
        <w:trPr>
          <w:trHeight w:val="21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r>
      <w:tr>
        <w:trPr>
          <w:trHeight w:val="214"/>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w:t>
            </w:r>
          </w:p>
        </w:tc>
      </w:tr>
      <w:tr>
        <w:trPr>
          <w:trHeight w:val="19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OTHER INCOME (EXPENSE),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consists of the following:</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4072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income (expense)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net</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2"/>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405"/>
        </w:trPr>
        <w:tc>
          <w:tcPr>
            <w:tcW w:w="720" w:type="dxa"/>
            <w:vAlign w:val="bottom"/>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24"/>
                <w:szCs w:val="24"/>
                <w:color w:val="auto"/>
              </w:rPr>
            </w:pPr>
          </w:p>
        </w:tc>
        <w:tc>
          <w:tcPr>
            <w:tcW w:w="740" w:type="dxa"/>
            <w:vAlign w:val="bottom"/>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24"/>
                <w:szCs w:val="24"/>
                <w:color w:val="auto"/>
              </w:rPr>
            </w:pPr>
          </w:p>
        </w:tc>
        <w:tc>
          <w:tcPr>
            <w:tcW w:w="700" w:type="dxa"/>
            <w:vAlign w:val="bottom"/>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24"/>
                <w:szCs w:val="24"/>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15"/>
        </w:trPr>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w:t>
            </w:r>
          </w:p>
        </w:tc>
      </w:tr>
      <w:tr>
        <w:trPr>
          <w:trHeight w:val="404"/>
        </w:trPr>
        <w:tc>
          <w:tcPr>
            <w:tcW w:w="7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24"/>
                <w:szCs w:val="24"/>
                <w:color w:val="auto"/>
              </w:rPr>
            </w:pPr>
          </w:p>
        </w:tc>
        <w:tc>
          <w:tcPr>
            <w:tcW w:w="7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w:t>
            </w:r>
          </w:p>
        </w:tc>
      </w:tr>
      <w:tr>
        <w:trPr>
          <w:trHeight w:val="22"/>
        </w:trPr>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-4135755</wp:posOffset>
            </wp:positionH>
            <wp:positionV relativeFrom="paragraph">
              <wp:posOffset>-571500</wp:posOffset>
            </wp:positionV>
            <wp:extent cx="7134860" cy="134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-302260</wp:posOffset>
            </wp:positionV>
            <wp:extent cx="7134860" cy="13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720"/>
          </w:cols>
          <w:pgMar w:left="320" w:top="12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recognized an income tax benefit (provision) of $15.1 million and $(2.2) million for the nine months ended September 30, 2025 and 2024, respectively ($0.7 million and $(0.8) million for the third quarter of 2025 and 2024, respectively). The income tax benefit for the nine months ended September 30, 2025 was driven primarily by the reversal of liabilities for uncertain tax positions. The income tax (provision) benefit for the three and nine months ended September 30, 2025 was also driven by income tax expense on transfer pricing income from India and the United States and no tax benefit on the pretax loss from our Luxembourg operating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benefit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60" w:type="dxa"/>
            <w:vAlign w:val="bottom"/>
          </w:tcPr>
          <w:p>
            <w:pPr>
              <w:spacing w:after="0"/>
              <w:rPr>
                <w:sz w:val="16"/>
                <w:szCs w:val="16"/>
                <w:color w:val="auto"/>
              </w:rPr>
            </w:pPr>
          </w:p>
        </w:tc>
        <w:tc>
          <w:tcPr>
            <w:tcW w:w="9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5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 U.S. federal</w:t>
            </w: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 U.S. state</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0"/>
        </w:trPr>
        <w:tc>
          <w:tcPr>
            <w:tcW w:w="5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 non-U.S.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(998)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w:t>
            </w:r>
          </w:p>
        </w:tc>
      </w:tr>
      <w:tr>
        <w:trPr>
          <w:trHeight w:val="194"/>
        </w:trPr>
        <w:tc>
          <w:tcPr>
            <w:tcW w:w="5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5260" w:type="dxa"/>
            <w:vAlign w:val="bottom"/>
          </w:tcPr>
          <w:p>
            <w:pPr>
              <w:spacing w:after="0"/>
              <w:rPr>
                <w:sz w:val="18"/>
                <w:szCs w:val="18"/>
                <w:color w:val="auto"/>
              </w:rPr>
            </w:pP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(751)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5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Deferred:</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0"/>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Domestic</w:t>
            </w: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4"/>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 U.S. state</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 non-U.S.</w:t>
            </w:r>
          </w:p>
        </w:tc>
        <w:tc>
          <w:tcPr>
            <w:tcW w:w="94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10"/>
        </w:trPr>
        <w:tc>
          <w:tcPr>
            <w:tcW w:w="5260" w:type="dxa"/>
            <w:vAlign w:val="bottom"/>
          </w:tcPr>
          <w:p>
            <w:pPr>
              <w:spacing w:after="0"/>
              <w:rPr>
                <w:sz w:val="18"/>
                <w:szCs w:val="18"/>
                <w:color w:val="auto"/>
              </w:rPr>
            </w:pP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5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2"/>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(809)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w:t>
            </w: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6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 xml:space="preserve">The Company follows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which clarifies the accounting and disclosure for uncertainty in tax positions. We analyzed our tax filing positions in the domestic and foreign tax jurisdictions where we are required to file income tax returns as well as for all open tax years subject to audit in these jurisdictions. The Company has open tax years in the United States (2017 through 2023), India (2011 through 2024) and Luxembourg (2017 through 2023).</w:t>
      </w:r>
    </w:p>
    <w:p>
      <w:pPr>
        <w:spacing w:after="0" w:line="1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second quarter of 2025, Management concluded that certain of its India tax positions for several years were more likely than not to be sustained based on second quarter developments (including, among other reasons, a net refund received of $1.3 million). As a result, the Company recognized a $9.6 million reversal of its reserve for uncertain tax positions related to India and a $9.0 million reversal of related accrued interest.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effective tax rate differs from the Luxembourg statutory tax rate due to tax rate differences on foreign earnings, increases in uncertain tax positions, state taxes, a decrease in unrecognized tax benefits, tax exempt income primarily from the sale of Pointillist and a valuation allowance against deferred tax assets the Company believes it is more likely than not will not be realized.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unrecognized tax benefits: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9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5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of unrecognized tax benefit as of the beginning of the period</w:t>
            </w:r>
          </w:p>
        </w:tc>
        <w:tc>
          <w:tcPr>
            <w:tcW w:w="88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9,208</w:t>
            </w:r>
          </w:p>
        </w:tc>
      </w:tr>
      <w:tr>
        <w:trPr>
          <w:trHeight w:val="2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Decreases as a result of tax positions taken in a prior period</w:t>
            </w:r>
          </w:p>
        </w:tc>
        <w:tc>
          <w:tcPr>
            <w:tcW w:w="8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as a result of tax positions taken in a prior period</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1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Decreases as a result of tax positions taken in the current period</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as a result of tax positions taken in the current period</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194"/>
        </w:trPr>
        <w:tc>
          <w:tcPr>
            <w:tcW w:w="54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of unrecognized tax benefit as of the end of the period</w:t>
            </w:r>
          </w:p>
        </w:tc>
        <w:tc>
          <w:tcPr>
            <w:tcW w:w="88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2,404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Luxembourg statutory tax rate to our effective tax rate: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2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100" w:type="dxa"/>
            <w:vAlign w:val="bottom"/>
            <w:gridSpan w:val="3"/>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9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6"/>
        </w:trPr>
        <w:tc>
          <w:tcPr>
            <w:tcW w:w="4940" w:type="dxa"/>
            <w:vAlign w:val="bottom"/>
          </w:tcPr>
          <w:p>
            <w:pPr>
              <w:spacing w:after="0"/>
              <w:rPr>
                <w:sz w:val="16"/>
                <w:szCs w:val="16"/>
                <w:color w:val="auto"/>
              </w:rPr>
            </w:pPr>
          </w:p>
        </w:tc>
        <w:tc>
          <w:tcPr>
            <w:tcW w:w="15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4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tax rate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5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(67.29)</w:t>
            </w:r>
          </w:p>
        </w:tc>
        <w:tc>
          <w:tcPr>
            <w:tcW w:w="120" w:type="dxa"/>
            <w:vAlign w:val="bottom"/>
          </w:tcPr>
          <w:p>
            <w:pPr>
              <w:spacing w:after="0"/>
              <w:rPr>
                <w:sz w:val="18"/>
                <w:szCs w:val="18"/>
                <w:color w:val="auto"/>
              </w:rPr>
            </w:pPr>
          </w:p>
        </w:tc>
        <w:tc>
          <w:tcPr>
            <w:tcW w:w="14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(23.68)</w:t>
            </w:r>
          </w:p>
        </w:tc>
        <w:tc>
          <w:tcPr>
            <w:tcW w:w="100" w:type="dxa"/>
            <w:vAlign w:val="bottom"/>
          </w:tcPr>
          <w:p>
            <w:pPr>
              <w:spacing w:after="0"/>
              <w:rPr>
                <w:sz w:val="18"/>
                <w:szCs w:val="18"/>
                <w:color w:val="auto"/>
              </w:rPr>
            </w:pPr>
          </w:p>
        </w:tc>
        <w:tc>
          <w:tcPr>
            <w:tcW w:w="15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(49.07)</w:t>
            </w:r>
          </w:p>
        </w:tc>
        <w:tc>
          <w:tcPr>
            <w:tcW w:w="100" w:type="dxa"/>
            <w:vAlign w:val="bottom"/>
          </w:tcPr>
          <w:p>
            <w:pPr>
              <w:spacing w:after="0"/>
              <w:rPr>
                <w:sz w:val="18"/>
                <w:szCs w:val="18"/>
                <w:color w:val="auto"/>
              </w:rPr>
            </w:pP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(26.46)</w:t>
            </w:r>
          </w:p>
        </w:tc>
      </w:tr>
      <w:tr>
        <w:trPr>
          <w:trHeight w:val="21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tax expense</w:t>
            </w:r>
          </w:p>
        </w:tc>
        <w:tc>
          <w:tcPr>
            <w:tcW w:w="15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0.38</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15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(13.63)</w:t>
            </w:r>
          </w:p>
        </w:tc>
        <w:tc>
          <w:tcPr>
            <w:tcW w:w="120" w:type="dxa"/>
            <w:vAlign w:val="bottom"/>
          </w:tcPr>
          <w:p>
            <w:pPr>
              <w:spacing w:after="0"/>
              <w:rPr>
                <w:sz w:val="18"/>
                <w:szCs w:val="18"/>
                <w:color w:val="auto"/>
              </w:rPr>
            </w:pPr>
          </w:p>
        </w:tc>
        <w:tc>
          <w:tcPr>
            <w:tcW w:w="14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8"/>
                <w:szCs w:val="18"/>
                <w:color w:val="auto"/>
              </w:rPr>
            </w:pPr>
          </w:p>
        </w:tc>
        <w:tc>
          <w:tcPr>
            <w:tcW w:w="15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275.29</w:t>
            </w:r>
          </w:p>
        </w:tc>
        <w:tc>
          <w:tcPr>
            <w:tcW w:w="100" w:type="dxa"/>
            <w:vAlign w:val="bottom"/>
          </w:tcPr>
          <w:p>
            <w:pPr>
              <w:spacing w:after="0"/>
              <w:rPr>
                <w:sz w:val="18"/>
                <w:szCs w:val="18"/>
                <w:color w:val="auto"/>
              </w:rPr>
            </w:pP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(5.39)</w:t>
            </w:r>
          </w:p>
        </w:tc>
      </w:tr>
      <w:tr>
        <w:trPr>
          <w:trHeight w:val="21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rate differences on foreign earnings</w:t>
            </w:r>
          </w:p>
        </w:tc>
        <w:tc>
          <w:tcPr>
            <w:tcW w:w="15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(0.47)</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exempt income</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0.21</w:t>
            </w: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14.94</w:t>
            </w:r>
          </w:p>
        </w:tc>
        <w:tc>
          <w:tcPr>
            <w:tcW w:w="12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(2.34)</w:t>
            </w:r>
          </w:p>
        </w:tc>
      </w:tr>
      <w:tr>
        <w:trPr>
          <w:trHeight w:val="194"/>
        </w:trPr>
        <w:tc>
          <w:tcPr>
            <w:tcW w:w="4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250.87 %</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amount of unrecognized tax benefits including interest and penalties that, if recognized, would affect the effective tax rate is $3.5 million and $19.2 million as of September 30, 2025 and December 31, 2024, respectively. The Company recognizes interest, if any, related to unrecognized tax benefits as a component of income tax expense. As of September 30, 2025 and 2024, the Company had recorded accrued interest and penalties related to unrecognized tax benefits of $1.1 million and $9.1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EARNINGS (LOSS) PER SHARE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Basic (loss) earnings per share is computed by dividing net (loss) income available to common shareholders by the weighted average number of common shares outstanding for the period. For the three and nine months ended September 30, 2025, diluted earnings per share reflects the assumed conversion of all dilutive securities using the treasury stock method. For three and nine months ended September 30, 2025, diluted net (loss) earnings per share excludes all dilutive securities because their impact would be anti-dilutive, as described below. Basic and diluted (loss) earnings per share has been retroactively adjusted for all prior periods presented to reflect the effects of the Share Consolidation.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earnings per share are calculated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Pr>
          <w:p>
            <w:pPr>
              <w:spacing w:after="0"/>
              <w:rPr>
                <w:sz w:val="17"/>
                <w:szCs w:val="17"/>
                <w:color w:val="auto"/>
              </w:rPr>
            </w:pPr>
          </w:p>
        </w:tc>
        <w:tc>
          <w:tcPr>
            <w:tcW w:w="8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5"/>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Altisource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7"/>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earnings per share: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2"/>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nine months ended September 30, 2025 and 2024, 0.1 million and 0.3 million, respectively (3.0 million and 0.2 million for the third quarter of 2025 and 2024, respectively), stock options, warrants, restricted shares and RSUs were excluded from the computation of (loss) earnings per share, as a result of the following:</w:t>
      </w:r>
    </w:p>
    <w:p>
      <w:pPr>
        <w:spacing w:after="0" w:line="125" w:lineRule="exact"/>
        <w:rPr>
          <w:sz w:val="20"/>
          <w:szCs w:val="20"/>
          <w:color w:val="auto"/>
        </w:rPr>
      </w:pPr>
    </w:p>
    <w:p>
      <w:pPr>
        <w:jc w:val="both"/>
        <w:ind w:left="480" w:hanging="315"/>
        <w:spacing w:after="0" w:line="259" w:lineRule="auto"/>
        <w:tabs>
          <w:tab w:leader="none" w:pos="4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2024, 0.1 million (2.9 million and 0.1 million for the third quarter of 2025 and 2024, respectively) (no comparative amount for the nine months ended September 30, 2025), stock options, warrants, restricted shares and RSUs were anti-dilutive and have been excluded from the computation of diluted (loss) earnings per share because the Company incurred a net loss</w:t>
      </w:r>
    </w:p>
    <w:p>
      <w:pPr>
        <w:spacing w:after="0" w:line="18" w:lineRule="exact"/>
        <w:rPr>
          <w:rFonts w:ascii="Times New Roman" w:cs="Times New Roman" w:eastAsia="Times New Roman" w:hAnsi="Times New Roman"/>
          <w:sz w:val="18"/>
          <w:szCs w:val="18"/>
          <w:color w:val="auto"/>
        </w:rPr>
      </w:pPr>
    </w:p>
    <w:p>
      <w:pPr>
        <w:jc w:val="both"/>
        <w:ind w:left="480" w:hanging="315"/>
        <w:spacing w:after="0" w:line="259" w:lineRule="auto"/>
        <w:tabs>
          <w:tab w:leader="none" w:pos="4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2025 and 2024, less than 0.1 million and 0.1 million, respectively (less than 0.1 million for the third quarter of 2025 and 2024), stock options were anti-dilutive and have been excluded from the computation of diluted (loss) earnings per share because their exercise price was greater than the average market price of our common stock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left="480" w:hanging="315"/>
        <w:spacing w:after="0" w:line="255" w:lineRule="auto"/>
        <w:tabs>
          <w:tab w:leader="none" w:pos="4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2025 and 2024, 0.1 million and 0.1 million, respectively (0.1 million and 0.1 million for the third quarter of 2025 and 2024, respectively), stock options, restricted shares and RSUs, which begin to vest upon the achievement of certain market criteria related to our common stock price, performance criteria and a total shareholder return compared to the market benchmark, have been excluded from the computation of diluted (loss) earnings per share because the achievement levels have not yet been met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COMMITMENTS, CONTINGENCIES AND REGULATORY MATTERS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Fair Housing Alliance v. Altisource Solutions, Inc., et al.</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or about February 1, 2018, the National Fair Housing Alliance (“NFHA”) and eighteen regional housing groups filed a civil complaint, subsequently amended, against Altisource Solutions, Inc., a wholly owned subsidiary of the Company, Deutsche Bank National Trust, as Trustee, Deutsche Bank Trust Company Americas, as Trustee, and Ocwen Loan Servicing, LLC, n/k/a Onity Group, Inc. in the United States District Court for the Northern District of Illinois. The complaint alleges violations of the federal Fair Housing Act in connection with the maintenance and marketing of certain real estate owned properties. Plaintiffs seek monetary damages, including attorneys’ fees. Trial is currently scheduled to begin in February 2026, although the schedule could change.</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believes it has meritorious defenses and intends to defend itself vigorously in this matter. While it is too early to predict the outcome of the proceedings or whether an adverse result would have a material impact on our operations or financial position, an adverse outcome could result in a material damages award. At this time, the Company cannot reasonably estimate the potential loss or range of loss, if any, associated with this matter.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discussed in Note 2, during the three and nine months ended September 30, 2025, Onity was our largest customer, accounting for 42% and 43% of our total revenue, respectively. Additionally, 5% of our revenue for the nine months ended September 30, 2025 (4% of our revenue for the third quarter of 2025) was earned on the loan portfolios serviced by Onity, when a party other than Onity or the MSRs owner selected Altisource as the service provider.</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Onity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1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Onity has disclosed that Rithm is one of its largest servicing clients. As of June 30, 2025, Onity reported that approximately 11% of loans serviced and subserviced by Onity (measured in UPB) and approximately 59% of all delinquent loans that Onity services were related to Rithm MSRs or rights to MSRs.</w:t>
      </w:r>
    </w:p>
    <w:p>
      <w:pPr>
        <w:spacing w:after="0" w:line="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$0.2 million and $0.5 million for the nine months ended September 30, 2025 and 2024, respectively (less than $0.1 million and $0.2 million for the third quarter of 2025 and 2024, respectively). The amortization periods of right-of-use assets are generally limited by the expected lease term. Our leases generally have expected lease terms at adoption of one to six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were as follows as of September 30: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2"/>
        </w:trPr>
        <w:tc>
          <w:tcPr>
            <w:tcW w:w="8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2"/>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0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 activity during the periods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60" w:type="dxa"/>
            <w:vAlign w:val="bottom"/>
            <w:gridSpan w:val="4"/>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7"/>
                <w:szCs w:val="17"/>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4"/>
        </w:trPr>
        <w:tc>
          <w:tcPr>
            <w:tcW w:w="6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12"/>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14"/>
        </w:trPr>
        <w:tc>
          <w:tcPr>
            <w:tcW w:w="6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 for amounts included in the measurement of lease liabilities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14"/>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(twelve months or less) lease costs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8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88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our lease liabilities as of September 30, 2025 are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4"/>
                <w:szCs w:val="24"/>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4"/>
        </w:trPr>
        <w:tc>
          <w:tcPr>
            <w:tcW w:w="9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4"/>
        </w:trPr>
        <w:tc>
          <w:tcPr>
            <w:tcW w:w="9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3"/>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12"/>
        </w:trPr>
        <w:tc>
          <w:tcPr>
            <w:tcW w:w="9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194"/>
        </w:trPr>
        <w:tc>
          <w:tcPr>
            <w:tcW w:w="9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and Other Balances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activities. These amounts are held in escrow and other accounts for limited periods of time and are not included in the accompanying condensed consolidated balance sheets. Amounts held in escrow and other accounts were $52.5 million and $27.1 million as of September 30, 2025 and December 31, 2024,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includes interest expense and costs related to corporate functions including executive, infrastructure and certain technology groups, finance, law, compliance, human resources, vendor management, facilities, risk management, and eliminations between reportable segments.</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Income (loss) before income taxes and non-controlling interests is the measure of segment profit and loss that is determined in accordance with the measurement principles used in measuring the corresponding amounts in the consolidated financial statements and used by the chief operating decision maker to evaluate segment results.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20" w:type="dxa"/>
            <w:vAlign w:val="bottom"/>
          </w:tcPr>
          <w:p>
            <w:pPr>
              <w:spacing w:after="0"/>
              <w:rPr>
                <w:sz w:val="11"/>
                <w:szCs w:val="11"/>
                <w:color w:val="auto"/>
              </w:rPr>
            </w:pP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right"/>
              <w:ind w:right="18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41,908</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30,561</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11,347</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10,826</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 amendment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2"/>
        </w:trPr>
        <w:tc>
          <w:tcPr>
            <w:tcW w:w="566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0" w:type="dxa"/>
            <w:vAlign w:val="bottom"/>
          </w:tcPr>
          <w:p>
            <w:pPr>
              <w:spacing w:after="0"/>
              <w:rPr>
                <w:sz w:val="1"/>
                <w:szCs w:val="1"/>
                <w:color w:val="auto"/>
              </w:rPr>
            </w:pPr>
          </w:p>
        </w:tc>
      </w:tr>
      <w:tr>
        <w:trPr>
          <w:trHeight w:val="194"/>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Others other income primarily include other non-operating gains and losses.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20" w:type="dxa"/>
            <w:vAlign w:val="bottom"/>
          </w:tcPr>
          <w:p>
            <w:pPr>
              <w:spacing w:after="0"/>
              <w:rPr>
                <w:sz w:val="10"/>
                <w:szCs w:val="10"/>
                <w:color w:val="auto"/>
              </w:rPr>
            </w:pP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0"/>
                <w:szCs w:val="10"/>
                <w:color w:val="auto"/>
              </w:rPr>
            </w:pPr>
          </w:p>
        </w:tc>
        <w:tc>
          <w:tcPr>
            <w:tcW w:w="1140" w:type="dxa"/>
            <w:vAlign w:val="bottom"/>
          </w:tcPr>
          <w:p>
            <w:pPr>
              <w:jc w:val="right"/>
              <w:ind w:right="182"/>
              <w:spacing w:after="0" w:line="12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40,531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28,461</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12,070</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10,965</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(9,960)</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line="214"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(9,598)</w:t>
            </w:r>
          </w:p>
        </w:tc>
        <w:tc>
          <w:tcPr>
            <w:tcW w:w="0" w:type="dxa"/>
            <w:vAlign w:val="bottom"/>
          </w:tcPr>
          <w:p>
            <w:pPr>
              <w:spacing w:after="0"/>
              <w:rPr>
                <w:sz w:val="1"/>
                <w:szCs w:val="1"/>
                <w:color w:val="auto"/>
              </w:rPr>
            </w:pPr>
          </w:p>
        </w:tc>
      </w:tr>
      <w:tr>
        <w:trPr>
          <w:trHeight w:val="194"/>
        </w:trPr>
        <w:tc>
          <w:tcPr>
            <w:tcW w:w="5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5540" w:right="4160" w:hanging="5216"/>
        <w:spacing w:after="0" w:line="883" w:lineRule="auto"/>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Others other income primarily include other non-operating gains and losses.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-394970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right"/>
              <w:ind w:right="18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128,635</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90,936</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37,699</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30,702</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6,997</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(9,921)</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 amendment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0" w:type="dxa"/>
            <w:vAlign w:val="bottom"/>
          </w:tcPr>
          <w:p>
            <w:pPr>
              <w:spacing w:after="0"/>
              <w:rPr>
                <w:sz w:val="1"/>
                <w:szCs w:val="1"/>
                <w:color w:val="auto"/>
              </w:rPr>
            </w:pPr>
          </w:p>
        </w:tc>
      </w:tr>
      <w:tr>
        <w:trPr>
          <w:trHeight w:val="212"/>
        </w:trPr>
        <w:tc>
          <w:tcPr>
            <w:tcW w:w="566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(13,004)</w:t>
            </w:r>
          </w:p>
        </w:tc>
        <w:tc>
          <w:tcPr>
            <w:tcW w:w="0" w:type="dxa"/>
            <w:vAlign w:val="bottom"/>
          </w:tcPr>
          <w:p>
            <w:pPr>
              <w:spacing w:after="0"/>
              <w:rPr>
                <w:sz w:val="1"/>
                <w:szCs w:val="1"/>
                <w:color w:val="auto"/>
              </w:rPr>
            </w:pPr>
          </w:p>
        </w:tc>
      </w:tr>
      <w:tr>
        <w:trPr>
          <w:trHeight w:val="194"/>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Others other income primarily include other non-operating gains and losses.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0"/>
                <w:szCs w:val="10"/>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0"/>
                <w:szCs w:val="10"/>
                <w:color w:val="auto"/>
              </w:rPr>
            </w:pPr>
          </w:p>
        </w:tc>
        <w:tc>
          <w:tcPr>
            <w:tcW w:w="1140" w:type="dxa"/>
            <w:vAlign w:val="bottom"/>
          </w:tcPr>
          <w:p>
            <w:pPr>
              <w:jc w:val="right"/>
              <w:ind w:right="182"/>
              <w:spacing w:after="0" w:line="12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119,121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82,030</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37,091</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34,451</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(29,277)</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line="214"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2,143</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(27,134)</w:t>
            </w:r>
          </w:p>
        </w:tc>
        <w:tc>
          <w:tcPr>
            <w:tcW w:w="0" w:type="dxa"/>
            <w:vAlign w:val="bottom"/>
          </w:tcPr>
          <w:p>
            <w:pPr>
              <w:spacing w:after="0"/>
              <w:rPr>
                <w:sz w:val="1"/>
                <w:szCs w:val="1"/>
                <w:color w:val="auto"/>
              </w:rPr>
            </w:pPr>
          </w:p>
        </w:tc>
      </w:tr>
      <w:tr>
        <w:trPr>
          <w:trHeight w:val="194"/>
        </w:trPr>
        <w:tc>
          <w:tcPr>
            <w:tcW w:w="5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28,192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Others other income primarily include other non-operating gains and losses.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for our segments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3"/>
                <w:szCs w:val="13"/>
                <w:color w:val="auto"/>
              </w:rPr>
            </w:pPr>
          </w:p>
        </w:tc>
        <w:tc>
          <w:tcPr>
            <w:tcW w:w="11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September 30,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58,652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34,978</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139,910</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 31, 2024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2024 filed with the Securities and Exchange Commission (“SEC”) on March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32"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sources of liquidity and the adequacy of financial resources;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 execute our strategic initiatives and improve margins;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the variable nature of our cost structure that would allow us to realign our cost structure in line with revenue;</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effective tax rate; and</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Form 10-K for the year ended December 31, 2024, as supplemented or amended by the Risk Factors set forth in our subsequent Form 10-Q filings, including this Form 10-Q, such as:</w:t>
      </w:r>
    </w:p>
    <w:p>
      <w:pPr>
        <w:spacing w:after="0" w:line="125" w:lineRule="exact"/>
        <w:rPr>
          <w:sz w:val="20"/>
          <w:szCs w:val="20"/>
          <w:color w:val="auto"/>
        </w:rPr>
      </w:pPr>
    </w:p>
    <w:p>
      <w:pPr>
        <w:ind w:left="640" w:hanging="316"/>
        <w:spacing w:after="0" w:line="26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level of residential mortgage delinquencies, foreclosure initiations and foreclosure sales could negatively affect demand for some of our services;</w:t>
      </w:r>
    </w:p>
    <w:p>
      <w:pPr>
        <w:spacing w:after="0" w:line="1"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Onity Group Inc. (together with its subsidiaries, “Onity”) (formerly Ocwen Financial Corporation, or “Ocwen”) as a customer or our ability to receive the anticipated volume of referrals from Onity;</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expiration of the Rithm Brokerage Agreement in August 2025 and our ability to mitigate its impact;</w:t>
      </w:r>
    </w:p>
    <w:p>
      <w:pPr>
        <w:spacing w:after="0" w:line="58"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plan;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governmental regulations and policies and any changes in such regulations and policies;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launch and gain market acceptance of new solutions or recoup our investments in developing such new solutions;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level of origination volume;</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incidents, data breaches and cybersecurity risks;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tax regulations and interpretations in the countries, states and local jurisdictions in which we operate.</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When we refer to “Altisource,” the “Company,” “we,” “us” or “our” we mean Altisource Portfolio Solutions S.A., a Luxembourg société anonyme, or public limited liability company, and its subsidiaries.</w:t>
      </w:r>
    </w:p>
    <w:p>
      <w:pPr>
        <w:spacing w:after="0" w:line="11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98" w:lineRule="exact"/>
        <w:rPr>
          <w:sz w:val="20"/>
          <w:szCs w:val="20"/>
          <w:color w:val="auto"/>
        </w:rPr>
      </w:pPr>
    </w:p>
    <w:p>
      <w:pPr>
        <w:jc w:val="both"/>
        <w:ind w:left="640"/>
        <w:spacing w:after="0" w:line="237"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foreclosure trustee services, residential real estate renovation services, residential and commercial construction inspection and risk mitigation services, title insurance (as an agent) and settlement services, and real estate valuation services.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online real estate auction platform, real estate brokerage and asset management services.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08" w:lineRule="exact"/>
        <w:rPr>
          <w:sz w:val="20"/>
          <w:szCs w:val="20"/>
          <w:color w:val="auto"/>
        </w:rPr>
      </w:pPr>
    </w:p>
    <w:p>
      <w:pPr>
        <w:jc w:val="both"/>
        <w:ind w:left="640"/>
        <w:spacing w:after="0" w:line="206"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and investor homes, short sales, foreclosure, bankruptcy and eviction processes), Vendorly Invoice (a vendor invoicing and payment system), RentRange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single and multi-family rental data, analytics and rent-based valuation solution), REALSynergy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commercial loan servicing platform), and NestRange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 single-family automated valuation model and analytics solution).</w:t>
      </w:r>
    </w:p>
    <w:p>
      <w:pPr>
        <w:spacing w:after="0" w:line="14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08"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and certain loan manufacturing and capital markets solutions provided to the members of the Lenders One cooperative.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11"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Our Solutions business includes loan fulfillment services, real estate valuation services, title insurance (as an agent) and settlement services, and insurance services.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11"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and pre and post-close quality control), and ADMS (a document management and data analytics delivery platform).</w:t>
      </w:r>
    </w:p>
    <w:p>
      <w:pPr>
        <w:spacing w:after="0" w:line="13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Lenders One’s earnings are included in revenue and reduced from net (loss) income to arrive at net (loss) income attributable to Altisource.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current state of the economy, interest rate environment, housing supply, and other macro-economic trends, we continue to evaluate our strategy and core businesses and seek to position our businesses to provide long term value to our customers and shareholders.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forward and reverse servicers, we provide a suite of loan default and real estate investor solutions and technologies intended to meet their growing and evolving needs. We are focused on gaining market share on existing solutions and launching new solutions with our existing customer base and attracting new customers to our offerings. We have a customer base that includes government-sponsored enterprises (“GSEs”), asset managers, and several large bank and non-bank servicers including Onity and Rithm. We believe we are one of only a few providers with a broad suite of solutions, nationwide coverage and scalability. Further, we believe we are well positioned to gain market share from existing and new customers if loan delinquency rates and foreclosure initiations and sales rise, or if they consolidate to larger, full-service providers or outsource services that have historically been performed in-house.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(Lenders One is a residential mortgage cooperative managed by Altisource),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1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Related Mortgage Market</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Serious delinquency rates, foreclosure initiations and foreclosure sales are low relative to historical levels but have been increasing for the nine months ended September 30, 2025 relative to the same period in 2024. Additionally, foreclosure initiations and sales as a percentage of seriously delinquent loans for 2020 through 2025 are significantly lower than prior years. During 2020 and 2021, these percentages were significantly impacted by COVID-19 borrower relief measures, including foreclosure moratoriums and forbearance programs. These measures largely expired at the end of 2021. Beginning in 2022, we believe these percentages were impacted by servicer practices, home price appreciation, the interest rate environment, housing supply, the general state of the economy, and other factors. In 2021 and 2022, a low interest environment drove a high volume of refinance transactions and home prices appreciated significantly. Although interest rates began to increase in 2022, home prices remained high. With greater home equity from home price appreciation, we believe troubled borrowers have more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options to avoid foreclosure. Foreclosure initiations and sales increased during the nine months ended September 30, 2025 compared to the same period in 2024. However, both measures remain below pre-pandemic levels.</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we cannot predict whether the default market will return to a pre-pandemic operating environment, we believe the demand for our Default business is likely to grow. We estimate that in today’s environment it typically takes on average two years to convert foreclosure initiations to foreclosure sales and six months to market and sell the REO. The foreclosure timelines could vary significantly based upon, for example, the state where the property is located, whether the foreclosure is contested, amount of borrower equity in the home and available borrower relief programs. The REO sale timelines could also vary significantly based upon, for example, mortgage interest rates, the local real estate market, whether the home is located in a redemption state and whether the home is occupied post foreclosure.</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2024 and the nine months ended September 30, 2025, to address the close to historically low delinquency rates, we worked to (1) reduce our cost structure, (2) maintain the infrastructure to deliver default related services for our customer base and support the anticipated increase in demand should delinquency rates, foreclosure initiations and/or foreclosure sales rise, (3) launch a residential renovation business to renovate single family homes and launch a commercial real estate auction business on Hubzu, our online auction platform, and (4) launch new solutions and increase customer adoption of our existing solutions to accelerate the growth of our Origination segment.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our shareholders on May 15, 2018. Under the program, we are authorized to purchase up to 0.4 million shares of our common stock, based on a limit of 15% of the outstanding shares of common stock on the date of approval, at a minimum price of $8.00 per share and a maximum price of $200.00 per share, until May 16, 2028. As of September 30, 2025, approximately 0.4 million shares of common stock remain available for repurchase under the program. In connection with the Share Consolidation, the Company purchased 204 shares of common stock during the nine months ended September 30, 2025. There were no other purchases of shares of common stock during the nine months ended September 30, 2025 and 2024. Under the new first lien loan facility (the “New Facility”) and the super senior credit facility (the “Super Senior Facility”), we are not permitted to repurchase shares except for limited circumstances.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During the three and nine months ended September 30, 2025, Onity was our largest customer, accounting for 42% and 43% of our total revenue, respectively. Additionally, 5% of our revenue for the nine months ended September 30, 2025 (4% of our revenue for the third quarter of 2025) was earned on the loan portfolios serviced by Onity, when a party other than Onity or the mortgage servicing rights (“MSRs”) owner selected Altisource as the service provider.</w:t>
      </w:r>
    </w:p>
    <w:p>
      <w:pPr>
        <w:spacing w:after="0" w:line="1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Onity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1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Onity has disclosed that Rithm is one of its largest servicing clients. As of June 30, 2025, Onity reported that approximately 11% of loans serviced and subserviced by Onity (measured in UPB) and approximately 59% of all delinquent loans that Onity services were related to Rithm MSRs or rights to MSRs.</w:t>
      </w:r>
    </w:p>
    <w:p>
      <w:pPr>
        <w:spacing w:after="0" w:line="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 and/or there is a reduction in referral volumes.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11" w:lineRule="exact"/>
        <w:rPr>
          <w:sz w:val="20"/>
          <w:szCs w:val="20"/>
          <w:color w:val="auto"/>
        </w:rPr>
      </w:pPr>
    </w:p>
    <w:p>
      <w:pPr>
        <w:ind w:left="640" w:right="2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19% higher for the eight months ended August 31, 2025 compared to the same period in 2024 (and 21%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10% higher for the eight months ended August 31, 2025 compared to the same period in 2024 (and 49%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 volume increased by 17% for the nine months ended September 30, 2025 compared to the same period in 2024, comprised of a 4% decline in purchase origination and a 103% increase in refinancing origination</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2025, Altisource Portfolio Solutions S.A. and Altisource S.à r.l. (the “Borrower”) entered into agreements with 100% of the lenders under the SSTL (the “Lenders”). Under these agreements, the Lenders exchanged the senior secured term loans (“SSTL”) with an outstanding balance of $232.8 million for a $160.0 million New Facility and 7.3 million shares of common stock (the “Debt Exchange Shares”) (collectively, the “Debt Exchange Transaction”). The New Facility is comprised of a $110.0 million interest-bearing loan (the “New Debt”) and a $50.0 million non-interest-bearing exit fee. In connection with the Debt Exchange Transaction, the Company expensed $3.6 million relating to fees paid to advisors and others</w:t>
      </w:r>
    </w:p>
    <w:p>
      <w:pPr>
        <w:spacing w:after="0" w:line="2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interest rate on the Company’s long-term debt was 12.35% for the nine months ended September 30, 2025 compared to 14.18% for the same period in 2024</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benefit (provision) of $15.1 million and $(2.2) million for the nine months ended September 30, 2025 and 2024, respectively ($(0.7) million and $(0.8) million for the third quarter of 2025 and 2024, respectively). The income tax benefit for the nine months ended September 30, 2025 was driven primarily by the reversal of liabilities for uncertain tax positions. The income tax (provision) benefit for the three and nine months ended September 30, 2025 was also driven by income tax expense on transfer pricing income from India and the United States and no tax benefit on the pretax loss from our Luxembourg operating company. For further information, see Note 19.</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Results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340" w:type="dxa"/>
            <w:vAlign w:val="bottom"/>
            <w:gridSpan w:val="6"/>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04"/>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3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3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31,175</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30,389</w:t>
            </w:r>
          </w:p>
        </w:tc>
        <w:tc>
          <w:tcPr>
            <w:tcW w:w="11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95,992</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88,495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Origination</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8,491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7,761</w:t>
            </w:r>
          </w:p>
        </w:tc>
        <w:tc>
          <w:tcPr>
            <w:tcW w:w="11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25,356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23,409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39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service revenue</w:t>
            </w:r>
          </w:p>
        </w:tc>
        <w:tc>
          <w:tcPr>
            <w:tcW w:w="260" w:type="dxa"/>
            <w:vAlign w:val="bottom"/>
          </w:tcPr>
          <w:p>
            <w:pPr>
              <w:spacing w:after="0"/>
              <w:rPr>
                <w:sz w:val="17"/>
                <w:szCs w:val="17"/>
                <w:color w:val="auto"/>
              </w:rPr>
            </w:pP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39,666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38,150</w:t>
            </w:r>
          </w:p>
        </w:tc>
        <w:tc>
          <w:tcPr>
            <w:tcW w:w="11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121,348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111,904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2,321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7,067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7,081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60</w:t>
            </w:r>
          </w:p>
        </w:tc>
        <w:tc>
          <w:tcPr>
            <w:tcW w:w="1160" w:type="dxa"/>
            <w:vAlign w:val="bottom"/>
            <w:tcBorders>
              <w:bottom w:val="single" w:sz="8" w:color="CCEEFF"/>
            </w:tcBorders>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136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41,908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40,531</w:t>
            </w:r>
          </w:p>
        </w:tc>
        <w:tc>
          <w:tcPr>
            <w:tcW w:w="11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128,635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119,121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30,561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28,461</w:t>
            </w:r>
          </w:p>
        </w:tc>
        <w:tc>
          <w:tcPr>
            <w:tcW w:w="1160" w:type="dxa"/>
            <w:vAlign w:val="bottom"/>
            <w:tcBorders>
              <w:bottom w:val="single" w:sz="8" w:color="CCEEFF"/>
            </w:tcBorders>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90,936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82,030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11,347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12,070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37,699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37,091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10,826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10,965</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30,702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34,451</w:t>
            </w:r>
          </w:p>
        </w:tc>
        <w:tc>
          <w:tcPr>
            <w:tcW w:w="1160" w:type="dxa"/>
            <w:vAlign w:val="bottom"/>
            <w:tcBorders>
              <w:bottom w:val="single" w:sz="8" w:color="CCEEFF"/>
            </w:tcBorders>
            <w:gridSpan w:val="2"/>
          </w:tcPr>
          <w:p>
            <w:pPr>
              <w:jc w:val="center"/>
              <w:ind w:left="781"/>
              <w:spacing w:after="0"/>
              <w:rPr>
                <w:sz w:val="20"/>
                <w:szCs w:val="20"/>
                <w:color w:val="auto"/>
              </w:rPr>
            </w:pPr>
            <w:r>
              <w:rPr>
                <w:rFonts w:ascii="Times New Roman" w:cs="Times New Roman" w:eastAsia="Times New Roman" w:hAnsi="Times New Roman"/>
                <w:sz w:val="16"/>
                <w:szCs w:val="16"/>
                <w:color w:val="auto"/>
                <w:w w:val="97"/>
              </w:rPr>
              <w:t>(11)</w:t>
            </w: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1,105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6,997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2,640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(9,960)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(9,921)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(29,277)</w:t>
            </w:r>
          </w:p>
        </w:tc>
        <w:tc>
          <w:tcPr>
            <w:tcW w:w="1160" w:type="dxa"/>
            <w:vAlign w:val="bottom"/>
            <w:gridSpan w:val="2"/>
            <w:shd w:val="clear" w:color="auto" w:fill="CCEEFF"/>
          </w:tcPr>
          <w:p>
            <w:pPr>
              <w:jc w:val="center"/>
              <w:ind w:left="781"/>
              <w:spacing w:after="0"/>
              <w:rPr>
                <w:sz w:val="20"/>
                <w:szCs w:val="20"/>
                <w:color w:val="auto"/>
              </w:rPr>
            </w:pPr>
            <w:r>
              <w:rPr>
                <w:rFonts w:ascii="Times New Roman" w:cs="Times New Roman" w:eastAsia="Times New Roman" w:hAnsi="Times New Roman"/>
                <w:sz w:val="16"/>
                <w:szCs w:val="16"/>
                <w:color w:val="auto"/>
                <w:w w:val="97"/>
              </w:rPr>
              <w:t>(66)</w:t>
            </w:r>
          </w:p>
        </w:tc>
        <w:tc>
          <w:tcPr>
            <w:tcW w:w="0" w:type="dxa"/>
            <w:vAlign w:val="bottom"/>
          </w:tcPr>
          <w:p>
            <w:pPr>
              <w:spacing w:after="0"/>
              <w:rPr>
                <w:sz w:val="1"/>
                <w:szCs w:val="1"/>
                <w:color w:val="auto"/>
              </w:rPr>
            </w:pPr>
          </w:p>
        </w:tc>
      </w:tr>
      <w:tr>
        <w:trPr>
          <w:trHeight w:val="210"/>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exchange transaction expenses</w:t>
            </w:r>
          </w:p>
        </w:tc>
        <w:tc>
          <w:tcPr>
            <w:tcW w:w="260" w:type="dxa"/>
            <w:vAlign w:val="bottom"/>
          </w:tcPr>
          <w:p>
            <w:pPr>
              <w:spacing w:after="0"/>
              <w:rPr>
                <w:sz w:val="18"/>
                <w:szCs w:val="18"/>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26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center"/>
              <w:ind w:left="624"/>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362</w:t>
            </w:r>
          </w:p>
        </w:tc>
        <w:tc>
          <w:tcPr>
            <w:tcW w:w="11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2,143</w:t>
            </w:r>
          </w:p>
        </w:tc>
        <w:tc>
          <w:tcPr>
            <w:tcW w:w="1160" w:type="dxa"/>
            <w:vAlign w:val="bottom"/>
            <w:gridSpan w:val="2"/>
            <w:shd w:val="clear" w:color="auto" w:fill="CCEEFF"/>
          </w:tcPr>
          <w:p>
            <w:pPr>
              <w:jc w:val="center"/>
              <w:ind w:left="781"/>
              <w:spacing w:after="0"/>
              <w:rPr>
                <w:sz w:val="20"/>
                <w:szCs w:val="20"/>
                <w:color w:val="auto"/>
              </w:rPr>
            </w:pPr>
            <w:r>
              <w:rPr>
                <w:rFonts w:ascii="Times New Roman" w:cs="Times New Roman" w:eastAsia="Times New Roman" w:hAnsi="Times New Roman"/>
                <w:sz w:val="16"/>
                <w:szCs w:val="16"/>
                <w:color w:val="auto"/>
                <w:w w:val="97"/>
              </w:rPr>
              <w:t>(74)</w:t>
            </w:r>
          </w:p>
        </w:tc>
        <w:tc>
          <w:tcPr>
            <w:tcW w:w="0" w:type="dxa"/>
            <w:vAlign w:val="bottom"/>
          </w:tcPr>
          <w:p>
            <w:pPr>
              <w:spacing w:after="0"/>
              <w:rPr>
                <w:sz w:val="1"/>
                <w:szCs w:val="1"/>
                <w:color w:val="auto"/>
              </w:rPr>
            </w:pPr>
          </w:p>
        </w:tc>
      </w:tr>
      <w:tr>
        <w:trPr>
          <w:trHeight w:val="203"/>
        </w:trPr>
        <w:tc>
          <w:tcPr>
            <w:tcW w:w="39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60" w:type="dxa"/>
            <w:vAlign w:val="bottom"/>
          </w:tcPr>
          <w:p>
            <w:pPr>
              <w:spacing w:after="0"/>
              <w:rPr>
                <w:sz w:val="17"/>
                <w:szCs w:val="17"/>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(2,186)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(9,598)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(13,004)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(27,134)</w:t>
            </w:r>
          </w:p>
        </w:tc>
        <w:tc>
          <w:tcPr>
            <w:tcW w:w="1160" w:type="dxa"/>
            <w:vAlign w:val="bottom"/>
            <w:gridSpan w:val="2"/>
          </w:tcPr>
          <w:p>
            <w:pPr>
              <w:jc w:val="center"/>
              <w:ind w:left="781"/>
              <w:spacing w:after="0"/>
              <w:rPr>
                <w:sz w:val="20"/>
                <w:szCs w:val="20"/>
                <w:color w:val="auto"/>
              </w:rPr>
            </w:pPr>
            <w:r>
              <w:rPr>
                <w:rFonts w:ascii="Times New Roman" w:cs="Times New Roman" w:eastAsia="Times New Roman" w:hAnsi="Times New Roman"/>
                <w:sz w:val="16"/>
                <w:szCs w:val="16"/>
                <w:color w:val="auto"/>
                <w:w w:val="97"/>
              </w:rPr>
              <w:t>(52)</w:t>
            </w: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260" w:type="dxa"/>
            <w:vAlign w:val="bottom"/>
          </w:tcPr>
          <w:p>
            <w:pPr>
              <w:spacing w:after="0"/>
              <w:rPr>
                <w:sz w:val="18"/>
                <w:szCs w:val="18"/>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(8,493)</w:t>
            </w:r>
          </w:p>
        </w:tc>
        <w:tc>
          <w:tcPr>
            <w:tcW w:w="11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(6,007)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(24,494)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(809)</w:t>
            </w:r>
          </w:p>
        </w:tc>
        <w:tc>
          <w:tcPr>
            <w:tcW w:w="11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15,069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24"/>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(9,302)</w:t>
            </w:r>
          </w:p>
        </w:tc>
        <w:tc>
          <w:tcPr>
            <w:tcW w:w="11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9,062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(26,731)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(136)</w:t>
            </w:r>
          </w:p>
        </w:tc>
        <w:tc>
          <w:tcPr>
            <w:tcW w:w="1160" w:type="dxa"/>
            <w:vAlign w:val="bottom"/>
            <w:tcBorders>
              <w:bottom w:val="single" w:sz="8" w:color="CCEEFF"/>
            </w:tcBorders>
            <w:gridSpan w:val="2"/>
          </w:tcPr>
          <w:p>
            <w:pPr>
              <w:jc w:val="center"/>
              <w:ind w:left="781"/>
              <w:spacing w:after="0"/>
              <w:rPr>
                <w:sz w:val="20"/>
                <w:szCs w:val="20"/>
                <w:color w:val="auto"/>
              </w:rPr>
            </w:pPr>
            <w:r>
              <w:rPr>
                <w:rFonts w:ascii="Times New Roman" w:cs="Times New Roman" w:eastAsia="Times New Roman" w:hAnsi="Times New Roman"/>
                <w:sz w:val="16"/>
                <w:szCs w:val="16"/>
                <w:color w:val="auto"/>
                <w:w w:val="97"/>
              </w:rPr>
              <w:t>(62)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(loss) income attributable to Altisource</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(2,396)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(9,362)</w:t>
            </w:r>
          </w:p>
        </w:tc>
        <w:tc>
          <w:tcPr>
            <w:tcW w:w="11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8,842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(26,867)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 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from operations / service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earnings per share: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(2.61)</w:t>
            </w:r>
          </w:p>
        </w:tc>
        <w:tc>
          <w:tcPr>
            <w:tcW w:w="116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(7.55)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(2.61)</w:t>
            </w:r>
          </w:p>
        </w:tc>
        <w:tc>
          <w:tcPr>
            <w:tcW w:w="11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(7.55)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10,988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3,584</w:t>
            </w:r>
          </w:p>
        </w:tc>
        <w:tc>
          <w:tcPr>
            <w:tcW w:w="116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9,755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3,559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10,988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3,584</w:t>
            </w:r>
          </w:p>
        </w:tc>
        <w:tc>
          <w:tcPr>
            <w:tcW w:w="116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10,890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3,559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recognized service revenue of $121.3 million for the nine months ended September 30, 2025, an 8% increase compared to the nine months ended September 30, 2024 ($39.7 million for the third quarter of 2025, a 4% increase compared to the third quarter of 2024). The increase in service revenue for the three and nine months ended September 30, 2025 was primarily driven by higher revenue in both segments. Revenue was higher in the Servicer and Real Estate segment from growth in our Property Renovation Services, Foreclosure Trustee, Granite and Field Services businesses in the Solutions business, partially offset by fewer home sales in the Marketplace business and lower professional services revenue in the Equator business within the Technology and SaaS products. Revenue was higher in the Origination segment from growth in reseller products in the Lenders One business and, for the nine months ended September 30, 2025, higher volumes in the loan fulfillment services business within the Solutions business.</w:t>
      </w:r>
    </w:p>
    <w:p>
      <w:pPr>
        <w:spacing w:after="0" w:line="1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recognized reimbursable expenses revenue of $7.1 million for the nine months ended September 30, 2025, a less than 1% decrease compared to the nine months ended September 30, 2024 ($2.2 million for the third quarter of 2025, a 6% decrease compared to the third quarter of 2024). The decrease in reimbursable expenses for the three and nine months ended September 30, 2025 was primarily driven by fewer asset resolution and asset management activities in the Marketplace business and a decrease in property preservation services in our Field Services business in the Servicer and Real Estate Solutions business partially offset by growth in the Foreclosure Trustee business in the Solutions business within the Servicer and Real Estate segment. For the nine months ended September 30, 2025, the decrease in reimbursable expenses was also from lower REO title related expenses in our Title business in the Solutions business.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current default market, home price appreciation and higher mortgage interest rates, the seasonal impact to revenue may not follow historical patterns.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3240" w:type="dxa"/>
            <w:vAlign w:val="bottom"/>
            <w:gridSpan w:val="6"/>
          </w:tcPr>
          <w:p>
            <w:pPr>
              <w:jc w:val="right"/>
              <w:ind w:right="64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6"/>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17,261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15,534</w:t>
            </w:r>
          </w:p>
        </w:tc>
        <w:tc>
          <w:tcPr>
            <w:tcW w:w="12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8,112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w:t>
            </w:r>
          </w:p>
        </w:tc>
        <w:tc>
          <w:tcPr>
            <w:tcW w:w="122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30,561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28,461</w:t>
            </w:r>
          </w:p>
        </w:tc>
        <w:tc>
          <w:tcPr>
            <w:tcW w:w="122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recognized cost of revenue of $90.9 million for the nine months ended September 30, 2025, an 11% increase compared to the nine months ended September 30, 2024 ($30.6 million for the third quarter of 2025, a 7% increase compared to the third quarter of 2024). Outside fees and services for the three and nine months ended September 30, 2025 increased primarily from service revenue growth in the Property Renovations Services, Foreclosure Trustee and Field Services businesses within the Servicer and Real Estate segment and service revenue growth in the Lenders One business in the Origination segment. Compensation and benefits for the three and nine months ended September 30, 2025 increased primarily due to growth in the Property Renovation Services business and higher annual incentive compensation accruals. Technology and telecommunications for the nine months ended September 30, 2025 increased primarily from a benefit recognized in 2024. Depreciation and amortization was lower for the three and nine months ended September 30, 2025 from the completion of the depreciation periods of certain premises and equipment with only modest additions. In addition, changes in reimbursable expenses for the three and nine months ended September 30, 2024 are consistent with the changes in reimbursable expenses revenue discussed in the revenue section above.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Gross profit increased to $37.7 million, representing 31% of service revenue, for the nine months ended September 30, 2025 compared to $37.1 million, representing 33% of service revenue, for the nine months ended September 30, 2024 (decreased to $11.3 million, representing 29% of service revenue, for the third quarter of 2025, compared to $12.1 million, representing 32% of service revenue, for the third quarter of 2024). Gross profit as a percentage of service revenue for the nine months ended September 30, 2025 decreased compared to the three and nine months ended September 30, 2024 primarily due to a change in revenue mix from greater growth in the lower margin Property Renovations Services business and Lenders One businesses than in the higher margin Foreclosure Trustee business and Hubzu business. Our margins can vary substantially depending upon the service revenue mix.</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(“SG&amp;A”) expenses include payroll for personnel employed in executive, sales and marketing, finance, technology, law, compliance, audit, human resources, vendor management, facilities and risk management roles. This category also includes professional services fees, occupancy costs, marketing costs, depreciation and amortization of non-operating assets and other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4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6"/>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4,413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2,547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3,380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10,965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30,702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SG&amp;A expenses for the nine months ended September 30, 2025 of $30.7 million decreased by 11% compared to the nine months ended September 30, 2024 ($10.8 million for the third quarter of 2025, a 1% decrease compared to the third quarter of 2024). The decrease in SG&amp;A for the three and nine months ended September 30, 2025 was primarily driven by lower professional services and other SG&amp;A expenses, partially offset by higher compensation and benefits. Professional services for the three and nine months ended September 30, 2025 decreased primarily due to lower costs related to legacy indemnification accruals. Other SG&amp;A expenses for the three and nine months ended September 30, 2025 decreased primarily due to lower bad debt expense. Compensation and benefits for the nine months ended September 30, 2025 increased primarily from higher annual incentive compensation accruals, partially offset by lower share based compensation. Compensation and benefits for the three months ended September 30, 2025 increased from higher annual incentive compensation accruals and higher share based compensation.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from operations for the nine months ended September 30, 2025 was $7.0 million, representing 6% of service revenue, compared to $2.6 million, representing 2% of service revenue, for the nine months ended September 30, 2024 (decreased to $0.5 million, representing 1% of service revenue, for the third quarter of 2025, compared to $1.1 million representing 3% of service revenue for the third quarter of 2024). Income from operations as a percentage of service revenue improved for the nine months ended September 30, 2025 compared to the nine months ended September 30, 2024 primarily as a result of lower SG&amp;A expenses as a percentage of service revenue, partially offset by lower gross profit margins. Income from operations as a percentage of service revenue decreased for the three months ended September 30, 2025 compared to the three months ended September 30, 2024 primarily from lower gross profit margins.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income (expense), net was $(13.0) million for the nine months ended September 30, 2025 compared to $(27.1) million for the nine months ended September 30, 2024 ($(2.2) million for the third quarter of 2025 and $(9.6) million for the third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quarter of 2024). The change for the three and nine months ended September 30, 2025 was primarily driven by lower interest expense, partially offset by higher debt exchange transaction expenses. The lower interest expense was driven by the decrease in outstanding debt and a lower interest rate from the February 19, 2025 Debt Exchange Transaction.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recognized an income tax benefit (provision) of $15.1 million and $(2.2) million for the nine months ended September 30, 2025 and 2024, respectively ($(0.7) million and $(0.8) million for the third quarter of 2025 and 2024, respectively). The income tax (provision) benefit for the nine months ended September 30, 2025 was driven primarily by the reversal of liabilities for uncertain tax positions. The income tax (provision) benefit for the three and nine months ended September 30, 2025 was also driven by income tax expense on transfer pricing income from India and the United States and no tax benefit on the pretax loss from our Luxembourg operating company. For further information, see Note 19.</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1"/>
                <w:szCs w:val="11"/>
                <w:color w:val="auto"/>
              </w:rPr>
            </w:pPr>
          </w:p>
        </w:tc>
        <w:tc>
          <w:tcPr>
            <w:tcW w:w="122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4"/>
        </w:trPr>
        <w:tc>
          <w:tcPr>
            <w:tcW w:w="5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6"/>
                <w:szCs w:val="16"/>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31,175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8,491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39,666</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2,171</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33,242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8,666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41,908</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21,977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6,984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30,561</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11,347</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10,826</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8,921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(2,186)</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8,974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(1,665)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3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0"/>
                <w:szCs w:val="10"/>
                <w:color w:val="auto"/>
              </w:rPr>
            </w:pPr>
          </w:p>
        </w:tc>
        <w:tc>
          <w:tcPr>
            <w:tcW w:w="13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0"/>
                <w:szCs w:val="10"/>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0"/>
                <w:szCs w:val="10"/>
                <w:color w:val="auto"/>
              </w:rPr>
            </w:pPr>
          </w:p>
        </w:tc>
        <w:tc>
          <w:tcPr>
            <w:tcW w:w="1220" w:type="dxa"/>
            <w:vAlign w:val="bottom"/>
          </w:tcPr>
          <w:p>
            <w:pPr>
              <w:jc w:val="center"/>
              <w:ind w:right="122"/>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30,389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7,761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38,150</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2,321</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32,549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7,982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40,531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20,509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6,312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28,461</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12,070</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3,194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10,965</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(9,598)</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8,908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(8,493)</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60" w:type="dxa"/>
            <w:vAlign w:val="bottom"/>
          </w:tcPr>
          <w:p>
            <w:pPr>
              <w:spacing w:after="0"/>
              <w:rPr>
                <w:sz w:val="11"/>
                <w:szCs w:val="11"/>
                <w:color w:val="auto"/>
              </w:rPr>
            </w:pP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jc w:val="right"/>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122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4"/>
        </w:trPr>
        <w:tc>
          <w:tcPr>
            <w:tcW w:w="5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6"/>
                <w:szCs w:val="16"/>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95,992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25,356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121,348</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6,605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7,067</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102,597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26,038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128,635</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65,724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20,453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90,936</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36,873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37,699</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5,707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5,463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19,532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30,702</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6,997</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(13,004)</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31,174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(37,303)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(6,007)</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3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2"/>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0"/>
                <w:szCs w:val="10"/>
                <w:color w:val="auto"/>
              </w:rPr>
            </w:pPr>
          </w:p>
        </w:tc>
        <w:tc>
          <w:tcPr>
            <w:tcW w:w="13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60" w:type="dxa"/>
            <w:vAlign w:val="bottom"/>
          </w:tcPr>
          <w:p>
            <w:pPr>
              <w:spacing w:after="0"/>
              <w:rPr>
                <w:sz w:val="10"/>
                <w:szCs w:val="10"/>
                <w:color w:val="auto"/>
              </w:rPr>
            </w:pP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jc w:val="right"/>
              <w:ind w:right="300"/>
              <w:spacing w:after="0" w:line="126"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0"/>
                <w:szCs w:val="10"/>
                <w:color w:val="auto"/>
              </w:rPr>
            </w:pPr>
          </w:p>
        </w:tc>
        <w:tc>
          <w:tcPr>
            <w:tcW w:w="1220" w:type="dxa"/>
            <w:vAlign w:val="bottom"/>
          </w:tcPr>
          <w:p>
            <w:pPr>
              <w:jc w:val="center"/>
              <w:ind w:right="122"/>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88,495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23,409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111,904</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6,680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7,081</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95,175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23,946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119,121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58,357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18,801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82,030</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36,818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5,145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37,091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8,687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5,030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20,734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34,451</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(27,134)</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28,192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(24,494)</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23,186</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21,090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6,406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2,893</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30,389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88,495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2,160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32,549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102,597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95,175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recognized service revenue of $96.0 million for the nine months ended September 30, 2025, an 8% increase compared to the nine months ended September 30, 2024 ($31.2 million for the third quarter of 2025, a 3% increase compared to the third quarter of 2024). We also recognized reimbursable expenses revenue of $6.6 million for the nine months ended September 30, 2025, a 1% decrease compared to the nine months ended September 30, 2024 ($2.1 million for the third quarter of 2025, a 4% decrease compared to the third quarter of 2024). The increase in service revenue for the three and nine months ended September 30, 2025 was driven by growth in our Property Renovation Services, Foreclosure Trustee businesses, Granite and Field Services businesses in the Solutions business, partially offset by fewer home sales in the Marketplace business and lower professional services revenue in the Equator business within the Technology and SaaS products business. The decrease in reimbursable expenses for the three and nine months ended September 30, 2025 was primarily driven by fewer asset resolution and asset management activities in the Marketplace business and a decrease in property preservation services in our Field Services business partially offset by growth in the Foreclosure Trustee business in the Solutions business. For the nine months ended September 30, 2025, the decrease in reimbursable expenses was also from lower REO title related expenses in our Title business in the Solutions business.</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current default market, home price appreciation and higher mortgage interest rates, the seasonal impact to revenue may not follow historical patterns.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11,686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10,778</w:t>
            </w:r>
          </w:p>
        </w:tc>
        <w:tc>
          <w:tcPr>
            <w:tcW w:w="1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122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21,977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20,509</w:t>
            </w:r>
          </w:p>
        </w:tc>
        <w:tc>
          <w:tcPr>
            <w:tcW w:w="122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Cost of revenue for the nine months ended September 30, 2025 of $65.7 million increased by 13% compared to the nine months ended September 30, 2024 ($22.0 million for the third quarter of 2025, a 7% increase compared to the third quarter of 2024). The increase in cost of revenue for the three and nine months ended September 30, 2025 was primarily driven by higher outside fees and services and compensation and benefits. The increase in cost of revenue for the nine months ended September 30, 2025 was also from higher technology and telecommunications. Outside fees and services for the three and nine months ended September 30, 2025 increased from service revenue growth in the Property Renovation Services, Foreclosure Trustee and Field Services businesses in the Solutions business. Compensation and benefits for the three and nine months ended September 30, 2025 increased primarily due to growth in the Property Renovation Services business and higher annual incentive compensation accruals. Technology and telecommunications for the nine months ended September 30, 2025 increased from higher cloud services costs from higher volumes and from a benefit recognized in the first quarter of 2024.</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Gross profit increased to $36.9 million, representing 38% of service revenue, for the nine months ended September 30, 2025 compared to $36.8 million, representing 42% of service revenue, for the nine months ended September 30, 2024 (decreased to $11.3 million, representing 36% of service revenue, for the third quarter of 2025, compared to $12.0 million, representing 40% of service revenue, for the third quarter of 2024). Gross profit as a percentage of service revenue for the three and nine months ended September 30, 2025 decreased primarily due to a change in revenue mix from greater growth in the lower margin Property Renovations Services business than in the higher margin Foreclosure Trustee business in the Solutions business and fewer homes sales in the Marketplace business. Our margins can vary substantially depending upon the service revenue mix.</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3240" w:type="dxa"/>
            <w:vAlign w:val="bottom"/>
            <w:gridSpan w:val="6"/>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5"/>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SG&amp;A for the nine months ended September 30, 2025 of $5.7 million decreased by 34% compared to the nine months ended September 30, 2024 ($2.3 million for the third quarter of 2025, a 27% decrease compared to the third quarter of 2024). The decrease in SG&amp;A for the three and nine months ended September 30, 2025 was primarily due to lower professional services. Professional services for the nine months ended September 30, 2025 decreased primarily due to a settlement received related to a legacy matter and lower costs related to legacy indemnification accruals. Professional services for the three months ended September 30, 2025 decreased primarily due to lower costs related to legacy indemnification accruals.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from operations increased to $31.2 million, representing 32% of service revenue, for the nine months ended September 30, 2025 compared to $28.1 million, representing 32% of service revenue, for the nine months ended September 30, 2024 (increased to $8.9 million, representing 29% of service revenue, for the third quarter of 2025, compared to $8.8 million, representing 29% of service revenue for the third quarter of 2024). Operating income as a percentage of service revenue for the three and nine months ended September 30, 2025 remained flat compared to September 30, 2024 as a result of lower SG&amp;A expenses, offset by lower gross profit margins.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Lenders One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5,937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20,008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1,657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167</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7,761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25,356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161</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7,982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26,038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recognized service revenue of $25.4 million for the nine months ended September 30, 2025, an 8% increase compared to the nine months ended September 30, 2024 ($8.5 million for the third quarter of 2025, a 9% increase compared to the third quarter of 2024). We also recognized reimbursable expenses revenue of $0.5 million for the nine months ended September 30, 2025, a 15% increase compared to the nine months ended September 30, 2024 ($0.1 million for the third quarter of 2025, a 35% decrease compared to the third quarter of 2024). The increase in service revenue in the Origination segment for the nine months ended September 30, 2025 was primarily driven by growth in reseller products in the Lenders One business and higher volumes in the loan fulfillment services business within the Solutions business. The increase in service revenue for the three months ended September 30, 2025 was primarily driven by growth in reseller products in the Lenders One business partially offset by lower volumes in the loan fulfillment services business within the Solutions business. The increase in reimbursable expenses for the nine months ended September 30, 2025 was primarily driven by certain Title orders partially offset by lower volumes in the loan fulfillment services business within the Solutions business. The decrease in reimbursable expenses for the three months ended September 30, 2025 was primarily driven by lower volumes in the loan fulfillment services business within the Solutions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29"/>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16,182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20,453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Cost of revenue for the nine months ended September 30, 2025 of $20.5 million increased by 9% compared to the nine months ended September 30, 2024 ($7.0 million for the third quarter of 2025, an 11% increase compared to the third quarter of 2024). The increase in cost of revenue for the three and nine months ended September 30, 2025 was primarily driven by higher outside fees and services from growth in the reseller products in the Lenders One business.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Gross profit increased to $5.6 million, representing 22% of service revenue, for the nine months ended September 30, 2025 compared to $5.1 million, representing 22% of service revenue, for the nine months ended September 30, 2024 (remained relatively flat at $1.7 million, representing 20% of service revenue, for the third quarter of 2025, compared to $1.7 million, representing 22% of service revenue for the third quarter of 2024). Gross profit as a percentage of service revenue for the nine months ended September 30, 2025 was relatively flat compared to the nine months ended September 30, 2024. Gross profit as a percentage of service revenue for the three months ended September 30, 2025 decreased compared to the three months ended September 30, 2024 from revenue mix.</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3240" w:type="dxa"/>
            <w:vAlign w:val="bottom"/>
            <w:gridSpan w:val="6"/>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5"/>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603"/>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20" w:type="dxa"/>
            <w:vAlign w:val="bottom"/>
            <w:gridSpan w:val="2"/>
          </w:tcPr>
          <w:p>
            <w:pPr>
              <w:jc w:val="center"/>
              <w:ind w:left="821"/>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20" w:type="dxa"/>
            <w:vAlign w:val="bottom"/>
            <w:gridSpan w:val="2"/>
          </w:tcPr>
          <w:p>
            <w:pPr>
              <w:jc w:val="center"/>
              <w:ind w:left="821"/>
              <w:spacing w:after="0"/>
              <w:rPr>
                <w:sz w:val="20"/>
                <w:szCs w:val="20"/>
                <w:color w:val="auto"/>
              </w:rPr>
            </w:pPr>
            <w:r>
              <w:rPr>
                <w:rFonts w:ascii="Times New Roman" w:cs="Times New Roman" w:eastAsia="Times New Roman" w:hAnsi="Times New Roman"/>
                <w:sz w:val="16"/>
                <w:szCs w:val="16"/>
                <w:color w:val="auto"/>
                <w:w w:val="99"/>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20" w:type="dxa"/>
            <w:vAlign w:val="bottom"/>
            <w:gridSpan w:val="2"/>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7"/>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220" w:type="dxa"/>
            <w:vAlign w:val="bottom"/>
            <w:tcBorders>
              <w:bottom w:val="single" w:sz="8" w:color="CCEEFF"/>
            </w:tcBorders>
            <w:gridSpan w:val="2"/>
            <w:shd w:val="clear" w:color="auto" w:fill="CCEEFF"/>
          </w:tcPr>
          <w:p>
            <w:pPr>
              <w:jc w:val="center"/>
              <w:ind w:left="821"/>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SG&amp;A for the nine months ended September 30, 2025 of $5.5 million increased by 9% compared to the nine months ended September 30, 2024 ($2.0 million for the third quarter of 2025, a 54% increase compared to the third quarter of 2024). The increase in SG&amp;A for the three and nine months ended September 30, 2025 was primarily due to higher professional services, compensation and benefits and marketing costs, partially offset by lower occupancy related costs. The increase in SG&amp;A for the nine months ended September 30, 2025, 2025 was also partially offset by lower bad debt expense. Professional services for the three and nine months increased primarily from a legacy litigation matter. Compensation and benefits for the three and nine months increased primarily from revenue growth in the Lenders One business. Marketing costs for the three and nine months increased primarily from revenue growth in the Lenders One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Income (loss) from operations was $0.1 million, representing less than 1% of service revenue, for the nine months ended September 30, 2025 compared to $0.1 million, representing less than 1% of service revenue, for the nine months ended September 30, 2024 (decreased to $(0.4) million, representing (4)% of service revenue for the third quarter of 2025, compared to $0.3 million, representing 4% of service revenue for the third quarter of 2024). Income from operations for the nine months ended September 30, 2025 was relatively flat compared to the nine months ended September 30, 2024. The decline in operating (loss) income as a percentage of service revenue for the three months ended September 30, 2025 was primarily from higher SG&amp;A expenses and lower gross profit margins.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 Increase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29"/>
              <w:spacing w:after="0" w:line="128"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4"/>
        </w:trPr>
        <w:tc>
          <w:tcPr>
            <w:tcW w:w="4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4"/>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2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for the nine months ended September 30, 2025 of $4.8 million decreased by 2% compared to the nine months ended September 30, 2024 ($1.6 million for the third quarter of 2025, a 2% decrease compared to the third quarter of 2024). The decrease in cost of revenue for the three and nine months ended September 30, 2025 was primarily driven by lower depreciation and amortization from the completion of the depreciation periods for certain premises and equipment.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SG&amp;A in Corporate and Others includes costs related to the corporate functions including executive, finance, technology, law, compliance, human resources, vendor management, facilities, risk management and eliminations between reportable segments.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240" w:type="dxa"/>
            <w:vAlign w:val="bottom"/>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29"/>
              <w:spacing w:after="0" w:line="126"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4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1,396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840</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4"/>
        </w:trPr>
        <w:tc>
          <w:tcPr>
            <w:tcW w:w="4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6,446</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19,532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SG&amp;A for the nine months ended September 30, 2025 of $19.5 million decreased by 6% compared to the nine months ended September 30, 2024 ($6.4 million for the third quarter of 2025, a less than 1% decrease compared to the third quarter of 2024). The decrease in SG&amp;A for the nine months ended September 30, 2025 was primarily driven by lower professional services from lower accruals for estimated legal matters. The decrease in professional services for the three months ended September 30, 2025 was primarily driven by lower accruals for estimated legal matters. The increase in compensation and benefits for the three months ended September 30, 2025 was primarily from higher share based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net was $(13.0) million for the nine months ended September 30, 2025 compared to $(27.1) million for the nine months ended September 30, 2024 ($(2.2) million for the third quarter of 2025 and $(9.6) million for the third quarter of 2024). The change for the three and nine months ended September 30, 2025 was primarily driven by lower interest expense, partially offset by higher debt exchange transaction expenses. The lower interest expense was driven by the decrease in outstanding debt and a lower interest rate from the February 19, 2025 Debt Exchange Transaction.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cash proceeds from the sale of equity securities and cash on hand. However, primarily due to lower delinquency and foreclosure rates, and higher home equity, revenue has declined significantly compared to pre-pandemic levels (although revenue grew in 2024 compared to 2023 and for the first nine months of 2025 compared to the first nine months of 2024). The lower revenue, partially offset by efficiency initiatives and cost savings initiatives, has resulted in negative operating cash flow from operations. We believe lower interest expense as a result of the February 2025 Debt Exchange Transaction, more recent revenue growth from the renovation business launched in 2024, the anticipated improvement in the default market, on-boarding sales wins, and revenue mix together with our reduced cost structure, should help improve operating cash flow.</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if necessary. We also use cash for repayments of our long-term debt and capital investments. In addition, from time to time we may consider and evaluate business acquisitions, dispositions, closures, sales of equity securities or other similar actions that are aligned with our strategy.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Company’s Renovation business, on June 3, 2024 Altisource Solutions, Inc., an indirect subsidiary of Altisource Portfolio Solutions S.A, entered into a revolving loan agreement with a then related-party, Altisource Asset Management Corporation (“AAMC”) (the “Revolving Loan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maturity date of the Revolving Loan Agreement was June 3, 2025 and can be automatically extended for one year on each anniversary of the maturity date. During any extension period, AAMC may terminate the Revolving Loan Agreement upon 150 days prior written notice and the loan will mature upon such termination. During the second quarter of 2025 the Revolving Loan Agreement was renewed, extending the maturity date to June 3, 2026. The outstanding balance on the Revolving Loan Agreement is due and payable on such maturity date.</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there was $1.0 million outstanding debt under the Revolving Loan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nine months ended September 30: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Cash flows from operating activities generally consist of the cash effects of transactions and events that enter into the determination of net (loss) income. For the nine months ended September 30, 2025, net cash used in operating activities was $(4.6) million compared to net cash used in operating activities of $(3.6) million for the nine months ended September 30, 2024. The increase in cash used in operating activities was driven by a $5.4 million higher use of cash for working capital (accounts receivable, prepaid expenses and other current assets, other assets, and accounts payable and accrued expenses), $12.7 million lower non-cash interest expense and $0.9 million lower non-cash share based compensation, partially offset by an $18.5 million improvement in income (loss) before income taxes and non-controlling interests.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Net cash provided by (used in) financing activities was $4.6 million and $(0.6) million for the nine months ended September 30, 2025 and 2024, respectively. During the nine months ended September 30, 2025, we received $11.3 million in proceeds from the Super Senior Credit Facility, net of the original issuance discount. We used $(1.7) million for debt issuance costs and $(3.8) million related to the issuance of equity, in connection to the Debt Exchange Transaction. During the nine months ended September 30, 2025, we used $0.6 million to make scheduled repayments of our senior secured term loan (no comparative amount for the nine months ended September 30, 2024). During the nine months ended September 30, 2024, we received proceeds from the issuance of short-term debt of $0.3 million in connection with borrowings under the Revolving Loan Agreement (no comparative amount for the nine months ended September 30, 2025). During the nine months ended September 30, 2025 and 2024, we made payments of $0.3 million and $0.7 million, respectively, to satisfy employee tax withholding obligations on the issuance of restricted share units (“RSUs”) and restricted shares. These payments were made to tax authorities, at the employees’ direction, to satisfy the employees’ tax obligations rather than issuing a portion of vested restricted share units and restricted shares to employees. In addition, during the nine months ended September 30, 2025 and 2024, we distributed $0.1 million and less than $0.1 million, respectively, to non-controlling interests.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amortization of the New Facility, amortization and maturity of the Super Senior Facility, interest expense under the New Facility and the Super Senior Facility, and operating lease payments on certain of our premises and equipment.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future uses of cash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2028-2029</w:t>
            </w:r>
          </w:p>
        </w:tc>
        <w:tc>
          <w:tcPr>
            <w:tcW w:w="0" w:type="dxa"/>
            <w:vAlign w:val="bottom"/>
          </w:tcPr>
          <w:p>
            <w:pPr>
              <w:spacing w:after="0"/>
              <w:rPr>
                <w:sz w:val="1"/>
                <w:szCs w:val="1"/>
                <w:color w:val="auto"/>
              </w:rPr>
            </w:pPr>
          </w:p>
        </w:tc>
      </w:tr>
      <w:tr>
        <w:trPr>
          <w:trHeight w:val="194"/>
        </w:trPr>
        <w:tc>
          <w:tcPr>
            <w:tcW w:w="5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New Facility </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Super Senior Facility </w:t>
            </w:r>
            <w:r>
              <w:rPr>
                <w:rFonts w:ascii="Times New Roman" w:cs="Times New Roman" w:eastAsia="Times New Roman" w:hAnsi="Times New Roman"/>
                <w:sz w:val="20"/>
                <w:szCs w:val="20"/>
                <w:color w:val="auto"/>
                <w:vertAlign w:val="superscript"/>
              </w:rPr>
              <w:t>(2)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12,156</w:t>
            </w: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Revolving Loan Agreement </w:t>
            </w:r>
            <w:r>
              <w:rPr>
                <w:rFonts w:ascii="Times New Roman" w:cs="Times New Roman" w:eastAsia="Times New Roman" w:hAnsi="Times New Roman"/>
                <w:sz w:val="20"/>
                <w:szCs w:val="20"/>
                <w:color w:val="auto"/>
                <w:vertAlign w:val="superscript"/>
              </w:rPr>
              <w:t>(3)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Interest payments </w:t>
            </w:r>
            <w:r>
              <w:rPr>
                <w:rFonts w:ascii="Times New Roman" w:cs="Times New Roman" w:eastAsia="Times New Roman" w:hAnsi="Times New Roman"/>
                <w:sz w:val="20"/>
                <w:szCs w:val="20"/>
                <w:color w:val="auto"/>
                <w:vertAlign w:val="superscript"/>
              </w:rPr>
              <w:t>(4)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24,480</w:t>
            </w: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payments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74,811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$158.1 million of the New Facility matures on April 30, 2030 and $1.4 million of the New Facility matures on January 15, 2029.</w:t>
      </w:r>
    </w:p>
    <w:p>
      <w:pPr>
        <w:ind w:left="320" w:hanging="314"/>
        <w:spacing w:after="0" w:line="191" w:lineRule="auto"/>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Super Senior Facility matures on February 19, 2029.</w:t>
      </w:r>
    </w:p>
    <w:p>
      <w:pPr>
        <w:spacing w:after="0" w:line="1" w:lineRule="exact"/>
        <w:rPr>
          <w:rFonts w:ascii="Times New Roman" w:cs="Times New Roman" w:eastAsia="Times New Roman" w:hAnsi="Times New Roman"/>
          <w:sz w:val="23"/>
          <w:szCs w:val="23"/>
          <w:color w:val="auto"/>
          <w:vertAlign w:val="superscript"/>
        </w:rPr>
      </w:pPr>
    </w:p>
    <w:p>
      <w:pPr>
        <w:ind w:left="240" w:hanging="234"/>
        <w:spacing w:after="0" w:line="215" w:lineRule="auto"/>
        <w:tabs>
          <w:tab w:leader="none" w:pos="354"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outstanding balance of our Revolving Loan Agreement as of September 30, 2025 is $1.0 million and is currently due on June 3, 2026, and can be automatically extended for one year on each anniversary of the maturity date.</w:t>
      </w:r>
    </w:p>
    <w:p>
      <w:pPr>
        <w:spacing w:after="0" w:line="1" w:lineRule="exact"/>
        <w:rPr>
          <w:rFonts w:ascii="Times New Roman" w:cs="Times New Roman" w:eastAsia="Times New Roman" w:hAnsi="Times New Roman"/>
          <w:sz w:val="23"/>
          <w:szCs w:val="23"/>
          <w:color w:val="auto"/>
          <w:vertAlign w:val="superscript"/>
        </w:rPr>
      </w:pPr>
    </w:p>
    <w:p>
      <w:pPr>
        <w:ind w:left="240" w:hanging="234"/>
        <w:spacing w:after="0" w:line="215" w:lineRule="auto"/>
        <w:tabs>
          <w:tab w:leader="none" w:pos="404"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future interest payments for the New Facility and the Super Senior Facility based on the three-month Secured Overnight Financing Rate (“SOFR”) interest rate as of September 30,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anticipate funding future liquidity requirements with a combination of existing cash balances and cash anticipated to be generated by operating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10 and Note 21 to the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and certain other account arrangements.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and construction review activities. These amounts are held in escrow and other accounts for limited periods of time and are not included in the accompanying condensed consolidated balance sheets. Amounts held in escrow and other accounts were $52.5 million and $27.1 million as of September 30, 2025 and December 31, 2024,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nine months ended September 30, 2025, there were no significant changes to our contractual obligations from those identified in our Form 10-K for the fiscal year ended December 31, 2024 and this Form 10-Q, other than those that occur in the normal course of business. See Note 21 to the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GAAP.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2024 filed with the SEC on March 31, 2025. There have been no material changes to our critical accounting policies during the nine months ended September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accounting pronouncements, including pronouncements that were adopted in the current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New Facility, the interest rate charged on the New Debt is SOFR, with a floor of 3.50%, plus 6.50%. The interest rate charged on the Super Senior Facility is SOFR, with a floor of 3.50%, plus 6.50%. Based on the terms of the New Facility and the Super Senior Facility, a one percentage point increase in SOFR would increase our annual interest expense by approximately $1.2 million, and there would be a $1.2 million decrease in our annual interest expense if there was a one percentage point decrease in SOFR.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Risk</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third quarter of 2025, a one percentage point increase or decrease in value of the Indian rupee in relation to the United States dollar would increase or decrease our annual expenses by approximately $0.3 million.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4"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2025.</w:t>
      </w:r>
    </w:p>
    <w:p>
      <w:pPr>
        <w:spacing w:after="0" w:line="125"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p>
    <w:p>
      <w:pPr>
        <w:spacing w:after="0" w:line="166"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the Exchange Act Rules 13a-15(f) and 15d-15(f)) that occurred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Fair Housing Alliance v. Altisource Solutions, Inc., et al.</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or about February 1, 2018, the National Fair Housing Alliance (“NFHA”) and eighteen regional housing groups filed a civil complaint, subsequently amended, against Altisource Solutions, Inc., a wholly owned subsidiary of the Company, Deutsche Bank National Trust, as Trustee, Deutsche Bank Trust Company Americas, as Trustee, and Ocwen Loan Servicing, LLC, n/k/a Onity Group, Inc. in the United States District Court for the Northern District of Illinois. The complaint alleges violations of the federal Fair Housing Act in connection with the maintenance and marketing of certain real estate owned properties. Plaintiffs seek monetary damages, including attorneys’ fees. Trial is currently scheduled to begin in February 2026, although the schedule could change.</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believes it has meritorious defenses and intends to defend itself vigorously in this matter. While it is too early to predict the outcome of the proceedings or whether an adverse result would have a material impact on our operations or financial position, an adverse outcome could result in a material damages award. At this time, the Company cannot reasonably estimate the potential loss or range of loss, if any, associated with this matter.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previously disclosed in Part I, Item 1A of our Annual Report on Form 10-K for the year ended December 31, 2024, as supplemented by the risk factor disclosed in our Quarterly Report on Form 10-Q for the quarter ended March 31, 2025. Capitalized terms used but not defined in this section have the meanings given to them in the 2024 Form 10-K. The risk factors in our Annual Report, as supplemented, continue to describe risks that could materially affect our business, financial condition, results of operations, and stock price. Additional risks and uncertainties not currently known to us or that we currently deem immaterial may also materially adversely affect us.</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of the risk factors in our Annual Report address risks associated with the potential non-renewal or termination of the Rithm Brokerage Agreement, or risks created by its obligations and limitations. The Rithm Brokerage Agreement expired on August 31, 2025 and was not renewed. While Altisource has continued to manage real estate owned (“REO”) and receive referrals with limited exceptions from portfolios previously subject to the Rithm Brokerage Agreement, Rithm is under no contractual obligation to continue to use Altisource to manage REO or provide referrals and such use and referrals may be reduced or terminated at any time. Accordingly, those risk factors should now be read to reflect that risks associated with the obligations or limitations of the Rithm Brokerage Agreement referenced in the risk factors no longer apply. In addition, we are amending and restating the following risk factor.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Expiration of the Rithm Brokerage Agreement may reduce related revenue</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Rithm purchased brokerage services for REO exclusively from us, irrespective of the subservicer, subject to certain limitations, for certain MSRs set forth in and pursuant to the terms of the Rithm Brokerage Agreement through August 2025. The Rithm Brokerage Agreement expired on August 31, 2025. At Rithm’s discretion, Altisource has continued to manage REO and receive referrals with limited exceptions from portfolios previously subject to the Rithm Brokerage Agreement despite the expiration of the Rithm Brokerage Agreement. If Altisource does not continue to manage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REO and receive referrals from portfolios previously subject to the Rithm Brokerage Agreement, or Rithm’s use of or referrals to Altisource are reduced, the level of Rithm brokerage and ancillary service revenue we generate going forward would decline. We are evaluating opportunities to replace or mitigate the potential impact of this lost revenue, but there can be no assurance that such efforts will be successful or sufficient.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1014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Amended and Restated Articles of Incorporation of Altisource Portfolio Solutions S.A.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Executive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gridSpan w:val="2"/>
            <w:shd w:val="clear" w:color="auto" w:fill="0000FF"/>
          </w:tcPr>
          <w:p>
            <w:pPr>
              <w:spacing w:after="0" w:line="20" w:lineRule="exact"/>
              <w:rPr>
                <w:sz w:val="1"/>
                <w:szCs w:val="1"/>
                <w:color w:val="auto"/>
              </w:rPr>
            </w:pPr>
          </w:p>
        </w:tc>
        <w:tc>
          <w:tcPr>
            <w:tcW w:w="24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Financial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by the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32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color w:val="2C2C2C"/>
              </w:rPr>
              <w:t>*</w:t>
            </w:r>
          </w:p>
        </w:tc>
        <w:tc>
          <w:tcPr>
            <w:tcW w:w="100" w:type="dxa"/>
            <w:vAlign w:val="bottom"/>
          </w:tcPr>
          <w:p>
            <w:pPr>
              <w:spacing w:after="0"/>
              <w:rPr>
                <w:sz w:val="21"/>
                <w:szCs w:val="21"/>
                <w:color w:val="auto"/>
              </w:rPr>
            </w:pPr>
          </w:p>
        </w:tc>
        <w:tc>
          <w:tcPr>
            <w:tcW w:w="10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8"/>
                <w:szCs w:val="18"/>
                <w:color w:val="auto"/>
              </w:rPr>
              <w:t>period ended September 30, 2025 is formatted in Inline XBRL interactive data files: (i) Condensed Consolidated Balance Sheets as of</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5"/>
          </w:tcPr>
          <w:p>
            <w:pPr>
              <w:ind w:left="20"/>
              <w:spacing w:after="0" w:line="177" w:lineRule="exact"/>
              <w:rPr>
                <w:sz w:val="20"/>
                <w:szCs w:val="20"/>
                <w:color w:val="auto"/>
              </w:rPr>
            </w:pPr>
            <w:r>
              <w:rPr>
                <w:rFonts w:ascii="Times New Roman" w:cs="Times New Roman" w:eastAsia="Times New Roman" w:hAnsi="Times New Roman"/>
                <w:sz w:val="18"/>
                <w:szCs w:val="18"/>
                <w:color w:val="auto"/>
              </w:rPr>
              <w:t>September 30, 2025 and December 31, 2024; (ii) Condensed Consolidated Statements of Operations and Comprehensive (Loss) Income for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5"/>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the three and nine months ended September 30, 2025 and 2024; (iii) Condensed Consolidated Statements of Equity for the nine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5"/>
          </w:tcPr>
          <w:p>
            <w:pPr>
              <w:ind w:left="20"/>
              <w:spacing w:after="0" w:line="181" w:lineRule="exact"/>
              <w:rPr>
                <w:sz w:val="20"/>
                <w:szCs w:val="20"/>
                <w:color w:val="auto"/>
              </w:rPr>
            </w:pPr>
            <w:r>
              <w:rPr>
                <w:rFonts w:ascii="Times New Roman" w:cs="Times New Roman" w:eastAsia="Times New Roman" w:hAnsi="Times New Roman"/>
                <w:sz w:val="18"/>
                <w:szCs w:val="18"/>
                <w:color w:val="auto"/>
              </w:rPr>
              <w:t>September 30, 2025 and 2024; (iv) Condensed Consolidated Statements of Cash Flows for the nine months ended September 30, 2025 and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2024; and (v) Notes to Condensed Consolidated Financial Statements.</w:t>
            </w:r>
          </w:p>
        </w:tc>
        <w:tc>
          <w:tcPr>
            <w:tcW w:w="0" w:type="dxa"/>
            <w:vAlign w:val="bottom"/>
          </w:tcPr>
          <w:p>
            <w:pPr>
              <w:spacing w:after="0"/>
              <w:rPr>
                <w:sz w:val="1"/>
                <w:szCs w:val="1"/>
                <w:color w:val="auto"/>
              </w:rPr>
            </w:pPr>
          </w:p>
        </w:tc>
      </w:tr>
      <w:tr>
        <w:trPr>
          <w:trHeight w:val="278"/>
        </w:trPr>
        <w:tc>
          <w:tcPr>
            <w:tcW w:w="1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4"/>
                <w:szCs w:val="24"/>
                <w:color w:val="auto"/>
              </w:rPr>
            </w:pPr>
          </w:p>
        </w:tc>
        <w:tc>
          <w:tcPr>
            <w:tcW w:w="101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4" w:lineRule="exact"/>
        <w:rPr>
          <w:sz w:val="20"/>
          <w:szCs w:val="20"/>
          <w:color w:val="auto"/>
        </w:rPr>
      </w:pPr>
    </w:p>
    <w:p>
      <w:pPr>
        <w:ind w:left="1120" w:hanging="1096"/>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14605</wp:posOffset>
            </wp:positionV>
            <wp:extent cx="2785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2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p>
      <w:pPr>
        <w:ind w:left="6880"/>
        <w:spacing w:after="0" w:line="236" w:lineRule="auto"/>
        <w:rPr>
          <w:sz w:val="20"/>
          <w:szCs w:val="20"/>
          <w:color w:val="auto"/>
        </w:rPr>
      </w:pPr>
      <w:r>
        <w:rPr>
          <w:rFonts w:ascii="Times New Roman" w:cs="Times New Roman" w:eastAsia="Times New Roman" w:hAnsi="Times New Roman"/>
          <w:sz w:val="18"/>
          <w:szCs w:val="18"/>
          <w:color w:val="auto"/>
        </w:rPr>
        <w:t>(On behalf of the Registrant and as its Principal Financial</w:t>
      </w:r>
    </w:p>
    <w:p>
      <w:pPr>
        <w:spacing w:after="0" w:line="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21"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268605</wp:posOffset>
            </wp:positionV>
            <wp:extent cx="6360795" cy="9842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60795" cy="9842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b w:val="1"/>
          <w:bCs w:val="1"/>
          <w:color w:val="auto"/>
        </w:rPr>
        <w:t>Altisource Portfolio Solutions S.A.</w:t>
      </w:r>
    </w:p>
    <w:p>
      <w:pPr>
        <w:spacing w:after="0" w:line="13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i w:val="1"/>
          <w:iCs w:val="1"/>
          <w:color w:val="auto"/>
        </w:rPr>
        <w:t>Société anonyme</w:t>
      </w:r>
    </w:p>
    <w:p>
      <w:pPr>
        <w:spacing w:after="0" w:line="13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color w:val="auto"/>
        </w:rPr>
        <w:t>Siège social: 33, Boulevard Prince Henri, L-1724 Luxembourg</w:t>
      </w:r>
    </w:p>
    <w:p>
      <w:pPr>
        <w:spacing w:after="0" w:line="11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1"/>
          <w:szCs w:val="21"/>
          <w:color w:val="auto"/>
        </w:rPr>
        <w:t>R.C.S. Luxembourg: B 72 391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STATUTS COORDONNES AU 28 MAI 2025</w:t>
      </w:r>
    </w:p>
    <w:p>
      <w:pPr>
        <w:spacing w:after="0" w:line="34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b w:val="1"/>
          <w:bCs w:val="1"/>
          <w:i w:val="1"/>
          <w:iCs w:val="1"/>
          <w:color w:val="auto"/>
        </w:rPr>
        <w:t>Chapter I. Form, Corporate Name, Registered Office, Object, Duration</w:t>
      </w:r>
    </w:p>
    <w:p>
      <w:pPr>
        <w:spacing w:after="0" w:line="143"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 Form, Corporate Name. </w:t>
      </w:r>
      <w:r>
        <w:rPr>
          <w:rFonts w:ascii="Times New Roman" w:cs="Times New Roman" w:eastAsia="Times New Roman" w:hAnsi="Times New Roman"/>
          <w:sz w:val="21"/>
          <w:szCs w:val="21"/>
          <w:i w:val="1"/>
          <w:iCs w:val="1"/>
          <w:color w:val="auto"/>
        </w:rPr>
        <w:t>There is established among the subscriber(s), and all those who may become owners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the shares of the company hereafter issued, a company in the form of a public limited liability company (société anonyme)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i w:val="1"/>
          <w:iCs w:val="1"/>
          <w:color w:val="auto"/>
        </w:rPr>
        <w:t>") which will be governed by the laws of the Grand Duchy of Luxembourg, in particular the law of 10 August 1915 on commercial companies, as amended (the "</w:t>
      </w:r>
      <w:r>
        <w:rPr>
          <w:rFonts w:ascii="Times New Roman" w:cs="Times New Roman" w:eastAsia="Times New Roman" w:hAnsi="Times New Roman"/>
          <w:sz w:val="21"/>
          <w:szCs w:val="21"/>
          <w:b w:val="1"/>
          <w:bCs w:val="1"/>
          <w:i w:val="1"/>
          <w:iCs w:val="1"/>
          <w:color w:val="auto"/>
        </w:rPr>
        <w:t>Law</w:t>
      </w:r>
      <w:r>
        <w:rPr>
          <w:rFonts w:ascii="Times New Roman" w:cs="Times New Roman" w:eastAsia="Times New Roman" w:hAnsi="Times New Roman"/>
          <w:sz w:val="21"/>
          <w:szCs w:val="21"/>
          <w:i w:val="1"/>
          <w:iCs w:val="1"/>
          <w:color w:val="auto"/>
        </w:rPr>
        <w:t>"), Article 1832 of the Luxembourg Civil Code, as amended (the "</w:t>
      </w:r>
      <w:r>
        <w:rPr>
          <w:rFonts w:ascii="Times New Roman" w:cs="Times New Roman" w:eastAsia="Times New Roman" w:hAnsi="Times New Roman"/>
          <w:sz w:val="21"/>
          <w:szCs w:val="21"/>
          <w:b w:val="1"/>
          <w:bCs w:val="1"/>
          <w:i w:val="1"/>
          <w:iCs w:val="1"/>
          <w:color w:val="auto"/>
        </w:rPr>
        <w:t>Civil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i w:val="1"/>
          <w:iCs w:val="1"/>
          <w:color w:val="auto"/>
        </w:rPr>
        <w:t>"), and by the present articles of incorporation (the "</w:t>
      </w:r>
      <w:r>
        <w:rPr>
          <w:rFonts w:ascii="Times New Roman" w:cs="Times New Roman" w:eastAsia="Times New Roman" w:hAnsi="Times New Roman"/>
          <w:sz w:val="21"/>
          <w:szCs w:val="21"/>
          <w:b w:val="1"/>
          <w:bCs w:val="1"/>
          <w:i w:val="1"/>
          <w:iCs w:val="1"/>
          <w:color w:val="auto"/>
        </w:rPr>
        <w:t>Articles</w:t>
      </w:r>
      <w:r>
        <w:rPr>
          <w:rFonts w:ascii="Times New Roman" w:cs="Times New Roman" w:eastAsia="Times New Roman" w:hAnsi="Times New Roman"/>
          <w:sz w:val="21"/>
          <w:szCs w:val="21"/>
          <w:i w:val="1"/>
          <w:iCs w:val="1"/>
          <w:color w:val="auto"/>
        </w:rPr>
        <w:t>").</w:t>
      </w:r>
    </w:p>
    <w:p>
      <w:pPr>
        <w:ind w:left="500"/>
        <w:spacing w:after="0"/>
        <w:rPr>
          <w:sz w:val="20"/>
          <w:szCs w:val="20"/>
          <w:color w:val="auto"/>
        </w:rPr>
      </w:pPr>
      <w:r>
        <w:rPr>
          <w:rFonts w:ascii="Times New Roman" w:cs="Times New Roman" w:eastAsia="Times New Roman" w:hAnsi="Times New Roman"/>
          <w:sz w:val="21"/>
          <w:szCs w:val="21"/>
          <w:i w:val="1"/>
          <w:iCs w:val="1"/>
          <w:color w:val="auto"/>
        </w:rPr>
        <w:t>The Company will exist under the name of "</w:t>
      </w:r>
      <w:r>
        <w:rPr>
          <w:rFonts w:ascii="Times New Roman" w:cs="Times New Roman" w:eastAsia="Times New Roman" w:hAnsi="Times New Roman"/>
          <w:sz w:val="21"/>
          <w:szCs w:val="21"/>
          <w:b w:val="1"/>
          <w:bCs w:val="1"/>
          <w:i w:val="1"/>
          <w:iCs w:val="1"/>
          <w:color w:val="auto"/>
        </w:rPr>
        <w:t>Altisource Portfolio Solutions S.A.</w:t>
      </w:r>
      <w:r>
        <w:rPr>
          <w:rFonts w:ascii="Times New Roman" w:cs="Times New Roman" w:eastAsia="Times New Roman" w:hAnsi="Times New Roman"/>
          <w:sz w:val="21"/>
          <w:szCs w:val="21"/>
          <w:i w:val="1"/>
          <w:iCs w:val="1"/>
          <w:color w:val="auto"/>
        </w:rPr>
        <w:t>".</w:t>
      </w:r>
    </w:p>
    <w:p>
      <w:pPr>
        <w:spacing w:after="0" w:line="130"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 Registered Office. </w:t>
      </w:r>
      <w:r>
        <w:rPr>
          <w:rFonts w:ascii="Times New Roman" w:cs="Times New Roman" w:eastAsia="Times New Roman" w:hAnsi="Times New Roman"/>
          <w:sz w:val="21"/>
          <w:szCs w:val="21"/>
          <w:i w:val="1"/>
          <w:iCs w:val="1"/>
          <w:color w:val="auto"/>
        </w:rPr>
        <w:t>The Company has its registered office in the city of Luxembourg. The Board of Directors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defined in Article 11) is authorized to change the address of the Company's registered office within the Grand Duchy of Luxembourg and amend these Articles accordingly.</w:t>
      </w:r>
    </w:p>
    <w:p>
      <w:pPr>
        <w:spacing w:after="0" w:line="3" w:lineRule="exact"/>
        <w:rPr>
          <w:sz w:val="20"/>
          <w:szCs w:val="20"/>
          <w:color w:val="auto"/>
        </w:rPr>
      </w:pPr>
    </w:p>
    <w:p>
      <w:pPr>
        <w:jc w:val="both"/>
        <w:ind w:firstLine="501"/>
        <w:spacing w:after="0" w:line="378" w:lineRule="auto"/>
        <w:rPr>
          <w:sz w:val="20"/>
          <w:szCs w:val="20"/>
          <w:color w:val="auto"/>
        </w:rPr>
      </w:pPr>
      <w:r>
        <w:rPr>
          <w:rFonts w:ascii="Times New Roman" w:cs="Times New Roman" w:eastAsia="Times New Roman" w:hAnsi="Times New Roman"/>
          <w:sz w:val="21"/>
          <w:szCs w:val="21"/>
          <w:i w:val="1"/>
          <w:iCs w:val="1"/>
          <w:color w:val="auto"/>
        </w:rPr>
        <w:t>Branches or other offices may be established either in the Grand Duchy of Luxembourg or abroad by resolution of the Board of Directors. If the Board of Directors determines that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w:t>
      </w:r>
    </w:p>
    <w:p>
      <w:pPr>
        <w:sectPr>
          <w:pgSz w:w="11900" w:h="16838" w:orient="portrait"/>
          <w:cols w:equalWidth="0" w:num="1">
            <w:col w:w="10740"/>
          </w:cols>
          <w:pgMar w:left="8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1"/>
          <w:szCs w:val="21"/>
          <w:i w:val="1"/>
          <w:iCs w:val="1"/>
          <w:color w:val="auto"/>
        </w:rPr>
        <w:t>have no effect on the nationality of the Company, which, notwithstanding the temporary transfer of the registered office, will remain a company governed by the laws of the Grand-Duchy of Luxembourg. Such temporary measures will be taken and notified to any interested parties by one of the bodies or persons entrusted with the daily management of the Company.</w:t>
      </w:r>
    </w:p>
    <w:p>
      <w:pPr>
        <w:spacing w:after="0" w:line="2"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3. Corporate Object. </w:t>
      </w:r>
      <w:r>
        <w:rPr>
          <w:rFonts w:ascii="Times New Roman" w:cs="Times New Roman" w:eastAsia="Times New Roman" w:hAnsi="Times New Roman"/>
          <w:sz w:val="21"/>
          <w:szCs w:val="21"/>
          <w:i w:val="1"/>
          <w:iCs w:val="1"/>
          <w:color w:val="auto"/>
        </w:rPr>
        <w:t>The object of the Company is the acquisition, the continuing management and the sale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participating interests, in any form whatsoever, in Luxembourg and in foreign undertakings, in particular in the areas of outsourcings, customer relationship management and technology services in the real estate, mortgage and consumer finance industries. The Company may also hold, manage and exploit intellectual property rights and render services to other group companies and third parties.</w:t>
      </w:r>
    </w:p>
    <w:p>
      <w:pPr>
        <w:spacing w:after="0" w:line="2" w:lineRule="exact"/>
        <w:rPr>
          <w:sz w:val="20"/>
          <w:szCs w:val="20"/>
          <w:color w:val="auto"/>
        </w:rPr>
      </w:pPr>
    </w:p>
    <w:p>
      <w:pPr>
        <w:jc w:val="both"/>
        <w:ind w:firstLine="501"/>
        <w:spacing w:after="0" w:line="367" w:lineRule="auto"/>
        <w:rPr>
          <w:sz w:val="20"/>
          <w:szCs w:val="20"/>
          <w:color w:val="auto"/>
        </w:rPr>
      </w:pPr>
      <w:r>
        <w:rPr>
          <w:rFonts w:ascii="Times New Roman" w:cs="Times New Roman" w:eastAsia="Times New Roman" w:hAnsi="Times New Roman"/>
          <w:sz w:val="21"/>
          <w:szCs w:val="21"/>
          <w:i w:val="1"/>
          <w:iCs w:val="1"/>
          <w:color w:val="auto"/>
        </w:rPr>
        <w:t>The Company may (i) invest in and acquire, dispose of, grant or retain, loans, bonds and other debt instruments, shares, warrants and other equity instruments or rights, including but not limited to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(ii) engage in such other activities as the Company deems necessary, advisable, convenient, incidental to or not inconsistent with the foregoing; and (iii) grant pledges, guarantees and contracts of indemnity, of any kind, to Luxembourg or foreign entities in respect of its own or any other person's obligations and debts.</w:t>
      </w:r>
    </w:p>
    <w:p>
      <w:pPr>
        <w:spacing w:after="0" w:line="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spacing w:after="0" w:line="1"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The Company may also provide any financial assistance to the undertakings in which the Company has a participating interest or which form a part of the group of companies to which the Company belongs,</w:t>
      </w:r>
    </w:p>
    <w:p>
      <w:pPr>
        <w:sectPr>
          <w:pgSz w:w="11900" w:h="16838" w:orient="portrait"/>
          <w:cols w:equalWidth="0" w:num="1">
            <w:col w:w="10740"/>
          </w:cols>
          <w:pgMar w:left="82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1"/>
          <w:szCs w:val="21"/>
          <w:i w:val="1"/>
          <w:iCs w:val="1"/>
          <w:color w:val="auto"/>
        </w:rPr>
        <w:t>including, but not limited to, the granting of loans and the providing of guarantees or securities in any form. The Company may pledge, transfer, encumber or otherwise create security over some or all of its assets.</w:t>
      </w: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In addition, the Company may render on an occasional basis assistance in any form (including, but not limited to, advances, loans, credits, guarantees or grants of security) to third parties other than the group of companies to which the Company belongs, subject to the condition that such assistance falls within the Company's best interest and subject to the condition that such assistance would not trigger any license requirements on the part of the Company. The Company may participate in the creation, development, management and control of any companies or enterprises, either directly or indirectly, which have similar objects or whose objects are closely related to its own.</w:t>
      </w:r>
    </w:p>
    <w:p>
      <w:pPr>
        <w:spacing w:after="0" w:line="3"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Art. 4. Duration</w:t>
      </w:r>
      <w:r>
        <w:rPr>
          <w:rFonts w:ascii="Times New Roman" w:cs="Times New Roman" w:eastAsia="Times New Roman" w:hAnsi="Times New Roman"/>
          <w:sz w:val="21"/>
          <w:szCs w:val="21"/>
          <w:i w:val="1"/>
          <w:iCs w:val="1"/>
          <w:color w:val="auto"/>
        </w:rPr>
        <w:t>. The Company is formed for an unlimited duration.</w:t>
      </w:r>
    </w:p>
    <w:p>
      <w:pPr>
        <w:spacing w:after="0" w:line="1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i w:val="1"/>
          <w:iCs w:val="1"/>
          <w:color w:val="auto"/>
        </w:rPr>
        <w:t>Chapter II. Share Capital, Shares</w:t>
      </w:r>
    </w:p>
    <w:p>
      <w:pPr>
        <w:spacing w:after="0" w:line="116"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5. Share Capital. </w:t>
      </w:r>
      <w:r>
        <w:rPr>
          <w:rFonts w:ascii="Times New Roman" w:cs="Times New Roman" w:eastAsia="Times New Roman" w:hAnsi="Times New Roman"/>
          <w:sz w:val="21"/>
          <w:szCs w:val="21"/>
          <w:i w:val="1"/>
          <w:iCs w:val="1"/>
          <w:color w:val="auto"/>
        </w:rPr>
        <w:t>The share capital of the Company is set at one hundred eleven thousand one hundred and eighty-nine United States Dollars and ninety cents (USD 111,189.90), represented by eleven million one hundred and eighteen thousand nine hundred and ninety (11,118,990) shares of the Company’s common stock without designation of nominal value. As used in the present Articles, "Shares" means shares of the Company’s common stock without nominal value.</w:t>
      </w:r>
    </w:p>
    <w:p>
      <w:pPr>
        <w:spacing w:after="0" w:line="1"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In addition to the share capital, share premium accounts into which any premium paid on any Share in addition to its par value may be transferred and capital contribution accounts (compte 115 "Apport en capitaux propres non rémunéré par des titres") may be established. The Board of Directors is authorized to allocate all or part of the share premium accounts and capital</w:t>
      </w:r>
    </w:p>
    <w:p>
      <w:pPr>
        <w:sectPr>
          <w:pgSz w:w="11900" w:h="16838" w:orient="portrait"/>
          <w:cols w:equalWidth="0" w:num="1">
            <w:col w:w="10740"/>
          </w:cols>
          <w:pgMar w:left="820"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362" w:lineRule="auto"/>
        <w:rPr>
          <w:sz w:val="20"/>
          <w:szCs w:val="20"/>
          <w:color w:val="auto"/>
        </w:rPr>
      </w:pPr>
      <w:r>
        <w:rPr>
          <w:rFonts w:ascii="Times New Roman" w:cs="Times New Roman" w:eastAsia="Times New Roman" w:hAnsi="Times New Roman"/>
          <w:sz w:val="21"/>
          <w:szCs w:val="21"/>
          <w:i w:val="1"/>
          <w:iCs w:val="1"/>
          <w:color w:val="auto"/>
        </w:rPr>
        <w:t>contribution accounts paid in on the Shares issued by the Company to one or both of the following from time to time as it deems appropriate:</w:t>
      </w:r>
    </w:p>
    <w:p>
      <w:pPr>
        <w:ind w:left="800" w:hanging="292"/>
        <w:spacing w:after="0"/>
        <w:tabs>
          <w:tab w:leader="none" w:pos="800" w:val="left"/>
        </w:tabs>
        <w:numPr>
          <w:ilvl w:val="0"/>
          <w:numId w:val="2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a distributable reserve to be used for distributions of any kind to be made by the Company;</w:t>
      </w:r>
    </w:p>
    <w:p>
      <w:pPr>
        <w:spacing w:after="0" w:line="129" w:lineRule="exact"/>
        <w:rPr>
          <w:rFonts w:ascii="Times New Roman" w:cs="Times New Roman" w:eastAsia="Times New Roman" w:hAnsi="Times New Roman"/>
          <w:sz w:val="21"/>
          <w:szCs w:val="21"/>
          <w:i w:val="1"/>
          <w:iCs w:val="1"/>
          <w:color w:val="auto"/>
        </w:rPr>
      </w:pPr>
    </w:p>
    <w:p>
      <w:pPr>
        <w:ind w:left="800" w:hanging="292"/>
        <w:spacing w:after="0"/>
        <w:tabs>
          <w:tab w:leader="none" w:pos="800" w:val="left"/>
        </w:tabs>
        <w:numPr>
          <w:ilvl w:val="0"/>
          <w:numId w:val="2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a special reserve as foreseen by Articles 430-18, 430-22 and 461-2 of the Law.</w:t>
      </w:r>
    </w:p>
    <w:p>
      <w:pPr>
        <w:spacing w:after="0" w:line="220" w:lineRule="exact"/>
        <w:rPr>
          <w:sz w:val="20"/>
          <w:szCs w:val="20"/>
          <w:color w:val="auto"/>
        </w:rPr>
      </w:pPr>
    </w:p>
    <w:p>
      <w:pPr>
        <w:jc w:val="both"/>
        <w:ind w:firstLine="501"/>
        <w:spacing w:after="0" w:line="373"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6. Authorized Share Capital. </w:t>
      </w:r>
      <w:r>
        <w:rPr>
          <w:rFonts w:ascii="Times New Roman" w:cs="Times New Roman" w:eastAsia="Times New Roman" w:hAnsi="Times New Roman"/>
          <w:sz w:val="21"/>
          <w:szCs w:val="21"/>
          <w:i w:val="1"/>
          <w:iCs w:val="1"/>
          <w:color w:val="auto"/>
        </w:rPr>
        <w:t>The authorized share capital is set at one million nine hundred and eighteen thousand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three hundred and twenty-nine United States Dollars and eighty-two cents (USD 1,918,329.82) divided into one hundred and ninety-one million eight hundred and thirty-two thousand nine hundred and eighty-two (191,832,982) shares of the Company’s common stock without nominal value. The Board of Directors is authorized, during a period ending five (5) years after the date of publication of the minute of the extraordinary general meeting of 18 February 2025 in the electronic gazette RESA (Recueil Electronique des Sociétés et Associations) to:</w:t>
      </w:r>
    </w:p>
    <w:p>
      <w:pPr>
        <w:spacing w:after="0" w:line="42" w:lineRule="exact"/>
        <w:rPr>
          <w:sz w:val="20"/>
          <w:szCs w:val="20"/>
          <w:color w:val="auto"/>
        </w:rPr>
      </w:pPr>
    </w:p>
    <w:p>
      <w:pPr>
        <w:jc w:val="both"/>
        <w:ind w:firstLine="508"/>
        <w:spacing w:after="0" w:line="366" w:lineRule="auto"/>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Realize any increase of the issued share capital within the limits of the authorized share capital in one or several times, by the issuing of new Shares, grant of options, warrants or other similar instruments exercisable into Shares, rights to subscribe for Shares against payment in cash or in kind; by conversion of claims; by the increase of the par value of existing Shares; or in any other manner to be decided by the Board of Directors up to an amount of one million nine hundred and eighteen thousand three hundred and twenty-nine United States Dollars and eighty-two cents (USD 1,918,329.82).</w:t>
      </w:r>
    </w:p>
    <w:p>
      <w:pPr>
        <w:ind w:firstLine="508"/>
        <w:spacing w:after="0" w:line="368" w:lineRule="auto"/>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Issue any warrants, options, or other similar instruments exercisable into shares, rights to subscribe for shares and set the terms and conditions of these instruments.</w:t>
      </w:r>
    </w:p>
    <w:p>
      <w:pPr>
        <w:spacing w:after="0" w:line="1" w:lineRule="exact"/>
        <w:rPr>
          <w:rFonts w:ascii="Times New Roman" w:cs="Times New Roman" w:eastAsia="Times New Roman" w:hAnsi="Times New Roman"/>
          <w:sz w:val="21"/>
          <w:szCs w:val="21"/>
          <w:color w:val="auto"/>
        </w:rPr>
      </w:pPr>
    </w:p>
    <w:p>
      <w:pPr>
        <w:jc w:val="both"/>
        <w:ind w:firstLine="508"/>
        <w:spacing w:after="0" w:line="387" w:lineRule="auto"/>
        <w:tabs>
          <w:tab w:leader="none" w:pos="7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w:t>
      </w:r>
    </w:p>
    <w:p>
      <w:pPr>
        <w:sectPr>
          <w:pgSz w:w="11900" w:h="16838" w:orient="portrait"/>
          <w:cols w:equalWidth="0" w:num="1">
            <w:col w:w="10740"/>
          </w:cols>
          <w:pgMar w:left="820" w:top="1440"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1"/>
          <w:szCs w:val="21"/>
          <w:i w:val="1"/>
          <w:iCs w:val="1"/>
          <w:color w:val="auto"/>
        </w:rPr>
        <w:t>issue premium and the terms and conditions of the subscription of and paying up of the new Shares (in cash or in kind or by incorporation of available reserves or funds available on the capital contribution account (compte 115 "Apport en capitaux propres non rémunéré par des titres"), share premium account or retained earnings). If the consideration payable to the Company for newly issued Shares exceeds the par value of those Shares, the excess is to be treated as share premium in respect of the Shares in the books of the Company.</w:t>
      </w:r>
    </w:p>
    <w:p>
      <w:pPr>
        <w:jc w:val="both"/>
        <w:ind w:firstLine="508"/>
        <w:spacing w:after="0" w:line="365" w:lineRule="auto"/>
        <w:tabs>
          <w:tab w:leader="none" w:pos="7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1" w:lineRule="exact"/>
        <w:rPr>
          <w:rFonts w:ascii="Times New Roman" w:cs="Times New Roman" w:eastAsia="Times New Roman" w:hAnsi="Times New Roman"/>
          <w:sz w:val="21"/>
          <w:szCs w:val="21"/>
          <w:color w:val="auto"/>
        </w:rPr>
      </w:pPr>
    </w:p>
    <w:p>
      <w:pPr>
        <w:jc w:val="both"/>
        <w:ind w:firstLine="508"/>
        <w:spacing w:after="0" w:line="366" w:lineRule="auto"/>
        <w:tabs>
          <w:tab w:leader="none" w:pos="7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 Article 11) or officer of the Company, to an appointed committee thereof or to any other duly authorized person, the duties of accepting subscriptions and receiving payment for Shares or doing all things necessary to amend Articles 5 and 6 of the present Articles in order to record the change of share capital following any increase pursuant to the present Article.</w:t>
      </w:r>
    </w:p>
    <w:p>
      <w:pPr>
        <w:spacing w:after="0" w:line="5" w:lineRule="exact"/>
        <w:rPr>
          <w:rFonts w:ascii="Times New Roman" w:cs="Times New Roman" w:eastAsia="Times New Roman" w:hAnsi="Times New Roman"/>
          <w:sz w:val="21"/>
          <w:szCs w:val="21"/>
          <w:color w:val="auto"/>
        </w:rPr>
      </w:pPr>
    </w:p>
    <w:p>
      <w:pPr>
        <w:ind w:firstLine="501"/>
        <w:spacing w:after="0" w:line="36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After each increase of the issued share capital according to the above, the present Articles shall be amended to reflect such increase without requiring further approval from the Company’s shareholders.</w:t>
      </w:r>
    </w:p>
    <w:p>
      <w:pPr>
        <w:spacing w:after="0" w:line="1" w:lineRule="exact"/>
        <w:rPr>
          <w:rFonts w:ascii="Times New Roman" w:cs="Times New Roman" w:eastAsia="Times New Roman" w:hAnsi="Times New Roman"/>
          <w:sz w:val="21"/>
          <w:szCs w:val="21"/>
          <w:color w:val="auto"/>
        </w:rPr>
      </w:pPr>
    </w:p>
    <w:p>
      <w:pPr>
        <w:ind w:firstLine="501"/>
        <w:spacing w:after="0" w:line="39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Art. 7. Shares. </w:t>
      </w:r>
      <w:r>
        <w:rPr>
          <w:rFonts w:ascii="Times New Roman" w:cs="Times New Roman" w:eastAsia="Times New Roman" w:hAnsi="Times New Roman"/>
          <w:sz w:val="21"/>
          <w:szCs w:val="21"/>
          <w:i w:val="1"/>
          <w:iCs w:val="1"/>
          <w:color w:val="auto"/>
        </w:rPr>
        <w:t>The Shares will take the form of registered shares. The shareholders shall not have the right to ask for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the conversion of Shares into bearer shares.</w:t>
      </w:r>
    </w:p>
    <w:p>
      <w:pPr>
        <w:sectPr>
          <w:pgSz w:w="11900" w:h="16838" w:orient="portrait"/>
          <w:cols w:equalWidth="0" w:num="1">
            <w:col w:w="10740"/>
          </w:cols>
          <w:pgMar w:left="820"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A shareholders' register will be available for inspection by the Company’s shareholders at the Company’s registered office subject to the provisions of Article 430-3 of the Law and upon reasonable notice. Each shareholder shall have the right to consult the register during normal business hours in accordance with the provisions of the Law. Each shareholder will notify the Company of its address and any change thereto by registered letter. The Company will be entitled to rely on the last address thus communicated. Ownership of Shares will result from the recordings in said register.</w:t>
      </w: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Any person who is required to report ownership of Shares on Schedule 13D or 13G pursuant to Rule 13d-1 or changes in such ownership pursuant to Rule 13d-2, each as promulgated by the U.S. Securities and Exchange Commission under the Securities Exchange Act of 1934, as amended, must notify the Company's Board of Directors promptly following any reportable acquisition or disposition, and in no event later than the filing date of such Schedule 13D or 13G, of the proportion of Shares held by the relevant person as a result of the acquisition or disposal.</w:t>
      </w: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Any transfer of Shares shall be recorded in the share register in accordance with applicable law. The Board of Directors may delegate its powers with respect to the recording of such transfers in the share register.</w:t>
      </w:r>
    </w:p>
    <w:p>
      <w:pPr>
        <w:spacing w:after="0" w:line="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Each Share is indivisible. In case of holding of a Share by more than one person, the Company has the right to suspend the rights attaching thereto (except for the information rights provided for by Article 461-6 of the Law) until one sole person has been designated as being the holder thereof towards the Company.</w:t>
      </w:r>
    </w:p>
    <w:p>
      <w:pPr>
        <w:spacing w:after="0" w:line="1"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Where Shares are recorded in the register of shareholders on behalf of one or more persons in the name of a securities settlement system or the operator of such a system or in the name of a professional depository of securities or any other depository (such systems, professionals or other depositories being referred to hereinafter as "</w:t>
      </w:r>
      <w:r>
        <w:rPr>
          <w:rFonts w:ascii="Times New Roman" w:cs="Times New Roman" w:eastAsia="Times New Roman" w:hAnsi="Times New Roman"/>
          <w:sz w:val="21"/>
          <w:szCs w:val="21"/>
          <w:b w:val="1"/>
          <w:bCs w:val="1"/>
          <w:i w:val="1"/>
          <w:iCs w:val="1"/>
          <w:color w:val="auto"/>
        </w:rPr>
        <w:t>Depositories</w:t>
      </w:r>
      <w:r>
        <w:rPr>
          <w:rFonts w:ascii="Times New Roman" w:cs="Times New Roman" w:eastAsia="Times New Roman" w:hAnsi="Times New Roman"/>
          <w:sz w:val="21"/>
          <w:szCs w:val="21"/>
          <w:i w:val="1"/>
          <w:iCs w:val="1"/>
          <w:color w:val="auto"/>
        </w:rPr>
        <w:t>" and each a</w:t>
      </w:r>
    </w:p>
    <w:p>
      <w:pPr>
        <w:sectPr>
          <w:pgSz w:w="11900" w:h="16838" w:orient="portrait"/>
          <w:cols w:equalWidth="0" w:num="1">
            <w:col w:w="10740"/>
          </w:cols>
          <w:pgMar w:left="820" w:top="1440"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Depository</w:t>
      </w:r>
      <w:r>
        <w:rPr>
          <w:rFonts w:ascii="Times New Roman" w:cs="Times New Roman" w:eastAsia="Times New Roman" w:hAnsi="Times New Roman"/>
          <w:sz w:val="21"/>
          <w:szCs w:val="21"/>
          <w:i w:val="1"/>
          <w:iCs w:val="1"/>
          <w:color w:val="auto"/>
        </w:rPr>
        <w:t>") or of a sub-depository designated by one or more Depositories (the "</w:t>
      </w:r>
      <w:r>
        <w:rPr>
          <w:rFonts w:ascii="Times New Roman" w:cs="Times New Roman" w:eastAsia="Times New Roman" w:hAnsi="Times New Roman"/>
          <w:sz w:val="21"/>
          <w:szCs w:val="21"/>
          <w:b w:val="1"/>
          <w:bCs w:val="1"/>
          <w:i w:val="1"/>
          <w:iCs w:val="1"/>
          <w:color w:val="auto"/>
        </w:rPr>
        <w:t>Indirect Holders</w:t>
      </w:r>
      <w:r>
        <w:rPr>
          <w:rFonts w:ascii="Times New Roman" w:cs="Times New Roman" w:eastAsia="Times New Roman" w:hAnsi="Times New Roman"/>
          <w:sz w:val="21"/>
          <w:szCs w:val="21"/>
          <w:i w:val="1"/>
          <w:iCs w:val="1"/>
          <w:color w:val="auto"/>
        </w:rPr>
        <w:t>"), the Company, subject to its having received from the Depository with which those Shares are kept in account a certificate in proper form, will permit the Indirect Holders to exercise the rights attaching to those Shares, including admission to and voting at shareholders' meetings, and shall consider those persons to be the shareholders for the purposes of Article 9. The Board of Directors may determine the formal requirements with which such certificates must comply.</w:t>
      </w:r>
    </w:p>
    <w:p>
      <w:pPr>
        <w:spacing w:after="0" w:line="2" w:lineRule="exact"/>
        <w:rPr>
          <w:sz w:val="20"/>
          <w:szCs w:val="20"/>
          <w:color w:val="auto"/>
        </w:rPr>
      </w:pPr>
    </w:p>
    <w:p>
      <w:pPr>
        <w:jc w:val="both"/>
        <w:ind w:firstLine="501"/>
        <w:spacing w:after="0" w:line="393" w:lineRule="auto"/>
        <w:rPr>
          <w:sz w:val="20"/>
          <w:szCs w:val="20"/>
          <w:color w:val="auto"/>
        </w:rPr>
      </w:pPr>
      <w:r>
        <w:rPr>
          <w:rFonts w:ascii="Times New Roman" w:cs="Times New Roman" w:eastAsia="Times New Roman" w:hAnsi="Times New Roman"/>
          <w:sz w:val="21"/>
          <w:szCs w:val="21"/>
          <w:i w:val="1"/>
          <w:iCs w:val="1"/>
          <w:color w:val="auto"/>
        </w:rPr>
        <w:t>Notwithstanding the foregoing, the Company will make payments, by way of dividends or otherwise, in cash, Shares or other assets only into the hands of the Depository or sub-depository recorded in the share register of the Company or in accordance with their instructions, and that payment shall release the Company from any and all obligations for such payment.</w:t>
      </w:r>
    </w:p>
    <w:p>
      <w:pPr>
        <w:spacing w:after="0" w:line="282"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8. Payment of Shares. </w:t>
      </w:r>
      <w:r>
        <w:rPr>
          <w:rFonts w:ascii="Times New Roman" w:cs="Times New Roman" w:eastAsia="Times New Roman" w:hAnsi="Times New Roman"/>
          <w:sz w:val="21"/>
          <w:szCs w:val="21"/>
          <w:i w:val="1"/>
          <w:iCs w:val="1"/>
          <w:color w:val="auto"/>
        </w:rPr>
        <w:t>Payments on Shares not fully paid up at the time of subscription may be made at the time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and upon conditions which the Board of Directors shall from time to time determine subject to the Law. Any amount called up on Shares will be charged equally on all outstanding Shares which are not fully paid up.</w:t>
      </w:r>
    </w:p>
    <w:p>
      <w:pPr>
        <w:spacing w:after="0" w:line="2" w:lineRule="exact"/>
        <w:rPr>
          <w:sz w:val="20"/>
          <w:szCs w:val="20"/>
          <w:color w:val="auto"/>
        </w:rPr>
      </w:pPr>
    </w:p>
    <w:p>
      <w:pPr>
        <w:jc w:val="both"/>
        <w:ind w:firstLine="501"/>
        <w:spacing w:after="0" w:line="370"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9. Increase and Reduction of the Share Capital. </w:t>
      </w:r>
      <w:r>
        <w:rPr>
          <w:rFonts w:ascii="Times New Roman" w:cs="Times New Roman" w:eastAsia="Times New Roman" w:hAnsi="Times New Roman"/>
          <w:sz w:val="21"/>
          <w:szCs w:val="21"/>
          <w:i w:val="1"/>
          <w:iCs w:val="1"/>
          <w:color w:val="auto"/>
        </w:rPr>
        <w:t>The issued share capital and the authorized share capital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Company may be increased or reduced once or several times by a resolution of the general meeting of shareholders voting with the quorum and majority rules set out under these Articles or, as the case may be, by the Law for any amendment of these Articles. Unless issued pursuant to a decision of the Board of Directors or any duly authorized representative thereof, further to the powers granted to the Board of Directors, under Articles 5 and 6, the new Shares to be subscribed for by contribution in cash will be offered in preference to the existing shareholders in proportion to the part of the share capital held by these shareholders. The Board of Directors shall determine the period within which the preferred subscription right may be exercised. This period may not be less than thirty (30) days.</w:t>
      </w:r>
    </w:p>
    <w:p>
      <w:pPr>
        <w:sectPr>
          <w:pgSz w:w="11900" w:h="16838" w:orient="portrait"/>
          <w:cols w:equalWidth="0" w:num="1">
            <w:col w:w="10740"/>
          </w:cols>
          <w:pgMar w:left="820" w:top="144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Notwithstanding the above, the general meeting, voting with the quorum and majority rules required for any amendment of the Articles, may limit or withdraw the preferential subscription right or authorize the Board of Directors to do so in the case of an increase of share capital within the authorized share capital.</w:t>
      </w:r>
    </w:p>
    <w:p>
      <w:pPr>
        <w:spacing w:after="0" w:line="1"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The preferred subscription right may also be waived individually by the shareholders, or by the general meeting, voting with the same conditions of quorum and majority as for amendments of the Articles and provided that the suppression of the preferred subscription right is specifically referred to in the shareholders’ notice to attend.</w:t>
      </w:r>
    </w:p>
    <w:p>
      <w:pPr>
        <w:spacing w:after="0" w:line="2" w:lineRule="exact"/>
        <w:rPr>
          <w:sz w:val="20"/>
          <w:szCs w:val="20"/>
          <w:color w:val="auto"/>
        </w:rPr>
      </w:pPr>
    </w:p>
    <w:p>
      <w:pPr>
        <w:jc w:val="right"/>
        <w:spacing w:after="0" w:line="364" w:lineRule="auto"/>
        <w:rPr>
          <w:sz w:val="20"/>
          <w:szCs w:val="20"/>
          <w:color w:val="auto"/>
        </w:rPr>
      </w:pPr>
      <w:r>
        <w:rPr>
          <w:rFonts w:ascii="Times New Roman" w:cs="Times New Roman" w:eastAsia="Times New Roman" w:hAnsi="Times New Roman"/>
          <w:sz w:val="21"/>
          <w:szCs w:val="21"/>
          <w:i w:val="1"/>
          <w:iCs w:val="1"/>
          <w:color w:val="auto"/>
        </w:rPr>
        <w:t xml:space="preserve">The preferred subscription right is not applicable when the share capital is increased by means of contributions in kind. </w:t>
      </w:r>
      <w:r>
        <w:rPr>
          <w:rFonts w:ascii="Times New Roman" w:cs="Times New Roman" w:eastAsia="Times New Roman" w:hAnsi="Times New Roman"/>
          <w:sz w:val="21"/>
          <w:szCs w:val="21"/>
          <w:b w:val="1"/>
          <w:bCs w:val="1"/>
          <w:i w:val="1"/>
          <w:iCs w:val="1"/>
          <w:color w:val="auto"/>
        </w:rPr>
        <w:t>Art. 10. Acquisition or Redemption of Own Shares</w:t>
      </w:r>
      <w:r>
        <w:rPr>
          <w:rFonts w:ascii="Times New Roman" w:cs="Times New Roman" w:eastAsia="Times New Roman" w:hAnsi="Times New Roman"/>
          <w:sz w:val="21"/>
          <w:szCs w:val="21"/>
          <w:i w:val="1"/>
          <w:iCs w:val="1"/>
          <w:color w:val="auto"/>
        </w:rPr>
        <w:t>. The Company may acquire or redeem its own Shares in accordance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with the provisions of the Law. It may hold the Shares so acquired or redeemed. As used in this Article 10, "Own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means Shares acquired or redeemed and held by the Company.</w:t>
      </w:r>
    </w:p>
    <w:p>
      <w:pPr>
        <w:spacing w:after="0" w:line="130"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The voting rights of Own Shares are suspended and are not taken into account in the determination of the quorum and majority for shareholders' meetings. The Board of Directors is authorized to suspend the dividend rights attached to Own Shares. In such case, the Board of Directors may freely decide on the distributable profits in accordance with Article 430-18 of the Law.</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Chapter III. Directors, Board of Directors, Statutory Auditors</w:t>
      </w:r>
    </w:p>
    <w:p>
      <w:pPr>
        <w:spacing w:after="0" w:line="130"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11. Board of Directors. </w:t>
      </w:r>
      <w:r>
        <w:rPr>
          <w:rFonts w:ascii="Times New Roman" w:cs="Times New Roman" w:eastAsia="Times New Roman" w:hAnsi="Times New Roman"/>
          <w:sz w:val="21"/>
          <w:szCs w:val="21"/>
          <w:i w:val="1"/>
          <w:iCs w:val="1"/>
          <w:color w:val="auto"/>
        </w:rPr>
        <w:t>The Company is managed by a board of directors (the "</w:t>
      </w:r>
      <w:r>
        <w:rPr>
          <w:rFonts w:ascii="Times New Roman" w:cs="Times New Roman" w:eastAsia="Times New Roman" w:hAnsi="Times New Roman"/>
          <w:sz w:val="21"/>
          <w:szCs w:val="21"/>
          <w:b w:val="1"/>
          <w:bCs w:val="1"/>
          <w:i w:val="1"/>
          <w:iCs w:val="1"/>
          <w:color w:val="auto"/>
        </w:rPr>
        <w:t>Board of Directors</w:t>
      </w:r>
      <w:r>
        <w:rPr>
          <w:rFonts w:ascii="Times New Roman" w:cs="Times New Roman" w:eastAsia="Times New Roman" w:hAnsi="Times New Roman"/>
          <w:sz w:val="21"/>
          <w:szCs w:val="21"/>
          <w:i w:val="1"/>
          <w:iCs w:val="1"/>
          <w:color w:val="auto"/>
        </w:rPr>
        <w:t>") composed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at least three (3) and of maximum seven (7) members (each a "</w:t>
      </w:r>
      <w:r>
        <w:rPr>
          <w:rFonts w:ascii="Times New Roman" w:cs="Times New Roman" w:eastAsia="Times New Roman" w:hAnsi="Times New Roman"/>
          <w:sz w:val="21"/>
          <w:szCs w:val="21"/>
          <w:b w:val="1"/>
          <w:bCs w:val="1"/>
          <w:i w:val="1"/>
          <w:iCs w:val="1"/>
          <w:color w:val="auto"/>
        </w:rPr>
        <w:t>Director</w:t>
      </w:r>
      <w:r>
        <w:rPr>
          <w:rFonts w:ascii="Times New Roman" w:cs="Times New Roman" w:eastAsia="Times New Roman" w:hAnsi="Times New Roman"/>
          <w:sz w:val="21"/>
          <w:szCs w:val="21"/>
          <w:i w:val="1"/>
          <w:iCs w:val="1"/>
          <w:color w:val="auto"/>
        </w:rPr>
        <w:t>"), who need not be shareholders.</w:t>
      </w:r>
    </w:p>
    <w:p>
      <w:pPr>
        <w:spacing w:after="0" w:line="1"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The Director(s) shall be appointed by the general meeting of shareholders. The general meeting of shareholders will determine their number and the duration of their mandate for a term not exceeding six (6)</w:t>
      </w:r>
    </w:p>
    <w:p>
      <w:pPr>
        <w:sectPr>
          <w:pgSz w:w="11900" w:h="16838" w:orient="portrait"/>
          <w:cols w:equalWidth="0" w:num="1">
            <w:col w:w="10740"/>
          </w:cols>
          <w:pgMar w:left="820"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1"/>
          <w:szCs w:val="21"/>
          <w:i w:val="1"/>
          <w:iCs w:val="1"/>
          <w:color w:val="auto"/>
        </w:rPr>
        <w:t>years, and they will hold office until their successors are elected. Director(s) may be re-elected for successive terms, and may be removed at any time, with or without cause, by a resolution of the general meeting of shareholders.</w:t>
      </w: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If a corporate entity is appointed as Director, it shall designate a natural person as its permanent representative, who will represent the corporate entity as a member of the Board of Directors, in accordance with Article 441-3 of the Law. In the event of a vacancy on the Board of Directors, if applicable, the remaining Director(s) may meet and may elect a director to fill such vacancy on a provisional basis until the next meeting of shareholders.</w:t>
      </w:r>
    </w:p>
    <w:p>
      <w:pPr>
        <w:spacing w:after="0" w:line="1"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12. Meetings of the Board of Directors. </w:t>
      </w:r>
      <w:r>
        <w:rPr>
          <w:rFonts w:ascii="Times New Roman" w:cs="Times New Roman" w:eastAsia="Times New Roman" w:hAnsi="Times New Roman"/>
          <w:sz w:val="21"/>
          <w:szCs w:val="21"/>
          <w:i w:val="1"/>
          <w:iCs w:val="1"/>
          <w:color w:val="auto"/>
        </w:rPr>
        <w:t>The Board of Directors will appoint from among its members 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chairperson (the "</w:t>
      </w:r>
      <w:r>
        <w:rPr>
          <w:rFonts w:ascii="Times New Roman" w:cs="Times New Roman" w:eastAsia="Times New Roman" w:hAnsi="Times New Roman"/>
          <w:sz w:val="21"/>
          <w:szCs w:val="21"/>
          <w:b w:val="1"/>
          <w:bCs w:val="1"/>
          <w:i w:val="1"/>
          <w:iCs w:val="1"/>
          <w:color w:val="auto"/>
        </w:rPr>
        <w:t>Chair</w:t>
      </w:r>
      <w:r>
        <w:rPr>
          <w:rFonts w:ascii="Times New Roman" w:cs="Times New Roman" w:eastAsia="Times New Roman" w:hAnsi="Times New Roman"/>
          <w:sz w:val="21"/>
          <w:szCs w:val="21"/>
          <w:i w:val="1"/>
          <w:iCs w:val="1"/>
          <w:color w:val="auto"/>
        </w:rPr>
        <w:t>"). It may also appoint a corporate secretary, who need not be a Director and who will be responsible for keeping the minutes of the meetings of the Board of Directors and the general meetings of shareholder(s) (the "</w:t>
      </w:r>
      <w:r>
        <w:rPr>
          <w:rFonts w:ascii="Times New Roman" w:cs="Times New Roman" w:eastAsia="Times New Roman" w:hAnsi="Times New Roman"/>
          <w:sz w:val="21"/>
          <w:szCs w:val="21"/>
          <w:b w:val="1"/>
          <w:bCs w:val="1"/>
          <w:i w:val="1"/>
          <w:iCs w:val="1"/>
          <w:color w:val="auto"/>
        </w:rPr>
        <w:t>Secretary</w:t>
      </w:r>
      <w:r>
        <w:rPr>
          <w:rFonts w:ascii="Times New Roman" w:cs="Times New Roman" w:eastAsia="Times New Roman" w:hAnsi="Times New Roman"/>
          <w:sz w:val="21"/>
          <w:szCs w:val="21"/>
          <w:i w:val="1"/>
          <w:iCs w:val="1"/>
          <w:color w:val="auto"/>
        </w:rPr>
        <w:t>"). If the Secretary is not a Director, such person shall observe the confidentiality provisions as set forth in Article 15 of these Articles, under the responsibility of the Board of Directors.</w:t>
      </w:r>
    </w:p>
    <w:p>
      <w:pPr>
        <w:spacing w:after="0" w:line="2" w:lineRule="exact"/>
        <w:rPr>
          <w:sz w:val="20"/>
          <w:szCs w:val="20"/>
          <w:color w:val="auto"/>
        </w:rPr>
      </w:pPr>
    </w:p>
    <w:p>
      <w:pPr>
        <w:jc w:val="both"/>
        <w:ind w:firstLine="501"/>
        <w:spacing w:after="0" w:line="362" w:lineRule="auto"/>
        <w:rPr>
          <w:sz w:val="20"/>
          <w:szCs w:val="20"/>
          <w:color w:val="auto"/>
        </w:rPr>
      </w:pPr>
      <w:r>
        <w:rPr>
          <w:rFonts w:ascii="Times New Roman" w:cs="Times New Roman" w:eastAsia="Times New Roman" w:hAnsi="Times New Roman"/>
          <w:sz w:val="21"/>
          <w:szCs w:val="21"/>
          <w:i w:val="1"/>
          <w:iCs w:val="1"/>
          <w:color w:val="auto"/>
        </w:rPr>
        <w:t>The Board of Directors will meet upon call by the Chair. A meeting of the Board of Directors must be convened if any two Directors so require.</w:t>
      </w: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The Chair will preside at all meetings of the Board of Directors. except that in his or her absence the Board of Directors may appoint another Director to preside the meeting.</w:t>
      </w:r>
    </w:p>
    <w:p>
      <w:pPr>
        <w:spacing w:after="0" w:line="1"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Except in cases of urgency or with the prior consent of all those entitled to attend, at least twenty-four (24) hours written notice of board meetings shall be given. Any such notice shall specify the place, the date and time of the meeting as well as the agenda and the nature of the business to be transacted.</w:t>
      </w:r>
    </w:p>
    <w:p>
      <w:pPr>
        <w:spacing w:after="0" w:line="2" w:lineRule="exact"/>
        <w:rPr>
          <w:sz w:val="20"/>
          <w:szCs w:val="20"/>
          <w:color w:val="auto"/>
        </w:rPr>
      </w:pPr>
    </w:p>
    <w:p>
      <w:pPr>
        <w:jc w:val="both"/>
        <w:ind w:firstLine="501"/>
        <w:spacing w:after="0" w:line="392" w:lineRule="auto"/>
        <w:rPr>
          <w:sz w:val="20"/>
          <w:szCs w:val="20"/>
          <w:color w:val="auto"/>
        </w:rPr>
      </w:pPr>
      <w:r>
        <w:rPr>
          <w:rFonts w:ascii="Times New Roman" w:cs="Times New Roman" w:eastAsia="Times New Roman" w:hAnsi="Times New Roman"/>
          <w:sz w:val="21"/>
          <w:szCs w:val="21"/>
          <w:i w:val="1"/>
          <w:iCs w:val="1"/>
          <w:color w:val="auto"/>
        </w:rPr>
        <w:t>The notice may be waived by unanimous written consent given at the meeting by all Directors. No separate notice is required for meetings held at</w:t>
      </w:r>
    </w:p>
    <w:p>
      <w:pPr>
        <w:sectPr>
          <w:pgSz w:w="11900" w:h="16838" w:orient="portrait"/>
          <w:cols w:equalWidth="0" w:num="1">
            <w:col w:w="10740"/>
          </w:cols>
          <w:pgMar w:left="8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times and places specified in a schedule previously adopted by resolution of the Board of Directors.</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Meetings of the Board of Directors shall be held in the location indicated in the notice of meeting.</w:t>
      </w:r>
    </w:p>
    <w:p>
      <w:pPr>
        <w:spacing w:after="0" w:line="116"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Any Director may act at any meeting of the Board of Directors by appointing in writing another Director as his or her proxy.</w:t>
      </w:r>
    </w:p>
    <w:p>
      <w:pPr>
        <w:spacing w:after="0" w:line="1" w:lineRule="exact"/>
        <w:rPr>
          <w:sz w:val="20"/>
          <w:szCs w:val="20"/>
          <w:color w:val="auto"/>
        </w:rPr>
      </w:pPr>
    </w:p>
    <w:p>
      <w:pPr>
        <w:jc w:val="both"/>
        <w:ind w:firstLine="501"/>
        <w:spacing w:after="0" w:line="365" w:lineRule="auto"/>
        <w:rPr>
          <w:sz w:val="20"/>
          <w:szCs w:val="20"/>
          <w:color w:val="auto"/>
        </w:rPr>
      </w:pPr>
      <w:r>
        <w:rPr>
          <w:rFonts w:ascii="Times New Roman" w:cs="Times New Roman" w:eastAsia="Times New Roman" w:hAnsi="Times New Roman"/>
          <w:sz w:val="21"/>
          <w:szCs w:val="21"/>
          <w:i w:val="1"/>
          <w:iCs w:val="1"/>
          <w:color w:val="auto"/>
        </w:rPr>
        <w:t>A quorum of the Board of Directors or any of its Committees (as defined in Article 16) shall mean the presence or the representation of at least fifty percent (50%) of the Directors or Committee members, as applicable, holding office (provided that the presence or the representation of at least two (2) members of the Board of Directors or Committee, as applicable, shall be required).</w:t>
      </w:r>
    </w:p>
    <w:p>
      <w:pPr>
        <w:spacing w:after="0" w:line="2" w:lineRule="exact"/>
        <w:rPr>
          <w:sz w:val="20"/>
          <w:szCs w:val="20"/>
          <w:color w:val="auto"/>
        </w:rPr>
      </w:pPr>
    </w:p>
    <w:p>
      <w:pPr>
        <w:jc w:val="both"/>
        <w:ind w:right="20"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Decisions will be taken by a majority of the votes of the Directors present or represented at such meeting. In case of a voting tie, the Chair, or when applicable, the pro tempore chair, shall cast the deciding vote.</w:t>
      </w:r>
    </w:p>
    <w:p>
      <w:pPr>
        <w:spacing w:after="0" w:line="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One or more Directors may participate in a meeting by means of a conference call, by videoconference or by any similar means of communication enabling several persons participating therein to simultaneously communicate with each other. Such meetings shall be considered equivalent to a meeting held at the registered office of the Company.</w:t>
      </w:r>
    </w:p>
    <w:p>
      <w:pPr>
        <w:spacing w:after="0" w:line="1"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 written decision, signed by all the Directors, is proper and valid as if it had been adopted at a meeting of the Board of Directors which was duly convened and held. Such a decision can be documented in a single document, signed by all Directors, or in separate identical documents, each signed by a Director.</w:t>
      </w:r>
    </w:p>
    <w:p>
      <w:pPr>
        <w:spacing w:after="0" w:line="2" w:lineRule="exact"/>
        <w:rPr>
          <w:sz w:val="20"/>
          <w:szCs w:val="20"/>
          <w:color w:val="auto"/>
        </w:rPr>
      </w:pPr>
    </w:p>
    <w:p>
      <w:pPr>
        <w:jc w:val="both"/>
        <w:ind w:firstLine="501"/>
        <w:spacing w:after="0" w:line="367" w:lineRule="auto"/>
        <w:rPr>
          <w:sz w:val="20"/>
          <w:szCs w:val="20"/>
          <w:color w:val="auto"/>
        </w:rPr>
      </w:pPr>
      <w:r>
        <w:rPr>
          <w:rFonts w:ascii="Times New Roman" w:cs="Times New Roman" w:eastAsia="Times New Roman" w:hAnsi="Times New Roman"/>
          <w:sz w:val="21"/>
          <w:szCs w:val="21"/>
          <w:i w:val="1"/>
          <w:iCs w:val="1"/>
          <w:color w:val="auto"/>
        </w:rPr>
        <w:t>The Directors assume, pursuant to their mandate, no personal liability for any commitment validly made by them in the name of the Company.</w:t>
      </w:r>
    </w:p>
    <w:p>
      <w:pPr>
        <w:spacing w:after="0" w:line="1" w:lineRule="exact"/>
        <w:rPr>
          <w:sz w:val="20"/>
          <w:szCs w:val="20"/>
          <w:color w:val="auto"/>
        </w:rPr>
      </w:pPr>
    </w:p>
    <w:p>
      <w:pPr>
        <w:jc w:val="both"/>
        <w:ind w:right="20" w:firstLine="501"/>
        <w:spacing w:after="0" w:line="394"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13. Minutes of Meetings of the Board of Directors. </w:t>
      </w:r>
      <w:r>
        <w:rPr>
          <w:rFonts w:ascii="Times New Roman" w:cs="Times New Roman" w:eastAsia="Times New Roman" w:hAnsi="Times New Roman"/>
          <w:sz w:val="21"/>
          <w:szCs w:val="21"/>
          <w:i w:val="1"/>
          <w:iCs w:val="1"/>
          <w:color w:val="auto"/>
        </w:rPr>
        <w:t>The minutes of any meeting of the Board of Directors shall be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signed by the Chair or the Secretary.</w:t>
      </w:r>
    </w:p>
    <w:p>
      <w:pPr>
        <w:sectPr>
          <w:pgSz w:w="11900" w:h="16838" w:orient="portrait"/>
          <w:cols w:equalWidth="0" w:num="1">
            <w:col w:w="10740"/>
          </w:cols>
          <w:pgMar w:left="820"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Copies or extracts thereof shall be certified by the Secretary appointed by the Board of Directors.</w:t>
      </w:r>
    </w:p>
    <w:p>
      <w:pPr>
        <w:spacing w:after="0" w:line="128" w:lineRule="exact"/>
        <w:rPr>
          <w:sz w:val="20"/>
          <w:szCs w:val="20"/>
          <w:color w:val="auto"/>
        </w:rPr>
      </w:pPr>
    </w:p>
    <w:p>
      <w:pPr>
        <w:jc w:val="both"/>
        <w:ind w:firstLine="501"/>
        <w:spacing w:after="0" w:line="365"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14. General Powers of the Board of Directors. </w:t>
      </w:r>
      <w:r>
        <w:rPr>
          <w:rFonts w:ascii="Times New Roman" w:cs="Times New Roman" w:eastAsia="Times New Roman" w:hAnsi="Times New Roman"/>
          <w:sz w:val="21"/>
          <w:szCs w:val="21"/>
          <w:i w:val="1"/>
          <w:iCs w:val="1"/>
          <w:color w:val="auto"/>
        </w:rPr>
        <w:t>The Board of Directors is vested with the broadest powers to act 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behalf of the Company and to perform or authorize all acts of an admninistrative or disposal nature that are necessary or useful for accomplishing the Company's object. All powers not expressly reserved by the Law or by these Articles to the general meeting of shareholders fall within the competence of the Board of Directors.</w:t>
      </w:r>
    </w:p>
    <w:p>
      <w:pPr>
        <w:spacing w:after="0" w:line="4" w:lineRule="exact"/>
        <w:rPr>
          <w:sz w:val="20"/>
          <w:szCs w:val="20"/>
          <w:color w:val="auto"/>
        </w:rPr>
      </w:pPr>
    </w:p>
    <w:p>
      <w:pPr>
        <w:jc w:val="both"/>
        <w:ind w:firstLine="501"/>
        <w:spacing w:after="0" w:line="363" w:lineRule="auto"/>
        <w:rPr>
          <w:sz w:val="20"/>
          <w:szCs w:val="20"/>
          <w:color w:val="auto"/>
        </w:rPr>
      </w:pPr>
      <w:r>
        <w:rPr>
          <w:rFonts w:ascii="Times New Roman" w:cs="Times New Roman" w:eastAsia="Times New Roman" w:hAnsi="Times New Roman"/>
          <w:sz w:val="21"/>
          <w:szCs w:val="21"/>
          <w:i w:val="1"/>
          <w:iCs w:val="1"/>
          <w:color w:val="auto"/>
        </w:rPr>
        <w:t>The Board of Directors may freely decide to reimburse any share premium account or any available reserves or funds available on the capital contribution account (compte 115 "Apport en capitaux propres non rémunéré par des titres") of the Company to its shareholders, in accordance with the provisions of the Law.</w:t>
      </w:r>
    </w:p>
    <w:p>
      <w:pPr>
        <w:spacing w:after="0" w:line="2"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15. Confidentiality. </w:t>
      </w:r>
      <w:r>
        <w:rPr>
          <w:rFonts w:ascii="Times New Roman" w:cs="Times New Roman" w:eastAsia="Times New Roman" w:hAnsi="Times New Roman"/>
          <w:sz w:val="21"/>
          <w:szCs w:val="21"/>
          <w:i w:val="1"/>
          <w:iCs w:val="1"/>
          <w:color w:val="auto"/>
        </w:rPr>
        <w:t>Even after the end of their term of office, the Director(s) shall not disclose information about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the Company which could be detrimental to the Company's interests, except when disclosure is required by law, in accordance with and subject to the provisions of Article 444-6 of the Law.</w:t>
      </w:r>
    </w:p>
    <w:p>
      <w:pPr>
        <w:spacing w:after="0" w:line="2" w:lineRule="exact"/>
        <w:rPr>
          <w:sz w:val="20"/>
          <w:szCs w:val="20"/>
          <w:color w:val="auto"/>
        </w:rPr>
      </w:pPr>
    </w:p>
    <w:p>
      <w:pPr>
        <w:jc w:val="both"/>
        <w:ind w:firstLine="501"/>
        <w:spacing w:after="0" w:line="365"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16. Committees, Delegation of Powers. </w:t>
      </w:r>
      <w:r>
        <w:rPr>
          <w:rFonts w:ascii="Times New Roman" w:cs="Times New Roman" w:eastAsia="Times New Roman" w:hAnsi="Times New Roman"/>
          <w:sz w:val="21"/>
          <w:szCs w:val="21"/>
          <w:i w:val="1"/>
          <w:iCs w:val="1"/>
          <w:color w:val="auto"/>
        </w:rPr>
        <w:t>The Board of Directors may appoint committees, including but not limited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to an Executive Committee, an Audit Committee, a Nomination and Governance Committee, a Compliance Committee and a Compensation Committee (each a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i w:val="1"/>
          <w:iCs w:val="1"/>
          <w:color w:val="auto"/>
        </w:rPr>
        <w:t>" and collectively, the "</w:t>
      </w:r>
      <w:r>
        <w:rPr>
          <w:rFonts w:ascii="Times New Roman" w:cs="Times New Roman" w:eastAsia="Times New Roman" w:hAnsi="Times New Roman"/>
          <w:sz w:val="21"/>
          <w:szCs w:val="21"/>
          <w:b w:val="1"/>
          <w:bCs w:val="1"/>
          <w:i w:val="1"/>
          <w:iCs w:val="1"/>
          <w:color w:val="auto"/>
        </w:rPr>
        <w:t>Committees</w:t>
      </w:r>
      <w:r>
        <w:rPr>
          <w:rFonts w:ascii="Times New Roman" w:cs="Times New Roman" w:eastAsia="Times New Roman" w:hAnsi="Times New Roman"/>
          <w:sz w:val="21"/>
          <w:szCs w:val="21"/>
          <w:i w:val="1"/>
          <w:iCs w:val="1"/>
          <w:color w:val="auto"/>
        </w:rPr>
        <w:t>"). The Board of Directors will determine each such committee’s composition and purpose in accordance with applicable law, rules and regulations.</w:t>
      </w:r>
    </w:p>
    <w:p>
      <w:pPr>
        <w:spacing w:after="0" w:line="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The Board of Directors may delegate its powers to conduct the daily management and affairs of the Company and the representation of the Company for such daily management and affairs to any member or members of the Board of Directors, managers or other officers who need not be shareholders of the Company, including under the form of an Executive</w:t>
      </w:r>
    </w:p>
    <w:p>
      <w:pPr>
        <w:sectPr>
          <w:pgSz w:w="11900" w:h="16838" w:orient="portrait"/>
          <w:cols w:equalWidth="0" w:num="1">
            <w:col w:w="10740"/>
          </w:cols>
          <w:pgMar w:left="820" w:top="1440"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Committee, under such terms and with such powers as the Board of Directors shall determine.</w:t>
      </w:r>
    </w:p>
    <w:p>
      <w:pPr>
        <w:spacing w:after="0" w:line="130"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 xml:space="preserve">The Board of Directors may also delegate its powers to conduct daily management to a management committee or a managing executive officer (directeur </w:t>
      </w:r>
      <w:r>
        <w:rPr>
          <w:rFonts w:ascii="Times New Roman" w:cs="Times New Roman" w:eastAsia="Times New Roman" w:hAnsi="Times New Roman"/>
          <w:sz w:val="21"/>
          <w:szCs w:val="21"/>
          <w:i w:val="1"/>
          <w:iCs w:val="1"/>
          <w:color w:val="222222"/>
        </w:rPr>
        <w:t>général</w:t>
      </w:r>
      <w:r>
        <w:rPr>
          <w:rFonts w:ascii="Times New Roman" w:cs="Times New Roman" w:eastAsia="Times New Roman" w:hAnsi="Times New Roman"/>
          <w:sz w:val="21"/>
          <w:szCs w:val="21"/>
          <w:i w:val="1"/>
          <w:iCs w:val="1"/>
          <w:color w:val="auto"/>
        </w:rPr>
        <w:t>) in accordance with and subject to the provisions of Article 441-11 of the Law. The Board of Directors is authorized to determine the conditions of their appointment, removal, remuneration (if any), duration of mandate and decision-making process. The Board of Directors shall supervise the management committee, if any, and the management director, if any. The members of the management committee and the management director, if any, shall comply with the conflicts of interest procedure provided for by Article 441-12 of the Law as well as with the confidentiality obligations provided for by Article 444-6 of the Law.</w:t>
      </w:r>
    </w:p>
    <w:p>
      <w:pPr>
        <w:spacing w:after="0" w:line="7"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The Board of Directors may also confer certain special powers and duties to any member(s) of the Board of Directors or any other person(s), who need not be a Director or shareholder of the Company, acting alone or jointly, under such terms as the Board shall determine.</w:t>
      </w:r>
    </w:p>
    <w:p>
      <w:pPr>
        <w:spacing w:after="0" w:line="2" w:lineRule="exact"/>
        <w:rPr>
          <w:sz w:val="20"/>
          <w:szCs w:val="20"/>
          <w:color w:val="auto"/>
        </w:rPr>
      </w:pPr>
    </w:p>
    <w:p>
      <w:pPr>
        <w:jc w:val="both"/>
        <w:ind w:firstLine="501"/>
        <w:spacing w:after="0" w:line="363" w:lineRule="auto"/>
        <w:rPr>
          <w:sz w:val="20"/>
          <w:szCs w:val="20"/>
          <w:color w:val="auto"/>
        </w:rPr>
      </w:pPr>
      <w:r>
        <w:rPr>
          <w:rFonts w:ascii="Times New Roman" w:cs="Times New Roman" w:eastAsia="Times New Roman" w:hAnsi="Times New Roman"/>
          <w:sz w:val="21"/>
          <w:szCs w:val="21"/>
          <w:i w:val="1"/>
          <w:iCs w:val="1"/>
          <w:color w:val="auto"/>
        </w:rPr>
        <w:t>If the Board of Directors delegates its powers to conduct daily management as permitted by these Articles, then the Board of Directors must report each year to the annual general meeting on the salary, fees and any advantages granted to the delegate(s).</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Art. 17. Representation of the Company. </w:t>
      </w:r>
      <w:r>
        <w:rPr>
          <w:rFonts w:ascii="Times New Roman" w:cs="Times New Roman" w:eastAsia="Times New Roman" w:hAnsi="Times New Roman"/>
          <w:sz w:val="21"/>
          <w:szCs w:val="21"/>
          <w:i w:val="1"/>
          <w:iCs w:val="1"/>
          <w:color w:val="auto"/>
        </w:rPr>
        <w:t>The Company will be bound towards third parties by:</w:t>
      </w:r>
    </w:p>
    <w:p>
      <w:pPr>
        <w:spacing w:after="0" w:line="132" w:lineRule="exact"/>
        <w:rPr>
          <w:sz w:val="20"/>
          <w:szCs w:val="20"/>
          <w:color w:val="auto"/>
        </w:rPr>
      </w:pPr>
    </w:p>
    <w:p>
      <w:pPr>
        <w:ind w:left="760" w:hanging="252"/>
        <w:spacing w:after="0"/>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joint signature of any two Directors;</w:t>
      </w:r>
    </w:p>
    <w:p>
      <w:pPr>
        <w:spacing w:after="0" w:line="129" w:lineRule="exact"/>
        <w:rPr>
          <w:rFonts w:ascii="Times New Roman" w:cs="Times New Roman" w:eastAsia="Times New Roman" w:hAnsi="Times New Roman"/>
          <w:sz w:val="21"/>
          <w:szCs w:val="21"/>
          <w:color w:val="auto"/>
        </w:rPr>
      </w:pPr>
    </w:p>
    <w:p>
      <w:pPr>
        <w:ind w:firstLine="508"/>
        <w:spacing w:after="0" w:line="368" w:lineRule="auto"/>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individual signature of the member(s) of a management committee, if such committee has been formed by the Board of Directors; and</w:t>
      </w:r>
    </w:p>
    <w:p>
      <w:pPr>
        <w:spacing w:after="0" w:line="1" w:lineRule="exact"/>
        <w:rPr>
          <w:rFonts w:ascii="Times New Roman" w:cs="Times New Roman" w:eastAsia="Times New Roman" w:hAnsi="Times New Roman"/>
          <w:sz w:val="21"/>
          <w:szCs w:val="21"/>
          <w:color w:val="auto"/>
        </w:rPr>
      </w:pPr>
    </w:p>
    <w:p>
      <w:pPr>
        <w:ind w:left="760" w:hanging="252"/>
        <w:spacing w:after="0"/>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signature of a management director, if one has been appointed by the Board of Directors;</w:t>
      </w:r>
    </w:p>
    <w:p>
      <w:pPr>
        <w:spacing w:after="0" w:line="116" w:lineRule="exact"/>
        <w:rPr>
          <w:rFonts w:ascii="Times New Roman" w:cs="Times New Roman" w:eastAsia="Times New Roman" w:hAnsi="Times New Roman"/>
          <w:sz w:val="21"/>
          <w:szCs w:val="21"/>
          <w:color w:val="auto"/>
        </w:rPr>
      </w:pPr>
    </w:p>
    <w:p>
      <w:pPr>
        <w:ind w:firstLine="508"/>
        <w:spacing w:after="0" w:line="405" w:lineRule="auto"/>
        <w:tabs>
          <w:tab w:leader="none" w:pos="7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individual signature of any other person to whom the Board has delegated the daily management of the Company in accordance with this Article, and then only within the scope of the daily management;</w:t>
      </w:r>
    </w:p>
    <w:p>
      <w:pPr>
        <w:sectPr>
          <w:pgSz w:w="11900" w:h="16838" w:orient="portrait"/>
          <w:cols w:equalWidth="0" w:num="1">
            <w:col w:w="10740"/>
          </w:cols>
          <w:pgMar w:left="8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0" w:firstLine="8"/>
        <w:spacing w:after="0" w:line="362" w:lineRule="auto"/>
        <w:tabs>
          <w:tab w:leader="none" w:pos="76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The individual signature of any person(s) to whom signing authority has been delegated by the Board of Directors. </w:t>
      </w:r>
      <w:r>
        <w:rPr>
          <w:rFonts w:ascii="Times New Roman" w:cs="Times New Roman" w:eastAsia="Times New Roman" w:hAnsi="Times New Roman"/>
          <w:sz w:val="21"/>
          <w:szCs w:val="21"/>
          <w:b w:val="1"/>
          <w:bCs w:val="1"/>
          <w:i w:val="1"/>
          <w:iCs w:val="1"/>
          <w:color w:val="auto"/>
        </w:rPr>
        <w:t xml:space="preserve">Art. 18. Conflict of Interests. </w:t>
      </w:r>
      <w:r>
        <w:rPr>
          <w:rFonts w:ascii="Times New Roman" w:cs="Times New Roman" w:eastAsia="Times New Roman" w:hAnsi="Times New Roman"/>
          <w:sz w:val="21"/>
          <w:szCs w:val="21"/>
          <w:i w:val="1"/>
          <w:iCs w:val="1"/>
          <w:color w:val="auto"/>
        </w:rPr>
        <w:t>No contract or other transaction between the Company and any other company or firm</w:t>
      </w:r>
    </w:p>
    <w:p>
      <w:pPr>
        <w:jc w:val="both"/>
        <w:spacing w:after="0" w:line="366" w:lineRule="auto"/>
        <w:rPr>
          <w:sz w:val="20"/>
          <w:szCs w:val="20"/>
          <w:color w:val="auto"/>
        </w:rPr>
      </w:pPr>
      <w:r>
        <w:rPr>
          <w:rFonts w:ascii="Times New Roman" w:cs="Times New Roman" w:eastAsia="Times New Roman" w:hAnsi="Times New Roman"/>
          <w:sz w:val="21"/>
          <w:szCs w:val="21"/>
          <w:i w:val="1"/>
          <w:iCs w:val="1"/>
          <w:color w:val="auto"/>
        </w:rPr>
        <w:t>shall be affected or invalidated by the fact that any one or more of the Directors or officers of the Company have a personal interest in, or are a director, associate, member, officer or employee of such other company or firm. Except as otherwise provided for hereafter, any Director or officer of the Company who serves as a director, associate, member, officer or employee of any company or firm with which the Company shall contract or otherwise engage in business shall not, by reason of such affiliation with such other company or firm, be automatically prevented from considering and voting or acting upon any matters with respect to such contract or other business.</w:t>
      </w:r>
    </w:p>
    <w:p>
      <w:pPr>
        <w:spacing w:after="0" w:line="3"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Notwithstanding the above, in the event that any Director or officer of the Company has any personal interest in any transaction of the Company, other than transactions concluded under normal conditions and falling within the scope of the day-to-day management of the Company, he or she shall make known to the Board of Directors (if any) such personal interest and shall not consider or vote on any such transaction, and such transaction and such Director's or officer's interest therein shall be reported to the next general meeting of shareholders.</w:t>
      </w:r>
    </w:p>
    <w:p>
      <w:pPr>
        <w:jc w:val="both"/>
        <w:ind w:firstLine="501"/>
        <w:spacing w:after="0" w:line="372" w:lineRule="auto"/>
        <w:rPr>
          <w:sz w:val="20"/>
          <w:szCs w:val="20"/>
          <w:color w:val="auto"/>
        </w:rPr>
      </w:pPr>
      <w:r>
        <w:rPr>
          <w:rFonts w:ascii="Times New Roman" w:cs="Times New Roman" w:eastAsia="Times New Roman" w:hAnsi="Times New Roman"/>
          <w:sz w:val="21"/>
          <w:szCs w:val="21"/>
          <w:i w:val="1"/>
          <w:iCs w:val="1"/>
          <w:color w:val="auto"/>
        </w:rPr>
        <w:t>The Company shall indemnify (or as the case may be advance to) any Director or officer, and his or her heirs, executors and administrators, against expenses and costs (including reasonable lawyers' fees) reasonably incurred by him in connection with any action, suit or proceeding to which he or she may be made a party by reason of his or her being or having been a director or officer of the Company, or, at the request of the Company, of any other company of which the Company is a shareholder or creditor and by which he is not entitled to be indemnified, except in relation to matters as to which he or she shall be finally adjudged in such action, suit or proceeding to be liable for gross negligence or wilful misconduct; in the event of a</w:t>
      </w:r>
    </w:p>
    <w:p>
      <w:pPr>
        <w:sectPr>
          <w:pgSz w:w="11900" w:h="16838" w:orient="portrait"/>
          <w:cols w:equalWidth="0" w:num="1">
            <w:col w:w="10740"/>
          </w:cols>
          <w:pgMar w:left="820" w:top="144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1"/>
          <w:szCs w:val="21"/>
          <w:i w:val="1"/>
          <w:iCs w:val="1"/>
          <w:color w:val="auto"/>
        </w:rPr>
        <w:t>settlement, indemnification shall be provided only in connection with such matters covered by the settlement as to which the Company is advised by its legal counsel that the person to be indemnified did not commit such a breach of duty. The foregoing right of indemnification shall not exclude other rights to which he or she may be entitled.</w:t>
      </w:r>
    </w:p>
    <w:p>
      <w:pPr>
        <w:spacing w:after="0" w:line="2"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19. Auditors. </w:t>
      </w:r>
      <w:r>
        <w:rPr>
          <w:rFonts w:ascii="Times New Roman" w:cs="Times New Roman" w:eastAsia="Times New Roman" w:hAnsi="Times New Roman"/>
          <w:sz w:val="21"/>
          <w:szCs w:val="21"/>
          <w:i w:val="1"/>
          <w:iCs w:val="1"/>
          <w:color w:val="auto"/>
        </w:rPr>
        <w:t>The Company’s operations will be overseen by one or more supervisory auditors (commissaire(s) aux</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comptes) and, to the extent required by applicable law, rules and regulations, by one or more independent statutory auditors (réviseur(s) d'entreprises).</w:t>
      </w:r>
    </w:p>
    <w:p>
      <w:pPr>
        <w:spacing w:after="0" w:line="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The auditors will be elected by the general meeting of shareholders by a simple majority of votes present or represented at the meeting, which will determine their number, for a period not exceeding six years. They will hold office until their successors are elected. They shall be eligible for re-election, but they may be removed at any time, with or without cause, by a resolution adopted by a simple majority of votes present or represented at the meeting.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Chapter IV. Meetings of Shareholders</w:t>
      </w:r>
    </w:p>
    <w:p>
      <w:pPr>
        <w:spacing w:after="0" w:line="130"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20. Annual General Meeting. </w:t>
      </w:r>
      <w:r>
        <w:rPr>
          <w:rFonts w:ascii="Times New Roman" w:cs="Times New Roman" w:eastAsia="Times New Roman" w:hAnsi="Times New Roman"/>
          <w:sz w:val="21"/>
          <w:szCs w:val="21"/>
          <w:i w:val="1"/>
          <w:iCs w:val="1"/>
          <w:color w:val="auto"/>
        </w:rPr>
        <w:t>The annual general meeting will be held in accordance with provisions of Article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450-8 of the Law at the registered office of the Company or at such other place as may be specified in the convening notice and at such time as specified in the convening notice of the meeting.</w:t>
      </w:r>
    </w:p>
    <w:p>
      <w:pPr>
        <w:spacing w:after="0" w:line="3" w:lineRule="exact"/>
        <w:rPr>
          <w:sz w:val="20"/>
          <w:szCs w:val="20"/>
          <w:color w:val="auto"/>
        </w:rPr>
      </w:pPr>
    </w:p>
    <w:p>
      <w:pPr>
        <w:jc w:val="both"/>
        <w:ind w:firstLine="501"/>
        <w:spacing w:after="0" w:line="372" w:lineRule="auto"/>
        <w:rPr>
          <w:sz w:val="20"/>
          <w:szCs w:val="20"/>
          <w:color w:val="auto"/>
        </w:rPr>
      </w:pPr>
      <w:r>
        <w:rPr>
          <w:rFonts w:ascii="Times New Roman" w:cs="Times New Roman" w:eastAsia="Times New Roman" w:hAnsi="Times New Roman"/>
          <w:sz w:val="21"/>
          <w:szCs w:val="21"/>
          <w:i w:val="1"/>
          <w:iCs w:val="1"/>
          <w:color w:val="auto"/>
        </w:rPr>
        <w:t>If such day is a public holiday, the meeting will be held on the next following business day. Such meetings shall be validly held if at least 33 1/3% of the issued share capital of the Company is present or represented.</w:t>
      </w:r>
      <w:r>
        <w:rPr>
          <w:rFonts w:ascii="Times New Roman" w:cs="Times New Roman" w:eastAsia="Times New Roman" w:hAnsi="Times New Roman"/>
          <w:sz w:val="21"/>
          <w:szCs w:val="21"/>
          <w:b w:val="1"/>
          <w:bCs w:val="1"/>
          <w:i w:val="1"/>
          <w:iCs w:val="1"/>
          <w:color w:val="auto"/>
        </w:rPr>
        <w:t>Art. 21. Other General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 xml:space="preserve">Meetings of Shareholders. </w:t>
      </w:r>
      <w:r>
        <w:rPr>
          <w:rFonts w:ascii="Times New Roman" w:cs="Times New Roman" w:eastAsia="Times New Roman" w:hAnsi="Times New Roman"/>
          <w:sz w:val="21"/>
          <w:szCs w:val="21"/>
          <w:i w:val="1"/>
          <w:iCs w:val="1"/>
          <w:color w:val="auto"/>
        </w:rPr>
        <w:t>The Board of Directors may convene other general meetings. Such meetings must be convened if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shareholders representing at least ten percent (10%) of the Company's share capital so require in writing with an indication of the agenda of the upcoming meeting. If the general meeting is not held within one month of the scheduled date, it may be convened by an agent designated by the presiding judge of the Tribunal d'Arrondissement dealing with commercial matters and hearing</w:t>
      </w:r>
    </w:p>
    <w:p>
      <w:pPr>
        <w:sectPr>
          <w:pgSz w:w="11900" w:h="16838" w:orient="portrait"/>
          <w:cols w:equalWidth="0" w:num="1">
            <w:col w:w="10740"/>
          </w:cols>
          <w:pgMar w:left="82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1"/>
          <w:szCs w:val="21"/>
          <w:i w:val="1"/>
          <w:iCs w:val="1"/>
          <w:color w:val="auto"/>
        </w:rPr>
        <w:t>interim relief matters, upon the request of one or more shareholders representing the ten percent (10%) threshold. General meetings of shareholders, including the annual general meeting, may be held abroad if, in the discretion of the Board of Directors, circumstances of force majeure so require.</w:t>
      </w:r>
    </w:p>
    <w:p>
      <w:pPr>
        <w:spacing w:after="0" w:line="2"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22. Powers of the Meeting of Shareholders. </w:t>
      </w:r>
      <w:r>
        <w:rPr>
          <w:rFonts w:ascii="Times New Roman" w:cs="Times New Roman" w:eastAsia="Times New Roman" w:hAnsi="Times New Roman"/>
          <w:sz w:val="21"/>
          <w:szCs w:val="21"/>
          <w:i w:val="1"/>
          <w:iCs w:val="1"/>
          <w:color w:val="auto"/>
        </w:rPr>
        <w:t>Any regularly constituted general meeting of shareholders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Company represents the entire body of shareholders.</w:t>
      </w:r>
    </w:p>
    <w:p>
      <w:pPr>
        <w:spacing w:after="0" w:line="1" w:lineRule="exact"/>
        <w:rPr>
          <w:sz w:val="20"/>
          <w:szCs w:val="20"/>
          <w:color w:val="auto"/>
        </w:rPr>
      </w:pPr>
    </w:p>
    <w:p>
      <w:pPr>
        <w:jc w:val="both"/>
        <w:ind w:firstLine="501"/>
        <w:spacing w:after="0" w:line="362" w:lineRule="auto"/>
        <w:rPr>
          <w:sz w:val="20"/>
          <w:szCs w:val="20"/>
          <w:color w:val="auto"/>
        </w:rPr>
      </w:pPr>
      <w:r>
        <w:rPr>
          <w:rFonts w:ascii="Times New Roman" w:cs="Times New Roman" w:eastAsia="Times New Roman" w:hAnsi="Times New Roman"/>
          <w:sz w:val="21"/>
          <w:szCs w:val="21"/>
          <w:i w:val="1"/>
          <w:iCs w:val="1"/>
          <w:color w:val="auto"/>
        </w:rPr>
        <w:t>Subject to all the other powers reserved to the Board of Directors or by the Law or the Articles, the general meeting of shareholders has the broadest powers to adopt, carry out or ratify any act relating to the operations of the Company.</w:t>
      </w:r>
    </w:p>
    <w:p>
      <w:pPr>
        <w:ind w:left="500"/>
        <w:spacing w:after="0"/>
        <w:rPr>
          <w:sz w:val="20"/>
          <w:szCs w:val="20"/>
          <w:color w:val="auto"/>
        </w:rPr>
      </w:pPr>
      <w:r>
        <w:rPr>
          <w:rFonts w:ascii="Times New Roman" w:cs="Times New Roman" w:eastAsia="Times New Roman" w:hAnsi="Times New Roman"/>
          <w:sz w:val="21"/>
          <w:szCs w:val="21"/>
          <w:i w:val="1"/>
          <w:iCs w:val="1"/>
          <w:color w:val="auto"/>
        </w:rPr>
        <w:t>The shareholders shall neither participate in nor interfere with the management of the Company.</w:t>
      </w:r>
    </w:p>
    <w:p>
      <w:pPr>
        <w:spacing w:after="0" w:line="130"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In accordance with the provisions of Article 450-1 (8), paragraph 1 of the Law, the Board of Directors shall be authorized to suspend the voting rights of the shareholders who fail to comply with their obligations under these Articles or the provisions of any agreement which may be entered into among the shareholders from time to time.</w:t>
      </w:r>
    </w:p>
    <w:p>
      <w:pPr>
        <w:jc w:val="both"/>
        <w:ind w:firstLine="501"/>
        <w:spacing w:after="0" w:line="363"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23. Procedure, Vote. </w:t>
      </w:r>
      <w:r>
        <w:rPr>
          <w:rFonts w:ascii="Times New Roman" w:cs="Times New Roman" w:eastAsia="Times New Roman" w:hAnsi="Times New Roman"/>
          <w:sz w:val="21"/>
          <w:szCs w:val="21"/>
          <w:i w:val="1"/>
          <w:iCs w:val="1"/>
          <w:color w:val="auto"/>
        </w:rPr>
        <w:t>The general meeting of shareholders will meet upon call by the Board of Directors or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auditor(s) made in compliance with Luxembourg law and the present Articles.</w:t>
      </w:r>
    </w:p>
    <w:p>
      <w:pPr>
        <w:ind w:right="20"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The record date for general meetings shall be set by the Board of Directors before the date of the general meeting (the "</w:t>
      </w:r>
      <w:r>
        <w:rPr>
          <w:rFonts w:ascii="Times New Roman" w:cs="Times New Roman" w:eastAsia="Times New Roman" w:hAnsi="Times New Roman"/>
          <w:sz w:val="21"/>
          <w:szCs w:val="21"/>
          <w:b w:val="1"/>
          <w:bCs w:val="1"/>
          <w:i w:val="1"/>
          <w:iCs w:val="1"/>
          <w:color w:val="auto"/>
        </w:rPr>
        <w:t>Record Date</w:t>
      </w:r>
      <w:r>
        <w:rPr>
          <w:rFonts w:ascii="Times New Roman" w:cs="Times New Roman" w:eastAsia="Times New Roman" w:hAnsi="Times New Roman"/>
          <w:sz w:val="21"/>
          <w:szCs w:val="21"/>
          <w:i w:val="1"/>
          <w:iCs w:val="1"/>
          <w:color w:val="auto"/>
        </w:rPr>
        <w:t>").</w:t>
      </w:r>
    </w:p>
    <w:p>
      <w:pPr>
        <w:spacing w:after="0" w:line="1"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Shareholders shall notify the Company of their intention to participate in the general meeting in writing by post or electronic means at the postal or electronic address indicated in the convening notice, no later than the day determined by the Board of Directors, which may not be earlier than the Record Date, indicated in the convening notice.</w:t>
      </w:r>
    </w:p>
    <w:p>
      <w:pPr>
        <w:spacing w:after="0" w:line="2" w:lineRule="exact"/>
        <w:rPr>
          <w:sz w:val="20"/>
          <w:szCs w:val="20"/>
          <w:color w:val="auto"/>
        </w:rPr>
      </w:pPr>
    </w:p>
    <w:p>
      <w:pPr>
        <w:jc w:val="both"/>
        <w:ind w:firstLine="501"/>
        <w:spacing w:after="0" w:line="392" w:lineRule="auto"/>
        <w:rPr>
          <w:sz w:val="20"/>
          <w:szCs w:val="20"/>
          <w:color w:val="auto"/>
        </w:rPr>
      </w:pPr>
      <w:r>
        <w:rPr>
          <w:rFonts w:ascii="Times New Roman" w:cs="Times New Roman" w:eastAsia="Times New Roman" w:hAnsi="Times New Roman"/>
          <w:sz w:val="21"/>
          <w:szCs w:val="21"/>
          <w:i w:val="1"/>
          <w:iCs w:val="1"/>
          <w:color w:val="auto"/>
        </w:rPr>
        <w:t>The documents required to be submitted to the shareholders in connection with the general meeting shall be posted on the Company's</w:t>
      </w:r>
    </w:p>
    <w:p>
      <w:pPr>
        <w:sectPr>
          <w:pgSz w:w="11900" w:h="16838" w:orient="portrait"/>
          <w:cols w:equalWidth="0" w:num="1">
            <w:col w:w="10740"/>
          </w:cols>
          <w:pgMar w:left="820" w:top="1440"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corporate website or available for inspection at the Company’s registered offices, as may be required by applicable law.</w:t>
      </w:r>
    </w:p>
    <w:p>
      <w:pPr>
        <w:spacing w:after="0" w:line="130" w:lineRule="exact"/>
        <w:rPr>
          <w:sz w:val="20"/>
          <w:szCs w:val="20"/>
          <w:color w:val="auto"/>
        </w:rPr>
      </w:pPr>
    </w:p>
    <w:p>
      <w:pPr>
        <w:jc w:val="both"/>
        <w:ind w:firstLine="501"/>
        <w:spacing w:after="0" w:line="362" w:lineRule="auto"/>
        <w:rPr>
          <w:sz w:val="20"/>
          <w:szCs w:val="20"/>
          <w:color w:val="auto"/>
        </w:rPr>
      </w:pPr>
      <w:r>
        <w:rPr>
          <w:rFonts w:ascii="Times New Roman" w:cs="Times New Roman" w:eastAsia="Times New Roman" w:hAnsi="Times New Roman"/>
          <w:sz w:val="21"/>
          <w:szCs w:val="21"/>
          <w:i w:val="1"/>
          <w:iCs w:val="1"/>
          <w:color w:val="auto"/>
        </w:rPr>
        <w:t>The convening notice sent to the shareholders in accordance with the Law will specify the time and place of the meeting, as well as the agenda and the nature of the business to be transacted.</w:t>
      </w: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 shareholder may act at any meeting of shareholders by appointing in writing, whether in original or by electronic means (valid under Luxembourg law), as his or her proxy another person who need not be a shareholder and by notifying such appointment by post or by electronic means at the postal or electronic address indicated in the convening notice.</w:t>
      </w:r>
    </w:p>
    <w:p>
      <w:pPr>
        <w:spacing w:after="0" w:line="2" w:lineRule="exact"/>
        <w:rPr>
          <w:sz w:val="20"/>
          <w:szCs w:val="20"/>
          <w:color w:val="auto"/>
        </w:rPr>
      </w:pPr>
    </w:p>
    <w:p>
      <w:pPr>
        <w:jc w:val="both"/>
        <w:ind w:firstLine="501"/>
        <w:spacing w:after="0" w:line="427" w:lineRule="auto"/>
        <w:rPr>
          <w:sz w:val="20"/>
          <w:szCs w:val="20"/>
          <w:color w:val="auto"/>
        </w:rPr>
      </w:pPr>
      <w:r>
        <w:rPr>
          <w:rFonts w:ascii="Times New Roman" w:cs="Times New Roman" w:eastAsia="Times New Roman" w:hAnsi="Times New Roman"/>
          <w:sz w:val="21"/>
          <w:szCs w:val="21"/>
          <w:i w:val="1"/>
          <w:iCs w:val="1"/>
          <w:color w:val="auto"/>
        </w:rPr>
        <w:t>The Board of Directors may determine all other conditions that must be fulfilled in order to take part in a general meeting of shareholders. The Chair or another person appointed by the Board shall chair the general meeting of shareholders.</w:t>
      </w:r>
    </w:p>
    <w:p>
      <w:pPr>
        <w:spacing w:after="0" w:line="240"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Resolutions to amend these Articles or change the Company's nationality and resolutions whose adoption is subject, pursuant to these Articles or the Law, to the quorum and majority required to amend the Articles must be approved by at least two thirds (2/3) of the votes cast in accordance with the provisions of Article 450-3 of the Law at a meeting at which at least half (½) the issued and outstanding shares are present or represented. If this quorum is not met at the first meeting, a second meeting, with the same agenda, may be called, in accordance with the provisions of the Act, for which a quorum of 33 1/3% shall be required.</w:t>
      </w:r>
    </w:p>
    <w:p>
      <w:pPr>
        <w:spacing w:after="0" w:line="3" w:lineRule="exact"/>
        <w:rPr>
          <w:sz w:val="20"/>
          <w:szCs w:val="20"/>
          <w:color w:val="auto"/>
        </w:rPr>
      </w:pPr>
    </w:p>
    <w:p>
      <w:pPr>
        <w:jc w:val="both"/>
        <w:ind w:right="20"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All other decisions must be approved by the general meeting of shareholders by a simple majority of the votes cast, and a quorum of 33 1/3% shall be required.</w:t>
      </w:r>
    </w:p>
    <w:p>
      <w:pPr>
        <w:spacing w:after="0" w:line="1"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When organizing a general meeting, the Board of Directors may in its sole discretion allow the following forms of participation by electronic means: (i) real time transmission of the general meeting; (ii) real time two-way communication enabling shareholders to address the general meeting from a remote location; or (iii) a mechanism for casting votes, whether before</w:t>
      </w:r>
    </w:p>
    <w:p>
      <w:pPr>
        <w:sectPr>
          <w:pgSz w:w="11900" w:h="16838" w:orient="portrait"/>
          <w:cols w:equalWidth="0" w:num="1">
            <w:col w:w="10740"/>
          </w:cols>
          <w:pgMar w:left="820" w:top="1440" w:right="3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or during the general meeting, without the need to appoint a proxyholder physically present at the meeting.</w:t>
      </w:r>
    </w:p>
    <w:p>
      <w:pPr>
        <w:spacing w:after="0" w:line="130" w:lineRule="exact"/>
        <w:rPr>
          <w:sz w:val="20"/>
          <w:szCs w:val="20"/>
          <w:color w:val="auto"/>
        </w:rPr>
      </w:pPr>
    </w:p>
    <w:p>
      <w:pPr>
        <w:ind w:firstLine="501"/>
        <w:spacing w:after="0" w:line="362" w:lineRule="auto"/>
        <w:rPr>
          <w:sz w:val="20"/>
          <w:szCs w:val="20"/>
          <w:color w:val="auto"/>
        </w:rPr>
      </w:pPr>
      <w:r>
        <w:rPr>
          <w:rFonts w:ascii="Times New Roman" w:cs="Times New Roman" w:eastAsia="Times New Roman" w:hAnsi="Times New Roman"/>
          <w:sz w:val="21"/>
          <w:szCs w:val="21"/>
          <w:i w:val="1"/>
          <w:iCs w:val="1"/>
          <w:color w:val="auto"/>
        </w:rPr>
        <w:t>The Board of Directors may also determine that shareholders may vote from a remote location by correspondence, by completing a voting form provided by the Company which includes the following information:</w:t>
      </w:r>
    </w:p>
    <w:p>
      <w:pPr>
        <w:ind w:left="760" w:hanging="252"/>
        <w:spacing w:after="0"/>
        <w:tabs>
          <w:tab w:leader="none" w:pos="7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name, address and any other pertinent information concerning the shareholder.</w:t>
      </w:r>
    </w:p>
    <w:p>
      <w:pPr>
        <w:spacing w:after="0" w:line="129" w:lineRule="exact"/>
        <w:rPr>
          <w:rFonts w:ascii="Times New Roman" w:cs="Times New Roman" w:eastAsia="Times New Roman" w:hAnsi="Times New Roman"/>
          <w:sz w:val="21"/>
          <w:szCs w:val="21"/>
          <w:color w:val="auto"/>
        </w:rPr>
      </w:pPr>
    </w:p>
    <w:p>
      <w:pPr>
        <w:ind w:left="760" w:hanging="252"/>
        <w:spacing w:after="0"/>
        <w:tabs>
          <w:tab w:leader="none" w:pos="7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number of votes the shareholder wishes to cast, the direction of his or her votes, or his or her abstention.</w:t>
      </w:r>
    </w:p>
    <w:p>
      <w:pPr>
        <w:spacing w:after="0" w:line="129" w:lineRule="exact"/>
        <w:rPr>
          <w:rFonts w:ascii="Times New Roman" w:cs="Times New Roman" w:eastAsia="Times New Roman" w:hAnsi="Times New Roman"/>
          <w:sz w:val="21"/>
          <w:szCs w:val="21"/>
          <w:color w:val="auto"/>
        </w:rPr>
      </w:pPr>
    </w:p>
    <w:p>
      <w:pPr>
        <w:ind w:left="760" w:hanging="252"/>
        <w:spacing w:after="0"/>
        <w:tabs>
          <w:tab w:leader="none" w:pos="7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agenda of the meeting including the draft of resolutions.</w:t>
      </w:r>
    </w:p>
    <w:p>
      <w:pPr>
        <w:spacing w:after="0" w:line="129" w:lineRule="exact"/>
        <w:rPr>
          <w:rFonts w:ascii="Times New Roman" w:cs="Times New Roman" w:eastAsia="Times New Roman" w:hAnsi="Times New Roman"/>
          <w:sz w:val="21"/>
          <w:szCs w:val="21"/>
          <w:color w:val="auto"/>
        </w:rPr>
      </w:pPr>
    </w:p>
    <w:p>
      <w:pPr>
        <w:ind w:firstLine="508"/>
        <w:spacing w:after="0" w:line="362" w:lineRule="auto"/>
        <w:tabs>
          <w:tab w:leader="none" w:pos="7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option to vote by proxy for any new resolution or any modification of the resolutions properly submitted to the general meeting between the date the shareholder submits his or her form through the meeting date.</w:t>
      </w:r>
    </w:p>
    <w:p>
      <w:pPr>
        <w:ind w:left="760" w:hanging="252"/>
        <w:spacing w:after="0"/>
        <w:tabs>
          <w:tab w:leader="none" w:pos="7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signature of the shareholder.</w:t>
      </w:r>
    </w:p>
    <w:p>
      <w:pPr>
        <w:spacing w:after="0" w:line="130" w:lineRule="exact"/>
        <w:rPr>
          <w:sz w:val="20"/>
          <w:szCs w:val="20"/>
          <w:color w:val="auto"/>
        </w:rPr>
      </w:pPr>
    </w:p>
    <w:p>
      <w:pPr>
        <w:jc w:val="both"/>
        <w:ind w:firstLine="501"/>
        <w:spacing w:after="0" w:line="366" w:lineRule="auto"/>
        <w:rPr>
          <w:sz w:val="20"/>
          <w:szCs w:val="20"/>
          <w:color w:val="auto"/>
        </w:rPr>
      </w:pPr>
      <w:r>
        <w:rPr>
          <w:rFonts w:ascii="Times New Roman" w:cs="Times New Roman" w:eastAsia="Times New Roman" w:hAnsi="Times New Roman"/>
          <w:sz w:val="21"/>
          <w:szCs w:val="21"/>
          <w:i w:val="1"/>
          <w:iCs w:val="1"/>
          <w:color w:val="auto"/>
        </w:rPr>
        <w:t>A shareholder using a voting form and who is not directly recorded in the register of shareholders must annex to the voting form a confirmation of his or her shareholding as of the Record Date as provided in these Articles. Once submitted to the Company, voting forms can neither be retrieved nor cancelled, except that if a shareholder has included a proxy to vote in the circumstances contemplated in the fourth bullet point above, then the shareholder may cancel such proxy or give new voting instructions with regard to the relevant items by written notice as described in the convening notice, before the date specified in the voting form.</w:t>
      </w:r>
    </w:p>
    <w:p>
      <w:pPr>
        <w:spacing w:after="0" w:line="3"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Any shareholder who participates in a general meeting of the Company by the forgoing means shall be deemed to be present, shall be counted when determining a quorum and shall be entitled to vote on all agenda items of the general meeting.</w:t>
      </w:r>
    </w:p>
    <w:p>
      <w:pPr>
        <w:spacing w:after="0" w:line="1"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The Board of Directors may adopt any regulations and rules concerning the participation of shareholders at general meetings in accordance with the Law, including with respect to ensuring the identification</w:t>
      </w:r>
    </w:p>
    <w:p>
      <w:pPr>
        <w:sectPr>
          <w:pgSz w:w="11900" w:h="16838" w:orient="portrait"/>
          <w:cols w:equalWidth="0" w:num="1">
            <w:col w:w="10740"/>
          </w:cols>
          <w:pgMar w:left="820" w:top="1440" w:right="339"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of shareholders and proxyholders and the safety of electronic communications.</w:t>
      </w:r>
    </w:p>
    <w:p>
      <w:pPr>
        <w:spacing w:after="0" w:line="130" w:lineRule="exact"/>
        <w:rPr>
          <w:sz w:val="20"/>
          <w:szCs w:val="20"/>
          <w:color w:val="auto"/>
        </w:rPr>
      </w:pPr>
    </w:p>
    <w:p>
      <w:pPr>
        <w:ind w:left="500"/>
        <w:spacing w:after="0" w:line="362" w:lineRule="auto"/>
        <w:rPr>
          <w:sz w:val="20"/>
          <w:szCs w:val="20"/>
          <w:color w:val="auto"/>
        </w:rPr>
      </w:pPr>
      <w:r>
        <w:rPr>
          <w:rFonts w:ascii="Times New Roman" w:cs="Times New Roman" w:eastAsia="Times New Roman" w:hAnsi="Times New Roman"/>
          <w:sz w:val="21"/>
          <w:szCs w:val="21"/>
          <w:i w:val="1"/>
          <w:iCs w:val="1"/>
          <w:color w:val="auto"/>
        </w:rPr>
        <w:t>The commitments of the shareholders may be increased only with the unanimous consent of the shareholders. Shareholders representing at least ten percent (10%) of the Company's share capital may request in writing that</w:t>
      </w:r>
    </w:p>
    <w:p>
      <w:pPr>
        <w:jc w:val="both"/>
        <w:ind w:right="20"/>
        <w:spacing w:after="0" w:line="368" w:lineRule="auto"/>
        <w:rPr>
          <w:sz w:val="20"/>
          <w:szCs w:val="20"/>
          <w:color w:val="auto"/>
        </w:rPr>
      </w:pPr>
      <w:r>
        <w:rPr>
          <w:rFonts w:ascii="Times New Roman" w:cs="Times New Roman" w:eastAsia="Times New Roman" w:hAnsi="Times New Roman"/>
          <w:sz w:val="21"/>
          <w:szCs w:val="21"/>
          <w:i w:val="1"/>
          <w:iCs w:val="1"/>
          <w:color w:val="auto"/>
        </w:rPr>
        <w:t>additional items be included on the agenda of any general meeting. Such request shall be addressed to the registered office of the Company by registered letter at least five (5) days before the date on which the general meeting shall be held.</w:t>
      </w:r>
    </w:p>
    <w:p>
      <w:pPr>
        <w:spacing w:after="0" w:line="1" w:lineRule="exact"/>
        <w:rPr>
          <w:sz w:val="20"/>
          <w:szCs w:val="20"/>
          <w:color w:val="auto"/>
        </w:rPr>
      </w:pPr>
    </w:p>
    <w:p>
      <w:pPr>
        <w:jc w:val="both"/>
        <w:ind w:firstLine="501"/>
        <w:spacing w:after="0" w:line="362" w:lineRule="auto"/>
        <w:rPr>
          <w:sz w:val="20"/>
          <w:szCs w:val="20"/>
          <w:color w:val="auto"/>
        </w:rPr>
      </w:pPr>
      <w:r>
        <w:rPr>
          <w:rFonts w:ascii="Times New Roman" w:cs="Times New Roman" w:eastAsia="Times New Roman" w:hAnsi="Times New Roman"/>
          <w:sz w:val="21"/>
          <w:szCs w:val="21"/>
          <w:i w:val="1"/>
          <w:iCs w:val="1"/>
          <w:color w:val="auto"/>
        </w:rPr>
        <w:t>If all the shareholders are present or represented at a general meeting of shareholders and if they state that they have been informed of the agenda of the meeting, the meeting may be held without prior notice.</w:t>
      </w:r>
    </w:p>
    <w:p>
      <w:pPr>
        <w:ind w:left="500"/>
        <w:spacing w:after="0"/>
        <w:rPr>
          <w:sz w:val="20"/>
          <w:szCs w:val="20"/>
          <w:color w:val="auto"/>
        </w:rPr>
      </w:pPr>
      <w:r>
        <w:rPr>
          <w:rFonts w:ascii="Times New Roman" w:cs="Times New Roman" w:eastAsia="Times New Roman" w:hAnsi="Times New Roman"/>
          <w:sz w:val="21"/>
          <w:szCs w:val="21"/>
          <w:i w:val="1"/>
          <w:iCs w:val="1"/>
          <w:color w:val="auto"/>
        </w:rPr>
        <w:t>One vote is attached to each Share.</w:t>
      </w:r>
    </w:p>
    <w:p>
      <w:pPr>
        <w:spacing w:after="0" w:line="130" w:lineRule="exact"/>
        <w:rPr>
          <w:sz w:val="20"/>
          <w:szCs w:val="20"/>
          <w:color w:val="auto"/>
        </w:rPr>
      </w:pPr>
    </w:p>
    <w:p>
      <w:pPr>
        <w:jc w:val="both"/>
        <w:ind w:firstLine="501"/>
        <w:spacing w:after="0" w:line="367" w:lineRule="auto"/>
        <w:rPr>
          <w:sz w:val="20"/>
          <w:szCs w:val="20"/>
          <w:color w:val="auto"/>
        </w:rPr>
      </w:pPr>
      <w:r>
        <w:rPr>
          <w:rFonts w:ascii="Times New Roman" w:cs="Times New Roman" w:eastAsia="Times New Roman" w:hAnsi="Times New Roman"/>
          <w:sz w:val="21"/>
          <w:szCs w:val="21"/>
          <w:i w:val="1"/>
          <w:iCs w:val="1"/>
          <w:color w:val="auto"/>
        </w:rPr>
        <w:t>Copies or extracts of the minutes of the resolutions passed by the general meeting of shareholders shall be certified by the Chair or by the Secretary.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Chapter V. Financial Year, Distribution of Profits</w:t>
      </w:r>
    </w:p>
    <w:p>
      <w:pPr>
        <w:spacing w:after="0" w:line="130" w:lineRule="exact"/>
        <w:rPr>
          <w:sz w:val="20"/>
          <w:szCs w:val="20"/>
          <w:color w:val="auto"/>
        </w:rPr>
      </w:pPr>
    </w:p>
    <w:p>
      <w:pPr>
        <w:jc w:val="both"/>
        <w:ind w:firstLine="501"/>
        <w:spacing w:after="0" w:line="362"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24. Financial Year. </w:t>
      </w:r>
      <w:r>
        <w:rPr>
          <w:rFonts w:ascii="Times New Roman" w:cs="Times New Roman" w:eastAsia="Times New Roman" w:hAnsi="Times New Roman"/>
          <w:sz w:val="21"/>
          <w:szCs w:val="21"/>
          <w:i w:val="1"/>
          <w:iCs w:val="1"/>
          <w:color w:val="auto"/>
        </w:rPr>
        <w:t>The Company's financial year begins on the first day of the month of January and ends on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last day of the month of December every year.</w:t>
      </w: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25. Adoption of Financial Statements. </w:t>
      </w:r>
      <w:r>
        <w:rPr>
          <w:rFonts w:ascii="Times New Roman" w:cs="Times New Roman" w:eastAsia="Times New Roman" w:hAnsi="Times New Roman"/>
          <w:sz w:val="21"/>
          <w:szCs w:val="21"/>
          <w:i w:val="1"/>
          <w:iCs w:val="1"/>
          <w:color w:val="auto"/>
        </w:rPr>
        <w:t>At the end of each financial year, the accounts are closed and the Board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Directors draws up an inventory of assets and liabilities, the balance sheet and the profit and loss account, in accordance with the Law.</w:t>
      </w:r>
    </w:p>
    <w:p>
      <w:pPr>
        <w:spacing w:after="0" w:line="1" w:lineRule="exact"/>
        <w:rPr>
          <w:sz w:val="20"/>
          <w:szCs w:val="20"/>
          <w:color w:val="auto"/>
        </w:rPr>
      </w:pPr>
    </w:p>
    <w:p>
      <w:pPr>
        <w:ind w:left="500"/>
        <w:spacing w:after="0" w:line="368" w:lineRule="auto"/>
        <w:rPr>
          <w:sz w:val="20"/>
          <w:szCs w:val="20"/>
          <w:color w:val="auto"/>
        </w:rPr>
      </w:pPr>
      <w:r>
        <w:rPr>
          <w:rFonts w:ascii="Times New Roman" w:cs="Times New Roman" w:eastAsia="Times New Roman" w:hAnsi="Times New Roman"/>
          <w:sz w:val="21"/>
          <w:szCs w:val="21"/>
          <w:i w:val="1"/>
          <w:iCs w:val="1"/>
          <w:color w:val="auto"/>
        </w:rPr>
        <w:t xml:space="preserve">The balance sheet and the profit and loss account are submitted to the general meeting of shareholders for approval. </w:t>
      </w:r>
      <w:r>
        <w:rPr>
          <w:rFonts w:ascii="Times New Roman" w:cs="Times New Roman" w:eastAsia="Times New Roman" w:hAnsi="Times New Roman"/>
          <w:sz w:val="21"/>
          <w:szCs w:val="21"/>
          <w:b w:val="1"/>
          <w:bCs w:val="1"/>
          <w:i w:val="1"/>
          <w:iCs w:val="1"/>
          <w:color w:val="auto"/>
        </w:rPr>
        <w:t xml:space="preserve">Art. 26. Appropriation of Profits. </w:t>
      </w:r>
      <w:r>
        <w:rPr>
          <w:rFonts w:ascii="Times New Roman" w:cs="Times New Roman" w:eastAsia="Times New Roman" w:hAnsi="Times New Roman"/>
          <w:sz w:val="21"/>
          <w:szCs w:val="21"/>
          <w:i w:val="1"/>
          <w:iCs w:val="1"/>
          <w:color w:val="auto"/>
        </w:rPr>
        <w:t>From the annual net profits of the Company, five percent (5%) shall be allocated to</w:t>
      </w:r>
    </w:p>
    <w:p>
      <w:pPr>
        <w:spacing w:after="0" w:line="1" w:lineRule="exact"/>
        <w:rPr>
          <w:sz w:val="20"/>
          <w:szCs w:val="20"/>
          <w:color w:val="auto"/>
        </w:rPr>
      </w:pPr>
    </w:p>
    <w:p>
      <w:pPr>
        <w:spacing w:after="0" w:line="392" w:lineRule="auto"/>
        <w:rPr>
          <w:sz w:val="20"/>
          <w:szCs w:val="20"/>
          <w:color w:val="auto"/>
        </w:rPr>
      </w:pPr>
      <w:r>
        <w:rPr>
          <w:rFonts w:ascii="Times New Roman" w:cs="Times New Roman" w:eastAsia="Times New Roman" w:hAnsi="Times New Roman"/>
          <w:sz w:val="21"/>
          <w:szCs w:val="21"/>
          <w:i w:val="1"/>
          <w:iCs w:val="1"/>
          <w:color w:val="auto"/>
        </w:rPr>
        <w:t>the reserve required by the Law. That allocation will cease to be required as soon and as long as such reserve amounts to ten percent (10%) of the issued share capital of the Company.</w:t>
      </w:r>
    </w:p>
    <w:p>
      <w:pPr>
        <w:sectPr>
          <w:pgSz w:w="11900" w:h="16838" w:orient="portrait"/>
          <w:cols w:equalWidth="0" w:num="1">
            <w:col w:w="10740"/>
          </w:cols>
          <w:pgMar w:left="820" w:top="1440"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501"/>
        <w:spacing w:after="0" w:line="393" w:lineRule="auto"/>
        <w:rPr>
          <w:sz w:val="20"/>
          <w:szCs w:val="20"/>
          <w:color w:val="auto"/>
        </w:rPr>
      </w:pPr>
      <w:r>
        <w:rPr>
          <w:rFonts w:ascii="Times New Roman" w:cs="Times New Roman" w:eastAsia="Times New Roman" w:hAnsi="Times New Roman"/>
          <w:sz w:val="21"/>
          <w:szCs w:val="21"/>
          <w:i w:val="1"/>
          <w:iCs w:val="1"/>
          <w:color w:val="auto"/>
        </w:rPr>
        <w:t>Upon recommendation of the Board of Directors, the general meeting of shareholders shall determine how the remainder of the annual net profits will be disposed. It may decide to allocate the whole or part of the remainder to a reserve or to a provision reserve, to carry it forward to the next following financial year or to distribute it to the shareholder(s) as dividends.</w:t>
      </w:r>
    </w:p>
    <w:p>
      <w:pPr>
        <w:spacing w:after="0" w:line="284"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Subject to the conditions fixed by the Law and these Articles, the Board of Directors may pay interim dividends. The Board of Directors fixes the amount and the date of payment of any such interim dividends. Any share premium, assimilated premiums and other distributable reserves may be freely distributed to the shareholders (also via an interim dividend) by a resolution of the shareholders or the Board of Directors, subject to the provisions of the Law and these Articles.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Chapter VI. Dissolution, Liquidation of the Company</w:t>
      </w:r>
    </w:p>
    <w:p>
      <w:pPr>
        <w:spacing w:after="0" w:line="130"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27. Dissolution, Liquidation. </w:t>
      </w:r>
      <w:r>
        <w:rPr>
          <w:rFonts w:ascii="Times New Roman" w:cs="Times New Roman" w:eastAsia="Times New Roman" w:hAnsi="Times New Roman"/>
          <w:sz w:val="21"/>
          <w:szCs w:val="21"/>
          <w:i w:val="1"/>
          <w:iCs w:val="1"/>
          <w:color w:val="auto"/>
        </w:rPr>
        <w:t>Upon the affirmative proposal of the Board of Directors, the Company may be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dissolved by a decision of the general meeting of shareholders voting with the same quorum and majority as for the amendment of these Articles, unless otherwise provided by the Law.</w:t>
      </w:r>
    </w:p>
    <w:p>
      <w:pPr>
        <w:spacing w:after="0" w:line="1" w:lineRule="exact"/>
        <w:rPr>
          <w:sz w:val="20"/>
          <w:szCs w:val="20"/>
          <w:color w:val="auto"/>
        </w:rPr>
      </w:pPr>
    </w:p>
    <w:p>
      <w:pPr>
        <w:jc w:val="both"/>
        <w:ind w:firstLine="501"/>
        <w:spacing w:after="0" w:line="364" w:lineRule="auto"/>
        <w:rPr>
          <w:sz w:val="20"/>
          <w:szCs w:val="20"/>
          <w:color w:val="auto"/>
        </w:rPr>
      </w:pPr>
      <w:r>
        <w:rPr>
          <w:rFonts w:ascii="Times New Roman" w:cs="Times New Roman" w:eastAsia="Times New Roman" w:hAnsi="Times New Roman"/>
          <w:sz w:val="21"/>
          <w:szCs w:val="21"/>
          <w:i w:val="1"/>
          <w:iCs w:val="1"/>
          <w:color w:val="auto"/>
        </w:rPr>
        <w:t>Should the Company be dissolved, the liquidation will be carried out by one or more liquidators (who may be physical persons or legal entities) appointed by the general meeting of shareholders, which will determine their powers and their compensation.</w:t>
      </w:r>
    </w:p>
    <w:p>
      <w:pPr>
        <w:spacing w:after="0" w:line="1" w:lineRule="exact"/>
        <w:rPr>
          <w:sz w:val="20"/>
          <w:szCs w:val="20"/>
          <w:color w:val="auto"/>
        </w:rPr>
      </w:pPr>
    </w:p>
    <w:p>
      <w:pPr>
        <w:jc w:val="both"/>
        <w:ind w:firstLine="501"/>
        <w:spacing w:after="0" w:line="368" w:lineRule="auto"/>
        <w:rPr>
          <w:sz w:val="20"/>
          <w:szCs w:val="20"/>
          <w:color w:val="auto"/>
        </w:rPr>
      </w:pPr>
      <w:r>
        <w:rPr>
          <w:rFonts w:ascii="Times New Roman" w:cs="Times New Roman" w:eastAsia="Times New Roman" w:hAnsi="Times New Roman"/>
          <w:sz w:val="21"/>
          <w:szCs w:val="21"/>
          <w:i w:val="1"/>
          <w:iCs w:val="1"/>
          <w:color w:val="auto"/>
        </w:rPr>
        <w:t>After payment of all the debts of and charges against the Company and of the expenses of liquidation, the net assets shall be distributed equally to the shareholders pro rata to the number of the Shares held by them.</w:t>
      </w:r>
    </w:p>
    <w:p>
      <w:pPr>
        <w:spacing w:after="0" w:line="1" w:lineRule="exact"/>
        <w:rPr>
          <w:sz w:val="20"/>
          <w:szCs w:val="20"/>
          <w:color w:val="auto"/>
        </w:rPr>
      </w:pPr>
    </w:p>
    <w:p>
      <w:pPr>
        <w:jc w:val="both"/>
        <w:ind w:firstLine="501"/>
        <w:spacing w:after="0" w:line="363" w:lineRule="auto"/>
        <w:rPr>
          <w:sz w:val="20"/>
          <w:szCs w:val="20"/>
          <w:color w:val="auto"/>
        </w:rPr>
      </w:pPr>
      <w:r>
        <w:rPr>
          <w:rFonts w:ascii="Times New Roman" w:cs="Times New Roman" w:eastAsia="Times New Roman" w:hAnsi="Times New Roman"/>
          <w:sz w:val="21"/>
          <w:szCs w:val="21"/>
          <w:i w:val="1"/>
          <w:iCs w:val="1"/>
          <w:color w:val="auto"/>
        </w:rPr>
        <w:t>Application for dissolution of the Company for just cause may however be made to the court. Except in the case of dissolution by court order, dissolution of the Company may take place only pursuant to a resolution adopted by the shareholders' meeting in accordance with Articles 22 and 23.</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Chapter VII. Applicable Law</w:t>
      </w:r>
    </w:p>
    <w:p>
      <w:pPr>
        <w:spacing w:after="0" w:line="130"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28. Applicable Law. </w:t>
      </w:r>
      <w:r>
        <w:rPr>
          <w:rFonts w:ascii="Times New Roman" w:cs="Times New Roman" w:eastAsia="Times New Roman" w:hAnsi="Times New Roman"/>
          <w:sz w:val="21"/>
          <w:szCs w:val="21"/>
          <w:i w:val="1"/>
          <w:iCs w:val="1"/>
          <w:color w:val="auto"/>
        </w:rPr>
        <w:t>All matters not governed by these Articles shall be determined in accordance with applicable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Luxembourg Law.</w:t>
      </w:r>
    </w:p>
    <w:p>
      <w:pPr>
        <w:sectPr>
          <w:pgSz w:w="11900" w:h="16838" w:orient="portrait"/>
          <w:cols w:equalWidth="0" w:num="1">
            <w:col w:w="10740"/>
          </w:cols>
          <w:pgMar w:left="820" w:top="1440"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SUIT LA TRADUCTION FRANÇAISE DU TEXTE QUI PRÉCÈDE :</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I er . Forme, Dénomination Sociale, Siège, Objet, Durée</w:t>
      </w:r>
    </w:p>
    <w:p>
      <w:pPr>
        <w:spacing w:after="0" w:line="209" w:lineRule="exact"/>
        <w:rPr>
          <w:sz w:val="20"/>
          <w:szCs w:val="20"/>
          <w:color w:val="auto"/>
        </w:rPr>
      </w:pPr>
    </w:p>
    <w:p>
      <w:pPr>
        <w:jc w:val="both"/>
        <w:ind w:firstLine="501"/>
        <w:spacing w:after="0" w:line="37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 Forme, Dénomination Sociale. </w:t>
      </w:r>
      <w:r>
        <w:rPr>
          <w:rFonts w:ascii="Times New Roman" w:cs="Times New Roman" w:eastAsia="Times New Roman" w:hAnsi="Times New Roman"/>
          <w:sz w:val="21"/>
          <w:szCs w:val="21"/>
          <w:i w:val="1"/>
          <w:iCs w:val="1"/>
          <w:color w:val="auto"/>
        </w:rPr>
        <w:t>Il est formé par le(s) souscripteur(s) et toutes les personnes qui pourraient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devenir détenteurs des actions de la société émises ci-après, une société sous la forme d'une société anonyme (la "</w:t>
      </w:r>
      <w:r>
        <w:rPr>
          <w:rFonts w:ascii="Times New Roman" w:cs="Times New Roman" w:eastAsia="Times New Roman" w:hAnsi="Times New Roman"/>
          <w:sz w:val="21"/>
          <w:szCs w:val="21"/>
          <w:b w:val="1"/>
          <w:bCs w:val="1"/>
          <w:i w:val="1"/>
          <w:iCs w:val="1"/>
          <w:color w:val="auto"/>
        </w:rPr>
        <w:t>Société</w:t>
      </w:r>
      <w:r>
        <w:rPr>
          <w:rFonts w:ascii="Times New Roman" w:cs="Times New Roman" w:eastAsia="Times New Roman" w:hAnsi="Times New Roman"/>
          <w:sz w:val="21"/>
          <w:szCs w:val="21"/>
          <w:i w:val="1"/>
          <w:iCs w:val="1"/>
          <w:color w:val="auto"/>
        </w:rPr>
        <w:t>") régie par les lois du Grand-Duché de Luxembourg, notamment par la loi du 10 août 1915 concernant les sociétés commerciales, telle que modifiée (la "</w:t>
      </w:r>
      <w:r>
        <w:rPr>
          <w:rFonts w:ascii="Times New Roman" w:cs="Times New Roman" w:eastAsia="Times New Roman" w:hAnsi="Times New Roman"/>
          <w:sz w:val="21"/>
          <w:szCs w:val="21"/>
          <w:b w:val="1"/>
          <w:bCs w:val="1"/>
          <w:i w:val="1"/>
          <w:iCs w:val="1"/>
          <w:color w:val="auto"/>
        </w:rPr>
        <w:t>Loi</w:t>
      </w:r>
      <w:r>
        <w:rPr>
          <w:rFonts w:ascii="Times New Roman" w:cs="Times New Roman" w:eastAsia="Times New Roman" w:hAnsi="Times New Roman"/>
          <w:sz w:val="21"/>
          <w:szCs w:val="21"/>
          <w:i w:val="1"/>
          <w:iCs w:val="1"/>
          <w:color w:val="auto"/>
        </w:rPr>
        <w:t>"), par l'article 1832 du Code Civil luxembourgeois, tel que modifié (le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Civil</w:t>
      </w:r>
      <w:r>
        <w:rPr>
          <w:rFonts w:ascii="Times New Roman" w:cs="Times New Roman" w:eastAsia="Times New Roman" w:hAnsi="Times New Roman"/>
          <w:sz w:val="21"/>
          <w:szCs w:val="21"/>
          <w:i w:val="1"/>
          <w:iCs w:val="1"/>
          <w:color w:val="auto"/>
        </w:rPr>
        <w:t>"), ainsi que par les présents statuts (les "</w:t>
      </w:r>
      <w:r>
        <w:rPr>
          <w:rFonts w:ascii="Times New Roman" w:cs="Times New Roman" w:eastAsia="Times New Roman" w:hAnsi="Times New Roman"/>
          <w:sz w:val="21"/>
          <w:szCs w:val="21"/>
          <w:b w:val="1"/>
          <w:bCs w:val="1"/>
          <w:i w:val="1"/>
          <w:iCs w:val="1"/>
          <w:color w:val="auto"/>
        </w:rPr>
        <w:t>Statuts</w:t>
      </w:r>
      <w:r>
        <w:rPr>
          <w:rFonts w:ascii="Times New Roman" w:cs="Times New Roman" w:eastAsia="Times New Roman" w:hAnsi="Times New Roman"/>
          <w:sz w:val="21"/>
          <w:szCs w:val="21"/>
          <w:i w:val="1"/>
          <w:iCs w:val="1"/>
          <w:color w:val="auto"/>
        </w:rPr>
        <w:t>").</w:t>
      </w:r>
    </w:p>
    <w:p>
      <w:pPr>
        <w:spacing w:after="0" w:line="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La Société existe sous la dénomination "</w:t>
      </w:r>
      <w:r>
        <w:rPr>
          <w:rFonts w:ascii="Times New Roman" w:cs="Times New Roman" w:eastAsia="Times New Roman" w:hAnsi="Times New Roman"/>
          <w:sz w:val="21"/>
          <w:szCs w:val="21"/>
          <w:b w:val="1"/>
          <w:bCs w:val="1"/>
          <w:i w:val="1"/>
          <w:iCs w:val="1"/>
          <w:color w:val="auto"/>
        </w:rPr>
        <w:t>Altisource Portfolio Solutions S.A.</w:t>
      </w:r>
      <w:r>
        <w:rPr>
          <w:rFonts w:ascii="Times New Roman" w:cs="Times New Roman" w:eastAsia="Times New Roman" w:hAnsi="Times New Roman"/>
          <w:sz w:val="21"/>
          <w:szCs w:val="21"/>
          <w:i w:val="1"/>
          <w:iCs w:val="1"/>
          <w:color w:val="auto"/>
        </w:rPr>
        <w:t>"</w:t>
      </w:r>
    </w:p>
    <w:p>
      <w:pPr>
        <w:spacing w:after="0" w:line="222" w:lineRule="exact"/>
        <w:rPr>
          <w:sz w:val="20"/>
          <w:szCs w:val="20"/>
          <w:color w:val="auto"/>
        </w:rPr>
      </w:pPr>
    </w:p>
    <w:p>
      <w:pPr>
        <w:jc w:val="both"/>
        <w:ind w:firstLine="501"/>
        <w:spacing w:after="0" w:line="381"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 Siège Social. </w:t>
      </w:r>
      <w:r>
        <w:rPr>
          <w:rFonts w:ascii="Times New Roman" w:cs="Times New Roman" w:eastAsia="Times New Roman" w:hAnsi="Times New Roman"/>
          <w:sz w:val="21"/>
          <w:szCs w:val="21"/>
          <w:i w:val="1"/>
          <w:iCs w:val="1"/>
          <w:color w:val="auto"/>
        </w:rPr>
        <w:t>Le siège social est établi à la ville de Luxembourg. Le Conseil d'Administration (tel que défini à</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l'article 11), est autorisé à changer l'adresse du siège social de la Société au sein du Grand-Duché de Luxembourg et à modifier ces Statuts en conséquence.</w:t>
      </w:r>
    </w:p>
    <w:p>
      <w:pPr>
        <w:spacing w:after="0" w:line="44" w:lineRule="exact"/>
        <w:rPr>
          <w:sz w:val="20"/>
          <w:szCs w:val="20"/>
          <w:color w:val="auto"/>
        </w:rPr>
      </w:pPr>
    </w:p>
    <w:p>
      <w:pPr>
        <w:jc w:val="both"/>
        <w:ind w:firstLine="501"/>
        <w:spacing w:after="0" w:line="372" w:lineRule="auto"/>
        <w:rPr>
          <w:sz w:val="20"/>
          <w:szCs w:val="20"/>
          <w:color w:val="auto"/>
        </w:rPr>
      </w:pPr>
      <w:r>
        <w:rPr>
          <w:rFonts w:ascii="Times New Roman" w:cs="Times New Roman" w:eastAsia="Times New Roman" w:hAnsi="Times New Roman"/>
          <w:sz w:val="21"/>
          <w:szCs w:val="21"/>
          <w:i w:val="1"/>
          <w:iCs w:val="1"/>
          <w:color w:val="auto"/>
        </w:rPr>
        <w:t>Des succursales ou autres bureaux peuvent être établis soit au Grand-Duché de Luxembourg, soit à l'étranger par une décision du Conseil d'Administration. Si le Conseil d'Administration détermine que des événements extraordinaires d'ordre politique, économique ou social sont de nature à compromettre l'activité normale de la société au siège social ou la communication aisée avec ce siège ou entre ce siège et des personnes à l'étranger ou que de tels événements sont imminents, il pourra transférer temporairement le siège social à l'étranger jusqu'à cessation complète de ces circonstances anormales. Ces mesures provisoires n'auront aucun effet sur la nationalité de la Société, laquelle, nonobstant ce transfert provisoire du siège, restera régie par la loi du Grand-Duché de Luxembourg. Ces mesures temporaires seront prises et notifiées aux parties intéressées par un des organes ou personnes en charge de la gestion journalière de la Société.</w:t>
      </w:r>
    </w:p>
    <w:p>
      <w:pPr>
        <w:sectPr>
          <w:pgSz w:w="11900" w:h="16838" w:orient="portrait"/>
          <w:cols w:equalWidth="0" w:num="1">
            <w:col w:w="10740"/>
          </w:cols>
          <w:pgMar w:left="820" w:top="1440"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501"/>
        <w:spacing w:after="0" w:line="373"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3. Objet. </w:t>
      </w:r>
      <w:r>
        <w:rPr>
          <w:rFonts w:ascii="Times New Roman" w:cs="Times New Roman" w:eastAsia="Times New Roman" w:hAnsi="Times New Roman"/>
          <w:sz w:val="21"/>
          <w:szCs w:val="21"/>
          <w:i w:val="1"/>
          <w:iCs w:val="1"/>
          <w:color w:val="auto"/>
        </w:rPr>
        <w:t>La Société a pour objet la prise de participations directes ou indirectes, la gestion continue et la vente de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ces participations, sous n'importe quelle forme, dans toutes entreprises luxembourgeoises et étrangères, en particulier dans les domaines de l'outsourcing, la gestion de relation clientèle et les services de technologie dans l'immobilier, les hypothèques et les industries des services financiers au consommateur ainsi que l'administration, la gestion et la mise en valeur de ces participations. La Société peut aussi détenir, gérer et exploiter les droits de propriété intellectuelle et prester des services à d'autres sociétés du groupe et à des tiers.</w:t>
      </w:r>
    </w:p>
    <w:p>
      <w:pPr>
        <w:spacing w:after="0" w:line="56" w:lineRule="exact"/>
        <w:rPr>
          <w:sz w:val="20"/>
          <w:szCs w:val="20"/>
          <w:color w:val="auto"/>
        </w:rPr>
      </w:pPr>
    </w:p>
    <w:p>
      <w:pPr>
        <w:jc w:val="both"/>
        <w:ind w:firstLine="501"/>
        <w:spacing w:after="0" w:line="369" w:lineRule="auto"/>
        <w:rPr>
          <w:sz w:val="20"/>
          <w:szCs w:val="20"/>
          <w:color w:val="auto"/>
        </w:rPr>
      </w:pPr>
      <w:r>
        <w:rPr>
          <w:rFonts w:ascii="Times New Roman" w:cs="Times New Roman" w:eastAsia="Times New Roman" w:hAnsi="Times New Roman"/>
          <w:sz w:val="21"/>
          <w:szCs w:val="21"/>
          <w:i w:val="1"/>
          <w:iCs w:val="1"/>
          <w:color w:val="auto"/>
        </w:rPr>
        <w:t>La Société peut (i) investir, acquérir, vendre, octroyer ou émettre des prêts, des obligations ou autres instruments de dettes, des actions, des bons de souscription et autres instruments de capital incluant sans s'y limiter des actions, prêts, obligations, reconnaissances de dettes et autres formes de dettes, actions de capital-actions, participations dans une association (limited partnership), participations dans une société à responsabilité limitée (limited liability company), effets, débentures, actions préférentielles, valeurs mobilières et swaps et toute combinaison de ce qui précède, qu'ils soient facilement réalisables ou non, ainsi que des engagements (incluant mais non limité à des engagements relatives à des valeurs synthétiques) de sociétés, entités ou autres personnes juridiques de tout type; (ii) s'engager dans d'autres activités que la Société juge nécessaires, souhaitables, utiles, accessoires à ou non incompatibles avec ce qui précède; et (iii) accorder des gages, des garanties et des contrats d'indemnisation, de toute nature, à des entités luxembourgeoises ou aux entités étrangères en ce qui concerne ses propres obligations et dettes ou des obligations et dettes de toute autre personne.</w:t>
      </w:r>
    </w:p>
    <w:p>
      <w:pPr>
        <w:spacing w:after="0" w:line="63"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La Société peut aussi utiliser ses fonds pour investir dans l'immobilier, les droits de propriété intellectuelle ou dans tout autre actif mobilier ou immobilier de toute sorte ou toute forme. De manière générale, la Société</w:t>
      </w:r>
    </w:p>
    <w:p>
      <w:pPr>
        <w:sectPr>
          <w:pgSz w:w="11900" w:h="16838" w:orient="portrait"/>
          <w:cols w:equalWidth="0" w:num="1">
            <w:col w:w="10740"/>
          </w:cols>
          <w:pgMar w:left="820" w:top="1440" w:right="33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405" w:lineRule="auto"/>
        <w:rPr>
          <w:sz w:val="20"/>
          <w:szCs w:val="20"/>
          <w:color w:val="auto"/>
        </w:rPr>
      </w:pPr>
      <w:r>
        <w:rPr>
          <w:rFonts w:ascii="Times New Roman" w:cs="Times New Roman" w:eastAsia="Times New Roman" w:hAnsi="Times New Roman"/>
          <w:sz w:val="21"/>
          <w:szCs w:val="21"/>
          <w:i w:val="1"/>
          <w:iCs w:val="1"/>
          <w:color w:val="auto"/>
        </w:rPr>
        <w:t>peut effectuer toute opération commerciale, industrielle ou financière qu'elle jugera utile dans l'accomplissement et le développement de son objet.</w:t>
      </w:r>
    </w:p>
    <w:p>
      <w:pPr>
        <w:spacing w:after="0" w:line="2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La Société peut également accorder toute forme d'assistance financière aux entreprises dans lesquelles la Société a une participation ou qui font partie du groupe de sociétés auxquelles appartient la Société, y compris, mais sans s'y limiter, l'octroi de prêts et la fourniture de garanties ou de titres sous quelque forme que ce soit. La Société peut mettre en garantie, transférer, grever ou créer autrement une sûreté sur certains actifs ou sur l'ensemble de ses actifs.</w:t>
      </w:r>
    </w:p>
    <w:p>
      <w:pPr>
        <w:spacing w:after="0" w:line="50" w:lineRule="exact"/>
        <w:rPr>
          <w:sz w:val="20"/>
          <w:szCs w:val="20"/>
          <w:color w:val="auto"/>
        </w:rPr>
      </w:pPr>
    </w:p>
    <w:p>
      <w:pPr>
        <w:jc w:val="both"/>
        <w:ind w:firstLine="501"/>
        <w:spacing w:after="0" w:line="373" w:lineRule="auto"/>
        <w:rPr>
          <w:sz w:val="20"/>
          <w:szCs w:val="20"/>
          <w:color w:val="auto"/>
        </w:rPr>
      </w:pPr>
      <w:r>
        <w:rPr>
          <w:rFonts w:ascii="Times New Roman" w:cs="Times New Roman" w:eastAsia="Times New Roman" w:hAnsi="Times New Roman"/>
          <w:sz w:val="21"/>
          <w:szCs w:val="21"/>
          <w:i w:val="1"/>
          <w:iCs w:val="1"/>
          <w:color w:val="auto"/>
        </w:rPr>
        <w:t>De plus, la Société peut accorder occasionnellement une assistance sous quelque forme que ce soit (y compris, mais sans s'y limiter à l'octroi d'avances, des prêts, des crédits, des garanties ou de sûretés) à des tiers autres que le groupe de sociétés auxquels appartient la Société, sous réserve que cette assistance relève de l'intérêt de la Société et sous réserve que cette assistance ne déclenche aucune exigence d'une autorisation de la part de la Société. La Société peut participer à la création, au développement, à la gestion et au contrôle de toutes sociétés ou entreprises, directement ou indirectement, qui ont des objets similaires ou dont les objets sont étroitement liés à son propre objet.</w:t>
      </w:r>
    </w:p>
    <w:p>
      <w:pPr>
        <w:spacing w:after="0" w:line="40"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D'une manière générale, la Société peut effectuer toute opération commerciale, industrielle ou financière et s'engager dans toute autre activité qu'elle jugera nécessaire, conseillée, appropriée, incidente à, ou non contradictoire avec l'accomplissement et le développement de ce qui précède.</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Art. 4. Durée. </w:t>
      </w:r>
      <w:r>
        <w:rPr>
          <w:rFonts w:ascii="Times New Roman" w:cs="Times New Roman" w:eastAsia="Times New Roman" w:hAnsi="Times New Roman"/>
          <w:sz w:val="21"/>
          <w:szCs w:val="21"/>
          <w:i w:val="1"/>
          <w:iCs w:val="1"/>
          <w:color w:val="auto"/>
        </w:rPr>
        <w:t>La Société est constituée pour une durée illimitée.</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II. Capital Social, Actions</w:t>
      </w:r>
    </w:p>
    <w:p>
      <w:pPr>
        <w:spacing w:after="0" w:line="209" w:lineRule="exact"/>
        <w:rPr>
          <w:sz w:val="20"/>
          <w:szCs w:val="20"/>
          <w:color w:val="auto"/>
        </w:rPr>
      </w:pPr>
    </w:p>
    <w:p>
      <w:pPr>
        <w:jc w:val="both"/>
        <w:ind w:firstLine="501"/>
        <w:spacing w:after="0" w:line="3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5. Capital Social. </w:t>
      </w:r>
      <w:r>
        <w:rPr>
          <w:rFonts w:ascii="Times New Roman" w:cs="Times New Roman" w:eastAsia="Times New Roman" w:hAnsi="Times New Roman"/>
          <w:sz w:val="21"/>
          <w:szCs w:val="21"/>
          <w:i w:val="1"/>
          <w:iCs w:val="1"/>
          <w:color w:val="auto"/>
        </w:rPr>
        <w:t>Le capital social de la Société est fixé à cent onze mille cent quatre-vingt-neuf dollars américains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et quatre-vingt-dix centimes (111.189,90 USD) représenté par onze millions cent dix-huit mille neuf cent quatre-vingt-dix (11,118,990) actions ordinaires sans valeur nominale. Dans</w:t>
      </w:r>
    </w:p>
    <w:p>
      <w:pPr>
        <w:sectPr>
          <w:pgSz w:w="11900" w:h="16838" w:orient="portrait"/>
          <w:cols w:equalWidth="0" w:num="1">
            <w:col w:w="10740"/>
          </w:cols>
          <w:pgMar w:left="820" w:top="1440"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les présents Statuts, "Actions" désigne les actions ordinaires de la Société sans valeur nominale.</w:t>
      </w:r>
    </w:p>
    <w:p>
      <w:pPr>
        <w:spacing w:after="0" w:line="222"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En plus du capital social, un compte de prime d'émission et/ou un compte d'apport en capital (compte 115 "Apport en capitaux propres non rémunéré par des titres") peut être établi. Le Conseil d'Administration est autorisé à affecter la totalité ou une partie des comptes de primes d'émission et des comptes d'apport en capital aux Actions émises par la Société, de temps à autre, comme il le juge approprié à l'un ou à l'autre des éléments suivants:</w:t>
      </w:r>
    </w:p>
    <w:p>
      <w:pPr>
        <w:spacing w:after="0" w:line="50" w:lineRule="exact"/>
        <w:rPr>
          <w:sz w:val="20"/>
          <w:szCs w:val="20"/>
          <w:color w:val="auto"/>
        </w:rPr>
      </w:pPr>
    </w:p>
    <w:p>
      <w:pPr>
        <w:ind w:left="800" w:hanging="292"/>
        <w:spacing w:after="0"/>
        <w:tabs>
          <w:tab w:leader="none" w:pos="800" w:val="left"/>
        </w:tabs>
        <w:numPr>
          <w:ilvl w:val="0"/>
          <w:numId w:val="2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une réserve distribuable à utiliser pour les distributions de toute nature à effectuer par la Société;</w:t>
      </w:r>
    </w:p>
    <w:p>
      <w:pPr>
        <w:spacing w:after="0" w:line="209" w:lineRule="exact"/>
        <w:rPr>
          <w:rFonts w:ascii="Times New Roman" w:cs="Times New Roman" w:eastAsia="Times New Roman" w:hAnsi="Times New Roman"/>
          <w:sz w:val="21"/>
          <w:szCs w:val="21"/>
          <w:i w:val="1"/>
          <w:iCs w:val="1"/>
          <w:color w:val="auto"/>
        </w:rPr>
      </w:pPr>
    </w:p>
    <w:p>
      <w:pPr>
        <w:ind w:left="800" w:hanging="292"/>
        <w:spacing w:after="0"/>
        <w:tabs>
          <w:tab w:leader="none" w:pos="800" w:val="left"/>
        </w:tabs>
        <w:numPr>
          <w:ilvl w:val="0"/>
          <w:numId w:val="2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une réserve spéciale prévue par les articles 430-18, 430-22 et 461-2 de la Loi.</w:t>
      </w:r>
    </w:p>
    <w:p>
      <w:pPr>
        <w:spacing w:after="0" w:line="220" w:lineRule="exact"/>
        <w:rPr>
          <w:sz w:val="20"/>
          <w:szCs w:val="20"/>
          <w:color w:val="auto"/>
        </w:rPr>
      </w:pPr>
    </w:p>
    <w:p>
      <w:pPr>
        <w:jc w:val="both"/>
        <w:ind w:firstLine="501"/>
        <w:spacing w:after="0" w:line="3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6. Capital Social Autorisé. </w:t>
      </w:r>
      <w:r>
        <w:rPr>
          <w:rFonts w:ascii="Times New Roman" w:cs="Times New Roman" w:eastAsia="Times New Roman" w:hAnsi="Times New Roman"/>
          <w:sz w:val="21"/>
          <w:szCs w:val="21"/>
          <w:i w:val="1"/>
          <w:iCs w:val="1"/>
          <w:color w:val="auto"/>
        </w:rPr>
        <w:t>Le capital social autorisé de la Société est fixé à un million neuf cent dix-huit mille trois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cent vingt-neuf dollars américains et quatre-vingt-deux centimes (1.918.329,82 USD) divisé en cent quatre-vingt-onze millions huit cent trente-deux mille neuf cent quatre-vingt-deux (191.832.982) Actions sans valeur nominale. Le Conseil d'Administration, est autorisé, pendant une période se terminant cinq (5) ans après la date de publication du procès-verbal d’assemblée générale extraordinaire du 18 février 2025, au Recueil Electronique des Sociétés et Associations de:</w:t>
      </w:r>
    </w:p>
    <w:p>
      <w:pPr>
        <w:spacing w:after="0" w:line="50" w:lineRule="exact"/>
        <w:rPr>
          <w:sz w:val="20"/>
          <w:szCs w:val="20"/>
          <w:color w:val="auto"/>
        </w:rPr>
      </w:pPr>
    </w:p>
    <w:p>
      <w:pPr>
        <w:jc w:val="both"/>
        <w:ind w:firstLine="508"/>
        <w:spacing w:after="0" w:line="374" w:lineRule="auto"/>
        <w:tabs>
          <w:tab w:leader="none" w:pos="792" w:val="left"/>
        </w:tabs>
        <w:numPr>
          <w:ilvl w:val="0"/>
          <w:numId w:val="2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réaliser toute augmentation du capital social émis dans les limites du capital social autorisé en une seule fois ou par tranches successives, par émission d'Actions, l'octroi d'options, de bons de souscription ou d'autres instruments similaires exerçables en Actions, de droits de souscrire à des Actions à libérer par voie de versements en espèces ou d'apports en nature, par transformation de créances, par l'augmentation du pair comptable des actions existantes ou de toute autre manière à décider par le Conseil d'Administration jusqu'à concurrence de un million neuf cent</w:t>
      </w:r>
    </w:p>
    <w:p>
      <w:pPr>
        <w:sectPr>
          <w:pgSz w:w="11900" w:h="16838" w:orient="portrait"/>
          <w:cols w:equalWidth="0" w:num="1">
            <w:col w:w="10740"/>
          </w:cols>
          <w:pgMar w:left="820" w:top="1440"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dix-huit mille trois cent vingt-neuf dollars américains et quatre-vingt-deux centimes (1.918.329,82 USD).</w:t>
      </w:r>
    </w:p>
    <w:p>
      <w:pPr>
        <w:spacing w:after="0" w:line="222" w:lineRule="exact"/>
        <w:rPr>
          <w:sz w:val="20"/>
          <w:szCs w:val="20"/>
          <w:color w:val="auto"/>
        </w:rPr>
      </w:pPr>
    </w:p>
    <w:p>
      <w:pPr>
        <w:ind w:firstLine="508"/>
        <w:spacing w:after="0" w:line="405" w:lineRule="auto"/>
        <w:tabs>
          <w:tab w:leader="none" w:pos="861" w:val="left"/>
        </w:tabs>
        <w:numPr>
          <w:ilvl w:val="0"/>
          <w:numId w:val="2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Emettre tout warrant, option ou tout autre instrument similaire exerçable en actions, droits de souscription à des actions et définir les termes et conditions de ces instruments.</w:t>
      </w:r>
    </w:p>
    <w:p>
      <w:pPr>
        <w:spacing w:after="0" w:line="6" w:lineRule="exact"/>
        <w:rPr>
          <w:rFonts w:ascii="Times New Roman" w:cs="Times New Roman" w:eastAsia="Times New Roman" w:hAnsi="Times New Roman"/>
          <w:sz w:val="21"/>
          <w:szCs w:val="21"/>
          <w:i w:val="1"/>
          <w:iCs w:val="1"/>
          <w:color w:val="auto"/>
        </w:rPr>
      </w:pPr>
    </w:p>
    <w:p>
      <w:pPr>
        <w:jc w:val="both"/>
        <w:ind w:firstLine="508"/>
        <w:spacing w:after="0" w:line="374" w:lineRule="auto"/>
        <w:tabs>
          <w:tab w:leader="none" w:pos="793" w:val="left"/>
        </w:tabs>
        <w:numPr>
          <w:ilvl w:val="0"/>
          <w:numId w:val="2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déterminer les modalités et les conditions d'une augmentation du capital social émis, incluant, mais pas uniquement, le lieu et la date de l'émission ou des émissions successives, le prix d'émission, le nombre d'Actions nouvelles à émettre, que les nouvelles Actions soient à émettre ou souscrire, avec ou sans prime d'émission et les conditions et modalités de souscription et de libération des Actions nouvelles (en espèce ou en nature ou par incorporation de réserves disponibles sur le compte d'apport en capital (compte 115 "Apport en capitaux propres non rémunéré par des titres"), sur le compte de prime d'émission ou les bénéfices non distribués). Si la contrepartie payable à la Société pour les Actions nouvellement émises excède le pair comptable de ces Actions, l'excès est à traiter comme de la prime d'émission relatives aux Actions dans les livres de la Société;</w:t>
      </w:r>
    </w:p>
    <w:p>
      <w:pPr>
        <w:spacing w:after="0" w:line="200" w:lineRule="exact"/>
        <w:rPr>
          <w:rFonts w:ascii="Times New Roman" w:cs="Times New Roman" w:eastAsia="Times New Roman" w:hAnsi="Times New Roman"/>
          <w:sz w:val="21"/>
          <w:szCs w:val="21"/>
          <w:i w:val="1"/>
          <w:iCs w:val="1"/>
          <w:color w:val="auto"/>
        </w:rPr>
      </w:pPr>
    </w:p>
    <w:p>
      <w:pPr>
        <w:spacing w:after="0" w:line="200" w:lineRule="exact"/>
        <w:rPr>
          <w:rFonts w:ascii="Times New Roman" w:cs="Times New Roman" w:eastAsia="Times New Roman" w:hAnsi="Times New Roman"/>
          <w:sz w:val="21"/>
          <w:szCs w:val="21"/>
          <w:i w:val="1"/>
          <w:iCs w:val="1"/>
          <w:color w:val="auto"/>
        </w:rPr>
      </w:pPr>
    </w:p>
    <w:p>
      <w:pPr>
        <w:jc w:val="both"/>
        <w:ind w:firstLine="508"/>
        <w:spacing w:after="0" w:line="381" w:lineRule="auto"/>
        <w:tabs>
          <w:tab w:leader="none" w:pos="849" w:val="left"/>
        </w:tabs>
        <w:numPr>
          <w:ilvl w:val="0"/>
          <w:numId w:val="2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supprimer ou limiter le droit de souscription préférentiel des actionnaires réservé aux seuls actionnaires existants dans le cas d'émission d'Actions contre paiement en numéraire, par émission d'Actions jusqu'à concurrence d'un montant ne dépassant pas le capital social autorisé et en annulant ou en limitant le droit préférentiel de souscription des actionnaires existants aux Actions relatives au programme d'options d'achat d'actions des salariés de la Société.</w:t>
      </w:r>
    </w:p>
    <w:p>
      <w:pPr>
        <w:spacing w:after="0" w:line="30" w:lineRule="exact"/>
        <w:rPr>
          <w:rFonts w:ascii="Times New Roman" w:cs="Times New Roman" w:eastAsia="Times New Roman" w:hAnsi="Times New Roman"/>
          <w:sz w:val="21"/>
          <w:szCs w:val="21"/>
          <w:i w:val="1"/>
          <w:iCs w:val="1"/>
          <w:color w:val="auto"/>
        </w:rPr>
      </w:pPr>
    </w:p>
    <w:p>
      <w:pPr>
        <w:jc w:val="both"/>
        <w:ind w:firstLine="508"/>
        <w:spacing w:after="0" w:line="378" w:lineRule="auto"/>
        <w:tabs>
          <w:tab w:leader="none" w:pos="819" w:val="left"/>
        </w:tabs>
        <w:numPr>
          <w:ilvl w:val="0"/>
          <w:numId w:val="2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faire tout ce qu'il sera nécessaire pour modifier l'article 5 et l'article 6 des Statuts afin de constater la modification du capital social émis et du capital social autorisé à la suite d'une augmentation de capital réalisée sur base du présent article. Le Conseil d'Administration est autorisé à faire ou à autoriser tous les actes requis pour l'exécution et la publication d'une telle modification en accord avec la Loi. Par ailleurs le Conseil d'Administration peut déléguer à n'importe quel Administrateur (tel que défini</w:t>
      </w:r>
    </w:p>
    <w:p>
      <w:pPr>
        <w:sectPr>
          <w:pgSz w:w="11900" w:h="16838" w:orient="portrait"/>
          <w:cols w:equalWidth="0" w:num="1">
            <w:col w:w="10740"/>
          </w:cols>
          <w:pgMar w:left="820" w:top="1440"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7"/>
        <w:spacing w:after="0" w:line="381" w:lineRule="auto"/>
        <w:tabs>
          <w:tab w:leader="none" w:pos="193" w:val="left"/>
        </w:tabs>
        <w:numPr>
          <w:ilvl w:val="0"/>
          <w:numId w:val="3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l'article 11) ou dirigeant de la Société, à un comité dûment mandaté ou à toute personne dûment autorisé, le pouvoir d'accepter les souscriptions et de recevoir paiement pour les Actions ou de faire tout ce qu'il sera nécessaire pour modifier l'article 5 et 6 des Statuts afin de constater la modification des Statuts à la suite d'une augmentation de capital réalisée conformément au présent article.</w:t>
      </w:r>
    </w:p>
    <w:p>
      <w:pPr>
        <w:spacing w:after="0" w:line="30"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Après chaque augmentation du capital social émis comme décrit ci-dessus, les présents Statuts devront être modifiés pour refléter une telle augmentation, sans nécessiter l'approbation additionnelle des actionnaires de la Société.</w:t>
      </w:r>
    </w:p>
    <w:p>
      <w:pPr>
        <w:spacing w:after="0" w:line="18" w:lineRule="exact"/>
        <w:rPr>
          <w:sz w:val="20"/>
          <w:szCs w:val="20"/>
          <w:color w:val="auto"/>
        </w:rPr>
      </w:pPr>
    </w:p>
    <w:p>
      <w:pPr>
        <w:jc w:val="both"/>
        <w:ind w:firstLine="501"/>
        <w:spacing w:after="0" w:line="394"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7. Actions. </w:t>
      </w:r>
      <w:r>
        <w:rPr>
          <w:rFonts w:ascii="Times New Roman" w:cs="Times New Roman" w:eastAsia="Times New Roman" w:hAnsi="Times New Roman"/>
          <w:sz w:val="21"/>
          <w:szCs w:val="21"/>
          <w:i w:val="1"/>
          <w:iCs w:val="1"/>
          <w:color w:val="auto"/>
        </w:rPr>
        <w:t>Chaque Action sera et restera sous forme nominale. Les actionnaires n'auront pas le droit de demander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la conversion des actions en Actions au porteur.</w:t>
      </w:r>
    </w:p>
    <w:p>
      <w:pPr>
        <w:spacing w:after="0" w:line="31"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Un registre des actions sera disponible pour consultation par les actionnaires de la Société au siège social de la Société conformément aux dispositions de l'Article 430-3 de la Loi et moyennant un préavis raisonnable. Chaque actionnaire a le droit de consulter le registre pendant les heures ouvrables normales conformément aux dispositions de la Loi.</w:t>
      </w:r>
    </w:p>
    <w:p>
      <w:pPr>
        <w:spacing w:after="0" w:line="24" w:lineRule="exact"/>
        <w:rPr>
          <w:sz w:val="20"/>
          <w:szCs w:val="20"/>
          <w:color w:val="auto"/>
        </w:rPr>
      </w:pPr>
    </w:p>
    <w:p>
      <w:pPr>
        <w:jc w:val="both"/>
        <w:ind w:right="20"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Chaque actionnaire notifiera à la Société tout changement d'adresse par voie de lettre recommandée. La Société pourra se prévaloir de la dernière adresse ainsi communiquée.</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La propriété des Actions résultera des inscriptions contenues dans ledit registre.</w:t>
      </w:r>
    </w:p>
    <w:p>
      <w:pPr>
        <w:spacing w:after="0" w:line="222" w:lineRule="exact"/>
        <w:rPr>
          <w:sz w:val="20"/>
          <w:szCs w:val="20"/>
          <w:color w:val="auto"/>
        </w:rPr>
      </w:pPr>
    </w:p>
    <w:p>
      <w:pPr>
        <w:jc w:val="both"/>
        <w:ind w:firstLine="501"/>
        <w:spacing w:after="0" w:line="374" w:lineRule="auto"/>
        <w:rPr>
          <w:sz w:val="20"/>
          <w:szCs w:val="20"/>
          <w:color w:val="auto"/>
        </w:rPr>
      </w:pPr>
      <w:r>
        <w:rPr>
          <w:rFonts w:ascii="Times New Roman" w:cs="Times New Roman" w:eastAsia="Times New Roman" w:hAnsi="Times New Roman"/>
          <w:sz w:val="21"/>
          <w:szCs w:val="21"/>
          <w:i w:val="1"/>
          <w:iCs w:val="1"/>
          <w:color w:val="auto"/>
        </w:rPr>
        <w:t>Toute personne qui est tenue de déclarer la propriété des Actions sur l'Annexe 13D ou 13G conformément à la Règle 13d-1 ou les changements dans cette propriété conformément à la Règle 13d-2, chacune telle qu'elle a été promulguée par la Securities and Exchange Commission des États-Unis en vertu du Securities Exchange Act de 1934, tel que modifié, doit notifier au Conseil d'Administration de la Société immédiatement après une acquisition ou une disposition à des fins déclarables et, en aucun cas plus tard que la</w:t>
      </w:r>
    </w:p>
    <w:p>
      <w:pPr>
        <w:sectPr>
          <w:pgSz w:w="11900" w:h="16838" w:orient="portrait"/>
          <w:cols w:equalWidth="0" w:num="1">
            <w:col w:w="10740"/>
          </w:cols>
          <w:pgMar w:left="820" w:top="1440" w:right="3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405" w:lineRule="auto"/>
        <w:rPr>
          <w:sz w:val="20"/>
          <w:szCs w:val="20"/>
          <w:color w:val="auto"/>
        </w:rPr>
      </w:pPr>
      <w:r>
        <w:rPr>
          <w:rFonts w:ascii="Times New Roman" w:cs="Times New Roman" w:eastAsia="Times New Roman" w:hAnsi="Times New Roman"/>
          <w:sz w:val="21"/>
          <w:szCs w:val="21"/>
          <w:i w:val="1"/>
          <w:iCs w:val="1"/>
          <w:color w:val="auto"/>
        </w:rPr>
        <w:t>date de dépôt de cette annexe 13D ou 13G, la proportion d'Actions détenue par la personne concernée suite à l'acquisition ou la disposition.</w:t>
      </w:r>
    </w:p>
    <w:p>
      <w:pPr>
        <w:spacing w:after="0" w:line="20"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Tout transfert d'Actions devra être inscrit au registre des actions conformément à la loi applicable. Le Conseil d'Administration de la Société peut déléguer ses pouvoirs en ce qui concerne l'inscription de ces transferts dans le registre des actions.</w:t>
      </w:r>
    </w:p>
    <w:p>
      <w:pPr>
        <w:spacing w:after="0" w:line="45"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Chaque Action est indivisible. En cas de détention d'une Action par plus d'une personne, la Société a le droit de suspendre les droits attachés (à l'exception des droits d'information prévus par l'article 461-6 de la Loi) jusqu'à ce qu'une seule personne ait été désignée comme son détenteur envers la Société.</w:t>
      </w:r>
    </w:p>
    <w:p>
      <w:pPr>
        <w:spacing w:after="0" w:line="45" w:lineRule="exact"/>
        <w:rPr>
          <w:sz w:val="20"/>
          <w:szCs w:val="20"/>
          <w:color w:val="auto"/>
        </w:rPr>
      </w:pPr>
    </w:p>
    <w:p>
      <w:pPr>
        <w:jc w:val="both"/>
        <w:ind w:firstLine="501"/>
        <w:spacing w:after="0" w:line="371" w:lineRule="auto"/>
        <w:rPr>
          <w:sz w:val="20"/>
          <w:szCs w:val="20"/>
          <w:color w:val="auto"/>
        </w:rPr>
      </w:pPr>
      <w:r>
        <w:rPr>
          <w:rFonts w:ascii="Times New Roman" w:cs="Times New Roman" w:eastAsia="Times New Roman" w:hAnsi="Times New Roman"/>
          <w:sz w:val="21"/>
          <w:szCs w:val="21"/>
          <w:i w:val="1"/>
          <w:iCs w:val="1"/>
          <w:color w:val="auto"/>
        </w:rPr>
        <w:t>Lorsque les Actions sont enregistrées dans le registre des actionnaires au nom d'une ou plusieurs personnes sous le nom d'un système de règlement des titres ou d'un opérateur d'un tel système de règlement des titres ou d'un opérateur d'un tel système ou au nom d'un dépositaire professionnel de titres ou de tout autre dépositaire (ces systèmes, professionnels et autres dépositaires étant ci-après définis comme étant des "</w:t>
      </w:r>
      <w:r>
        <w:rPr>
          <w:rFonts w:ascii="Times New Roman" w:cs="Times New Roman" w:eastAsia="Times New Roman" w:hAnsi="Times New Roman"/>
          <w:sz w:val="21"/>
          <w:szCs w:val="21"/>
          <w:b w:val="1"/>
          <w:bCs w:val="1"/>
          <w:i w:val="1"/>
          <w:iCs w:val="1"/>
          <w:color w:val="auto"/>
        </w:rPr>
        <w:t>Dépositaires</w:t>
      </w:r>
      <w:r>
        <w:rPr>
          <w:rFonts w:ascii="Times New Roman" w:cs="Times New Roman" w:eastAsia="Times New Roman" w:hAnsi="Times New Roman"/>
          <w:sz w:val="21"/>
          <w:szCs w:val="21"/>
          <w:i w:val="1"/>
          <w:iCs w:val="1"/>
          <w:color w:val="auto"/>
        </w:rPr>
        <w:t>" et individuellement un "</w:t>
      </w:r>
      <w:r>
        <w:rPr>
          <w:rFonts w:ascii="Times New Roman" w:cs="Times New Roman" w:eastAsia="Times New Roman" w:hAnsi="Times New Roman"/>
          <w:sz w:val="21"/>
          <w:szCs w:val="21"/>
          <w:b w:val="1"/>
          <w:bCs w:val="1"/>
          <w:i w:val="1"/>
          <w:iCs w:val="1"/>
          <w:color w:val="auto"/>
        </w:rPr>
        <w:t>Dépositaire</w:t>
      </w:r>
      <w:r>
        <w:rPr>
          <w:rFonts w:ascii="Times New Roman" w:cs="Times New Roman" w:eastAsia="Times New Roman" w:hAnsi="Times New Roman"/>
          <w:sz w:val="21"/>
          <w:szCs w:val="21"/>
          <w:i w:val="1"/>
          <w:iCs w:val="1"/>
          <w:color w:val="auto"/>
        </w:rPr>
        <w:t>") ou d'un sous-dépositaire désigné par un ou plusieurs Dépositaires(les "</w:t>
      </w:r>
      <w:r>
        <w:rPr>
          <w:rFonts w:ascii="Times New Roman" w:cs="Times New Roman" w:eastAsia="Times New Roman" w:hAnsi="Times New Roman"/>
          <w:sz w:val="21"/>
          <w:szCs w:val="21"/>
          <w:b w:val="1"/>
          <w:bCs w:val="1"/>
          <w:i w:val="1"/>
          <w:iCs w:val="1"/>
          <w:color w:val="auto"/>
        </w:rPr>
        <w:t>Détenteurs Indirects</w:t>
      </w:r>
      <w:r>
        <w:rPr>
          <w:rFonts w:ascii="Times New Roman" w:cs="Times New Roman" w:eastAsia="Times New Roman" w:hAnsi="Times New Roman"/>
          <w:sz w:val="21"/>
          <w:szCs w:val="21"/>
          <w:i w:val="1"/>
          <w:iCs w:val="1"/>
          <w:color w:val="auto"/>
        </w:rPr>
        <w:t>"), la Société, à condition d'avoir reçu un certificat en bonne et due forme du Dépositaire qui garde les Actions, permettra aux Détenteurs Indirects d'exercer les droits attachés à ces Actions, y compris l'admission et le vote aux assemblées générales, et considérera ces personnes comme étant des actionnaires pour les besoins de l'article 9. Le Conseil d'Administration peut déterminer les conditions formelles auxquelles ces certificats doivent se conformer.</w:t>
      </w:r>
    </w:p>
    <w:p>
      <w:pPr>
        <w:spacing w:after="0" w:line="46"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Nonobstant ce qui précède, la Société fera des paiements, sous forme de dividendes ou autrement, en espèces, actions ou tout autre actif, uniquement dans les mains du Dépositaire ou du sous-dépositaire inscrit au registre des actions de la Société ou conformément à leurs instructions, et ce paiement libérera la Société de toutes ses obligations relatives à celui-ci.</w:t>
      </w:r>
    </w:p>
    <w:p>
      <w:pPr>
        <w:sectPr>
          <w:pgSz w:w="11900" w:h="16838" w:orient="portrait"/>
          <w:cols w:equalWidth="0" w:num="1">
            <w:col w:w="10740"/>
          </w:cols>
          <w:pgMar w:left="820" w:top="1440" w:right="3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501"/>
        <w:spacing w:after="0" w:line="381"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8. Paiement des Actions. </w:t>
      </w:r>
      <w:r>
        <w:rPr>
          <w:rFonts w:ascii="Times New Roman" w:cs="Times New Roman" w:eastAsia="Times New Roman" w:hAnsi="Times New Roman"/>
          <w:sz w:val="21"/>
          <w:szCs w:val="21"/>
          <w:i w:val="1"/>
          <w:iCs w:val="1"/>
          <w:color w:val="auto"/>
        </w:rPr>
        <w:t>Les paiements sur les Actions non entièrement libérés à la date de la souscription devront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être effectués au moment et selon les conditions qui seront fixées de périodiquement par le Conseil d’Administration, conformément à la Loi. Toute somme appelée sur les Actions sera prélevée également sur toutes les Actions non encore libérées.</w:t>
      </w:r>
    </w:p>
    <w:p>
      <w:pPr>
        <w:spacing w:after="0" w:line="30" w:lineRule="exact"/>
        <w:rPr>
          <w:sz w:val="20"/>
          <w:szCs w:val="20"/>
          <w:color w:val="auto"/>
        </w:rPr>
      </w:pPr>
    </w:p>
    <w:p>
      <w:pPr>
        <w:jc w:val="both"/>
        <w:ind w:firstLine="501"/>
        <w:spacing w:after="0" w:line="372"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9. Augmentation et Réduction du Capital Social. </w:t>
      </w:r>
      <w:r>
        <w:rPr>
          <w:rFonts w:ascii="Times New Roman" w:cs="Times New Roman" w:eastAsia="Times New Roman" w:hAnsi="Times New Roman"/>
          <w:sz w:val="21"/>
          <w:szCs w:val="21"/>
          <w:i w:val="1"/>
          <w:iCs w:val="1"/>
          <w:color w:val="auto"/>
        </w:rPr>
        <w:t>Le capital social émis et le capital social autorisé de la Société</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peut être augmenté ou réduit, en une ou en plusieurs fois, par résolution de l'assemblée générale des actionnaires votant aux conditions de quorum et de majorité déterminées par ces Statuts ou, le cas échéant, par la Loi pour toute modification des statuts. À moins d'être émises en vertu d'une décision du Conseil d'Administration ou d'un représentant dûment autorisé de celui-ci, suite aux pouvoirs conférés au Conseil d'Administration, des articles 5 et 6, les nouvelles Actions devant être souscrites par un apport en numéraire seront proposées par préférence aux actionnaires existants, au prorata de la part du capital social détenue par ces actionnaires. Le Conseil d'Administration, déterminera le délai dans lequel le droit préférentiel de souscription devra être exercé. Ce délai ne pourra pas être inférieur à trente (30) jours.</w:t>
      </w:r>
    </w:p>
    <w:p>
      <w:pPr>
        <w:spacing w:after="0" w:line="55"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Nonobstant ce qui précède, l'assemblée générale des actionnaires, votant aux conditions de quorum et de majorité requises pour toute modification des Statuts pourra limiter ou révoquer le droit préférentiel de souscription, ou autoriser le Conseil d'Administration à agir ainsi en cas d'augmentation du capital social dans le cadre du capital autorisé.</w:t>
      </w:r>
    </w:p>
    <w:p>
      <w:pPr>
        <w:spacing w:after="0" w:line="45"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Le droit préférentiel de souscription pourra aussi être révoqué individuellement par les actionnaires, ou par l'assemblée générale, votant aux conditions de quorum et de majorité requises pour les modifications des Statuts et à la condition que la suppression du droit de souscription préférentiel soit expressément mentionnée dans la liste des actionnaires présents.</w:t>
      </w:r>
    </w:p>
    <w:p>
      <w:pPr>
        <w:sectPr>
          <w:pgSz w:w="11900" w:h="16838" w:orient="portrait"/>
          <w:cols w:equalWidth="0" w:num="1">
            <w:col w:w="10740"/>
          </w:cols>
          <w:pgMar w:left="820" w:top="1440"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 droit de souscription préférentiel n'est pas applicable lorsque le capital social est augmenté par apports en nature.</w:t>
      </w:r>
    </w:p>
    <w:p>
      <w:pPr>
        <w:spacing w:after="0" w:line="220" w:lineRule="exact"/>
        <w:rPr>
          <w:sz w:val="20"/>
          <w:szCs w:val="20"/>
          <w:color w:val="auto"/>
        </w:rPr>
      </w:pPr>
    </w:p>
    <w:p>
      <w:pPr>
        <w:jc w:val="both"/>
        <w:ind w:firstLine="501"/>
        <w:spacing w:after="0" w:line="381"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10. Acquisition ou Rachat d'Actions Propres. </w:t>
      </w:r>
      <w:r>
        <w:rPr>
          <w:rFonts w:ascii="Times New Roman" w:cs="Times New Roman" w:eastAsia="Times New Roman" w:hAnsi="Times New Roman"/>
          <w:sz w:val="21"/>
          <w:szCs w:val="21"/>
          <w:i w:val="1"/>
          <w:iCs w:val="1"/>
          <w:color w:val="auto"/>
        </w:rPr>
        <w:t>La Société peut acquérir ou racheter ses propres Actions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conformément à la Loi Elle peut détenir les Actions ainsi acquises ou rachetées. Dans le présent article 10, les "Actions propres" correspondent aux Actions acquises ou rachetées et détenues par la Société.</w:t>
      </w:r>
    </w:p>
    <w:p>
      <w:pPr>
        <w:spacing w:after="0" w:line="44"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Les droits de vote attachés aux Actions Propres sont suspendus et ne sont pas pris en compte dans la détermination du quorum et de la majorité aux assemblées générales des actionnaires. Le Conseil d'Administration est autorisé à suspendre le droit au dividende attaché aux Actions Propres. Dans ce cas, le Conseil d'Administration peut décider sur le bénéfice distribuable conformément à l'article 430-18 de la Loi.</w:t>
      </w:r>
    </w:p>
    <w:p>
      <w:pPr>
        <w:spacing w:after="0" w:line="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III. Administrateurs, Conseil d’Administrtion, Commissaires aux comptes</w:t>
      </w:r>
    </w:p>
    <w:p>
      <w:pPr>
        <w:spacing w:after="0" w:line="209" w:lineRule="exact"/>
        <w:rPr>
          <w:sz w:val="20"/>
          <w:szCs w:val="20"/>
          <w:color w:val="auto"/>
        </w:rPr>
      </w:pPr>
    </w:p>
    <w:p>
      <w:pPr>
        <w:jc w:val="both"/>
        <w:ind w:firstLine="501"/>
        <w:spacing w:after="0" w:line="3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11. Conseil d'Administration. </w:t>
      </w:r>
      <w:r>
        <w:rPr>
          <w:rFonts w:ascii="Times New Roman" w:cs="Times New Roman" w:eastAsia="Times New Roman" w:hAnsi="Times New Roman"/>
          <w:sz w:val="21"/>
          <w:szCs w:val="21"/>
          <w:i w:val="1"/>
          <w:iCs w:val="1"/>
          <w:color w:val="auto"/>
        </w:rPr>
        <w:t>La Société est dirigée par un conseil d'administration (le "</w:t>
      </w:r>
      <w:r>
        <w:rPr>
          <w:rFonts w:ascii="Times New Roman" w:cs="Times New Roman" w:eastAsia="Times New Roman" w:hAnsi="Times New Roman"/>
          <w:sz w:val="21"/>
          <w:szCs w:val="21"/>
          <w:b w:val="1"/>
          <w:bCs w:val="1"/>
          <w:i w:val="1"/>
          <w:iCs w:val="1"/>
          <w:color w:val="auto"/>
        </w:rPr>
        <w:t>Conseil d'Administration</w:t>
      </w:r>
      <w:r>
        <w:rPr>
          <w:rFonts w:ascii="Times New Roman" w:cs="Times New Roman" w:eastAsia="Times New Roman" w:hAnsi="Times New Roman"/>
          <w:sz w:val="21"/>
          <w:szCs w:val="21"/>
          <w:i w:val="1"/>
          <w:iCs w:val="1"/>
          <w:color w:val="auto"/>
        </w:rPr>
        <w:t>") composé d'au moins trois (3) membres et au maximum de sept (7) membres (chacun d'entre eux désigné</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comme un "</w:t>
      </w:r>
      <w:r>
        <w:rPr>
          <w:rFonts w:ascii="Times New Roman" w:cs="Times New Roman" w:eastAsia="Times New Roman" w:hAnsi="Times New Roman"/>
          <w:sz w:val="21"/>
          <w:szCs w:val="21"/>
          <w:b w:val="1"/>
          <w:bCs w:val="1"/>
          <w:i w:val="1"/>
          <w:iCs w:val="1"/>
          <w:color w:val="auto"/>
        </w:rPr>
        <w:t>Administrateur</w:t>
      </w:r>
      <w:r>
        <w:rPr>
          <w:rFonts w:ascii="Times New Roman" w:cs="Times New Roman" w:eastAsia="Times New Roman" w:hAnsi="Times New Roman"/>
          <w:sz w:val="21"/>
          <w:szCs w:val="21"/>
          <w:i w:val="1"/>
          <w:iCs w:val="1"/>
          <w:color w:val="auto"/>
        </w:rPr>
        <w:t>") qui ne devront pas être des actionnaires.</w:t>
      </w:r>
    </w:p>
    <w:p>
      <w:pPr>
        <w:spacing w:after="0" w:line="37"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L'/Les Administrateur(s) est/sont nommé(s) par l'assemblée générale des actionnaires, qui fixe leur nombre et la durée de leur mandat, qui n'excédera pas six (6) ans et ils resteront en fonction jusqu'à ce que leurs successeurs soient élus. L'/Les Administrateur(s) peuvent être réélus pour des mandats successifs et peuvent être révoqués à tout moment, avec ou sans motif, par une résolution de l'assemblée générale des actionnaires.</w:t>
      </w:r>
    </w:p>
    <w:p>
      <w:pPr>
        <w:spacing w:after="0" w:line="5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Si une personne morale est nommée aux fonctions d'Administrateur, il devra désigner une personne physique en qualité de représentant permanent, qui représentera la personne morale en tant que membre du Conseil d'Administration, conformément à l'article 441-3 de la Loi. En cas de vacance au Conseil d'Administration, si applicable, l'/les Administrateur(s) restant(s)</w:t>
      </w:r>
    </w:p>
    <w:p>
      <w:pPr>
        <w:sectPr>
          <w:pgSz w:w="11900" w:h="16838" w:orient="portrait"/>
          <w:cols w:equalWidth="0" w:num="1">
            <w:col w:w="10740"/>
          </w:cols>
          <w:pgMar w:left="820" w:top="1440"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405" w:lineRule="auto"/>
        <w:rPr>
          <w:sz w:val="20"/>
          <w:szCs w:val="20"/>
          <w:color w:val="auto"/>
        </w:rPr>
      </w:pPr>
      <w:r>
        <w:rPr>
          <w:rFonts w:ascii="Times New Roman" w:cs="Times New Roman" w:eastAsia="Times New Roman" w:hAnsi="Times New Roman"/>
          <w:sz w:val="21"/>
          <w:szCs w:val="21"/>
          <w:i w:val="1"/>
          <w:iCs w:val="1"/>
          <w:color w:val="auto"/>
        </w:rPr>
        <w:t>pourra/pourront se réunir et élire un administrateur pour remplir ce poste vacant à titre provisoire jusqu'à la prochaine assemblée générale des actionnaires.</w:t>
      </w:r>
    </w:p>
    <w:p>
      <w:pPr>
        <w:spacing w:after="0" w:line="18" w:lineRule="exact"/>
        <w:rPr>
          <w:sz w:val="20"/>
          <w:szCs w:val="20"/>
          <w:color w:val="auto"/>
        </w:rPr>
      </w:pPr>
    </w:p>
    <w:p>
      <w:pPr>
        <w:jc w:val="both"/>
        <w:ind w:firstLine="501"/>
        <w:spacing w:after="0" w:line="3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12. Réunions du Conseil d'Administration. </w:t>
      </w:r>
      <w:r>
        <w:rPr>
          <w:rFonts w:ascii="Times New Roman" w:cs="Times New Roman" w:eastAsia="Times New Roman" w:hAnsi="Times New Roman"/>
          <w:sz w:val="21"/>
          <w:szCs w:val="21"/>
          <w:i w:val="1"/>
          <w:iCs w:val="1"/>
          <w:color w:val="auto"/>
        </w:rPr>
        <w:t>Le Conseil d'Administration choisira parmi ses membres un président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(le "</w:t>
      </w:r>
      <w:r>
        <w:rPr>
          <w:rFonts w:ascii="Times New Roman" w:cs="Times New Roman" w:eastAsia="Times New Roman" w:hAnsi="Times New Roman"/>
          <w:sz w:val="21"/>
          <w:szCs w:val="21"/>
          <w:b w:val="1"/>
          <w:bCs w:val="1"/>
          <w:i w:val="1"/>
          <w:iCs w:val="1"/>
          <w:color w:val="auto"/>
        </w:rPr>
        <w:t>Président</w:t>
      </w:r>
      <w:r>
        <w:rPr>
          <w:rFonts w:ascii="Times New Roman" w:cs="Times New Roman" w:eastAsia="Times New Roman" w:hAnsi="Times New Roman"/>
          <w:sz w:val="21"/>
          <w:szCs w:val="21"/>
          <w:i w:val="1"/>
          <w:iCs w:val="1"/>
          <w:color w:val="auto"/>
        </w:rPr>
        <w:t>"). Il pourra également choisir un secrétaire qui n'a pas besoin d'être Administrateur et qui sera responsable des procès-verbaux des réunions du Conseil d'Administration et des assemblées générales des actionnaires (le "</w:t>
      </w:r>
      <w:r>
        <w:rPr>
          <w:rFonts w:ascii="Times New Roman" w:cs="Times New Roman" w:eastAsia="Times New Roman" w:hAnsi="Times New Roman"/>
          <w:sz w:val="21"/>
          <w:szCs w:val="21"/>
          <w:b w:val="1"/>
          <w:bCs w:val="1"/>
          <w:i w:val="1"/>
          <w:iCs w:val="1"/>
          <w:color w:val="auto"/>
        </w:rPr>
        <w:t>Secrétaire</w:t>
      </w:r>
      <w:r>
        <w:rPr>
          <w:rFonts w:ascii="Times New Roman" w:cs="Times New Roman" w:eastAsia="Times New Roman" w:hAnsi="Times New Roman"/>
          <w:sz w:val="21"/>
          <w:szCs w:val="21"/>
          <w:i w:val="1"/>
          <w:iCs w:val="1"/>
          <w:color w:val="auto"/>
        </w:rPr>
        <w:t>"). Si le Secrétaire n'est pas un Administrateur, une telle personne devra observer les dispositions relatives à la confidentialité telles qu'énoncées à l'article 15 des présents Statuts sous la responsabilité du Conseil d'Administration.</w:t>
      </w:r>
    </w:p>
    <w:p>
      <w:pPr>
        <w:spacing w:after="0" w:line="37"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 Conseil d'Administration se réunira sur convocation du Président. Une réunion du Conseil d'Administration devra être convoquée si deux Administrateurs le requièrent.</w:t>
      </w:r>
    </w:p>
    <w:p>
      <w:pPr>
        <w:spacing w:after="0" w:line="20"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 Président présidera toutes les réunions du Conseil d'Administration, sauf qu'en son absence, le Conseil d'Administration pourra désigner un autre Administrateur pour présider la réunion.</w:t>
      </w:r>
    </w:p>
    <w:p>
      <w:pPr>
        <w:spacing w:after="0" w:line="6"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Sauf en cas d'urgence ou avec l'accord préalable de toutes les personnes autorisées à participer, une convocation écrite de toute réunion du Conseil d'administration sera donnée avec un préavis d'au moins vingt-quatre (24) heures. La convocation indiquera le lieu, la date et l'heure de la réunion, ainsi que l'ordre du jour et la nature des questions à traiter.</w:t>
      </w:r>
    </w:p>
    <w:p>
      <w:pPr>
        <w:spacing w:after="0" w:line="2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Il pourra être passé outre cette convocation avec l'accord écrit unanime de tous les Administrateurs. Une convocation spéciale ne sera pas requise pour les réunions se tenant à une date et à un endroit déterminés dans un calendrier préalablement adopté par le Conseil d'Administration.</w:t>
      </w:r>
    </w:p>
    <w:p>
      <w:pPr>
        <w:spacing w:after="0" w:line="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Les réunions du Conseil d'administration se tiendront à l'endroit indiqué dans la convocation à la réunion.</w:t>
      </w:r>
    </w:p>
    <w:p>
      <w:pPr>
        <w:sectPr>
          <w:pgSz w:w="11900" w:h="16838" w:orient="portrait"/>
          <w:cols w:equalWidth="0" w:num="1">
            <w:col w:w="10740"/>
          </w:cols>
          <w:pgMar w:left="820" w:top="1440"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Tout Administrateur pourra se faire représenter aux réunions du Conseil d'Administration en désignant par écrit un autre Administrateur comme son mandataire.</w:t>
      </w:r>
    </w:p>
    <w:p>
      <w:pPr>
        <w:spacing w:after="0" w:line="2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Le quorum du Conseil d'Administration ou de l'un de ses Comités (tel que défini à l'article 16) correspond à la présence ou la représentation d'au moins cinquante pour cent (50%) des Administrateurs ou des membres du Comité, le cas échéant, en fonction (étant entendu que la présence ou la représentation d'au moins deux (2) membres du Conseil d'administration ou du Comité, le cas échéant, est requise).</w:t>
      </w:r>
    </w:p>
    <w:p>
      <w:pPr>
        <w:spacing w:after="0" w:line="50" w:lineRule="exact"/>
        <w:rPr>
          <w:sz w:val="20"/>
          <w:szCs w:val="20"/>
          <w:color w:val="auto"/>
        </w:rPr>
      </w:pPr>
    </w:p>
    <w:p>
      <w:pPr>
        <w:jc w:val="both"/>
        <w:ind w:firstLine="501"/>
        <w:spacing w:after="0" w:line="392" w:lineRule="auto"/>
        <w:rPr>
          <w:sz w:val="20"/>
          <w:szCs w:val="20"/>
          <w:color w:val="auto"/>
        </w:rPr>
      </w:pPr>
      <w:r>
        <w:rPr>
          <w:rFonts w:ascii="Times New Roman" w:cs="Times New Roman" w:eastAsia="Times New Roman" w:hAnsi="Times New Roman"/>
          <w:sz w:val="21"/>
          <w:szCs w:val="21"/>
          <w:i w:val="1"/>
          <w:iCs w:val="1"/>
          <w:color w:val="auto"/>
        </w:rPr>
        <w:t>Les décisions sont prises à la majorité des votes des Administrateurs présents ou représentés à la réunion. En cas d'égalité des voix, le Président, ou, le cas échéant, le président pro tempore, aura voix prépondérante.</w:t>
      </w:r>
    </w:p>
    <w:p>
      <w:pPr>
        <w:spacing w:after="0" w:line="33"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Un ou plusieurs Administrateurs peuvent participer à une réunion par conférence téléphonique, vidéoconférence ou tout moyen de télécommunication similaire permettant à plusieurs personnes y participant de communiquer simultanément l'une avec l'autre. De telles participations doivent être considérées comme équivalentes à une présence physique à une réunion tenue au siège social de la Société.</w:t>
      </w:r>
    </w:p>
    <w:p>
      <w:pPr>
        <w:spacing w:after="0" w:line="5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Une décision écrite, signée par tous les Administrateurs, est correcte et valable comme si elle avait été adoptée lors d'une réunion du Conseil d'Administration dûment convoquée et tenue. Une telle décision peut être consignée dans un document unique, signée par tous les Administrateurs, ou dans documents identiques séparés, chacun d’eux signé par un Administrateur.</w:t>
      </w:r>
    </w:p>
    <w:p>
      <w:pPr>
        <w:spacing w:after="0" w:line="50"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Les Administrateurs assument, en vertu de leur mandat, aucune responsabilité personnelle pour un engagement valablement pris par eux au nom de la Société.</w:t>
      </w:r>
    </w:p>
    <w:p>
      <w:pPr>
        <w:spacing w:after="0" w:line="4"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13. Procès-verbaux du Conseil d'Administration. </w:t>
      </w:r>
      <w:r>
        <w:rPr>
          <w:rFonts w:ascii="Times New Roman" w:cs="Times New Roman" w:eastAsia="Times New Roman" w:hAnsi="Times New Roman"/>
          <w:sz w:val="21"/>
          <w:szCs w:val="21"/>
          <w:i w:val="1"/>
          <w:iCs w:val="1"/>
          <w:color w:val="auto"/>
        </w:rPr>
        <w:t>Les procès-verbaux de la réunion du Conseil d'Administration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doivent être signés par le Président ou le Secrétaire.</w:t>
      </w:r>
    </w:p>
    <w:p>
      <w:pPr>
        <w:sectPr>
          <w:pgSz w:w="11900" w:h="16838" w:orient="portrait"/>
          <w:cols w:equalWidth="0" w:num="1">
            <w:col w:w="10740"/>
          </w:cols>
          <w:pgMar w:left="820" w:top="1440"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Les copies ou les extraits de ceux-ci doivent être certifiées par le Secrétaire du Conseil d'Administration.</w:t>
      </w:r>
    </w:p>
    <w:p>
      <w:pPr>
        <w:spacing w:after="0" w:line="220" w:lineRule="exact"/>
        <w:rPr>
          <w:sz w:val="20"/>
          <w:szCs w:val="20"/>
          <w:color w:val="auto"/>
        </w:rPr>
      </w:pPr>
    </w:p>
    <w:p>
      <w:pPr>
        <w:jc w:val="both"/>
        <w:ind w:firstLine="501"/>
        <w:spacing w:after="0" w:line="3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14. Pouvoirs Généraux des Administrateurs. </w:t>
      </w:r>
      <w:r>
        <w:rPr>
          <w:rFonts w:ascii="Times New Roman" w:cs="Times New Roman" w:eastAsia="Times New Roman" w:hAnsi="Times New Roman"/>
          <w:sz w:val="21"/>
          <w:szCs w:val="21"/>
          <w:i w:val="1"/>
          <w:iCs w:val="1"/>
          <w:color w:val="auto"/>
        </w:rPr>
        <w:t>Le Conseil d'Administration est investi des pouvoirs les plus étendus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pour agir au nom et pour le compte de la Société et pour accomplir et autoriser tous les actes d'administration ou de disposition qui sont nécessaires ou utiles pour la réalisation de l'objet social de la Société. Tous les pouvoirs qui ne sont pas expressément réservés par la Loi ou par les présents Statuts à l'assemblée générale des actionnaires sont de la compétence du Conseil d'Administration.</w:t>
      </w:r>
    </w:p>
    <w:p>
      <w:pPr>
        <w:spacing w:after="0" w:line="50"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Le Conseil d'Administration, peut librement décider de rembourser tout compte de prime d'émission ou les réserves disponibles ou les fonds disponibles sur le compte d'apport en capital (compte 115 "Apport en capitaux propres non rémunéré par des titres") de la Société à ses actionnaires, conformément aux dispositions de la Loi.</w:t>
      </w:r>
    </w:p>
    <w:p>
      <w:pPr>
        <w:spacing w:after="0" w:line="43" w:lineRule="exact"/>
        <w:rPr>
          <w:sz w:val="20"/>
          <w:szCs w:val="20"/>
          <w:color w:val="auto"/>
        </w:rPr>
      </w:pPr>
    </w:p>
    <w:p>
      <w:pPr>
        <w:jc w:val="both"/>
        <w:ind w:firstLine="501"/>
        <w:spacing w:after="0" w:line="37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15. Confidentialité. </w:t>
      </w:r>
      <w:r>
        <w:rPr>
          <w:rFonts w:ascii="Times New Roman" w:cs="Times New Roman" w:eastAsia="Times New Roman" w:hAnsi="Times New Roman"/>
          <w:sz w:val="21"/>
          <w:szCs w:val="21"/>
          <w:i w:val="1"/>
          <w:iCs w:val="1"/>
          <w:color w:val="auto"/>
        </w:rPr>
        <w:t>Après le terme de leur mandat, le(s) Administrateur(s) resteront tenus de ne pas révéler les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informations relatives à la Société qui pourraient contrevenir aux intérêts de cette dernière, sauf si la révélation de ces informations est requise par la loi ou l'intérêt public, conformément à et sous réserve des dispositions de l'Article 444-6 de la Loi.</w:t>
      </w:r>
    </w:p>
    <w:p>
      <w:pPr>
        <w:spacing w:after="0" w:line="46" w:lineRule="exact"/>
        <w:rPr>
          <w:sz w:val="20"/>
          <w:szCs w:val="20"/>
          <w:color w:val="auto"/>
        </w:rPr>
      </w:pPr>
    </w:p>
    <w:p>
      <w:pPr>
        <w:jc w:val="both"/>
        <w:ind w:firstLine="501"/>
        <w:spacing w:after="0" w:line="37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Art.16. Comités, Délégation de Pouvoir. </w:t>
      </w:r>
      <w:r>
        <w:rPr>
          <w:rFonts w:ascii="Times New Roman" w:cs="Times New Roman" w:eastAsia="Times New Roman" w:hAnsi="Times New Roman"/>
          <w:sz w:val="21"/>
          <w:szCs w:val="21"/>
          <w:i w:val="1"/>
          <w:iCs w:val="1"/>
          <w:color w:val="auto"/>
        </w:rPr>
        <w:t>Le Conseil d'Administration peut nommer des comités, incluant sans s'y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limiter, un Comité Exécutif, un Comité d'Audit, un Comité de Nomination et de Gouvernance et un Comité de Compensation (un "</w:t>
      </w:r>
      <w:r>
        <w:rPr>
          <w:rFonts w:ascii="Times New Roman" w:cs="Times New Roman" w:eastAsia="Times New Roman" w:hAnsi="Times New Roman"/>
          <w:sz w:val="21"/>
          <w:szCs w:val="21"/>
          <w:b w:val="1"/>
          <w:bCs w:val="1"/>
          <w:i w:val="1"/>
          <w:iCs w:val="1"/>
          <w:color w:val="auto"/>
        </w:rPr>
        <w:t>Comité</w:t>
      </w:r>
      <w:r>
        <w:rPr>
          <w:rFonts w:ascii="Times New Roman" w:cs="Times New Roman" w:eastAsia="Times New Roman" w:hAnsi="Times New Roman"/>
          <w:sz w:val="21"/>
          <w:szCs w:val="21"/>
          <w:i w:val="1"/>
          <w:iCs w:val="1"/>
          <w:color w:val="auto"/>
        </w:rPr>
        <w:t>" et collectivement des "</w:t>
      </w:r>
      <w:r>
        <w:rPr>
          <w:rFonts w:ascii="Times New Roman" w:cs="Times New Roman" w:eastAsia="Times New Roman" w:hAnsi="Times New Roman"/>
          <w:sz w:val="21"/>
          <w:szCs w:val="21"/>
          <w:b w:val="1"/>
          <w:bCs w:val="1"/>
          <w:i w:val="1"/>
          <w:iCs w:val="1"/>
          <w:color w:val="auto"/>
        </w:rPr>
        <w:t>Comités</w:t>
      </w:r>
      <w:r>
        <w:rPr>
          <w:rFonts w:ascii="Times New Roman" w:cs="Times New Roman" w:eastAsia="Times New Roman" w:hAnsi="Times New Roman"/>
          <w:sz w:val="21"/>
          <w:szCs w:val="21"/>
          <w:i w:val="1"/>
          <w:iCs w:val="1"/>
          <w:color w:val="auto"/>
        </w:rPr>
        <w:t>"). Le Conseil d'Administration déterminera la composition et l'objet de chacun de ces Comités.</w:t>
      </w:r>
    </w:p>
    <w:p>
      <w:pPr>
        <w:spacing w:after="0" w:line="48"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Le Conseil d'Administration peut déléguer ses pouvoirs relatifs à la conduite de la gestion et des affaires journalières de la Société à un ou plusieurs membres du Conseil d'Administration, gérants ou autre dirigeant qui n'ont pas besoin d'être actionnaire de la Société Actionnaire de la Société,</w:t>
      </w:r>
    </w:p>
    <w:p>
      <w:pPr>
        <w:sectPr>
          <w:pgSz w:w="11900" w:h="16838" w:orient="portrait"/>
          <w:cols w:equalWidth="0" w:num="1">
            <w:col w:w="10740"/>
          </w:cols>
          <w:pgMar w:left="82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y compris sous la forme d'un Comité Exécutif, selon les termes et les pouvoirs que le Conseil d'Administration déterminera.</w:t>
      </w:r>
    </w:p>
    <w:p>
      <w:pPr>
        <w:spacing w:after="0" w:line="222" w:lineRule="exact"/>
        <w:rPr>
          <w:sz w:val="20"/>
          <w:szCs w:val="20"/>
          <w:color w:val="auto"/>
        </w:rPr>
      </w:pPr>
    </w:p>
    <w:p>
      <w:pPr>
        <w:jc w:val="both"/>
        <w:ind w:firstLine="501"/>
        <w:spacing w:after="0" w:line="372" w:lineRule="auto"/>
        <w:rPr>
          <w:sz w:val="20"/>
          <w:szCs w:val="20"/>
          <w:color w:val="auto"/>
        </w:rPr>
      </w:pPr>
      <w:r>
        <w:rPr>
          <w:rFonts w:ascii="Times New Roman" w:cs="Times New Roman" w:eastAsia="Times New Roman" w:hAnsi="Times New Roman"/>
          <w:sz w:val="21"/>
          <w:szCs w:val="21"/>
          <w:i w:val="1"/>
          <w:iCs w:val="1"/>
          <w:color w:val="auto"/>
        </w:rPr>
        <w:t>Le Conseil d'Administration pourra également déléguer ses pouvoirs de direction à un comité de direction ou à un directeur général, conformément aux et sous réserves des dispositions de l'Article 441-11 de la Loi. Le Conseil d'Administration sera autorisé à déterminer les conditions de leur nomination, révocation, rémunérations (le cas échéant), durée de mandat et procédure décisionnelle. Le Conseil d'Administration supervisera le comité de direction et le directeur général, le cas échéant. Les membres du comité de direction et le directeur général, le cas échéant, devront se conformer à la procédure de conflits d'intérêts prévue à l'Article 441-12 de la Loi, ainsi qu'aux obligations de confidentialité prévues à l'Article 444-6 de la Loi.</w:t>
      </w:r>
    </w:p>
    <w:p>
      <w:pPr>
        <w:spacing w:after="0" w:line="43"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Le Conseil d'Administration peut aussi conférer certains pouvoirs et/ou mandats spéciaux à un ou plusieurs membres du Conseil d'Administration ou à toute autre personne, qui n'a pas besoin d'être Administrateur ou actionnaire de la Société, agissant seul ou conjointement, selon les termes et avec les pouvoirs tels que déterminés par le Conseil d'Administration.</w:t>
      </w:r>
    </w:p>
    <w:p>
      <w:pPr>
        <w:spacing w:after="0" w:line="2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Lorsque le Conseil d'Administration délègue son pouvoir pour assurer la gestion journalière comme l'autorise les présents Statuts, alors le Conseil d'Administration doit reporter chaque année à l'assemblée générale annuelle des actionnaires le salaire, les honoraires, et tout avantage accordé au/aux délégué(s).</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Art. 17. Représentation de la Société. </w:t>
      </w:r>
      <w:r>
        <w:rPr>
          <w:rFonts w:ascii="Times New Roman" w:cs="Times New Roman" w:eastAsia="Times New Roman" w:hAnsi="Times New Roman"/>
          <w:sz w:val="21"/>
          <w:szCs w:val="21"/>
          <w:i w:val="1"/>
          <w:iCs w:val="1"/>
          <w:color w:val="auto"/>
        </w:rPr>
        <w:t>La Société sera engagée à l'égard des tiers par:</w:t>
      </w:r>
    </w:p>
    <w:p>
      <w:pPr>
        <w:spacing w:after="0" w:line="211" w:lineRule="exact"/>
        <w:rPr>
          <w:sz w:val="20"/>
          <w:szCs w:val="20"/>
          <w:color w:val="auto"/>
        </w:rPr>
      </w:pPr>
    </w:p>
    <w:p>
      <w:pPr>
        <w:ind w:left="800" w:hanging="292"/>
        <w:spacing w:after="0"/>
        <w:tabs>
          <w:tab w:leader="none" w:pos="800" w:val="left"/>
        </w:tabs>
        <w:numPr>
          <w:ilvl w:val="0"/>
          <w:numId w:val="3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conjointe de deux administrateurs;</w:t>
      </w:r>
    </w:p>
    <w:p>
      <w:pPr>
        <w:spacing w:after="0" w:line="222" w:lineRule="exact"/>
        <w:rPr>
          <w:rFonts w:ascii="Times New Roman" w:cs="Times New Roman" w:eastAsia="Times New Roman" w:hAnsi="Times New Roman"/>
          <w:sz w:val="21"/>
          <w:szCs w:val="21"/>
          <w:i w:val="1"/>
          <w:iCs w:val="1"/>
          <w:color w:val="auto"/>
        </w:rPr>
      </w:pPr>
    </w:p>
    <w:p>
      <w:pPr>
        <w:ind w:firstLine="508"/>
        <w:spacing w:after="0" w:line="392" w:lineRule="auto"/>
        <w:tabs>
          <w:tab w:leader="none" w:pos="830" w:val="left"/>
        </w:tabs>
        <w:numPr>
          <w:ilvl w:val="0"/>
          <w:numId w:val="3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individuelle du/des membre(s) d'un comité de direction, si un tel comité a été constitué par le Conseil d'Administration; et</w:t>
      </w:r>
    </w:p>
    <w:p>
      <w:pPr>
        <w:spacing w:after="0" w:line="32" w:lineRule="exact"/>
        <w:rPr>
          <w:rFonts w:ascii="Times New Roman" w:cs="Times New Roman" w:eastAsia="Times New Roman" w:hAnsi="Times New Roman"/>
          <w:sz w:val="21"/>
          <w:szCs w:val="21"/>
          <w:i w:val="1"/>
          <w:iCs w:val="1"/>
          <w:color w:val="auto"/>
        </w:rPr>
      </w:pPr>
    </w:p>
    <w:p>
      <w:pPr>
        <w:ind w:left="800" w:hanging="292"/>
        <w:spacing w:after="0"/>
        <w:tabs>
          <w:tab w:leader="none" w:pos="800" w:val="left"/>
        </w:tabs>
        <w:numPr>
          <w:ilvl w:val="0"/>
          <w:numId w:val="3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du directeur général, si un directeur général a été nommé par le Conseil d'Administration;</w:t>
      </w:r>
    </w:p>
    <w:p>
      <w:pPr>
        <w:sectPr>
          <w:pgSz w:w="11900" w:h="16838" w:orient="portrait"/>
          <w:cols w:equalWidth="0" w:num="1">
            <w:col w:w="10740"/>
          </w:cols>
          <w:pgMar w:left="8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508"/>
        <w:spacing w:after="0" w:line="405" w:lineRule="auto"/>
        <w:tabs>
          <w:tab w:leader="none" w:pos="816" w:val="left"/>
        </w:tabs>
        <w:numPr>
          <w:ilvl w:val="0"/>
          <w:numId w:val="3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individuelle de toute autre personne à qui le Conseil d'Administration a délégué la gestion journalière de la Société conformément au présent article, et seulement dans le cadre de la gestion journalière;</w:t>
      </w:r>
    </w:p>
    <w:p>
      <w:pPr>
        <w:spacing w:after="0" w:line="19" w:lineRule="exact"/>
        <w:rPr>
          <w:rFonts w:ascii="Times New Roman" w:cs="Times New Roman" w:eastAsia="Times New Roman" w:hAnsi="Times New Roman"/>
          <w:sz w:val="21"/>
          <w:szCs w:val="21"/>
          <w:i w:val="1"/>
          <w:iCs w:val="1"/>
          <w:color w:val="auto"/>
        </w:rPr>
      </w:pPr>
    </w:p>
    <w:p>
      <w:pPr>
        <w:ind w:firstLine="508"/>
        <w:spacing w:after="0" w:line="392" w:lineRule="auto"/>
        <w:tabs>
          <w:tab w:leader="none" w:pos="970" w:val="left"/>
        </w:tabs>
        <w:numPr>
          <w:ilvl w:val="0"/>
          <w:numId w:val="3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individuelle de toute personne à laquelle l'autorité de signature a été déléguée par le Conseil d'Administration.</w:t>
      </w:r>
    </w:p>
    <w:p>
      <w:pPr>
        <w:spacing w:after="0" w:line="31" w:lineRule="exact"/>
        <w:rPr>
          <w:sz w:val="20"/>
          <w:szCs w:val="20"/>
          <w:color w:val="auto"/>
        </w:rPr>
      </w:pPr>
    </w:p>
    <w:p>
      <w:pPr>
        <w:jc w:val="both"/>
        <w:ind w:firstLine="501"/>
        <w:spacing w:after="0" w:line="372"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18. Conflit d'Intérêts. </w:t>
      </w:r>
      <w:r>
        <w:rPr>
          <w:rFonts w:ascii="Times New Roman" w:cs="Times New Roman" w:eastAsia="Times New Roman" w:hAnsi="Times New Roman"/>
          <w:sz w:val="21"/>
          <w:szCs w:val="21"/>
          <w:i w:val="1"/>
          <w:iCs w:val="1"/>
          <w:color w:val="auto"/>
        </w:rPr>
        <w:t>Aucun contrat ou autre transaction entre la Société et toute autre société ou entreprise ne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sera affecté ou invalidé du fait qu'un ou plusieurs Administrateurs, gérants, associés, membres, fondés de pouvoir ou employés de la Société ont un intérêt personnel ou en sont un administrateur, gérant, associé, membre, fondé de pouvoir ou employé d'une telle autre société ou entreprise. Sauf dispositions contraires ci-dessous, tout Administrateur, gérants, associés, membres, employés ou fondé de pouvoir valablement autorisé de la Société, en ce compris tout Administrateur qui remplira en même temps des fonctions de représentant valablement autorisé pour le compte d'une autre société ou firme avec laquelle la Société contractera ou entrera en toute relation d'affaire, ne sera pas, pour ce seul motif, automatiquement empêché de donner son avis ou d'agir quant à toutes opérations relatives à un tel contrat ou opération.</w:t>
      </w:r>
    </w:p>
    <w:p>
      <w:pPr>
        <w:spacing w:after="0" w:line="42" w:lineRule="exact"/>
        <w:rPr>
          <w:sz w:val="20"/>
          <w:szCs w:val="20"/>
          <w:color w:val="auto"/>
        </w:rPr>
      </w:pPr>
    </w:p>
    <w:p>
      <w:pPr>
        <w:jc w:val="both"/>
        <w:ind w:firstLine="501"/>
        <w:spacing w:after="0" w:line="378" w:lineRule="auto"/>
        <w:rPr>
          <w:sz w:val="20"/>
          <w:szCs w:val="20"/>
          <w:color w:val="auto"/>
        </w:rPr>
      </w:pPr>
      <w:r>
        <w:rPr>
          <w:rFonts w:ascii="Times New Roman" w:cs="Times New Roman" w:eastAsia="Times New Roman" w:hAnsi="Times New Roman"/>
          <w:sz w:val="21"/>
          <w:szCs w:val="21"/>
          <w:i w:val="1"/>
          <w:iCs w:val="1"/>
          <w:color w:val="auto"/>
        </w:rPr>
        <w:t>Nonobstant ce qui précède, au cas où un Administrateur ou un dirigent de la Société aurait un intérêt personnel dans une transaction de la Société, autre que les transactions conclues dans des conditions normales et entrant dans le cadre de la gestion quotidienne de la Société, il/elle devra faire connaitre au Conseil d'Administration (s'il en existe un) cet intérêt personnel et ne devra pas examiner ou voter une telle transaction, et cette transaction et l'intérêt de cet transaction et l'intérêt de cet administrateur ou dirigent de la Société devront être rapportés à la prochaine assemblée générale des actionnaires.</w:t>
      </w:r>
    </w:p>
    <w:p>
      <w:pPr>
        <w:spacing w:after="0" w:line="33"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La Société doit indemniser (ou, le cas échéant, avancer à) tout Administrateur et ses héritiers, exécuteurs et administrateurs testamentaires, de ses dépenses raisonnables en relation avec toute action, procès ou</w:t>
      </w:r>
    </w:p>
    <w:p>
      <w:pPr>
        <w:sectPr>
          <w:pgSz w:w="11900" w:h="16838" w:orient="portrait"/>
          <w:cols w:equalWidth="0" w:num="1">
            <w:col w:w="10740"/>
          </w:cols>
          <w:pgMar w:left="820" w:top="1440"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68" w:lineRule="auto"/>
        <w:rPr>
          <w:sz w:val="20"/>
          <w:szCs w:val="20"/>
          <w:color w:val="auto"/>
        </w:rPr>
      </w:pPr>
      <w:r>
        <w:rPr>
          <w:rFonts w:ascii="Times New Roman" w:cs="Times New Roman" w:eastAsia="Times New Roman" w:hAnsi="Times New Roman"/>
          <w:sz w:val="21"/>
          <w:szCs w:val="21"/>
          <w:i w:val="1"/>
          <w:iCs w:val="1"/>
          <w:color w:val="auto"/>
        </w:rPr>
        <w:t>procédure à laquelle il/elle a pu être partie en raison de sa fonction passée ou actuelle de Administrateur, ou, à la demande de la Société, de toute autre société dans laquelle la Société est Actionnaire ou créancière et par laquelle il/elle n'est pas autorisé</w:t>
      </w:r>
    </w:p>
    <w:p>
      <w:pPr>
        <w:spacing w:after="0" w:line="1" w:lineRule="exact"/>
        <w:rPr>
          <w:sz w:val="20"/>
          <w:szCs w:val="20"/>
          <w:color w:val="auto"/>
        </w:rPr>
      </w:pPr>
    </w:p>
    <w:p>
      <w:pPr>
        <w:jc w:val="both"/>
        <w:ind w:firstLine="7"/>
        <w:spacing w:after="0" w:line="374" w:lineRule="auto"/>
        <w:tabs>
          <w:tab w:leader="none" w:pos="172" w:val="left"/>
        </w:tabs>
        <w:numPr>
          <w:ilvl w:val="0"/>
          <w:numId w:val="33"/>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être indemnisé, excepté en relation avec les affaires pour lesquelles il/elle est finalement déclaré(e) dans de telles actions, procès et procédures responsable d'une grosse négligence ou d'une faute grave. En cas de règlement amiable d'un conflit, des indemnités doivent être accordées uniquement dans les matières en relation avec le règlement amiable du conflit pour lesquelles, selon le conseiller juridique de la Société, la personne indemnisée n'a pas commis une telle violation de ses obligations. Le droit à indemnité ci-avant n'exclut pas d'autres droits que la personne concernée pourrait revendiquer.</w:t>
      </w:r>
    </w:p>
    <w:p>
      <w:pPr>
        <w:spacing w:after="0" w:line="51" w:lineRule="exact"/>
        <w:rPr>
          <w:sz w:val="20"/>
          <w:szCs w:val="20"/>
          <w:color w:val="auto"/>
        </w:rPr>
      </w:pPr>
    </w:p>
    <w:p>
      <w:pPr>
        <w:jc w:val="both"/>
        <w:ind w:firstLine="501"/>
        <w:spacing w:after="0" w:line="381"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19. Commissaires aux Comptes. </w:t>
      </w:r>
      <w:r>
        <w:rPr>
          <w:rFonts w:ascii="Times New Roman" w:cs="Times New Roman" w:eastAsia="Times New Roman" w:hAnsi="Times New Roman"/>
          <w:sz w:val="21"/>
          <w:szCs w:val="21"/>
          <w:i w:val="1"/>
          <w:iCs w:val="1"/>
          <w:color w:val="auto"/>
        </w:rPr>
        <w:t>Les comptes annuels de la Société seront audités par un ou plusieurs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commissaires aux comptes, et, dans la mesure requise par la Loi, les règles et les règlements applicables, par un ou plusieurs réviseur(s) d'entreprises.</w:t>
      </w:r>
    </w:p>
    <w:p>
      <w:pPr>
        <w:spacing w:after="0" w:line="44" w:lineRule="exact"/>
        <w:rPr>
          <w:sz w:val="20"/>
          <w:szCs w:val="20"/>
          <w:color w:val="auto"/>
        </w:rPr>
      </w:pPr>
    </w:p>
    <w:p>
      <w:pPr>
        <w:jc w:val="both"/>
        <w:ind w:firstLine="501"/>
        <w:spacing w:after="0" w:line="374" w:lineRule="auto"/>
        <w:rPr>
          <w:sz w:val="20"/>
          <w:szCs w:val="20"/>
          <w:color w:val="auto"/>
        </w:rPr>
      </w:pPr>
      <w:r>
        <w:rPr>
          <w:rFonts w:ascii="Times New Roman" w:cs="Times New Roman" w:eastAsia="Times New Roman" w:hAnsi="Times New Roman"/>
          <w:sz w:val="21"/>
          <w:szCs w:val="21"/>
          <w:i w:val="1"/>
          <w:iCs w:val="1"/>
          <w:color w:val="auto"/>
        </w:rPr>
        <w:t>Les commissaires aux comptes ou, le cas échéant, le réviseur d'entreprises indépendant seront nommés par décision de l'assemblée générale des actionnaires, selon le cas, qui déterminera la rémunération du commissaire aux comptes ou du réviseur d'entreprises indépendant et la durée de leur mandat. Les commissaires aux comptes resteront en fonction jusqu'à ce que leurs successeurs soient élus. Ils sont rééligibles à la fin de leur mandat et ils peuvent être révoqués à tout moment, avec ou sans motif, par décision de l'assemblée générale des actionnaires.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IV. Assemblée Générale des Actionnaires</w:t>
      </w:r>
    </w:p>
    <w:p>
      <w:pPr>
        <w:spacing w:after="0" w:line="209" w:lineRule="exact"/>
        <w:rPr>
          <w:sz w:val="20"/>
          <w:szCs w:val="20"/>
          <w:color w:val="auto"/>
        </w:rPr>
      </w:pPr>
    </w:p>
    <w:p>
      <w:pPr>
        <w:jc w:val="both"/>
        <w:ind w:firstLine="501"/>
        <w:spacing w:after="0" w:line="3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20. Assemblée Générale des Actionnaires. </w:t>
      </w:r>
      <w:r>
        <w:rPr>
          <w:rFonts w:ascii="Times New Roman" w:cs="Times New Roman" w:eastAsia="Times New Roman" w:hAnsi="Times New Roman"/>
          <w:sz w:val="21"/>
          <w:szCs w:val="21"/>
          <w:i w:val="1"/>
          <w:iCs w:val="1"/>
          <w:color w:val="auto"/>
        </w:rPr>
        <w:t>L'assemblée générale annuelle sera tenue conformément aux</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dispositions de l'article 450-8 de la Loi au siège social de la Société ou à un autre endroit tel qu'indiqué dans la convocation et à l'heure indiquée dans la convocation de l'assemblée.</w:t>
      </w:r>
    </w:p>
    <w:p>
      <w:pPr>
        <w:sectPr>
          <w:pgSz w:w="11900" w:h="16838" w:orient="portrait"/>
          <w:cols w:equalWidth="0" w:num="1">
            <w:col w:w="10740"/>
          </w:cols>
          <w:pgMar w:left="82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Si ce jour est un jour férié au Luxembourg, l'assemblée se tiendra le premier jour ouvrable suivant. Ces réunions seront valablement tenues si au moins 33 1/3 % du capital social émis de la Société est présent ou représenté.</w:t>
      </w:r>
    </w:p>
    <w:p>
      <w:pPr>
        <w:spacing w:after="0" w:line="18" w:lineRule="exact"/>
        <w:rPr>
          <w:sz w:val="20"/>
          <w:szCs w:val="20"/>
          <w:color w:val="auto"/>
        </w:rPr>
      </w:pPr>
    </w:p>
    <w:p>
      <w:pPr>
        <w:jc w:val="both"/>
        <w:ind w:firstLine="501"/>
        <w:spacing w:after="0" w:line="370"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21. Autres Assemblées Générales des Actionnaires. </w:t>
      </w:r>
      <w:r>
        <w:rPr>
          <w:rFonts w:ascii="Times New Roman" w:cs="Times New Roman" w:eastAsia="Times New Roman" w:hAnsi="Times New Roman"/>
          <w:sz w:val="21"/>
          <w:szCs w:val="21"/>
          <w:i w:val="1"/>
          <w:iCs w:val="1"/>
          <w:color w:val="auto"/>
        </w:rPr>
        <w:t>Le Conseil d'Administration peut convoquer d'autres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assemblées générales. De telles assemblées doivent être convoquées si les actionnaires représentant au moins dix (10) pour cent du capital social de la Société le requièrent par écrit avec indication de l'ordre du jour de la réunion prévue. Si l'assemblée générale n'est pas tenue dans le mois suivant la date prévue, elle peut être convoquée par un agent désigné par le juge-président le Tribunal d'Arrondissement, section des affaires commerciales et statuant en référé, et ce à la requête d'un ou plusieurs actionnaires représentant le quota des dix pour cent (10%). Les assemblées générales des actionnaires, y compris l'assemblée générale annuelle, peuvent se tenir à l'étranger chaque fois que se produiront des circonstances de force majeure qui seront appréciées souverainement par le Conseil d'Administration.</w:t>
      </w:r>
    </w:p>
    <w:p>
      <w:pPr>
        <w:spacing w:after="0" w:line="56"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22. Pouvoirs de l'Assemblée Générale. </w:t>
      </w:r>
      <w:r>
        <w:rPr>
          <w:rFonts w:ascii="Times New Roman" w:cs="Times New Roman" w:eastAsia="Times New Roman" w:hAnsi="Times New Roman"/>
          <w:sz w:val="21"/>
          <w:szCs w:val="21"/>
          <w:i w:val="1"/>
          <w:iCs w:val="1"/>
          <w:color w:val="auto"/>
        </w:rPr>
        <w:t>Toute assemblée générale des actionnaires de la Société régulièrement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constituée représente l'ensemble des actionnaires.</w:t>
      </w:r>
    </w:p>
    <w:p>
      <w:pPr>
        <w:spacing w:after="0" w:line="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Sous réserve de tous les autres pouvoirs réservés au Conseil d'Administration ou par la Loi ou les Statuts, l'assemblée générale des actionnaires a le plus large pouvoir d'adopter, d'exécuter ou de ratifier tout acte relatif aux opérations de la Société.</w:t>
      </w:r>
    </w:p>
    <w:p>
      <w:pPr>
        <w:spacing w:after="0" w:line="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Les actionnaires ne doivent ni participer à ni interférer avec la direction de la Société.</w:t>
      </w:r>
    </w:p>
    <w:p>
      <w:pPr>
        <w:spacing w:after="0" w:line="2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Conformément aux dispositions du paragraphe 1 de l'article 450-1 (8)de la Loi, le Conseil d'Administration est autorisé</w:t>
      </w:r>
    </w:p>
    <w:p>
      <w:pPr>
        <w:spacing w:after="0" w:line="130" w:lineRule="exact"/>
        <w:rPr>
          <w:sz w:val="20"/>
          <w:szCs w:val="20"/>
          <w:color w:val="auto"/>
        </w:rPr>
      </w:pPr>
    </w:p>
    <w:p>
      <w:pPr>
        <w:ind w:firstLine="7"/>
        <w:spacing w:after="0" w:line="405" w:lineRule="auto"/>
        <w:tabs>
          <w:tab w:leader="none" w:pos="179" w:val="left"/>
        </w:tabs>
        <w:numPr>
          <w:ilvl w:val="0"/>
          <w:numId w:val="34"/>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suspendre les droits de vote des actionnaires qui ne respectent pas leurs obligations en vertu des présents Statuts ou des dispositions de tout accord qui peut être conclu de temps à autre entre les actionnaires.</w:t>
      </w:r>
    </w:p>
    <w:p>
      <w:pPr>
        <w:sectPr>
          <w:pgSz w:w="11900" w:h="16838" w:orient="portrait"/>
          <w:cols w:equalWidth="0" w:num="1">
            <w:col w:w="10740"/>
          </w:cols>
          <w:pgMar w:left="820" w:top="1440"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23. Procédure, Vote. </w:t>
      </w:r>
      <w:r>
        <w:rPr>
          <w:rFonts w:ascii="Times New Roman" w:cs="Times New Roman" w:eastAsia="Times New Roman" w:hAnsi="Times New Roman"/>
          <w:sz w:val="21"/>
          <w:szCs w:val="21"/>
          <w:i w:val="1"/>
          <w:iCs w:val="1"/>
          <w:color w:val="auto"/>
        </w:rPr>
        <w:t>L'assemblée générale des actionnaires se réunit sur convocation du Conseil d'Administration,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ou du commissaire aux comptes en conformité avec le droit luxembourgeois et les présents Statuts.</w:t>
      </w:r>
    </w:p>
    <w:p>
      <w:pPr>
        <w:spacing w:after="0" w:line="18" w:lineRule="exact"/>
        <w:rPr>
          <w:sz w:val="20"/>
          <w:szCs w:val="20"/>
          <w:color w:val="auto"/>
        </w:rPr>
      </w:pPr>
    </w:p>
    <w:p>
      <w:pPr>
        <w:jc w:val="both"/>
        <w:ind w:firstLine="501"/>
        <w:spacing w:after="0" w:line="392" w:lineRule="auto"/>
        <w:rPr>
          <w:sz w:val="20"/>
          <w:szCs w:val="20"/>
          <w:color w:val="auto"/>
        </w:rPr>
      </w:pPr>
      <w:r>
        <w:rPr>
          <w:rFonts w:ascii="Times New Roman" w:cs="Times New Roman" w:eastAsia="Times New Roman" w:hAnsi="Times New Roman"/>
          <w:sz w:val="21"/>
          <w:szCs w:val="21"/>
          <w:i w:val="1"/>
          <w:iCs w:val="1"/>
          <w:color w:val="auto"/>
        </w:rPr>
        <w:t>La date d'enregistrement des assemblées générales est fixée par le Conseil d'Administration avant la date de l'assemblée générale (la "</w:t>
      </w:r>
      <w:r>
        <w:rPr>
          <w:rFonts w:ascii="Times New Roman" w:cs="Times New Roman" w:eastAsia="Times New Roman" w:hAnsi="Times New Roman"/>
          <w:sz w:val="21"/>
          <w:szCs w:val="21"/>
          <w:b w:val="1"/>
          <w:bCs w:val="1"/>
          <w:i w:val="1"/>
          <w:iCs w:val="1"/>
          <w:color w:val="auto"/>
        </w:rPr>
        <w:t>Date d'Enregistrement</w:t>
      </w:r>
      <w:r>
        <w:rPr>
          <w:rFonts w:ascii="Times New Roman" w:cs="Times New Roman" w:eastAsia="Times New Roman" w:hAnsi="Times New Roman"/>
          <w:sz w:val="21"/>
          <w:szCs w:val="21"/>
          <w:i w:val="1"/>
          <w:iCs w:val="1"/>
          <w:color w:val="auto"/>
        </w:rPr>
        <w:t>").</w:t>
      </w:r>
    </w:p>
    <w:p>
      <w:pPr>
        <w:spacing w:after="0" w:line="33"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Les actionnaires doivent notifier à la Société leur intention de participer à l'assemblée générale par voie postale ou par tout moyen électronique à l'adresse postale ou électronique indiquée dans la convocation, au plus tard le jour fixé par le Conseil d'Administration, qui ne doit pas intervenir avant la Date d'Enregistrement, indiquée dans la convocation.</w:t>
      </w:r>
    </w:p>
    <w:p>
      <w:pPr>
        <w:spacing w:after="0" w:line="2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Les documents devant être soumis aux actionnaires dans le cadre de l'assemblée générale seront publiés sur le site web de la Société ou mis à disposition, à la demande d’un Actionnaire, pour consultation au siège social de la Société, conformément aux exigences de la législation en vigueur.</w:t>
      </w:r>
    </w:p>
    <w:p>
      <w:pPr>
        <w:spacing w:after="0" w:line="24"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La convocation envoyée aux actionnaires en conformité avec la Loi, spécifiera la date, l'heure, l'endroit ainsi que l'ordre du jour et la nature des questions devant être traitées lors de l'assemblée.</w:t>
      </w:r>
    </w:p>
    <w:p>
      <w:pPr>
        <w:spacing w:after="0" w:line="2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Un actionnaire peut agir à toute assemblée des actionnaires en désignant par écrit, en original ou par voie électronique (valable selon la loi Luxembourgeoise), en tant que son mandataire, une autre personne qui n'a pas besoin d'être actionnaire et en notifiant cette désignation par voie postale ou par tout moyen électronique à l'adresse postale ou électronique indiquée dans la convocation.</w:t>
      </w:r>
    </w:p>
    <w:p>
      <w:pPr>
        <w:spacing w:after="0" w:line="50"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Le Conseil d'Administration peut déterminer toutes autres conditions qui doivent être remplies pour participer à une assemblée générale des actionnaires. Le Président ou toute autre personne désignée par le Conseil d’Administration présidera l'assemblée générale des actionnaires.</w:t>
      </w:r>
    </w:p>
    <w:p>
      <w:pPr>
        <w:sectPr>
          <w:pgSz w:w="11900" w:h="16838" w:orient="portrait"/>
          <w:cols w:equalWidth="0" w:num="1">
            <w:col w:w="10740"/>
          </w:cols>
          <w:pgMar w:left="820" w:top="1440" w:right="3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501"/>
        <w:spacing w:after="0" w:line="376" w:lineRule="auto"/>
        <w:rPr>
          <w:sz w:val="20"/>
          <w:szCs w:val="20"/>
          <w:color w:val="auto"/>
        </w:rPr>
      </w:pPr>
      <w:r>
        <w:rPr>
          <w:rFonts w:ascii="Times New Roman" w:cs="Times New Roman" w:eastAsia="Times New Roman" w:hAnsi="Times New Roman"/>
          <w:sz w:val="21"/>
          <w:szCs w:val="21"/>
          <w:i w:val="1"/>
          <w:iCs w:val="1"/>
          <w:color w:val="auto"/>
        </w:rPr>
        <w:t>Les résolutions visant à modifier les présents Statuts ou à changer la nationalité de la Société, ainsi que les résolutions dont l'adoption est soumise, en vertu des présents Statuts ou de la Loi, au quorum et à la majorité requis pour modifier les Statuts, doivent être approuvées par au moins les deux tiers (2/3) des voix exprimées, conformément aux dispositions de l'article 450-3 de la Loi, lors d'une assemblée à laquelle au moins la moitié (½) des actions émises et en circulation est présente ou représentée. Si ce quorum n'est pas atteint lors de la première assemblée, une seconde assemblée, avec le même ordre du jour, peut être convoquée conformément aux dispositions de la Loi, pour laquelle un quorum de 33 1/3 % sera requis.</w:t>
      </w:r>
    </w:p>
    <w:p>
      <w:pPr>
        <w:spacing w:after="0" w:line="200" w:lineRule="exact"/>
        <w:rPr>
          <w:sz w:val="20"/>
          <w:szCs w:val="20"/>
          <w:color w:val="auto"/>
        </w:rPr>
      </w:pPr>
    </w:p>
    <w:p>
      <w:pPr>
        <w:spacing w:after="0" w:line="207"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Toutes les autres décisions doivent être approuvées par l'assemblée générale des actionnaires à la majorité simple des voix exprimées, et un quorum de 33 1/3 % sera requis.</w:t>
      </w:r>
    </w:p>
    <w:p>
      <w:pPr>
        <w:spacing w:after="0" w:line="7" w:lineRule="exact"/>
        <w:rPr>
          <w:sz w:val="20"/>
          <w:szCs w:val="20"/>
          <w:color w:val="auto"/>
        </w:rPr>
      </w:pPr>
    </w:p>
    <w:p>
      <w:pPr>
        <w:jc w:val="both"/>
        <w:ind w:firstLine="501"/>
        <w:spacing w:after="0" w:line="374" w:lineRule="auto"/>
        <w:rPr>
          <w:sz w:val="20"/>
          <w:szCs w:val="20"/>
          <w:color w:val="auto"/>
        </w:rPr>
      </w:pPr>
      <w:r>
        <w:rPr>
          <w:rFonts w:ascii="Times New Roman" w:cs="Times New Roman" w:eastAsia="Times New Roman" w:hAnsi="Times New Roman"/>
          <w:sz w:val="21"/>
          <w:szCs w:val="21"/>
          <w:i w:val="1"/>
          <w:iCs w:val="1"/>
          <w:color w:val="auto"/>
        </w:rPr>
        <w:t>Lors de l'organisation d'une assemblée générale, le Conseil d'Administration peut, à son entière discrétion, permettre la participation par voie électronique selon les suivantes: (i) transmission en temps réel de l'assemblée générale; (ii) communication dans les deux sens en temps réel permettant aux actionnaires de s'adresser à l'assemblée générale à distance; ou (iii) mécanisme permettant de voter, avant ou pendant l'assemblée générale, sans qu'il soit nécessaire de nommer un mandataire physiquement présent à l'assemblée.</w:t>
      </w:r>
    </w:p>
    <w:p>
      <w:pPr>
        <w:spacing w:after="0" w:line="53"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 Conseil d'Administration peut également déterminer que les actionnaires peuvent voter à distance par correspondance en remplissant un formulaire de vote fourni par la Société qui comprend les informations suivantes:</w:t>
      </w:r>
    </w:p>
    <w:p>
      <w:pPr>
        <w:spacing w:after="0" w:line="6" w:lineRule="exact"/>
        <w:rPr>
          <w:sz w:val="20"/>
          <w:szCs w:val="20"/>
          <w:color w:val="auto"/>
        </w:rPr>
      </w:pPr>
    </w:p>
    <w:p>
      <w:pPr>
        <w:ind w:left="800" w:hanging="292"/>
        <w:spacing w:after="0"/>
        <w:tabs>
          <w:tab w:leader="none" w:pos="800" w:val="left"/>
        </w:tabs>
        <w:numPr>
          <w:ilvl w:val="0"/>
          <w:numId w:val="3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Le nom, l'adresse et toute autre information pertinente concernant l'actionnaire.</w:t>
      </w:r>
    </w:p>
    <w:p>
      <w:pPr>
        <w:spacing w:after="0" w:line="222" w:lineRule="exact"/>
        <w:rPr>
          <w:rFonts w:ascii="Times New Roman" w:cs="Times New Roman" w:eastAsia="Times New Roman" w:hAnsi="Times New Roman"/>
          <w:sz w:val="21"/>
          <w:szCs w:val="21"/>
          <w:i w:val="1"/>
          <w:iCs w:val="1"/>
          <w:color w:val="auto"/>
        </w:rPr>
      </w:pPr>
    </w:p>
    <w:p>
      <w:pPr>
        <w:ind w:left="800" w:hanging="292"/>
        <w:spacing w:after="0"/>
        <w:tabs>
          <w:tab w:leader="none" w:pos="800" w:val="left"/>
        </w:tabs>
        <w:numPr>
          <w:ilvl w:val="0"/>
          <w:numId w:val="35"/>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Le nombre de votes que l'actionnaire souhaite émettre, le sens de ses votes ou son abstention.</w:t>
      </w:r>
    </w:p>
    <w:p>
      <w:pPr>
        <w:sectPr>
          <w:pgSz w:w="11900" w:h="16838" w:orient="portrait"/>
          <w:cols w:equalWidth="0" w:num="1">
            <w:col w:w="10740"/>
          </w:cols>
          <w:pgMar w:left="820" w:top="1440" w:right="339"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0" w:hanging="292"/>
        <w:spacing w:after="0"/>
        <w:tabs>
          <w:tab w:leader="none" w:pos="800" w:val="left"/>
        </w:tabs>
        <w:numPr>
          <w:ilvl w:val="0"/>
          <w:numId w:val="3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L'ordre du jour de l'assemblée contenant le projet de résolutions.</w:t>
      </w:r>
    </w:p>
    <w:p>
      <w:pPr>
        <w:spacing w:after="0" w:line="222" w:lineRule="exact"/>
        <w:rPr>
          <w:rFonts w:ascii="Times New Roman" w:cs="Times New Roman" w:eastAsia="Times New Roman" w:hAnsi="Times New Roman"/>
          <w:sz w:val="21"/>
          <w:szCs w:val="21"/>
          <w:i w:val="1"/>
          <w:iCs w:val="1"/>
          <w:color w:val="auto"/>
        </w:rPr>
      </w:pPr>
    </w:p>
    <w:p>
      <w:pPr>
        <w:ind w:firstLine="508"/>
        <w:spacing w:after="0" w:line="405" w:lineRule="auto"/>
        <w:tabs>
          <w:tab w:leader="none" w:pos="920" w:val="left"/>
        </w:tabs>
        <w:numPr>
          <w:ilvl w:val="0"/>
          <w:numId w:val="3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L'option de voter par procuration pour toute nouvelle résolution ou toute modification des résolutions dûment soumises à l'assemblée générale entre la date à laquelle l'actionnaire soumet son formulaire et la date de l'assemblée.</w:t>
      </w:r>
    </w:p>
    <w:p>
      <w:pPr>
        <w:spacing w:after="0" w:line="6" w:lineRule="exact"/>
        <w:rPr>
          <w:rFonts w:ascii="Times New Roman" w:cs="Times New Roman" w:eastAsia="Times New Roman" w:hAnsi="Times New Roman"/>
          <w:sz w:val="21"/>
          <w:szCs w:val="21"/>
          <w:i w:val="1"/>
          <w:iCs w:val="1"/>
          <w:color w:val="auto"/>
        </w:rPr>
      </w:pPr>
    </w:p>
    <w:p>
      <w:pPr>
        <w:ind w:left="800" w:hanging="292"/>
        <w:spacing w:after="0"/>
        <w:tabs>
          <w:tab w:leader="none" w:pos="800" w:val="left"/>
        </w:tabs>
        <w:numPr>
          <w:ilvl w:val="0"/>
          <w:numId w:val="3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La signature de l'actionnaire.</w:t>
      </w:r>
    </w:p>
    <w:p>
      <w:pPr>
        <w:spacing w:after="0" w:line="222" w:lineRule="exact"/>
        <w:rPr>
          <w:sz w:val="20"/>
          <w:szCs w:val="20"/>
          <w:color w:val="auto"/>
        </w:rPr>
      </w:pPr>
    </w:p>
    <w:p>
      <w:pPr>
        <w:jc w:val="both"/>
        <w:ind w:firstLine="501"/>
        <w:spacing w:after="0" w:line="373" w:lineRule="auto"/>
        <w:rPr>
          <w:sz w:val="20"/>
          <w:szCs w:val="20"/>
          <w:color w:val="auto"/>
        </w:rPr>
      </w:pPr>
      <w:r>
        <w:rPr>
          <w:rFonts w:ascii="Times New Roman" w:cs="Times New Roman" w:eastAsia="Times New Roman" w:hAnsi="Times New Roman"/>
          <w:sz w:val="21"/>
          <w:szCs w:val="21"/>
          <w:i w:val="1"/>
          <w:iCs w:val="1"/>
          <w:color w:val="auto"/>
        </w:rPr>
        <w:t>Un actionnaire utilisant un formulaire de vote et qui n'est pas directement inscrit dans le registre des actionnaires doit annexer au formulaire de vote une confirmation de sa détention à compter de la Date d'Enregistrement conformément aux présents Statuts. Une fois soumis à la Société, les formulaires de vote ne peuvent ni être récupérés ni annulés, sauf si un actionnaire a inclu une procuration pour voter dans les circonstances envisagées dans le quatrième point ci-dessus, alors l'actionnaire peut annuler cette procuration ou donner de nouvelles instructions de vote en tenant compte des éléments pertinents par notification écrite telle que décrite dans la convocation, avant la date spécifiée dans le formulaire de vote.</w:t>
      </w:r>
    </w:p>
    <w:p>
      <w:pPr>
        <w:spacing w:after="0" w:line="40"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Tout actionnaire qui participe à une assemblée générale de la Société par les moyens qui précèdent est réputé présent, sera pris en compte lors de la détermination du quorum et aura le droit de voter sur tous les points de l'ordre du jour de l'assemblée générale.</w:t>
      </w:r>
    </w:p>
    <w:p>
      <w:pPr>
        <w:spacing w:after="0" w:line="24"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Le Conseil d'Administration peut adopter tout règlement et règle concernant la participation des actionnaires aux assemblées générales conformément à la Loi, y compris en ce qui concerne l'identification des actionnaires, les mandataires et la sécurité des communications électroniques.</w:t>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Les engagements des actionnaires ne peuvent être augmentés qu'avec le consentement unanime des actionnaires.</w:t>
      </w:r>
    </w:p>
    <w:p>
      <w:pPr>
        <w:spacing w:after="0" w:line="209"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Les actionnaires représentant un minimum de dix pour cent (10%) du capital social de la société peuvent demander par écrit que des points</w:t>
      </w:r>
    </w:p>
    <w:p>
      <w:pPr>
        <w:sectPr>
          <w:pgSz w:w="11900" w:h="16838" w:orient="portrait"/>
          <w:cols w:equalWidth="0" w:num="1">
            <w:col w:w="10740"/>
          </w:cols>
          <w:pgMar w:left="820" w:top="1440" w:right="3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87" w:lineRule="auto"/>
        <w:rPr>
          <w:sz w:val="20"/>
          <w:szCs w:val="20"/>
          <w:color w:val="auto"/>
        </w:rPr>
      </w:pPr>
      <w:r>
        <w:rPr>
          <w:rFonts w:ascii="Times New Roman" w:cs="Times New Roman" w:eastAsia="Times New Roman" w:hAnsi="Times New Roman"/>
          <w:sz w:val="21"/>
          <w:szCs w:val="21"/>
          <w:i w:val="1"/>
          <w:iCs w:val="1"/>
          <w:color w:val="auto"/>
        </w:rPr>
        <w:t>supplémentaires soient ajoutés à l'ordre du jour de toute assemblée générale. Une telle requête doit être adressée au siège social de la Société par courrier recommandé au moins cinq (5) jours avant la date à laquelle l'assemblée générale doit être tenue.</w:t>
      </w:r>
    </w:p>
    <w:p>
      <w:pPr>
        <w:spacing w:after="0" w:line="24"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Si tous les actionnaires sont présents ou représentés à l'assemblée générale des actionnaires et déclarent avoir eu connaissance de l'ordre du jour de l'assemblée, l'assemblée pourra être tenue sans convocation préalable.</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Un vote est attaché à chaque action.</w:t>
      </w:r>
    </w:p>
    <w:p>
      <w:pPr>
        <w:spacing w:after="0" w:line="209"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Les copies ou les extraits des procès-verbaux de l'assemblée générale des actionnaires doivent être certifiées par le Président ou par le Secrétaire.</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V. Année Sociale, Répartition des Bénéfices</w:t>
      </w:r>
    </w:p>
    <w:p>
      <w:pPr>
        <w:spacing w:after="0" w:line="209"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24. Année Sociale. </w:t>
      </w:r>
      <w:r>
        <w:rPr>
          <w:rFonts w:ascii="Times New Roman" w:cs="Times New Roman" w:eastAsia="Times New Roman" w:hAnsi="Times New Roman"/>
          <w:sz w:val="21"/>
          <w:szCs w:val="21"/>
          <w:i w:val="1"/>
          <w:iCs w:val="1"/>
          <w:color w:val="auto"/>
        </w:rPr>
        <w:t>L'année sociale de la Société commence le premier jour du mois de Janvier et finit le dernier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jour du mois de Décembre de chaque année.</w:t>
      </w:r>
    </w:p>
    <w:p>
      <w:pPr>
        <w:spacing w:after="0" w:line="2" w:lineRule="exact"/>
        <w:rPr>
          <w:sz w:val="20"/>
          <w:szCs w:val="20"/>
          <w:color w:val="auto"/>
        </w:rPr>
      </w:pPr>
    </w:p>
    <w:p>
      <w:pPr>
        <w:jc w:val="both"/>
        <w:ind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25. Approbation des Comptes Annuels. </w:t>
      </w:r>
      <w:r>
        <w:rPr>
          <w:rFonts w:ascii="Times New Roman" w:cs="Times New Roman" w:eastAsia="Times New Roman" w:hAnsi="Times New Roman"/>
          <w:sz w:val="21"/>
          <w:szCs w:val="21"/>
          <w:i w:val="1"/>
          <w:iCs w:val="1"/>
          <w:color w:val="auto"/>
        </w:rPr>
        <w:t>A la fin de chaque année sociale, les comptes sont clôturés et le Conseil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d'Administration dresse un inventaire des actifs et des passifs, le bilan et le compte de résultat conformément à la Loi.</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i w:val="1"/>
          <w:iCs w:val="1"/>
          <w:color w:val="auto"/>
        </w:rPr>
        <w:t>Le bilan et le compte de résultat sont soumis à l'assemblée générale des actionnaires pour approbation.</w:t>
      </w:r>
    </w:p>
    <w:p>
      <w:pPr>
        <w:spacing w:after="0" w:line="207" w:lineRule="exact"/>
        <w:rPr>
          <w:sz w:val="20"/>
          <w:szCs w:val="20"/>
          <w:color w:val="auto"/>
        </w:rPr>
      </w:pPr>
    </w:p>
    <w:p>
      <w:pPr>
        <w:jc w:val="both"/>
        <w:ind w:firstLine="501"/>
        <w:spacing w:after="0" w:line="3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26. </w:t>
      </w:r>
      <w:r>
        <w:rPr>
          <w:rFonts w:ascii="Times New Roman" w:cs="Times New Roman" w:eastAsia="Times New Roman" w:hAnsi="Times New Roman"/>
          <w:sz w:val="21"/>
          <w:szCs w:val="21"/>
          <w:i w:val="1"/>
          <w:iCs w:val="1"/>
          <w:color w:val="auto"/>
        </w:rPr>
        <w:t>Affectation des Bénéfices. Sur les bénéfices nets de la Société il sera prélevé cinq pour cent (5 %) pour la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formation d'un fonds de réserve légale. Ce prélèvement cesse d'être obligatoire lorsque et aussi longtemps que la réserve légale atteindra dix pour cent (10%) du capital social émis de la Société.</w:t>
      </w:r>
    </w:p>
    <w:p>
      <w:pPr>
        <w:spacing w:after="0" w:line="23"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Sur recommandation du Conseil d'Administration, l'assemblée générale des actionnaires décide de l'affectation du solde des bénéfices annuels nets. Elle peut décider de verser la totalité ou une part du solde à un compte de</w:t>
      </w:r>
    </w:p>
    <w:p>
      <w:pPr>
        <w:sectPr>
          <w:pgSz w:w="11900" w:h="16838" w:orient="portrait"/>
          <w:cols w:equalWidth="0" w:num="1">
            <w:col w:w="10740"/>
          </w:cols>
          <w:pgMar w:left="820" w:top="1440"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405" w:lineRule="auto"/>
        <w:rPr>
          <w:sz w:val="20"/>
          <w:szCs w:val="20"/>
          <w:color w:val="auto"/>
        </w:rPr>
      </w:pPr>
      <w:r>
        <w:rPr>
          <w:rFonts w:ascii="Times New Roman" w:cs="Times New Roman" w:eastAsia="Times New Roman" w:hAnsi="Times New Roman"/>
          <w:sz w:val="21"/>
          <w:szCs w:val="21"/>
          <w:i w:val="1"/>
          <w:iCs w:val="1"/>
          <w:color w:val="auto"/>
        </w:rPr>
        <w:t>réserve ou de provision, de le reporter à nouveau sur l'année financière suivante ou de le distribuer à l'/aux actionnaire(s) comme dividendes.</w:t>
      </w:r>
    </w:p>
    <w:p>
      <w:pPr>
        <w:spacing w:after="0" w:line="20" w:lineRule="exact"/>
        <w:rPr>
          <w:sz w:val="20"/>
          <w:szCs w:val="20"/>
          <w:color w:val="auto"/>
        </w:rPr>
      </w:pPr>
    </w:p>
    <w:p>
      <w:pPr>
        <w:jc w:val="both"/>
        <w:ind w:firstLine="501"/>
        <w:spacing w:after="0" w:line="374" w:lineRule="auto"/>
        <w:rPr>
          <w:sz w:val="20"/>
          <w:szCs w:val="20"/>
          <w:color w:val="auto"/>
        </w:rPr>
      </w:pPr>
      <w:r>
        <w:rPr>
          <w:rFonts w:ascii="Times New Roman" w:cs="Times New Roman" w:eastAsia="Times New Roman" w:hAnsi="Times New Roman"/>
          <w:sz w:val="21"/>
          <w:szCs w:val="21"/>
          <w:i w:val="1"/>
          <w:iCs w:val="1"/>
          <w:color w:val="auto"/>
        </w:rPr>
        <w:t>Sous réserve des conditions fixées par la Loi et les présents Statuts, le Conseil d'Administration est autorisé à verser des acomptes sur dividendes. Le Conseil d'Administration, fixe le montant et la date du versement de ces acomptes sur dividendes. Toute prime d'émission, primes assimilées et autres réserves distribuables peuvent être distribuées librement aux actionnaires (également par acompte sur dividendes) par une résolution des actionnaires ou du Conseil d'Administration, sous réserve des dispositions de la Loi et des présents Statuts.</w:t>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i w:val="1"/>
          <w:iCs w:val="1"/>
          <w:color w:val="auto"/>
        </w:rPr>
        <w:t>Chapitre VI. Dissolution, Liquidation</w:t>
      </w:r>
    </w:p>
    <w:p>
      <w:pPr>
        <w:spacing w:after="0" w:line="222" w:lineRule="exact"/>
        <w:rPr>
          <w:sz w:val="20"/>
          <w:szCs w:val="20"/>
          <w:color w:val="auto"/>
        </w:rPr>
      </w:pPr>
    </w:p>
    <w:p>
      <w:pPr>
        <w:jc w:val="both"/>
        <w:ind w:firstLine="501"/>
        <w:spacing w:after="0" w:line="388"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27. Dissolution, Liquidation. </w:t>
      </w:r>
      <w:r>
        <w:rPr>
          <w:rFonts w:ascii="Times New Roman" w:cs="Times New Roman" w:eastAsia="Times New Roman" w:hAnsi="Times New Roman"/>
          <w:sz w:val="21"/>
          <w:szCs w:val="21"/>
          <w:i w:val="1"/>
          <w:iCs w:val="1"/>
          <w:color w:val="auto"/>
        </w:rPr>
        <w:t>Sur approbation affirmative du Conseil d'Administration, la Société peut être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dissoute par une décision de l'assemblée générale des actionnaires délibérant aux mêmes conditions de quorum et de majorité que celles exigées pour la modification des Statuts, sauf dispositions contraires de la Loi.</w:t>
      </w:r>
    </w:p>
    <w:p>
      <w:pPr>
        <w:spacing w:after="0" w:line="23" w:lineRule="exact"/>
        <w:rPr>
          <w:sz w:val="20"/>
          <w:szCs w:val="20"/>
          <w:color w:val="auto"/>
        </w:rPr>
      </w:pPr>
    </w:p>
    <w:p>
      <w:pPr>
        <w:jc w:val="both"/>
        <w:ind w:firstLine="501"/>
        <w:spacing w:after="0" w:line="387" w:lineRule="auto"/>
        <w:rPr>
          <w:sz w:val="20"/>
          <w:szCs w:val="20"/>
          <w:color w:val="auto"/>
        </w:rPr>
      </w:pPr>
      <w:r>
        <w:rPr>
          <w:rFonts w:ascii="Times New Roman" w:cs="Times New Roman" w:eastAsia="Times New Roman" w:hAnsi="Times New Roman"/>
          <w:sz w:val="21"/>
          <w:szCs w:val="21"/>
          <w:i w:val="1"/>
          <w:iCs w:val="1"/>
          <w:color w:val="auto"/>
        </w:rPr>
        <w:t>En cas de dissolution de la Société, la liquidation s'effectuera par les soins d'un ou de plusieurs liquidateurs (personnes physiques ou morales), nommés par l'assemblée générale des actionnaires qui déterminera leurs pouvoirs et leurs rémunérations.</w:t>
      </w:r>
    </w:p>
    <w:p>
      <w:pPr>
        <w:spacing w:after="0" w:line="24" w:lineRule="exact"/>
        <w:rPr>
          <w:sz w:val="20"/>
          <w:szCs w:val="20"/>
          <w:color w:val="auto"/>
        </w:rPr>
      </w:pPr>
    </w:p>
    <w:p>
      <w:pPr>
        <w:jc w:val="both"/>
        <w:ind w:firstLine="501"/>
        <w:spacing w:after="0" w:line="405" w:lineRule="auto"/>
        <w:rPr>
          <w:sz w:val="20"/>
          <w:szCs w:val="20"/>
          <w:color w:val="auto"/>
        </w:rPr>
      </w:pPr>
      <w:r>
        <w:rPr>
          <w:rFonts w:ascii="Times New Roman" w:cs="Times New Roman" w:eastAsia="Times New Roman" w:hAnsi="Times New Roman"/>
          <w:sz w:val="21"/>
          <w:szCs w:val="21"/>
          <w:i w:val="1"/>
          <w:iCs w:val="1"/>
          <w:color w:val="auto"/>
        </w:rPr>
        <w:t>Après paiement de toutes les dettes et charges de la Société, tous les taxes et frais de liquidation compris, l'actif net restant sera reparti équitablement entre tous les actionnaires au prorata du nombre d'Actions qu'ils détiennent.</w:t>
      </w:r>
    </w:p>
    <w:p>
      <w:pPr>
        <w:spacing w:after="0" w:line="20" w:lineRule="exact"/>
        <w:rPr>
          <w:sz w:val="20"/>
          <w:szCs w:val="20"/>
          <w:color w:val="auto"/>
        </w:rPr>
      </w:pPr>
    </w:p>
    <w:p>
      <w:pPr>
        <w:jc w:val="both"/>
        <w:ind w:firstLine="501"/>
        <w:spacing w:after="0" w:line="380" w:lineRule="auto"/>
        <w:rPr>
          <w:sz w:val="20"/>
          <w:szCs w:val="20"/>
          <w:color w:val="auto"/>
        </w:rPr>
      </w:pPr>
      <w:r>
        <w:rPr>
          <w:rFonts w:ascii="Times New Roman" w:cs="Times New Roman" w:eastAsia="Times New Roman" w:hAnsi="Times New Roman"/>
          <w:sz w:val="21"/>
          <w:szCs w:val="21"/>
          <w:i w:val="1"/>
          <w:iCs w:val="1"/>
          <w:color w:val="auto"/>
        </w:rPr>
        <w:t>La demande de dissolution de la Société pour une juste cause peut toutefois être faite devant le tribunal. Sauf en cas de dissolution par ordonnance du tribunal, la dissolution de la Société ne peut avoir lieu qu'en vertu d'une résolution adoptée par l'assemblée générale conformément aux articles 22 et 23.</w:t>
      </w:r>
    </w:p>
    <w:p>
      <w:pPr>
        <w:sectPr>
          <w:pgSz w:w="11900" w:h="16838" w:orient="portrait"/>
          <w:cols w:equalWidth="0" w:num="1">
            <w:col w:w="10740"/>
          </w:cols>
          <w:pgMar w:left="820" w:top="1440"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b w:val="1"/>
          <w:bCs w:val="1"/>
          <w:i w:val="1"/>
          <w:iCs w:val="1"/>
          <w:color w:val="auto"/>
        </w:rPr>
        <w:t>Chapitre VII. Loi applicable</w:t>
      </w:r>
    </w:p>
    <w:p>
      <w:pPr>
        <w:spacing w:after="0" w:line="222" w:lineRule="exact"/>
        <w:rPr>
          <w:sz w:val="20"/>
          <w:szCs w:val="20"/>
          <w:color w:val="auto"/>
        </w:rPr>
      </w:pPr>
    </w:p>
    <w:p>
      <w:pPr>
        <w:ind w:left="500" w:firstLine="501"/>
        <w:spacing w:after="0" w:line="40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Art. 28. Loi applicable. </w:t>
      </w:r>
      <w:r>
        <w:rPr>
          <w:rFonts w:ascii="Times New Roman" w:cs="Times New Roman" w:eastAsia="Times New Roman" w:hAnsi="Times New Roman"/>
          <w:sz w:val="21"/>
          <w:szCs w:val="21"/>
          <w:i w:val="1"/>
          <w:iCs w:val="1"/>
          <w:color w:val="auto"/>
        </w:rPr>
        <w:t>Toutes les matières qui ne sont pas régies par les présents Statuts seront réglées conformément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i w:val="1"/>
          <w:iCs w:val="1"/>
          <w:color w:val="auto"/>
        </w:rPr>
        <w:t>au droit du Luxembourg.</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POUR STATUTS COORDONNES,</w:t>
      </w:r>
    </w:p>
    <w:p>
      <w:pPr>
        <w:spacing w:after="0" w:line="77" w:lineRule="exact"/>
        <w:rPr>
          <w:sz w:val="20"/>
          <w:szCs w:val="20"/>
          <w:color w:val="auto"/>
        </w:rPr>
      </w:pPr>
    </w:p>
    <w:p>
      <w:pPr>
        <w:ind w:left="120"/>
        <w:spacing w:after="0"/>
        <w:tabs>
          <w:tab w:leader="none" w:pos="5620" w:val="left"/>
        </w:tabs>
        <w:rPr>
          <w:sz w:val="20"/>
          <w:szCs w:val="20"/>
          <w:color w:val="auto"/>
        </w:rPr>
      </w:pPr>
      <w:r>
        <w:rPr>
          <w:rFonts w:ascii="Times New Roman" w:cs="Times New Roman" w:eastAsia="Times New Roman" w:hAnsi="Times New Roman"/>
          <w:sz w:val="21"/>
          <w:szCs w:val="21"/>
          <w:b w:val="1"/>
          <w:bCs w:val="1"/>
          <w:color w:val="auto"/>
        </w:rPr>
        <w:t>Ettelbruck, le 28 mai 2025</w:t>
      </w:r>
      <w:r>
        <w:rPr>
          <w:sz w:val="20"/>
          <w:szCs w:val="20"/>
          <w:color w:val="auto"/>
        </w:rPr>
        <w:tab/>
      </w:r>
      <w:r>
        <w:rPr>
          <w:rFonts w:ascii="Times New Roman" w:cs="Times New Roman" w:eastAsia="Times New Roman" w:hAnsi="Times New Roman"/>
          <w:sz w:val="20"/>
          <w:szCs w:val="20"/>
          <w:color w:val="auto"/>
        </w:rPr>
        <w:t>[SEAL AND SIGNATURE OF NOTARY]</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Le notaire (s) : Marc ELVINGER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 case of discrepancies between the English and the French text, </w:t>
      </w:r>
      <w:r>
        <w:rPr>
          <w:rFonts w:ascii="Times New Roman" w:cs="Times New Roman" w:eastAsia="Times New Roman" w:hAnsi="Times New Roman"/>
          <w:sz w:val="21"/>
          <w:szCs w:val="21"/>
          <w:b w:val="1"/>
          <w:bCs w:val="1"/>
          <w:color w:val="auto"/>
        </w:rPr>
        <w:t>the English version will prevail.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 case de divergences entre le texte anglais et le texte francais, le texte anglais prevaudra.</w:t>
      </w:r>
    </w:p>
    <w:p>
      <w:pPr>
        <w:sectPr>
          <w:pgSz w:w="11900" w:h="16838" w:orient="portrait"/>
          <w:cols w:equalWidth="0" w:num="1">
            <w:col w:w="11240"/>
          </w:cols>
          <w:pgMar w:left="320" w:top="144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164"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23, 2025</w:t>
            </w:r>
          </w:p>
        </w:tc>
        <w:tc>
          <w:tcPr>
            <w:tcW w:w="70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William B. Shepro</w:t>
            </w:r>
          </w:p>
        </w:tc>
      </w:tr>
      <w:tr>
        <w:trPr>
          <w:trHeight w:val="213"/>
        </w:trPr>
        <w:tc>
          <w:tcPr>
            <w:tcW w:w="3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25"/>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1"/>
        </w:trPr>
        <w:tc>
          <w:tcPr>
            <w:tcW w:w="3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7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164"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23, 2025</w:t>
            </w:r>
          </w:p>
        </w:tc>
        <w:tc>
          <w:tcPr>
            <w:tcW w:w="70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3"/>
        </w:trPr>
        <w:tc>
          <w:tcPr>
            <w:tcW w:w="3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77"/>
        </w:trPr>
        <w:tc>
          <w:tcPr>
            <w:tcW w:w="3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1"/>
        </w:trPr>
        <w:tc>
          <w:tcPr>
            <w:tcW w:w="3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7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2025</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connection with the Quarterly Report on Form 10-Q of Altisource Portfolio Solutions S.A. (the “Company”) for the quarterly period ended September 30, 2025,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06" w:lineRule="exact"/>
        <w:rPr>
          <w:sz w:val="20"/>
          <w:szCs w:val="20"/>
          <w:color w:val="auto"/>
        </w:rPr>
      </w:pPr>
    </w:p>
    <w:p>
      <w:pPr>
        <w:ind w:left="700" w:hanging="376"/>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3"/>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25"/>
        </w:trPr>
        <w:tc>
          <w:tcPr>
            <w:tcW w:w="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1"/>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2025</w:t>
            </w:r>
          </w:p>
        </w:tc>
        <w:tc>
          <w:tcPr>
            <w:tcW w:w="100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2025</w:t>
            </w: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lowerRoman"/>
      <w:start w:val="3"/>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2"/>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à"/>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à"/>
      <w:numFmt w:val="bullet"/>
      <w:start w:val="1"/>
    </w:lvl>
  </w:abstractNum>
  <w:abstractNum w:abstractNumId="33">
    <w:nsid w:val="3804823E"/>
    <w:multiLevelType w:val="hybridMultilevel"/>
    <w:lvl w:ilvl="0">
      <w:lvlJc w:val="left"/>
      <w:lvlText w:val="à"/>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2025-10-23T06:18:30Z</dcterms:created>
  <dcterms:modified xsi:type="dcterms:W3CDTF">2025-10-23T06:18:30Z</dcterms:modified>
</cp:coreProperties>
</file>