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Benefit Street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MADISON AVENUE, SUITE 1600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ALTISOURCE PORTFOLIO SOLUTIONS S.A.</w:t>
              </w:r>
            </w:hyperlink>
            <w:r>
              <w:rPr/>
              <w:t xml:space="preserve"> [ </w:t>
            </w:r>
            <w:r>
              <w:rPr>
                <w:rFonts w:ascii="Times;serif" w:hAnsi="Times;serif"/>
                <w:color w:val="0000FF"/>
                <w:sz w:val="24"/>
                <w:shd w:fill="FFFFFF" w:val="clear"/>
              </w:rPr>
              <w:t>ASPS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5.433</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1,754,054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48,991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5.776</w:t>
            </w:r>
            <w:r>
              <w:rPr>
                <w:rFonts w:ascii="Times;serif" w:hAnsi="Times;serif"/>
                <w:color w:val="008000"/>
                <w:position w:val="7"/>
                <w:sz w:val="16"/>
                <w:sz w:val="20"/>
                <w:shd w:fill="FFFFFF" w:val="clear"/>
              </w:rPr>
              <w:t>(2)</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1,803,045</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$5.285 to $5.50 per share, inclusive. Benefit Street Partners, LLC ("BSP") undertakes to provide to Altisource Portfolio Solutions S.A. ("Altisource"), any security holder of Altisource, or the staff of the Securities and Exchange Commission (the "SEC"), upon request, full information regarding the number of shares purchased at each separate price within the ranges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$5.57 to $5.89 per share, inclusive. BSP undertakes to provide to Altisource, any security holder of Altisource, or the staff of the SEC, upon request, full information regarding the number of shares purchased at each separate price within the ranges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Enrico Gallo, Authorized Signatory, Benefit Street Partners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3160" TargetMode="External"/><Relationship Id="rId5" Type="http://schemas.openxmlformats.org/officeDocument/2006/relationships/hyperlink" Target="http://www.sec.gov/cgi-bin/browse-edgar?action=getcompany&amp;CIK=00014624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723</Words>
  <Characters>3947</Characters>
  <CharactersWithSpaces>4595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