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812800</wp:posOffset>
            </wp:positionH>
            <wp:positionV relativeFrom="page">
              <wp:posOffset>821055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page">
              <wp:posOffset>812800</wp:posOffset>
            </wp:positionH>
            <wp:positionV relativeFrom="page">
              <wp:posOffset>779145</wp:posOffset>
            </wp:positionV>
            <wp:extent cx="65913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1714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111760</wp:posOffset>
            </wp:positionV>
            <wp:extent cx="2002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107315</wp:posOffset>
            </wp:positionV>
            <wp:extent cx="2002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1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(Mark One)</w:t>
      </w:r>
    </w:p>
    <w:p>
      <w:pPr>
        <w:spacing w:after="0" w:line="39" w:lineRule="exact"/>
        <w:rPr>
          <w:sz w:val="24"/>
          <w:szCs w:val="24"/>
          <w:color w:val="auto"/>
        </w:rPr>
      </w:pPr>
    </w:p>
    <w:p>
      <w:pPr>
        <w:ind w:left="1000" w:hanging="597"/>
        <w:spacing w:after="0"/>
        <w:tabs>
          <w:tab w:leader="none" w:pos="10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the quarterly period ended March 31, 2025</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3" w:lineRule="exact"/>
        <w:rPr>
          <w:sz w:val="24"/>
          <w:szCs w:val="24"/>
          <w:color w:val="auto"/>
        </w:rPr>
      </w:pPr>
    </w:p>
    <w:p>
      <w:pPr>
        <w:ind w:left="1000" w:hanging="597"/>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0" w:lineRule="exact"/>
        <w:rPr>
          <w:rFonts w:ascii="MS PGothic" w:cs="MS PGothic" w:eastAsia="MS PGothic" w:hAnsi="MS PGothic"/>
          <w:sz w:val="21"/>
          <w:szCs w:val="21"/>
          <w:color w:val="auto"/>
        </w:rPr>
      </w:pPr>
    </w:p>
    <w:p>
      <w:pPr>
        <w:ind w:left="4380"/>
        <w:spacing w:after="0"/>
        <w:rPr>
          <w:rFonts w:ascii="MS PGothic" w:cs="MS PGothic" w:eastAsia="MS PGothic" w:hAnsi="MS PGothic"/>
          <w:sz w:val="21"/>
          <w:szCs w:val="21"/>
          <w:color w:val="auto"/>
        </w:rPr>
      </w:pPr>
      <w:r>
        <w:rPr>
          <w:rFonts w:ascii="Times New Roman" w:cs="Times New Roman" w:eastAsia="Times New Roman" w:hAnsi="Times New Roman"/>
          <w:sz w:val="18"/>
          <w:szCs w:val="18"/>
          <w:b w:val="1"/>
          <w:bCs w:val="1"/>
          <w:color w:val="auto"/>
        </w:rPr>
        <w:t>For the transition period from to</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159385</wp:posOffset>
            </wp:positionV>
            <wp:extent cx="2002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ALTISOURCE PORTFOLIO SOLUTIONS S.A.</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2569845</wp:posOffset>
            </wp:positionH>
            <wp:positionV relativeFrom="paragraph">
              <wp:posOffset>120650</wp:posOffset>
            </wp:positionV>
            <wp:extent cx="2002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jc w:val="center"/>
              <w:ind w:left="1826"/>
              <w:spacing w:after="0"/>
              <w:rPr>
                <w:sz w:val="20"/>
                <w:szCs w:val="20"/>
                <w:color w:val="auto"/>
              </w:rPr>
            </w:pPr>
            <w:r>
              <w:rPr>
                <w:rFonts w:ascii="Times New Roman" w:cs="Times New Roman" w:eastAsia="Times New Roman" w:hAnsi="Times New Roman"/>
                <w:sz w:val="18"/>
                <w:szCs w:val="18"/>
                <w:b w:val="1"/>
                <w:bCs w:val="1"/>
                <w:color w:val="auto"/>
                <w:w w:val="97"/>
              </w:rPr>
              <w:t>Luxembourg</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0" w:type="dxa"/>
            <w:vAlign w:val="bottom"/>
          </w:tcPr>
          <w:p>
            <w:pPr>
              <w:jc w:val="right"/>
              <w:ind w:right="2345"/>
              <w:spacing w:after="0"/>
              <w:rPr>
                <w:sz w:val="20"/>
                <w:szCs w:val="20"/>
                <w:color w:val="auto"/>
              </w:rPr>
            </w:pPr>
            <w:r>
              <w:rPr>
                <w:rFonts w:ascii="Times New Roman" w:cs="Times New Roman" w:eastAsia="Times New Roman" w:hAnsi="Times New Roman"/>
                <w:sz w:val="18"/>
                <w:szCs w:val="18"/>
                <w:b w:val="1"/>
                <w:bCs w:val="1"/>
                <w:color w:val="auto"/>
              </w:rPr>
              <w:t>98-0554932</w:t>
            </w:r>
          </w:p>
        </w:tc>
      </w:tr>
      <w:tr>
        <w:trPr>
          <w:trHeight w:val="184"/>
        </w:trPr>
        <w:tc>
          <w:tcPr>
            <w:tcW w:w="7240" w:type="dxa"/>
            <w:vAlign w:val="bottom"/>
            <w:gridSpan w:val="6"/>
          </w:tcPr>
          <w:p>
            <w:pPr>
              <w:jc w:val="center"/>
              <w:ind w:right="164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00" w:type="dxa"/>
            <w:vAlign w:val="bottom"/>
          </w:tcPr>
          <w:p>
            <w:pPr>
              <w:jc w:val="center"/>
              <w:ind w:right="1605"/>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62"/>
        </w:trPr>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33, Boulevard Prince Henri</w:t>
            </w:r>
          </w:p>
        </w:tc>
        <w:tc>
          <w:tcPr>
            <w:tcW w:w="4000" w:type="dxa"/>
            <w:vAlign w:val="bottom"/>
          </w:tcPr>
          <w:p>
            <w:pPr>
              <w:spacing w:after="0"/>
              <w:rPr>
                <w:sz w:val="24"/>
                <w:szCs w:val="24"/>
                <w:color w:val="auto"/>
              </w:rPr>
            </w:pPr>
          </w:p>
        </w:tc>
      </w:tr>
      <w:tr>
        <w:trPr>
          <w:trHeight w:val="212"/>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L-1724 Luxembourg</w:t>
            </w:r>
          </w:p>
        </w:tc>
        <w:tc>
          <w:tcPr>
            <w:tcW w:w="400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Grand Duchy of Luxembourg</w:t>
            </w:r>
          </w:p>
        </w:tc>
        <w:tc>
          <w:tcPr>
            <w:tcW w:w="4000" w:type="dxa"/>
            <w:vAlign w:val="bottom"/>
          </w:tcPr>
          <w:p>
            <w:pPr>
              <w:spacing w:after="0"/>
              <w:rPr>
                <w:sz w:val="18"/>
                <w:szCs w:val="18"/>
                <w:color w:val="auto"/>
              </w:rPr>
            </w:pPr>
          </w:p>
        </w:tc>
      </w:tr>
      <w:tr>
        <w:trPr>
          <w:trHeight w:val="184"/>
        </w:trPr>
        <w:tc>
          <w:tcPr>
            <w:tcW w:w="3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000" w:type="dxa"/>
            <w:vAlign w:val="bottom"/>
          </w:tcPr>
          <w:p>
            <w:pPr>
              <w:spacing w:after="0"/>
              <w:rPr>
                <w:sz w:val="15"/>
                <w:szCs w:val="15"/>
                <w:color w:val="auto"/>
              </w:rPr>
            </w:pPr>
          </w:p>
        </w:tc>
      </w:tr>
      <w:tr>
        <w:trPr>
          <w:trHeight w:val="306"/>
        </w:trPr>
        <w:tc>
          <w:tcPr>
            <w:tcW w:w="3720" w:type="dxa"/>
            <w:vAlign w:val="bottom"/>
          </w:tcPr>
          <w:p>
            <w:pPr>
              <w:spacing w:after="0"/>
              <w:rPr>
                <w:sz w:val="24"/>
                <w:szCs w:val="24"/>
                <w:color w:val="auto"/>
              </w:rPr>
            </w:pPr>
          </w:p>
        </w:tc>
        <w:tc>
          <w:tcPr>
            <w:tcW w:w="3040" w:type="dxa"/>
            <w:vAlign w:val="bottom"/>
            <w:gridSpan w:val="3"/>
          </w:tcPr>
          <w:p>
            <w:pPr>
              <w:jc w:val="center"/>
              <w:ind w:left="701"/>
              <w:spacing w:after="0"/>
              <w:rPr>
                <w:sz w:val="20"/>
                <w:szCs w:val="20"/>
                <w:color w:val="auto"/>
              </w:rPr>
            </w:pPr>
            <w:r>
              <w:rPr>
                <w:rFonts w:ascii="Times New Roman" w:cs="Times New Roman" w:eastAsia="Times New Roman" w:hAnsi="Times New Roman"/>
                <w:sz w:val="18"/>
                <w:szCs w:val="18"/>
                <w:b w:val="1"/>
                <w:bCs w:val="1"/>
                <w:color w:val="auto"/>
                <w:w w:val="98"/>
              </w:rPr>
              <w:t>(352) 2060 2055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84"/>
        </w:trPr>
        <w:tc>
          <w:tcPr>
            <w:tcW w:w="3720" w:type="dxa"/>
            <w:vAlign w:val="bottom"/>
          </w:tcPr>
          <w:p>
            <w:pPr>
              <w:spacing w:after="0"/>
              <w:rPr>
                <w:sz w:val="15"/>
                <w:szCs w:val="15"/>
                <w:color w:val="auto"/>
              </w:rPr>
            </w:pPr>
          </w:p>
        </w:tc>
        <w:tc>
          <w:tcPr>
            <w:tcW w:w="3520" w:type="dxa"/>
            <w:vAlign w:val="bottom"/>
            <w:gridSpan w:val="5"/>
          </w:tcPr>
          <w:p>
            <w:pPr>
              <w:jc w:val="center"/>
              <w:ind w:left="201"/>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000" w:type="dxa"/>
            <w:vAlign w:val="bottom"/>
          </w:tcPr>
          <w:p>
            <w:pPr>
              <w:spacing w:after="0"/>
              <w:rPr>
                <w:sz w:val="15"/>
                <w:szCs w:val="15"/>
                <w:color w:val="auto"/>
              </w:rPr>
            </w:pPr>
          </w:p>
        </w:tc>
      </w:tr>
      <w:tr>
        <w:trPr>
          <w:trHeight w:val="21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305"/>
        </w:trPr>
        <w:tc>
          <w:tcPr>
            <w:tcW w:w="3720" w:type="dxa"/>
            <w:vAlign w:val="bottom"/>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00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00" w:type="dxa"/>
            <w:vAlign w:val="bottom"/>
          </w:tcPr>
          <w:p>
            <w:pPr>
              <w:spacing w:after="0"/>
              <w:rPr>
                <w:sz w:val="2"/>
                <w:szCs w:val="2"/>
                <w:color w:val="auto"/>
              </w:rPr>
            </w:pPr>
          </w:p>
        </w:tc>
      </w:tr>
      <w:tr>
        <w:trPr>
          <w:trHeight w:val="177"/>
        </w:trPr>
        <w:tc>
          <w:tcPr>
            <w:tcW w:w="3720" w:type="dxa"/>
            <w:vAlign w:val="bottom"/>
            <w:tcBorders>
              <w:top w:val="single" w:sz="8" w:color="auto"/>
            </w:tcBorders>
          </w:tcPr>
          <w:p>
            <w:pPr>
              <w:jc w:val="center"/>
              <w:ind w:left="566"/>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ASPS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285"/>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5" w:lineRule="exact"/>
        <w:rPr>
          <w:sz w:val="24"/>
          <w:szCs w:val="24"/>
          <w:color w:val="auto"/>
        </w:rPr>
      </w:pPr>
    </w:p>
    <w:p>
      <w:pPr>
        <w:ind w:right="12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3" w:right="339" w:bottom="1440" w:gutter="0" w:footer="0" w:header="0"/>
        </w:sectPr>
      </w:pPr>
    </w:p>
    <w:p>
      <w:pPr>
        <w:spacing w:after="0" w:line="100" w:lineRule="exact"/>
        <w:rPr>
          <w:sz w:val="24"/>
          <w:szCs w:val="24"/>
          <w:color w:val="auto"/>
        </w:rPr>
      </w:pPr>
    </w:p>
    <w:p>
      <w:pPr>
        <w:ind w:left="140"/>
        <w:spacing w:after="0" w:line="330" w:lineRule="auto"/>
        <w:rPr>
          <w:sz w:val="20"/>
          <w:szCs w:val="20"/>
          <w:color w:val="auto"/>
        </w:rPr>
      </w:pPr>
      <w:r>
        <w:rPr>
          <w:rFonts w:ascii="Times New Roman" w:cs="Times New Roman" w:eastAsia="Times New Roman" w:hAnsi="Times New Roman"/>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ind w:left="120"/>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61" w:lineRule="exact"/>
        <w:tabs>
          <w:tab w:leader="none" w:pos="1300" w:val="left"/>
        </w:tabs>
        <w:rPr>
          <w:sz w:val="20"/>
          <w:szCs w:val="20"/>
          <w:color w:val="auto"/>
        </w:rPr>
      </w:pP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2"/>
          <w:szCs w:val="12"/>
          <w:color w:val="auto"/>
        </w:rPr>
        <w: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4">
            <w:col w:w="1420" w:space="360"/>
            <w:col w:w="5540" w:space="720"/>
            <w:col w:w="1540" w:space="520"/>
            <w:col w:w="1140"/>
          </w:cols>
          <w:pgMar w:left="320" w:top="1373" w:right="339" w:bottom="1440" w:gutter="0" w:footer="0" w:header="0"/>
          <w:type w:val="continuous"/>
        </w:sectPr>
      </w:pPr>
    </w:p>
    <w:p>
      <w:pPr>
        <w:spacing w:after="0" w:line="310"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28, 2025, there were 87,589,517 outstanding shares of the registrant’s common stock (excluding 540,249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711771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105410</wp:posOffset>
            </wp:positionV>
            <wp:extent cx="7117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825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1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7780" w:type="dxa"/>
            <w:vAlign w:val="bottom"/>
            <w:gridSpan w:val="12"/>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2340" w:type="dxa"/>
            <w:vAlign w:val="bottom"/>
            <w:tcBorders>
              <w:bottom w:val="single" w:sz="8" w:color="0000FF"/>
            </w:tcBorders>
            <w:gridSpan w:val="10"/>
            <w:vMerge w:val="continue"/>
          </w:tcPr>
          <w:p>
            <w:pPr>
              <w:spacing w:after="0"/>
              <w:rPr>
                <w:sz w:val="14"/>
                <w:szCs w:val="14"/>
                <w:color w:val="auto"/>
              </w:rPr>
            </w:pPr>
          </w:p>
        </w:tc>
        <w:tc>
          <w:tcPr>
            <w:tcW w:w="7780" w:type="dxa"/>
            <w:vAlign w:val="bottom"/>
            <w:gridSpan w:val="1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560" w:type="dxa"/>
            <w:vAlign w:val="bottom"/>
            <w:tcBorders>
              <w:top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4280" w:type="dxa"/>
            <w:vAlign w:val="bottom"/>
            <w:gridSpan w:val="3"/>
          </w:tcPr>
          <w:p>
            <w:pPr>
              <w:spacing w:after="0"/>
              <w:rPr>
                <w:sz w:val="17"/>
                <w:szCs w:val="17"/>
                <w:color w:val="auto"/>
              </w:rPr>
            </w:pP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20" w:type="dxa"/>
            <w:vAlign w:val="bottom"/>
            <w:tcBorders>
              <w:top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Equity (Deficit)</w:t>
            </w:r>
          </w:p>
        </w:tc>
        <w:tc>
          <w:tcPr>
            <w:tcW w:w="342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Condensed Consolidated Statements of Cash Flows</w:t>
            </w:r>
          </w:p>
        </w:tc>
        <w:tc>
          <w:tcPr>
            <w:tcW w:w="280" w:type="dxa"/>
            <w:vAlign w:val="bottom"/>
            <w:tcBorders>
              <w:top w:val="single" w:sz="8" w:color="0000FF"/>
            </w:tcBorders>
            <w:gridSpan w:val="2"/>
          </w:tcPr>
          <w:p>
            <w:pPr>
              <w:spacing w:after="0"/>
              <w:rPr>
                <w:sz w:val="17"/>
                <w:szCs w:val="17"/>
                <w:color w:val="auto"/>
              </w:rPr>
            </w:pPr>
          </w:p>
        </w:tc>
        <w:tc>
          <w:tcPr>
            <w:tcW w:w="4900" w:type="dxa"/>
            <w:vAlign w:val="bottom"/>
            <w:gridSpan w:val="6"/>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4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00" w:type="dxa"/>
            <w:vAlign w:val="bottom"/>
            <w:gridSpan w:val="2"/>
          </w:tcPr>
          <w:p>
            <w:pPr>
              <w:jc w:val="center"/>
              <w:ind w:left="413"/>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980" w:type="dxa"/>
            <w:vAlign w:val="bottom"/>
            <w:tcBorders>
              <w:left w:val="single" w:sz="8" w:color="0000FF"/>
            </w:tcBorders>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1A</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60" w:type="dxa"/>
            <w:vAlign w:val="bottom"/>
          </w:tcPr>
          <w:p>
            <w:pPr>
              <w:spacing w:after="0"/>
              <w:rPr>
                <w:sz w:val="22"/>
                <w:szCs w:val="22"/>
                <w:color w:val="auto"/>
              </w:rPr>
            </w:pP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980" w:type="dxa"/>
            <w:vAlign w:val="bottom"/>
            <w:tcBorders>
              <w:left w:val="single" w:sz="8" w:color="0000FF"/>
            </w:tcBorders>
            <w:gridSpan w:val="7"/>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0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750"/>
        </w:trPr>
        <w:tc>
          <w:tcPr>
            <w:tcW w:w="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760" w:type="dxa"/>
            <w:vAlign w:val="bottom"/>
            <w:gridSpan w:val="15"/>
          </w:tcPr>
          <w:p>
            <w:pPr>
              <w:ind w:left="448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Interim Condensed Consolidated Financial Statements (Unaudited)</w:t>
      </w:r>
    </w:p>
    <w:p>
      <w:pPr>
        <w:spacing w:after="0" w:line="16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8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534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$2,628 and $3,124, respectively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51,101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6"/>
                <w:szCs w:val="16"/>
                <w:color w:val="auto"/>
              </w:rPr>
              <w:t>LIABILITIES AND DEFICIT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07"/>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271,273</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9,028</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regulatory matters (Note 21)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Deficit: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280" w:type="dxa"/>
            <w:vAlign w:val="bottom"/>
          </w:tcPr>
          <w:p>
            <w:pPr>
              <w:ind w:left="140"/>
              <w:spacing w:after="0" w:line="159" w:lineRule="exact"/>
              <w:rPr>
                <w:sz w:val="20"/>
                <w:szCs w:val="20"/>
                <w:color w:val="auto"/>
              </w:rPr>
            </w:pPr>
            <w:r>
              <w:rPr>
                <w:rFonts w:ascii="Times New Roman" w:cs="Times New Roman" w:eastAsia="Times New Roman" w:hAnsi="Times New Roman"/>
                <w:sz w:val="16"/>
                <w:szCs w:val="16"/>
                <w:color w:val="auto"/>
              </w:rPr>
              <w:t>Common stock ($0.01 par value; 250,000 shares authorized, 88,130 issued and 87,582 outstanding as of March 31, 2025;</w:t>
            </w:r>
          </w:p>
        </w:tc>
        <w:tc>
          <w:tcPr>
            <w:tcW w:w="2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29,963 issued and 27,226 outstanding as of December 31, 2024)</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253,951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211,260</w:t>
            </w:r>
          </w:p>
        </w:tc>
        <w:tc>
          <w:tcPr>
            <w:tcW w:w="0" w:type="dxa"/>
            <w:vAlign w:val="bottom"/>
          </w:tcPr>
          <w:p>
            <w:pPr>
              <w:spacing w:after="0"/>
              <w:rPr>
                <w:sz w:val="1"/>
                <w:szCs w:val="1"/>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(548 shares as of March 31, 2025 and 2,737 shares as of December 31, 2024)</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0" w:type="dxa"/>
            <w:vAlign w:val="bottom"/>
          </w:tcPr>
          <w:p>
            <w:pPr>
              <w:spacing w:after="0"/>
              <w:rPr>
                <w:sz w:val="1"/>
                <w:szCs w:val="1"/>
                <w:color w:val="auto"/>
              </w:rPr>
            </w:pPr>
          </w:p>
        </w:tc>
      </w:tr>
      <w:tr>
        <w:trPr>
          <w:trHeight w:val="20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Altisource deficit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(157,376)</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deficit</w:t>
            </w:r>
          </w:p>
        </w:tc>
        <w:tc>
          <w:tcPr>
            <w:tcW w:w="2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(119,029)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194"/>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deficit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ALTISOURCE PORTFOLIO SOLUTIONS S.A. Condensed Consolidated Statements of Operations and Comprehensive Loss </w:t>
      </w:r>
      <w:r>
        <w:rPr>
          <w:rFonts w:ascii="Times New Roman" w:cs="Times New Roman" w:eastAsia="Times New Roman" w:hAnsi="Times New Roman"/>
          <w:sz w:val="18"/>
          <w:szCs w:val="18"/>
          <w:b w:val="1"/>
          <w:bCs w:val="1"/>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27,165</w:t>
            </w:r>
          </w:p>
        </w:tc>
      </w:tr>
      <w:tr>
        <w:trPr>
          <w:trHeight w:val="194"/>
        </w:trPr>
        <w:tc>
          <w:tcPr>
            <w:tcW w:w="8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12,304</w:t>
            </w:r>
          </w:p>
        </w:tc>
      </w:tr>
      <w:tr>
        <w:trPr>
          <w:trHeight w:val="214"/>
        </w:trPr>
        <w:tc>
          <w:tcPr>
            <w:tcW w:w="8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12,852</w:t>
            </w:r>
          </w:p>
        </w:tc>
      </w:tr>
      <w:tr>
        <w:trPr>
          <w:trHeight w:val="194"/>
        </w:trPr>
        <w:tc>
          <w:tcPr>
            <w:tcW w:w="8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r>
      <w:tr>
        <w:trPr>
          <w:trHeight w:val="21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r>
      <w:tr>
        <w:trPr>
          <w:trHeight w:val="207"/>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(7,887)</w:t>
            </w:r>
          </w:p>
        </w:tc>
      </w:tr>
      <w:tr>
        <w:trPr>
          <w:trHeight w:val="212"/>
        </w:trPr>
        <w:tc>
          <w:tcPr>
            <w:tcW w:w="8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(8,435)</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194"/>
        </w:trPr>
        <w:tc>
          <w:tcPr>
            <w:tcW w:w="8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4"/>
        </w:trPr>
        <w:tc>
          <w:tcPr>
            <w:tcW w:w="8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58,122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28,181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loss, net of tax</w:t>
            </w:r>
          </w:p>
        </w:tc>
        <w:tc>
          <w:tcPr>
            <w:tcW w:w="900" w:type="dxa"/>
            <w:vAlign w:val="bottom"/>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w:t>
            </w:r>
          </w:p>
        </w:tc>
      </w:tr>
      <w:tr>
        <w:trPr>
          <w:trHeight w:val="21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4"/>
        </w:trPr>
        <w:tc>
          <w:tcPr>
            <w:tcW w:w="8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Altisource</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Altisource Equity (Deficit)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200" w:type="dxa"/>
            <w:vAlign w:val="bottom"/>
          </w:tcPr>
          <w:p>
            <w:pPr>
              <w:spacing w:after="0"/>
              <w:rPr>
                <w:sz w:val="12"/>
                <w:szCs w:val="12"/>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9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206,941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6"/>
                <w:szCs w:val="16"/>
                <w:color w:val="auto"/>
              </w:rPr>
            </w:pP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208,756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(218,517)</w:t>
            </w:r>
          </w:p>
        </w:tc>
        <w:tc>
          <w:tcPr>
            <w:tcW w:w="1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(132,698)</w:t>
            </w:r>
          </w:p>
        </w:tc>
        <w:tc>
          <w:tcPr>
            <w:tcW w:w="0" w:type="dxa"/>
            <w:vAlign w:val="bottom"/>
          </w:tcPr>
          <w:p>
            <w:pPr>
              <w:spacing w:after="0"/>
              <w:rPr>
                <w:sz w:val="1"/>
                <w:szCs w:val="1"/>
                <w:color w:val="auto"/>
              </w:rPr>
            </w:pPr>
          </w:p>
        </w:tc>
      </w:tr>
      <w:tr>
        <w:trPr>
          <w:trHeight w:val="20"/>
        </w:trPr>
        <w:tc>
          <w:tcPr>
            <w:tcW w:w="4020" w:type="dxa"/>
            <w:vAlign w:val="bottom"/>
            <w:tcBorders>
              <w:bottom w:val="single" w:sz="8" w:color="BFE4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20" w:type="dxa"/>
            <w:vAlign w:val="bottom"/>
            <w:shd w:val="clear" w:color="auto" w:fill="BFE4FF"/>
          </w:tcPr>
          <w:p>
            <w:pPr>
              <w:spacing w:after="0"/>
              <w:rPr>
                <w:sz w:val="15"/>
                <w:szCs w:val="15"/>
                <w:color w:val="auto"/>
              </w:rPr>
            </w:pPr>
          </w:p>
        </w:tc>
        <w:tc>
          <w:tcPr>
            <w:tcW w:w="8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4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86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8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15"/>
                <w:szCs w:val="15"/>
                <w:color w:val="auto"/>
              </w:rPr>
            </w:pPr>
          </w:p>
        </w:tc>
        <w:tc>
          <w:tcPr>
            <w:tcW w:w="8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4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15"/>
                <w:szCs w:val="15"/>
                <w:color w:val="auto"/>
              </w:rPr>
            </w:pPr>
          </w:p>
        </w:tc>
        <w:tc>
          <w:tcPr>
            <w:tcW w:w="78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29,963</w:t>
            </w:r>
          </w:p>
        </w:tc>
        <w:tc>
          <w:tcPr>
            <w:tcW w:w="120" w:type="dxa"/>
            <w:vAlign w:val="bottom"/>
          </w:tcPr>
          <w:p>
            <w:pPr>
              <w:spacing w:after="0"/>
              <w:rPr>
                <w:sz w:val="18"/>
                <w:szCs w:val="18"/>
                <w:color w:val="auto"/>
              </w:rPr>
            </w:pP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211,260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(259,977)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(108,959)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(156,711)</w:t>
            </w:r>
          </w:p>
        </w:tc>
        <w:tc>
          <w:tcPr>
            <w:tcW w:w="0" w:type="dxa"/>
            <w:vAlign w:val="bottom"/>
          </w:tcPr>
          <w:p>
            <w:pPr>
              <w:spacing w:after="0"/>
              <w:rPr>
                <w:sz w:val="1"/>
                <w:szCs w:val="1"/>
                <w:color w:val="auto"/>
              </w:rPr>
            </w:pPr>
          </w:p>
        </w:tc>
      </w:tr>
      <w:tr>
        <w:trPr>
          <w:trHeight w:val="20"/>
        </w:trPr>
        <w:tc>
          <w:tcPr>
            <w:tcW w:w="4020" w:type="dxa"/>
            <w:vAlign w:val="bottom"/>
            <w:tcBorders>
              <w:bottom w:val="single" w:sz="8" w:color="BFE4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20" w:type="dxa"/>
            <w:vAlign w:val="bottom"/>
            <w:shd w:val="clear" w:color="auto" w:fill="BFE4FF"/>
          </w:tcPr>
          <w:p>
            <w:pPr>
              <w:spacing w:after="0"/>
              <w:rPr>
                <w:sz w:val="15"/>
                <w:szCs w:val="15"/>
                <w:color w:val="auto"/>
              </w:rPr>
            </w:pPr>
          </w:p>
        </w:tc>
        <w:tc>
          <w:tcPr>
            <w:tcW w:w="8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4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6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40" w:type="dxa"/>
            <w:vAlign w:val="bottom"/>
            <w:shd w:val="clear" w:color="auto" w:fill="BFE4FF"/>
          </w:tcPr>
          <w:p>
            <w:pPr>
              <w:spacing w:after="0"/>
              <w:rPr>
                <w:sz w:val="15"/>
                <w:szCs w:val="15"/>
                <w:color w:val="auto"/>
              </w:rPr>
            </w:pPr>
          </w:p>
        </w:tc>
        <w:tc>
          <w:tcPr>
            <w:tcW w:w="860" w:type="dxa"/>
            <w:vAlign w:val="bottom"/>
            <w:shd w:val="clear" w:color="auto" w:fill="BFE4FF"/>
          </w:tcPr>
          <w:p>
            <w:pPr>
              <w:spacing w:after="0"/>
              <w:rPr>
                <w:sz w:val="15"/>
                <w:szCs w:val="15"/>
                <w:color w:val="auto"/>
              </w:rPr>
            </w:pPr>
          </w:p>
        </w:tc>
        <w:tc>
          <w:tcPr>
            <w:tcW w:w="80" w:type="dxa"/>
            <w:vAlign w:val="bottom"/>
            <w:shd w:val="clear" w:color="auto" w:fill="BFE4FF"/>
          </w:tcPr>
          <w:p>
            <w:pPr>
              <w:spacing w:after="0"/>
              <w:rPr>
                <w:sz w:val="15"/>
                <w:szCs w:val="15"/>
                <w:color w:val="auto"/>
              </w:rPr>
            </w:pPr>
          </w:p>
        </w:tc>
        <w:tc>
          <w:tcPr>
            <w:tcW w:w="160" w:type="dxa"/>
            <w:vAlign w:val="bottom"/>
            <w:shd w:val="clear" w:color="auto" w:fill="BFE4FF"/>
          </w:tcPr>
          <w:p>
            <w:pPr>
              <w:spacing w:after="0"/>
              <w:rPr>
                <w:sz w:val="15"/>
                <w:szCs w:val="15"/>
                <w:color w:val="auto"/>
              </w:rPr>
            </w:pPr>
          </w:p>
        </w:tc>
        <w:tc>
          <w:tcPr>
            <w:tcW w:w="82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15"/>
                <w:szCs w:val="15"/>
                <w:color w:val="auto"/>
              </w:rPr>
            </w:pPr>
          </w:p>
        </w:tc>
        <w:tc>
          <w:tcPr>
            <w:tcW w:w="800" w:type="dxa"/>
            <w:vAlign w:val="bottom"/>
            <w:shd w:val="clear" w:color="auto" w:fill="BFE4FF"/>
          </w:tcPr>
          <w:p>
            <w:pPr>
              <w:spacing w:after="0"/>
              <w:rPr>
                <w:sz w:val="15"/>
                <w:szCs w:val="15"/>
                <w:color w:val="auto"/>
              </w:rPr>
            </w:pPr>
          </w:p>
        </w:tc>
        <w:tc>
          <w:tcPr>
            <w:tcW w:w="10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840" w:type="dxa"/>
            <w:vAlign w:val="bottom"/>
            <w:shd w:val="clear" w:color="auto" w:fill="BFE4FF"/>
          </w:tcPr>
          <w:p>
            <w:pPr>
              <w:spacing w:after="0"/>
              <w:rPr>
                <w:sz w:val="15"/>
                <w:szCs w:val="15"/>
                <w:color w:val="auto"/>
              </w:rPr>
            </w:pPr>
          </w:p>
        </w:tc>
        <w:tc>
          <w:tcPr>
            <w:tcW w:w="120" w:type="dxa"/>
            <w:vAlign w:val="bottom"/>
            <w:shd w:val="clear" w:color="auto" w:fill="BFE4FF"/>
          </w:tcPr>
          <w:p>
            <w:pPr>
              <w:spacing w:after="0"/>
              <w:rPr>
                <w:sz w:val="15"/>
                <w:szCs w:val="15"/>
                <w:color w:val="auto"/>
              </w:rPr>
            </w:pPr>
          </w:p>
        </w:tc>
        <w:tc>
          <w:tcPr>
            <w:tcW w:w="200" w:type="dxa"/>
            <w:vAlign w:val="bottom"/>
            <w:shd w:val="clear" w:color="auto" w:fill="BFE4FF"/>
          </w:tcPr>
          <w:p>
            <w:pPr>
              <w:spacing w:after="0"/>
              <w:rPr>
                <w:sz w:val="15"/>
                <w:szCs w:val="15"/>
                <w:color w:val="auto"/>
              </w:rPr>
            </w:pPr>
          </w:p>
        </w:tc>
        <w:tc>
          <w:tcPr>
            <w:tcW w:w="78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0" w:type="dxa"/>
            <w:vAlign w:val="bottom"/>
          </w:tcPr>
          <w:p>
            <w:pPr>
              <w:spacing w:after="0"/>
              <w:rPr>
                <w:sz w:val="1"/>
                <w:szCs w:val="1"/>
                <w:color w:val="auto"/>
              </w:rPr>
            </w:pPr>
          </w:p>
        </w:tc>
      </w:tr>
      <w:tr>
        <w:trPr>
          <w:trHeight w:val="214"/>
        </w:trPr>
        <w:tc>
          <w:tcPr>
            <w:tcW w:w="402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Distributions to non-controlling interest holders</w:t>
            </w:r>
          </w:p>
        </w:tc>
        <w:tc>
          <w:tcPr>
            <w:tcW w:w="9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BFE4FF"/>
          </w:tcPr>
          <w:p>
            <w:pPr>
              <w:spacing w:after="0"/>
              <w:rPr>
                <w:sz w:val="18"/>
                <w:szCs w:val="18"/>
                <w:color w:val="auto"/>
              </w:rPr>
            </w:pP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4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FE4FF"/>
          </w:tcPr>
          <w:p>
            <w:pPr>
              <w:spacing w:after="0"/>
              <w:rPr>
                <w:sz w:val="18"/>
                <w:szCs w:val="18"/>
                <w:color w:val="auto"/>
              </w:rPr>
            </w:pPr>
          </w:p>
        </w:tc>
        <w:tc>
          <w:tcPr>
            <w:tcW w:w="920" w:type="dxa"/>
            <w:vAlign w:val="bottom"/>
            <w:gridSpan w:val="2"/>
            <w:shd w:val="clear" w:color="auto" w:fill="BFE4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BFE4FF"/>
          </w:tcPr>
          <w:p>
            <w:pPr>
              <w:spacing w:after="0"/>
              <w:rPr>
                <w:sz w:val="18"/>
                <w:szCs w:val="18"/>
                <w:color w:val="auto"/>
              </w:rPr>
            </w:pPr>
          </w:p>
        </w:tc>
        <w:tc>
          <w:tcPr>
            <w:tcW w:w="9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FE4FF"/>
          </w:tcPr>
          <w:p>
            <w:pPr>
              <w:spacing w:after="0"/>
              <w:rPr>
                <w:sz w:val="18"/>
                <w:szCs w:val="18"/>
                <w:color w:val="auto"/>
              </w:rPr>
            </w:pP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214"/>
        </w:trPr>
        <w:tc>
          <w:tcPr>
            <w:tcW w:w="402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8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58,167</w:t>
            </w:r>
          </w:p>
        </w:tc>
        <w:tc>
          <w:tcPr>
            <w:tcW w:w="12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8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rPr>
              <w:t>41,597</w:t>
            </w:r>
          </w:p>
        </w:tc>
        <w:tc>
          <w:tcPr>
            <w:tcW w:w="8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920" w:type="dxa"/>
            <w:vAlign w:val="bottom"/>
            <w:gridSpan w:val="2"/>
            <w:shd w:val="clear" w:color="auto" w:fill="BFE4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BFE4FF"/>
          </w:tcPr>
          <w:p>
            <w:pPr>
              <w:spacing w:after="0"/>
              <w:rPr>
                <w:sz w:val="18"/>
                <w:szCs w:val="18"/>
                <w:color w:val="auto"/>
              </w:rPr>
            </w:pPr>
          </w:p>
        </w:tc>
        <w:tc>
          <w:tcPr>
            <w:tcW w:w="90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BFE4FF"/>
          </w:tcPr>
          <w:p>
            <w:pPr>
              <w:spacing w:after="0"/>
              <w:rPr>
                <w:sz w:val="18"/>
                <w:szCs w:val="18"/>
                <w:color w:val="auto"/>
              </w:rPr>
            </w:pP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BFE4FF"/>
          </w:tcPr>
          <w:p>
            <w:pPr>
              <w:spacing w:after="0"/>
              <w:rPr>
                <w:sz w:val="18"/>
                <w:szCs w:val="18"/>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42,179</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4020" w:type="dxa"/>
            <w:vAlign w:val="bottom"/>
            <w:shd w:val="clear" w:color="auto" w:fill="BFE4FF"/>
          </w:tcPr>
          <w:p>
            <w:pPr>
              <w:spacing w:after="0"/>
              <w:rPr>
                <w:sz w:val="20"/>
                <w:szCs w:val="20"/>
                <w:color w:val="auto"/>
              </w:rPr>
            </w:pPr>
            <w:r>
              <w:rPr>
                <w:rFonts w:ascii="Times New Roman" w:cs="Times New Roman" w:eastAsia="Times New Roman" w:hAnsi="Times New Roman"/>
                <w:sz w:val="16"/>
                <w:szCs w:val="16"/>
                <w:color w:val="auto"/>
              </w:rPr>
              <w:t>Issuance of restricted share units and restricted shares</w:t>
            </w:r>
          </w:p>
        </w:tc>
        <w:tc>
          <w:tcPr>
            <w:tcW w:w="92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BFE4FF"/>
          </w:tcPr>
          <w:p>
            <w:pPr>
              <w:spacing w:after="0"/>
              <w:rPr>
                <w:sz w:val="18"/>
                <w:szCs w:val="18"/>
                <w:color w:val="auto"/>
              </w:rPr>
            </w:pPr>
          </w:p>
        </w:tc>
        <w:tc>
          <w:tcPr>
            <w:tcW w:w="3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94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BFE4FF"/>
          </w:tcPr>
          <w:p>
            <w:pPr>
              <w:spacing w:after="0"/>
              <w:rPr>
                <w:sz w:val="18"/>
                <w:szCs w:val="18"/>
                <w:color w:val="auto"/>
              </w:rPr>
            </w:pPr>
          </w:p>
        </w:tc>
        <w:tc>
          <w:tcPr>
            <w:tcW w:w="8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shd w:val="clear" w:color="auto" w:fill="BFE4FF"/>
          </w:tcPr>
          <w:p>
            <w:pPr>
              <w:spacing w:after="0"/>
              <w:rPr>
                <w:sz w:val="18"/>
                <w:szCs w:val="18"/>
                <w:color w:val="auto"/>
              </w:rPr>
            </w:pPr>
          </w:p>
        </w:tc>
        <w:tc>
          <w:tcPr>
            <w:tcW w:w="200" w:type="dxa"/>
            <w:vAlign w:val="bottom"/>
            <w:shd w:val="clear" w:color="auto" w:fill="BFE4FF"/>
          </w:tcPr>
          <w:p>
            <w:pPr>
              <w:spacing w:after="0"/>
              <w:rPr>
                <w:sz w:val="18"/>
                <w:szCs w:val="18"/>
                <w:color w:val="auto"/>
              </w:rPr>
            </w:pPr>
          </w:p>
        </w:tc>
        <w:tc>
          <w:tcPr>
            <w:tcW w:w="80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6"/>
                <w:szCs w:val="16"/>
                <w:color w:val="auto"/>
              </w:rPr>
              <w:t>25,456</w:t>
            </w:r>
          </w:p>
        </w:tc>
        <w:tc>
          <w:tcPr>
            <w:tcW w:w="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960" w:type="dxa"/>
            <w:vAlign w:val="bottom"/>
            <w:gridSpan w:val="2"/>
            <w:shd w:val="clear" w:color="auto" w:fill="BFE4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BFE4FF"/>
          </w:tcPr>
          <w:p>
            <w:pPr>
              <w:spacing w:after="0"/>
              <w:rPr>
                <w:sz w:val="18"/>
                <w:szCs w:val="18"/>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402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Treasury shares withheld for the payment of tax on restricted</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14,462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0"/>
        </w:trPr>
        <w:tc>
          <w:tcPr>
            <w:tcW w:w="4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unit and restricted share issuances</w:t>
            </w:r>
          </w:p>
        </w:tc>
        <w:tc>
          <w:tcPr>
            <w:tcW w:w="9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20" w:type="dxa"/>
            <w:vAlign w:val="bottom"/>
            <w:tcBorders>
              <w:top w:val="single" w:sz="8" w:color="BFE4FF"/>
            </w:tcBorders>
            <w:shd w:val="clear" w:color="auto" w:fill="BFE4FF"/>
          </w:tcPr>
          <w:p>
            <w:pPr>
              <w:spacing w:after="0"/>
              <w:rPr>
                <w:sz w:val="16"/>
                <w:szCs w:val="16"/>
                <w:color w:val="auto"/>
              </w:rPr>
            </w:pPr>
          </w:p>
        </w:tc>
        <w:tc>
          <w:tcPr>
            <w:tcW w:w="800" w:type="dxa"/>
            <w:vAlign w:val="bottom"/>
            <w:tcBorders>
              <w:top w:val="single" w:sz="8" w:color="auto"/>
            </w:tcBorders>
            <w:shd w:val="clear" w:color="auto" w:fill="BFE4FF"/>
          </w:tcPr>
          <w:p>
            <w:pPr>
              <w:spacing w:after="0"/>
              <w:rPr>
                <w:sz w:val="16"/>
                <w:szCs w:val="16"/>
                <w:color w:val="auto"/>
              </w:rPr>
            </w:pPr>
          </w:p>
        </w:tc>
        <w:tc>
          <w:tcPr>
            <w:tcW w:w="120" w:type="dxa"/>
            <w:vAlign w:val="bottom"/>
            <w:tcBorders>
              <w:top w:val="single" w:sz="8" w:color="BFE4FF"/>
            </w:tcBorders>
            <w:shd w:val="clear" w:color="auto" w:fill="BFE4FF"/>
          </w:tcPr>
          <w:p>
            <w:pPr>
              <w:spacing w:after="0"/>
              <w:rPr>
                <w:sz w:val="16"/>
                <w:szCs w:val="16"/>
                <w:color w:val="auto"/>
              </w:rPr>
            </w:pPr>
          </w:p>
        </w:tc>
        <w:tc>
          <w:tcPr>
            <w:tcW w:w="440" w:type="dxa"/>
            <w:vAlign w:val="bottom"/>
            <w:tcBorders>
              <w:top w:val="single" w:sz="8" w:color="auto"/>
            </w:tcBorders>
            <w:shd w:val="clear" w:color="auto" w:fill="BFE4FF"/>
          </w:tcPr>
          <w:p>
            <w:pPr>
              <w:spacing w:after="0"/>
              <w:rPr>
                <w:sz w:val="16"/>
                <w:szCs w:val="16"/>
                <w:color w:val="auto"/>
              </w:rPr>
            </w:pPr>
          </w:p>
        </w:tc>
        <w:tc>
          <w:tcPr>
            <w:tcW w:w="320" w:type="dxa"/>
            <w:vAlign w:val="bottom"/>
            <w:tcBorders>
              <w:top w:val="single" w:sz="8" w:color="auto"/>
            </w:tcBorders>
            <w:shd w:val="clear" w:color="auto" w:fill="BFE4FF"/>
          </w:tcPr>
          <w:p>
            <w:pPr>
              <w:spacing w:after="0"/>
              <w:rPr>
                <w:sz w:val="16"/>
                <w:szCs w:val="16"/>
                <w:color w:val="auto"/>
              </w:rPr>
            </w:pPr>
          </w:p>
        </w:tc>
        <w:tc>
          <w:tcPr>
            <w:tcW w:w="60" w:type="dxa"/>
            <w:vAlign w:val="bottom"/>
            <w:tcBorders>
              <w:top w:val="single" w:sz="8" w:color="auto"/>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140" w:type="dxa"/>
            <w:vAlign w:val="bottom"/>
            <w:tcBorders>
              <w:top w:val="single" w:sz="8" w:color="auto"/>
            </w:tcBorders>
            <w:shd w:val="clear" w:color="auto" w:fill="BFE4FF"/>
          </w:tcPr>
          <w:p>
            <w:pPr>
              <w:spacing w:after="0"/>
              <w:rPr>
                <w:sz w:val="16"/>
                <w:szCs w:val="16"/>
                <w:color w:val="auto"/>
              </w:rPr>
            </w:pPr>
          </w:p>
        </w:tc>
        <w:tc>
          <w:tcPr>
            <w:tcW w:w="860" w:type="dxa"/>
            <w:vAlign w:val="bottom"/>
            <w:tcBorders>
              <w:top w:val="single" w:sz="8" w:color="auto"/>
            </w:tcBorders>
            <w:shd w:val="clear" w:color="auto" w:fill="BFE4FF"/>
          </w:tcPr>
          <w:p>
            <w:pPr>
              <w:spacing w:after="0"/>
              <w:rPr>
                <w:sz w:val="16"/>
                <w:szCs w:val="16"/>
                <w:color w:val="auto"/>
              </w:rPr>
            </w:pPr>
          </w:p>
        </w:tc>
        <w:tc>
          <w:tcPr>
            <w:tcW w:w="80" w:type="dxa"/>
            <w:vAlign w:val="bottom"/>
            <w:tcBorders>
              <w:top w:val="single" w:sz="8" w:color="BFE4FF"/>
            </w:tcBorders>
            <w:shd w:val="clear" w:color="auto" w:fill="BFE4FF"/>
          </w:tcPr>
          <w:p>
            <w:pPr>
              <w:spacing w:after="0"/>
              <w:rPr>
                <w:sz w:val="16"/>
                <w:szCs w:val="16"/>
                <w:color w:val="auto"/>
              </w:rPr>
            </w:pPr>
          </w:p>
        </w:tc>
        <w:tc>
          <w:tcPr>
            <w:tcW w:w="160" w:type="dxa"/>
            <w:vAlign w:val="bottom"/>
            <w:tcBorders>
              <w:top w:val="single" w:sz="8" w:color="auto"/>
            </w:tcBorders>
            <w:shd w:val="clear" w:color="auto" w:fill="BFE4FF"/>
          </w:tcPr>
          <w:p>
            <w:pPr>
              <w:spacing w:after="0"/>
              <w:rPr>
                <w:sz w:val="16"/>
                <w:szCs w:val="16"/>
                <w:color w:val="auto"/>
              </w:rPr>
            </w:pPr>
          </w:p>
        </w:tc>
        <w:tc>
          <w:tcPr>
            <w:tcW w:w="820" w:type="dxa"/>
            <w:vAlign w:val="bottom"/>
            <w:tcBorders>
              <w:top w:val="single" w:sz="8" w:color="auto"/>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200" w:type="dxa"/>
            <w:vAlign w:val="bottom"/>
            <w:tcBorders>
              <w:top w:val="single" w:sz="8" w:color="auto"/>
            </w:tcBorders>
            <w:shd w:val="clear" w:color="auto" w:fill="BFE4FF"/>
          </w:tcPr>
          <w:p>
            <w:pPr>
              <w:spacing w:after="0"/>
              <w:rPr>
                <w:sz w:val="16"/>
                <w:szCs w:val="16"/>
                <w:color w:val="auto"/>
              </w:rPr>
            </w:pPr>
          </w:p>
        </w:tc>
        <w:tc>
          <w:tcPr>
            <w:tcW w:w="800" w:type="dxa"/>
            <w:vAlign w:val="bottom"/>
            <w:tcBorders>
              <w:top w:val="single" w:sz="8" w:color="auto"/>
            </w:tcBorders>
            <w:shd w:val="clear" w:color="auto" w:fill="BFE4FF"/>
          </w:tcPr>
          <w:p>
            <w:pPr>
              <w:spacing w:after="0"/>
              <w:rPr>
                <w:sz w:val="16"/>
                <w:szCs w:val="16"/>
                <w:color w:val="auto"/>
              </w:rPr>
            </w:pPr>
          </w:p>
        </w:tc>
        <w:tc>
          <w:tcPr>
            <w:tcW w:w="100" w:type="dxa"/>
            <w:vAlign w:val="bottom"/>
            <w:tcBorders>
              <w:top w:val="single" w:sz="8" w:color="BFE4FF"/>
            </w:tcBorders>
            <w:shd w:val="clear" w:color="auto" w:fill="BFE4FF"/>
          </w:tcPr>
          <w:p>
            <w:pPr>
              <w:spacing w:after="0"/>
              <w:rPr>
                <w:sz w:val="16"/>
                <w:szCs w:val="16"/>
                <w:color w:val="auto"/>
              </w:rPr>
            </w:pPr>
          </w:p>
        </w:tc>
        <w:tc>
          <w:tcPr>
            <w:tcW w:w="120" w:type="dxa"/>
            <w:vAlign w:val="bottom"/>
            <w:tcBorders>
              <w:top w:val="single" w:sz="8" w:color="auto"/>
            </w:tcBorders>
            <w:shd w:val="clear" w:color="auto" w:fill="BFE4FF"/>
          </w:tcPr>
          <w:p>
            <w:pPr>
              <w:spacing w:after="0"/>
              <w:rPr>
                <w:sz w:val="16"/>
                <w:szCs w:val="16"/>
                <w:color w:val="auto"/>
              </w:rPr>
            </w:pPr>
          </w:p>
        </w:tc>
        <w:tc>
          <w:tcPr>
            <w:tcW w:w="840" w:type="dxa"/>
            <w:vAlign w:val="bottom"/>
            <w:tcBorders>
              <w:top w:val="single" w:sz="8" w:color="auto"/>
            </w:tcBorders>
            <w:shd w:val="clear" w:color="auto" w:fill="BFE4FF"/>
          </w:tcPr>
          <w:p>
            <w:pPr>
              <w:spacing w:after="0"/>
              <w:rPr>
                <w:sz w:val="16"/>
                <w:szCs w:val="16"/>
                <w:color w:val="auto"/>
              </w:rPr>
            </w:pPr>
          </w:p>
        </w:tc>
        <w:tc>
          <w:tcPr>
            <w:tcW w:w="120" w:type="dxa"/>
            <w:vAlign w:val="bottom"/>
            <w:tcBorders>
              <w:top w:val="single" w:sz="8" w:color="BFE4FF"/>
            </w:tcBorders>
            <w:shd w:val="clear" w:color="auto" w:fill="BFE4FF"/>
          </w:tcPr>
          <w:p>
            <w:pPr>
              <w:spacing w:after="0"/>
              <w:rPr>
                <w:sz w:val="16"/>
                <w:szCs w:val="16"/>
                <w:color w:val="auto"/>
              </w:rPr>
            </w:pPr>
          </w:p>
        </w:tc>
        <w:tc>
          <w:tcPr>
            <w:tcW w:w="200" w:type="dxa"/>
            <w:vAlign w:val="bottom"/>
            <w:tcBorders>
              <w:top w:val="single" w:sz="8" w:color="auto"/>
            </w:tcBorders>
            <w:shd w:val="clear" w:color="auto" w:fill="BFE4FF"/>
          </w:tcPr>
          <w:p>
            <w:pPr>
              <w:spacing w:after="0"/>
              <w:rPr>
                <w:sz w:val="16"/>
                <w:szCs w:val="16"/>
                <w:color w:val="auto"/>
              </w:rPr>
            </w:pPr>
          </w:p>
        </w:tc>
        <w:tc>
          <w:tcPr>
            <w:tcW w:w="780" w:type="dxa"/>
            <w:vAlign w:val="bottom"/>
            <w:tcBorders>
              <w:top w:val="single" w:sz="8" w:color="auto"/>
            </w:tcBorders>
            <w:shd w:val="clear" w:color="auto" w:fill="BFE4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Balance, March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88,130</w:t>
            </w:r>
          </w:p>
        </w:tc>
        <w:tc>
          <w:tcPr>
            <w:tcW w:w="120" w:type="dxa"/>
            <w:vAlign w:val="bottom"/>
          </w:tcPr>
          <w:p>
            <w:pPr>
              <w:spacing w:after="0"/>
              <w:rPr>
                <w:sz w:val="18"/>
                <w:szCs w:val="18"/>
                <w:color w:val="auto"/>
              </w:rPr>
            </w:pP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253,951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(363,082)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(119,029)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r>
        <w:rPr>
          <w:rFonts w:ascii="Times New Roman" w:cs="Times New Roman" w:eastAsia="Times New Roman" w:hAnsi="Times New Roman"/>
          <w:sz w:val="18"/>
          <w:szCs w:val="18"/>
          <w:color w:val="auto"/>
        </w:rPr>
        <w:t>)</w:t>
      </w:r>
    </w:p>
    <w:p>
      <w:pPr>
        <w:spacing w:after="0" w:line="35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92"/>
        </w:trPr>
        <w:tc>
          <w:tcPr>
            <w:tcW w:w="8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(9,157)</w:t>
            </w:r>
          </w:p>
        </w:tc>
      </w:tr>
      <w:tr>
        <w:trPr>
          <w:trHeight w:val="214"/>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right-of-use assets under operating leases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PIK accrual</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2,213</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premium</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0"/>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214"/>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and non-current operating lease liabilities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0"/>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r>
      <w:tr>
        <w:trPr>
          <w:trHeight w:val="75"/>
        </w:trPr>
        <w:tc>
          <w:tcPr>
            <w:tcW w:w="8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Additions to premises and equipment</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75"/>
        </w:trPr>
        <w:tc>
          <w:tcPr>
            <w:tcW w:w="8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Super Senior Facility</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issuance costs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Warrants, net of costs</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tax withholding on issuance of restricted share units and restricted shares</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0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75"/>
        </w:trPr>
        <w:tc>
          <w:tcPr>
            <w:tcW w:w="82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r>
      <w:tr>
        <w:trPr>
          <w:trHeight w:val="88"/>
        </w:trPr>
        <w:tc>
          <w:tcPr>
            <w:tcW w:w="8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
        </w:trPr>
        <w:tc>
          <w:tcPr>
            <w:tcW w:w="8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12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 net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right-of-use assets with operating lease liabilities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4"/>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Reduction of right-of-use assets from operating lease modifications or reassessments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93"/>
        </w:trPr>
        <w:tc>
          <w:tcPr>
            <w:tcW w:w="8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issued in exchange for debt reduction</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08"/>
        </w:trPr>
        <w:tc>
          <w:tcPr>
            <w:tcW w:w="8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bl>
    <w:p>
      <w:pPr>
        <w:ind w:left="20" w:right="580"/>
        <w:spacing w:after="0" w:line="238" w:lineRule="auto"/>
        <w:rPr>
          <w:sz w:val="20"/>
          <w:szCs w:val="20"/>
          <w:color w:val="auto"/>
        </w:rPr>
      </w:pPr>
      <w:r>
        <w:rPr>
          <w:rFonts w:ascii="Times New Roman" w:cs="Times New Roman" w:eastAsia="Times New Roman" w:hAnsi="Times New Roman"/>
          <w:sz w:val="16"/>
          <w:szCs w:val="16"/>
          <w:color w:val="auto"/>
        </w:rPr>
        <w:t>The following table provides a reconciliation of cash, cash equivalents and restricted cash reported within the unaudited condensed consolidated balance sheets and the unaudited condensed consolidated statements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92"/>
        </w:trPr>
        <w:tc>
          <w:tcPr>
            <w:tcW w:w="82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29,599</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2,881</w:t>
            </w:r>
          </w:p>
        </w:tc>
      </w:tr>
      <w:tr>
        <w:trPr>
          <w:trHeight w:val="232"/>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 reported in the statements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publicly traded on the NASDAQ Global Select Market under the symbol “ASPS.” We are organized under the laws of the Grand Duchy of Luxembourg.</w:t>
      </w:r>
    </w:p>
    <w:p>
      <w:pPr>
        <w:spacing w:after="0" w:line="1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 (see Note 22 for a description of our business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Presentation</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periods. Actual results could differ from those estimates. Intercompany transactions and accounts have been eliminated in consolidation. Certain prior year balance sheet amounts have been reclassified for consistency with the current year presentation.</w:t>
      </w: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Altisource consolidates Best Partners Mortgage Cooperative, Inc., which is managed by The Mortgage Partnership of America, L.L.C. (“MPA”), a wholly-owned subsidiary of Altisource. Best Partners Mortgage Cooperative, Inc. is a mortgage cooperative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MPA provides services to Lenders One under a management agreement that ends on December 31, 2025 (with renewals for three successive five-year periods at MPA’s option).</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management agreement between MPA and Lenders One, pursuant to which MPA is the management company, represents a variable interest in a variable interest entity. MPA is the primary beneficiary of Lenders One as it has the power to direct the activities that most significantly impact the cooperative’s economic performance and the right to receive benefits from the cooperative. As a result, Lenders One is presented in the accompanying condensed consolidated financial statements on a consolidated basis and the interests of the members are reflected as non-controlling interests. As of March 31, 2025, Lenders One had total assets of $0.4 million and total liabilities of $0.1 million. As of December 31, 2024, Lenders One had total assets of $0.4 million and total liabilities of $0.3 million.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These interim condensed consolidated financial statements should be read in conjunction with the Company’s Annual Report on Form 10-K for the year ended December 31, 2024, as filed with the SEC on March 31, 2025.</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Quoted prices in active markets for identical assets and liabilities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Observable inputs other than quoted prices included in Level 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Level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Unobservable inputs that are supported by little or no market activity and that are significant to the fair value of assets or liabilities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standard amends the Codification to enhance the transparency and decision usefulness of income tax disclosures, to provide information to better assess how an entity’s operations and related tax risks and tax planning and operational opportunities affect its tax rate and prospects for future cash flows. The Company adopted this standard effective January 1, 2025 and has applied it prospectively. Adoption of this new standard did not have a material impact on the Company’s condensed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This standard amends the Codification to enhance the disclosure requirements in the notes to the financial statements, of specified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in interim and year-end reporting periods. This standard will be effective for annual periods beginning after December 15, 2026, and for interim periods beginning after December 15, 2027. Early adoption of this standard is permitted. The Company is currently evaluating the impact this guidance may have on its condensed consolidated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CUSTOMER CONCENTRATION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Onity Group Inc. (together with its subsidiaries, “Onity”) (formerly Ocwen Financial Corporation, or “Ocwen”) is a residential mortgage loan servicer of mortgage servicing rights (“MSRs”) it owns, including those MSRs in which others have an economic interest, and a subservicer of loans owned by others.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Onity was our largest customer, accounting for 45% of our total revenue. Onity purchases certain mortgage services from us under the terms of services agreements and amendments thereto (collectively, the “Onity Services Agreements”) with terms extending through August 2030. Certain of the Onity Services Agreements contain a “most favored nation” provision and also grant the parties the right to renegotiate pricing, among other things.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Onity primarily consists of revenue earned from the loan portfolios serviced and subserviced by Onity when Onity engages us as the service provider, and revenue earned directly from Onity, pursuant to the Onity Services Agreements. For the three months ended March 31, 2025 and 2024, we recognized revenue from Onity of $19.4 million and $17.6 million, respectively. Revenue from Onity as a percentage of segment and consolidated revenue was as follows:</w:t>
      </w:r>
    </w:p>
    <w:p>
      <w:pPr>
        <w:spacing w:after="0" w:line="16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2"/>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10"/>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4"/>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Others</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1"/>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revenue</w:t>
            </w:r>
          </w:p>
        </w:tc>
        <w:tc>
          <w:tcPr>
            <w:tcW w:w="10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earn additional revenue related to the portfolios serviced and subserviced by Onity when a party other than Onity or the MSR owner selects Altisource as the service provider. For the three months ended March 31, 2025 and 2024, we recognized $2.2 million and $2.8 million, respectively, of such revenue. These amounts are not included in deriving revenue from Onity and revenue from Onity as a percentage of revenue discussed above.</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As of March 31, 2025, accounts receivable from Onity totaled $5.6 million, $4.0 million of which was billed and $1.6 million of which was unbilled. As of December 31, 2024, accounts receivable from Onity totaled $4.4 million, $3.1 million of which was billed and $1.3 million of which was unbilled.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Rithm</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Rithm Capital Corp. (individually, together with one or more of its subsidiaries or one or more of its subsidiaries individually, “Rithm”) is an asset manager focused on the real estate and financial services industries.</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Onity has disclosed that Rithm is one of its largest servicing clients. As of December 31, 2024, Onity reported that approximately 14% of loans serviced and subserviced by Onity (measured in unpaid principal balance (“UPB”)) and approximately 63% of all delinquent loans that Onity services were related to Rithm MSRs or rights to MSRs (the “Subject MSRs”).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Rithm purchases brokerage services for real estate owned (“REO”) exclusively from us, irrespective of the subservicer, subject to certain limitations, for certain MSRs set forth in and pursuant to the terms of a Cooperative Brokerage Agreement, as amended, and related letter agreement (collectively, the “Rithm Brokerage Agreement”) with terms extending through August 2025.</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2025 and 2024, we recognized revenue from Rithm of $0.6 million and $0.7 million, respectively, under the Rithm Brokerage Agreement. For the three months ended March 31, 2025 and 2024, we recognized additional revenue of $2.5 million and $2.9 million, respectively, relating to the Subject MSRs when a party other than Rithm selects Altisource as the service provider.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ACCOUNTS RECEIVABLE,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Billed</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10,512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10,728</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Unbilled</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10,304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20,816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18,174</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w w:val="98"/>
              </w:rPr>
              <w:t>(2,628)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18,188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Unbilled accounts receivable includes receivables from certain real estate asset management services, REO and foreclosure sales, and title and closing services, for which we generally recognize revenue when the service is provided but collect upon closing of the sale. Unbilled accounts receivable also includes receivables from foreclosure trustee services and property renovation services, for which we generally recognize revenues over the service delivery period but bill following completion of the service. We also include amounts in unbilled accounts receivable that are earned during a month and billed in the following month. As of January 1, 2025, gross accounts receivable totaled $18.2 million, $10.7 million of which was billed and $7.4 million of which was unbilled, less allowance for credit losses of $3.1 million, resulting in net accounts receivable of $15.1 million. As of January 1, 2024, gross accounts receivable totaled $14.8 million, $9.8 million of which was billed and $5.0 million of which was unbilled, less allowance for credit losses of $3.1 million, resulting in net accounts receivable of $11.7 million.</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exposed to credit losses through our sales of products and services to our customers which are recorded as accounts receivable, net on the Company’s condensed consolidated financial statements. We monitor and estimate the allowance for credit losses based on our historical write-offs, historical collections, our analysis of past due accounts based on the contractual terms of the receivables, relevant market and industry reports and our assessment of the economic status of our customers, if known. Estimated credit losses are written off in the period in which the financial asset is determined to be no longer collectible. There can be no assurance that actual results will not differ from estimates or that consideration of these factors in the future will not result in an increase or decrease to our allowance for credit losses.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expected credit losses consist of the following:</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1700" w:type="dxa"/>
            <w:vAlign w:val="bottom"/>
            <w:gridSpan w:val="2"/>
            <w:vMerge w:val="restart"/>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Balance at Beginning of</w:t>
            </w: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3"/>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Deductions Note</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4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Charged to Expenses</w:t>
            </w:r>
          </w:p>
        </w:tc>
        <w:tc>
          <w:tcPr>
            <w:tcW w:w="20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0" w:type="dxa"/>
            <w:vAlign w:val="bottom"/>
          </w:tcPr>
          <w:p>
            <w:pPr>
              <w:spacing w:after="0"/>
              <w:rPr>
                <w:sz w:val="1"/>
                <w:szCs w:val="1"/>
                <w:color w:val="auto"/>
              </w:rPr>
            </w:pPr>
          </w:p>
        </w:tc>
      </w:tr>
      <w:tr>
        <w:trPr>
          <w:trHeight w:val="197"/>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3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 months ended March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3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00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vertAlign w:val="superscript"/>
              </w:rPr>
              <w:t>(1)</w:t>
            </w:r>
            <w:r>
              <w:rPr>
                <w:rFonts w:ascii="Times New Roman" w:cs="Times New Roman" w:eastAsia="Times New Roman" w:hAnsi="Times New Roman"/>
                <w:sz w:val="18"/>
                <w:szCs w:val="18"/>
                <w:color w:val="auto"/>
                <w:w w:val="98"/>
              </w:rPr>
              <w:t xml:space="preserve">   Amounts written off as uncollectible or transferred to other accounts or utilized.</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left="9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Maintenance agreements, current portion</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PREMISES AND EQUIPMENT, NET</w:t>
            </w: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net consists of the following:</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4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left="9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Office equipment and other</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w w:val="95"/>
              </w:rPr>
              <w:t>(46,332)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(46,171)</w:t>
            </w:r>
          </w:p>
        </w:tc>
        <w:tc>
          <w:tcPr>
            <w:tcW w:w="0" w:type="dxa"/>
            <w:vAlign w:val="bottom"/>
          </w:tcPr>
          <w:p>
            <w:pPr>
              <w:spacing w:after="0"/>
              <w:rPr>
                <w:sz w:val="1"/>
                <w:szCs w:val="1"/>
                <w:color w:val="auto"/>
              </w:rPr>
            </w:pPr>
          </w:p>
        </w:tc>
      </w:tr>
      <w:tr>
        <w:trPr>
          <w:trHeight w:val="194"/>
        </w:trPr>
        <w:tc>
          <w:tcPr>
            <w:tcW w:w="3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68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541</w:t>
            </w:r>
          </w:p>
        </w:tc>
        <w:tc>
          <w:tcPr>
            <w:tcW w:w="12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Depreciation and amortization expense amounted to $0.2 million and $0.3 million for the three months ended March 31, 2025 and 2024, respectively, and is included in cost of revenue for operating assets and in selling, general and administrative expenses for non-operating assets in the accompanying condensed consolidated statements of operations and comprehensive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net consist of the following by country: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10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Luxembourg</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Uruguay</w:t>
            </w: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ind w:right="540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6 — RIGHT-OF-USE ASSETS UNDER OPERATING LEASES, NET </w:t>
      </w:r>
      <w:r>
        <w:rPr>
          <w:rFonts w:ascii="Times New Roman" w:cs="Times New Roman" w:eastAsia="Times New Roman" w:hAnsi="Times New Roman"/>
          <w:sz w:val="18"/>
          <w:szCs w:val="18"/>
          <w:color w:val="auto"/>
        </w:rPr>
        <w:t>Right-of-use assets under operating leases, net consists of the following:</w:t>
      </w:r>
    </w:p>
    <w:tbl>
      <w:tblPr>
        <w:tblLayout w:type="fixed"/>
        <w:tblInd w:w="0" w:type="dxa"/>
        <w:tblCellMar>
          <w:top w:w="0" w:type="dxa"/>
          <w:left w:w="0" w:type="dxa"/>
          <w:bottom w:w="0" w:type="dxa"/>
          <w:right w:w="0" w:type="dxa"/>
        </w:tblCellMar>
      </w:tblPr>
      <w:tr>
        <w:trPr>
          <w:trHeight w:val="14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20" w:type="dxa"/>
            <w:vAlign w:val="bottom"/>
          </w:tcPr>
          <w:p>
            <w:pPr>
              <w:jc w:val="center"/>
              <w:ind w:right="124"/>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under operating leases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center"/>
              <w:ind w:left="624"/>
              <w:spacing w:after="0"/>
              <w:rPr>
                <w:sz w:val="20"/>
                <w:szCs w:val="20"/>
                <w:color w:val="auto"/>
              </w:rPr>
            </w:pPr>
            <w:r>
              <w:rPr>
                <w:rFonts w:ascii="Times New Roman" w:cs="Times New Roman" w:eastAsia="Times New Roman" w:hAnsi="Times New Roman"/>
                <w:sz w:val="16"/>
                <w:szCs w:val="16"/>
                <w:color w:val="auto"/>
                <w:w w:val="99"/>
              </w:rPr>
              <w:t>6,041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center"/>
              <w:ind w:left="664"/>
              <w:spacing w:after="0"/>
              <w:rPr>
                <w:sz w:val="20"/>
                <w:szCs w:val="20"/>
                <w:color w:val="auto"/>
              </w:rPr>
            </w:pPr>
            <w:r>
              <w:rPr>
                <w:rFonts w:ascii="Times New Roman" w:cs="Times New Roman" w:eastAsia="Times New Roman" w:hAnsi="Times New Roman"/>
                <w:sz w:val="16"/>
                <w:szCs w:val="16"/>
                <w:color w:val="auto"/>
                <w:w w:val="99"/>
              </w:rPr>
              <w:t>6,177</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604"/>
              <w:spacing w:after="0"/>
              <w:rPr>
                <w:sz w:val="20"/>
                <w:szCs w:val="20"/>
                <w:color w:val="auto"/>
              </w:rPr>
            </w:pPr>
            <w:r>
              <w:rPr>
                <w:rFonts w:ascii="Times New Roman" w:cs="Times New Roman" w:eastAsia="Times New Roman" w:hAnsi="Times New Roman"/>
                <w:sz w:val="16"/>
                <w:szCs w:val="16"/>
                <w:color w:val="auto"/>
                <w:w w:val="98"/>
              </w:rPr>
              <w:t>(4,119)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644"/>
              <w:spacing w:after="0"/>
              <w:rPr>
                <w:sz w:val="20"/>
                <w:szCs w:val="20"/>
                <w:color w:val="auto"/>
              </w:rPr>
            </w:pPr>
            <w:r>
              <w:rPr>
                <w:rFonts w:ascii="Times New Roman" w:cs="Times New Roman" w:eastAsia="Times New Roman" w:hAnsi="Times New Roman"/>
                <w:sz w:val="16"/>
                <w:szCs w:val="16"/>
                <w:color w:val="auto"/>
                <w:w w:val="98"/>
              </w:rPr>
              <w:t>(3,934)</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center"/>
              <w:ind w:left="624"/>
              <w:spacing w:after="0"/>
              <w:rPr>
                <w:sz w:val="20"/>
                <w:szCs w:val="20"/>
                <w:color w:val="auto"/>
              </w:rPr>
            </w:pPr>
            <w:r>
              <w:rPr>
                <w:rFonts w:ascii="Times New Roman" w:cs="Times New Roman" w:eastAsia="Times New Roman" w:hAnsi="Times New Roman"/>
                <w:sz w:val="16"/>
                <w:szCs w:val="16"/>
                <w:color w:val="auto"/>
                <w:w w:val="99"/>
              </w:rPr>
              <w:t>1,922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center"/>
              <w:ind w:left="664"/>
              <w:spacing w:after="0"/>
              <w:rPr>
                <w:sz w:val="20"/>
                <w:szCs w:val="20"/>
                <w:color w:val="auto"/>
              </w:rPr>
            </w:pPr>
            <w:r>
              <w:rPr>
                <w:rFonts w:ascii="Times New Roman" w:cs="Times New Roman" w:eastAsia="Times New Roman" w:hAnsi="Times New Roman"/>
                <w:sz w:val="16"/>
                <w:szCs w:val="16"/>
                <w:color w:val="auto"/>
                <w:w w:val="99"/>
              </w:rPr>
              <w:t>2,243</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of operating leases was $0.2 million and $0.4 million for the three months ended March 31, 2025 and 2024, respectively, and is included in cost of revenue for operating assets and in selling, general and administrative expenses for non-operating assets in the accompanying condensed consolidated statements of operations and comprehensive loss.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2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64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100" w:type="dxa"/>
            <w:vAlign w:val="bottom"/>
            <w:vMerge w:val="restart"/>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2025 and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25,279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8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0" w:type="dxa"/>
            <w:vAlign w:val="bottom"/>
          </w:tcPr>
          <w:p>
            <w:pPr>
              <w:spacing w:after="0"/>
              <w:rPr>
                <w:sz w:val="14"/>
                <w:szCs w:val="14"/>
                <w:color w:val="auto"/>
              </w:rPr>
            </w:pPr>
          </w:p>
        </w:tc>
        <w:tc>
          <w:tcPr>
            <w:tcW w:w="23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14"/>
                <w:szCs w:val="14"/>
                <w:color w:val="auto"/>
              </w:rPr>
            </w:pPr>
          </w:p>
        </w:tc>
        <w:tc>
          <w:tcPr>
            <w:tcW w:w="2260" w:type="dxa"/>
            <w:vAlign w:val="bottom"/>
            <w:gridSpan w:val="4"/>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980" w:type="dxa"/>
            <w:vAlign w:val="bottom"/>
            <w:gridSpan w:val="2"/>
            <w:vMerge w:val="restart"/>
          </w:tcPr>
          <w:p>
            <w:pPr>
              <w:jc w:val="center"/>
              <w:ind w:right="120"/>
              <w:spacing w:after="0" w:line="119"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5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
                <w:szCs w:val="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
                <w:szCs w:val="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
                <w:szCs w:val="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
                <w:szCs w:val="2"/>
                <w:color w:val="auto"/>
              </w:rPr>
            </w:pPr>
          </w:p>
        </w:tc>
        <w:tc>
          <w:tcPr>
            <w:tcW w:w="1020" w:type="dxa"/>
            <w:vAlign w:val="bottom"/>
            <w:vMerge w:val="restart"/>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line="20" w:lineRule="exact"/>
              <w:rPr>
                <w:sz w:val="1"/>
                <w:szCs w:val="1"/>
                <w:color w:val="auto"/>
              </w:rPr>
            </w:pPr>
          </w:p>
        </w:tc>
      </w:tr>
      <w:tr>
        <w:trPr>
          <w:trHeight w:val="134"/>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2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related intangible assets</w:t>
            </w:r>
          </w:p>
        </w:tc>
        <w:tc>
          <w:tcPr>
            <w:tcW w:w="10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213,912</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(203,961)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(203,221)</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agreement</w:t>
            </w:r>
          </w:p>
        </w:tc>
        <w:tc>
          <w:tcPr>
            <w:tcW w:w="1000" w:type="dxa"/>
            <w:vAlign w:val="bottom"/>
            <w:gridSpan w:val="2"/>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8,896</w:t>
            </w:r>
          </w:p>
        </w:tc>
        <w:tc>
          <w:tcPr>
            <w:tcW w:w="0" w:type="dxa"/>
            <w:vAlign w:val="bottom"/>
          </w:tcPr>
          <w:p>
            <w:pPr>
              <w:spacing w:after="0"/>
              <w:rPr>
                <w:sz w:val="1"/>
                <w:szCs w:val="1"/>
                <w:color w:val="auto"/>
              </w:rPr>
            </w:pPr>
          </w:p>
        </w:tc>
      </w:tr>
      <w:tr>
        <w:trPr>
          <w:trHeight w:val="210"/>
        </w:trPr>
        <w:tc>
          <w:tcPr>
            <w:tcW w:w="2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1000" w:type="dxa"/>
            <w:vAlign w:val="bottom"/>
            <w:tcBorders>
              <w:bottom w:val="single" w:sz="8" w:color="CCEEFF"/>
            </w:tcBorders>
            <w:gridSpan w:val="2"/>
          </w:tcPr>
          <w:p>
            <w:pPr>
              <w:jc w:val="center"/>
              <w:ind w:left="41"/>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194"/>
        </w:trPr>
        <w:tc>
          <w:tcPr>
            <w:tcW w:w="2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258,621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(238,423)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(237,153)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Amortization expense for definite lived intangible assets was $1.3 million and $1.3 million for the three months ended March 31, 2025 and 2024, respectively. Forecasted annual definite lived intangible asset amortization expense for 2025 through 2029 is $5.1 million, $4.9 million, $4.7 million, $4.4 million and $2.1 million,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Surety bond collateral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ind w:right="3420"/>
        <w:spacing w:after="0" w:line="450" w:lineRule="auto"/>
        <w:rPr>
          <w:sz w:val="20"/>
          <w:szCs w:val="20"/>
          <w:color w:val="auto"/>
        </w:rPr>
      </w:pPr>
      <w:r>
        <w:rPr>
          <w:rFonts w:ascii="Times New Roman" w:cs="Times New Roman" w:eastAsia="Times New Roman" w:hAnsi="Times New Roman"/>
          <w:sz w:val="18"/>
          <w:szCs w:val="18"/>
          <w:b w:val="1"/>
          <w:bCs w:val="1"/>
          <w:color w:val="auto"/>
        </w:rPr>
        <w:t xml:space="preserve">NOTE 9 — ACCOUNTS PAYABLE, ACCRUED EXPENSES AND OTHER CURRENT LIABILITIES </w:t>
      </w:r>
      <w:r>
        <w:rPr>
          <w:rFonts w:ascii="Times New Roman" w:cs="Times New Roman" w:eastAsia="Times New Roman" w:hAnsi="Times New Roman"/>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4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2"/>
                <w:szCs w:val="12"/>
                <w:color w:val="auto"/>
              </w:rPr>
            </w:pPr>
          </w:p>
        </w:tc>
        <w:tc>
          <w:tcPr>
            <w:tcW w:w="130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20" w:type="dxa"/>
            <w:vAlign w:val="bottom"/>
          </w:tcPr>
          <w:p>
            <w:pPr>
              <w:jc w:val="right"/>
              <w:ind w:right="223"/>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17,887</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expenses - general</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benefits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33,927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Revolving loan agreement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19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3, 2024, in connection with the Company’s Renovation business, Altisource Solutions, Inc., an indirect subsidiary of Altisource Portfolio Solutions S.A, entered into a revolving loan agreement with a then related party, Altisource Asset Management Corporation (“AAMC”) (the “Revolving Loan Agreement”).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 of up to $1.0 million, with the potential for this to be increased up to $3.0 million at the option of AAMC. Amounts that are repaid may be re-borrowed in accordance with the limitations set forth below.</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 The outstanding balance on the Revolving Loan Agreement is due and payable on the maturity date.</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2025 and December 31, 2024, there was $1.0 million of outstanding debt under the Revolving Loan Agreement which is included in other current liabilities in the accompanying consolidated balance sheet.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LONG-TERM DEBT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term loans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Super senior term loan</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 debt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Plus: Unamortized premium</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Unamortized discount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Debt issuance and amendment costs,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7"/>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Less: Current maturities of long-term debt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(230,544)</w:t>
            </w:r>
          </w:p>
        </w:tc>
        <w:tc>
          <w:tcPr>
            <w:tcW w:w="0" w:type="dxa"/>
            <w:vAlign w:val="bottom"/>
          </w:tcPr>
          <w:p>
            <w:pPr>
              <w:spacing w:after="0"/>
              <w:rPr>
                <w:sz w:val="1"/>
                <w:szCs w:val="1"/>
                <w:color w:val="auto"/>
              </w:rPr>
            </w:pPr>
          </w:p>
        </w:tc>
      </w:tr>
      <w:tr>
        <w:trPr>
          <w:trHeight w:val="232"/>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193,732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payments are due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4"/>
        </w:trPr>
        <w:tc>
          <w:tcPr>
            <w:tcW w:w="9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0"/>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r>
      <w:tr>
        <w:trPr>
          <w:trHeight w:val="214"/>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14,474</w:t>
            </w:r>
          </w:p>
        </w:tc>
      </w:tr>
      <w:tr>
        <w:trPr>
          <w:trHeight w:val="210"/>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153,432</w:t>
            </w:r>
          </w:p>
        </w:tc>
      </w:tr>
      <w:tr>
        <w:trPr>
          <w:trHeight w:val="232"/>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172,500</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April 2018, Altisource Portfolio Solutions S.A. and its wholly-owned subsidiary, Altisource S.à r.l. (the “Borrower”), entered into a credit agreement with Morgan Stanley Senior Funding, Inc., as administrative agent and collateral agent, and certain lenders (the “Credit Agreement”). Under the Credit Agreement, Altisource borrowed $412 million in the form of senior secured term loans (the “SSTL”). Effective February 14, 2023, Altisource Portfolio Solutions S.A. and Altisource S.à r.l. entered into Amendment No. 2 to the Credit Agreement (as amended by Amendment No. 2, the “Amended Credit Agreement”).</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entered into agreements with 100% of the lenders under the SSTL (the “Lenders”). Under these agreements, the Lenders exchanged the SSTL with an outstanding balance of $232.8 million for a $160.0 million new first lien loan facility (the “New Facility”) and 58.2 million shares of common stock (the “Debt Exchange Shares”) (collectively, the “Debt Exchange Transaction”). The New Facility is comprised of a $110.0 million interest-bearing loan (the “New Debt”) and a $50.0 million non-interest-bearing exit fee (the “Exit Fee”). Altisource Portfolio Solutions S.A. and its subsidiaries, subject to applicable exclusions in the New Facility credit agreement, are guarantors on the New Facility (collectively, the “Guarantors”).</w:t>
      </w:r>
    </w:p>
    <w:p>
      <w:pPr>
        <w:spacing w:after="0" w:line="13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We evaluated the Debt Exchange Transaction in accordance with ASC 470-60 </w:t>
      </w:r>
      <w:r>
        <w:rPr>
          <w:rFonts w:ascii="Times New Roman" w:cs="Times New Roman" w:eastAsia="Times New Roman" w:hAnsi="Times New Roman"/>
          <w:sz w:val="18"/>
          <w:szCs w:val="18"/>
          <w:i w:val="1"/>
          <w:iCs w:val="1"/>
          <w:color w:val="auto"/>
        </w:rPr>
        <w:t>Troubled Debt Restructuring</w:t>
      </w:r>
      <w:r>
        <w:rPr>
          <w:rFonts w:ascii="Times New Roman" w:cs="Times New Roman" w:eastAsia="Times New Roman" w:hAnsi="Times New Roman"/>
          <w:sz w:val="18"/>
          <w:szCs w:val="18"/>
          <w:color w:val="auto"/>
        </w:rPr>
        <w:t>. The evaluation for troubled debt restructuring includes assessing both qualitative and quantitative factors to determine whether the creditor granted a concession and if the Company is experiencing financial difficulties. Our quantitative analysis consisted of comparing the effective borrowing rate on the New Facility to the effective borrowing rate on the SSTL immediately before the Debt Exchange Transaction. For purposes of ASC 470-60, the Company concluded that (1) the lenders granted the Company a concession by reducing the effective borrowing rate on the debt and (2) the Company is experiencing financial difficulties. As a result, the Debt Exchange Transaction is accounted for as a troubled debt restructuring. The carrying value of the New Facility was determined as follows: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9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SSTL immediately before the Debt Exchange Transaction</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0" w:type="dxa"/>
            <w:vAlign w:val="bottom"/>
          </w:tcPr>
          <w:p>
            <w:pPr>
              <w:spacing w:after="0"/>
              <w:rPr>
                <w:sz w:val="1"/>
                <w:szCs w:val="1"/>
                <w:color w:val="auto"/>
              </w:rPr>
            </w:pPr>
          </w:p>
        </w:tc>
      </w:tr>
      <w:tr>
        <w:trPr>
          <w:trHeight w:val="210"/>
        </w:trPr>
        <w:tc>
          <w:tcPr>
            <w:tcW w:w="9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 immediately before the Debt Exchange Transaction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4"/>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fair value of equity issued to the SSTL lenders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0" w:type="dxa"/>
            <w:vAlign w:val="bottom"/>
          </w:tcPr>
          <w:p>
            <w:pPr>
              <w:spacing w:after="0"/>
              <w:rPr>
                <w:sz w:val="1"/>
                <w:szCs w:val="1"/>
                <w:color w:val="auto"/>
              </w:rPr>
            </w:pPr>
          </w:p>
        </w:tc>
      </w:tr>
      <w:tr>
        <w:trPr>
          <w:trHeight w:val="210"/>
        </w:trPr>
        <w:tc>
          <w:tcPr>
            <w:tcW w:w="9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fees paid to third parties on behalf of the SSTL lenders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32"/>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Carrying value of the New Facility</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184,968</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Comprised of:</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 value of the New Facility</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0" w:type="dxa"/>
            <w:vAlign w:val="bottom"/>
          </w:tcPr>
          <w:p>
            <w:pPr>
              <w:spacing w:after="0"/>
              <w:rPr>
                <w:sz w:val="1"/>
                <w:szCs w:val="1"/>
                <w:color w:val="auto"/>
              </w:rPr>
            </w:pPr>
          </w:p>
        </w:tc>
      </w:tr>
      <w:tr>
        <w:trPr>
          <w:trHeight w:val="210"/>
        </w:trPr>
        <w:tc>
          <w:tcPr>
            <w:tcW w:w="9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Premium</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26,264</w:t>
            </w:r>
          </w:p>
        </w:tc>
        <w:tc>
          <w:tcPr>
            <w:tcW w:w="0" w:type="dxa"/>
            <w:vAlign w:val="bottom"/>
          </w:tcPr>
          <w:p>
            <w:pPr>
              <w:spacing w:after="0"/>
              <w:rPr>
                <w:sz w:val="1"/>
                <w:szCs w:val="1"/>
                <w:color w:val="auto"/>
              </w:rPr>
            </w:pPr>
          </w:p>
        </w:tc>
      </w:tr>
      <w:tr>
        <w:trPr>
          <w:trHeight w:val="212"/>
        </w:trPr>
        <w:tc>
          <w:tcPr>
            <w:tcW w:w="9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debt issuance costs and discount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07"/>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Carrying value of the New Facility</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184,968</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connection with the Debt Exchange Transaction, the Company also paid $3.0 million to advisors and others and recorded these payments as other expense in the consolidated statements of operations and comprehensive loss.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for $158.6 million of the New Facility is April 30, 2030 and the maturity date for $1.4 million of the New Facility is January 15, 2029.</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New Facility requires mandatory prepayments of the term loans, subject to customary exceptions, as follows: (i) 100% of the proceeds of any other debt not permitted by the Exchange Credit Agreement, (ii) 95% of the net proceeds from the exercise of the Cash Exercise Stakeholder Warrants, (iii) 100% of the proceeds of Asset Sales,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aggregate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 shall be applied first to the prepayment of the Super Senior Facility (defined below) and, second, to the prepayment of the New Facility. All mandatory and voluntary prepayments under the New Facility are allocated between the New Debt and the Exit Fee on a pro rata basis.</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New Facility will become due on the earlier of (i) the maturity date, and (ii) the date on which the loans are declared to be due and owing by the administrative agent at the request (or with the consent) of the Required Lenders (as defined in the New Facility credit agreement; other capitalized terms, unless defined herein, are defined in the New Facility credit agreement) or as otherwise provided in the New Facility credit agreement upon the occurrence of any event of default.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New Debt bears interest at rates based upon, at our option, the Secured Overnight Financing Rate (“SOFR”) or the Base Rate, as defined in the New Facility credit agreement. SOFR-based term loans bear interest at a rate per annum equal to SOFR plus 6.50% (with a 3.50% SOFR floor) payable in cash. Base Rate-based term loans bear interest at a rate per annum equal to the Base Rate plus 5.50% payable in cash. The interest rate on the SSTL through February 19, 2025 was SOFR plus 5.00% payable in cash.</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New Facility credit agreement is guaranteed by the Guarantors and is secured by a lien on substantially all of the assets of the Borrower, Altisource and the other Guarantors, subject to certain exceptions. The liens securing the New Facility are junior to the liens securing the Super Senior Facility (defined below) pursuant to, and as set forth in, an intercreditor agreement.</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New Facility contains representations, warranties, covenants, term and conditions customary for transactions of this type. This include covenants limiting Altisource, the Borrower and its subsidiaries, subject to certain exceptions and baskets, to (i) incur indebtedness, (ii) incur liens on its assets, (iii) agree to additional negative pledges, (iv) make Restricted Junior Payments,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Subsidiaries, (ix) enter into sale and leaseback transactions, (x) enter into certain transactions with shareholders and affiliates, (xi) engage in a line of business substantially different than existing business and businesses reasonably related, complimentary or ancillary thereto, (xii) modify the terms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certain indebtedness, (xiii) modify the terms of its organizational documents, (xiv) change its fiscal year, and (xv) enter into any transactions undertaken in connection with a Liability Management Transaction.</w:t>
      </w:r>
    </w:p>
    <w:p>
      <w:pPr>
        <w:spacing w:after="0" w:line="11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New Facility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Borrower or any Material Subsidiary, (vii) entry by a court of one or more judgments against Altisource, Borrower or any Material Subsidiary in an amount in excess of $15 million that remain undischarged, unvacated, unbonded or unstayed for a certain number of days after the entry thereof, (viii) the occurrence of certain ERISA events, (ix) occurrence of a Change in Control, (x) the failure of certain Loan Documents to be in full force and effect or Altisource or any Guarantor challenges the validity of any such Loan Document, (xi) the termination of certain material contracts and (xii) failure to comply in any material respects with the terms of the Shareholder Warrants or the Warrant Agreement. If any event of default occurs and is not cured within applicable grace periods set forth in the Exchange Credit Agreement or waived, all loans and other obligations could become due and immediately payable.</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Deer Park Road Management Company, LP (together with its affiliates and managed funds, “Deer Park”), a related party, owns approximately 14% and 16% of Altisource’s common stock as of March 31, 2025 and 2024, respectively, and $20.0 million and $40.9 million of Altisource debt as of March 31, 2025 and 2024, respectively. An employee of Deer Park is a member of Altisource’s Board of Directors. During the three months ended March 31, 2025 and 2024, Deer Park received interest of $0.7 million and $1.1 million, respectively. On April 3, 2025, Deer Park received Stakeholder Warrants to purchase 14.8 million shares of Altisource for $1.20 per share.</w:t>
      </w:r>
    </w:p>
    <w:p>
      <w:pPr>
        <w:spacing w:after="0" w:line="1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UBS Asset Management (Americas) LLC (together with its affiliates and managed funds, “UBS”) and Benefit Street Partners L.L.C. (together with its affiliates and managed funds, “Benefit Street”) became related parties of Altisource. As of March 31, 2025, UBS owns approximately 23% of Altisource’s common stock and $65.3 million of Altisource debt. During the three months ended March 31, 2025, UBS received interest of $1.6 million. On April 3, 2025, UBS received Stakeholder Warrants to purchase 1.8 million shares of Altisource for $1.20 per share. As of March 31, 2025, Benefit Street owns approximately 16% of Altisource’s common stock and $29.5 million of Altisource debt. During the three months ended March 31, 2025, Benefit Street received interest of $0.4 million. On April 3, 2025, Benefit Street received Stakeholder Warrants to purchase 17.4 million shares of Altisource for $1.20 per share.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Stakeholder Warrants, see Note 11.</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2025, debt issuance and amendment costs were $1.1 million, net of $8.9 million of accumulated amortization. As of December 31, 2024, debt issuance and amendment costs were $0.9 million, net of $8.5 million of accumulated amortization.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 Senior Credit Facility</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19, 2025, Altisource Portfolio Solutions S.A. and the Borrower also entered into a $12.5 million super senior credit facility (the “Super Senior Facility”) to fund transaction costs related to the Transactions (defined above) and for general corporate purposes.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maturity date of the Super Senior Facility is February 19, 2029.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interest rate on the Super Senior Facility is SOFR plus 6.50% with a 3.50% SOFR floor. The original issue discount on the Super Senior Facility is 10.0%.</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Beginning with the fiscal year ending December 31, 2025, the lesser of (a) 75% of the aggregate Excess Cash Flow (as defined in the credit agreement) for the most recently ended fiscal year of the Company for which financial statements have been delivered and (b) such amount which, immediately after giving effect to such repayment, would result in the Company having no less than $30 million of total cash on its balance sheet, shall be applied first to the prepayment of the Super Senior Facility and, second, to the prepayment of the New Facility.</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payment of all amounts owing by the Borrower under the Super Senior Credit Agreement is guaranteed by the Guarantors and is secured by a lien on substantially all of the assets of Altisource and the Guarantors, subject to certain exceptions. The liens securing the Super Senior Facility are senior to the liens securing the Exchange First Lien Facility pursuant to, and as set forth in, the Super Senior Intercreditor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Super Senior Credit Agreement contains representations, warranties, covenants, terms and conditions customary for transactions of this type. These include covenants limiting Altisource, the Borrower and its subsidiaries, subject to certain exceptions and baskets, to (i) incur indebtedness, (ii) incur liens on its assets, (iii) agree to additional negative pledges, (iv) make Restricted Junior Payments, (v) pay dividends or distribute assets, (vi) make investments, (vii) enter into any transaction of merger or consolidation, liquidate, wind-up or dissolve, or convey any part of its business, assets or property, or acquire the business, property or assets of another person, (viii) dispose of the equity interests of any Significant Subsidiaries, (ix) enter into sale and leaseback transactions, (x) enter into certain transactions with shareholders and affiliates, (xi) engage in a line of business substantially different than existing business and businesses reasonably related, complimentary or ancillary thereto, (xii) modify the terms of certain indebtedness, (xiii) modify the terms of its organizational documents, (xiv) change its fiscal year, and (xv) enter into any transactions undertaken in connection with a Liability Management Transaction. The Super Senior Credit Agreement also requires that the Borrower maintain minimum daily liquidity of not less than the lesser of (a) $12.5 million and (b) the aggregate principal amount of Term Loans under the Super Senior Facility outstanding on such date.</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Super Senior Credit Agreement requires mandatory prepayments of the term loans, subject to customary exceptions, as follows: (i) 100% of the proceeds of any other debt not permitted by the Super Senior Credit Agreement, (ii) 95% of the proceeds from the exercise of the Cash Exercise Stakeholder Warrants,</w:t>
      </w:r>
    </w:p>
    <w:p>
      <w:pPr>
        <w:jc w:val="both"/>
        <w:ind w:firstLine="6"/>
        <w:spacing w:after="0" w:line="247" w:lineRule="auto"/>
        <w:tabs>
          <w:tab w:leader="none" w:pos="32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proceeds of Asset Sales, subject to customary reinvestment rights for net proceeds of less than $3 million and certain exceptions, where applicable, (iv) 100% of insurance or condemnation proceeds in excess of $10,000,000 in the aggregate for all losses in any fiscal year, subject to customary reinvestment rights, where applicable, and (v) beginning with the fiscal year ending December 31, 2025, the lesser of (a) 75% of the aggregate Excess Cash Flow for the most recently ended fiscal year of the Borrower for which financial statements have been delivered and (b) such amount which, immediately after giving effect to such repayment, would result in the Borrower and its subsidiaries having no less than $30 million of cash.</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amounts outstanding under the Super Senior Credit Agreement will become due on the earlier of (i) the maturity date, and (ii) the date on which the loans are declared to be due and owing by the administrative agent at the request (or with the consent) of the Required Lenders (as defined in the Super Senior Credit Agreement; other capitalized terms, unless defined herein, are defined in the Super Senior Credit Agreement) or as otherwise provided in the Super Senior Credit Agreement upon the occurrence of any event of default.</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Super Senior Credit Facility bears interest at rates based upon, at our option, the SOFR or the Base Rate, as defined in the Super Senior Credit Agreement. SOFR-based term loans bear interest at a rate per annum equal to SOFR plus 6.50% (with a 3.50% SOFR floor) payable in cash. Base Rate-based term loans bear interest at a rate per annum equal to the Base Rate plus 5.50% payable in cash.</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Super Senior Credit Agreement contains certain events of default, including (i) failure to pay (x) principal when due or (y) interest or any other amount owing on any other obligation under the Credit Agreement within 5 days of becoming due, (ii) material incorrectness of representations and warranties when made, (iii) breach of certain other covenants, subject to cure periods described therein, (iv) failure to pay principal or interest on any other debt that equals or exceeds $10 million when due, (v) default on any other debt that equals or exceeds $10 million that causes, or gives the holder or holders of such debt the ability to cause, an acceleration of such debt, (vi) bankruptcy and insolvency events with respect to Altisource, Borrower or any Material Subsidiary, (vii) entry by a court of one or more judgments against Altisource, Borrower or any Material Subsidiary in an amount in excess of $15 million that remain undischarged, unvacated, unbonded or unstayed for a certain number of days.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June 22, 2021 Altisource S.à r.l, a subsidiary of Altisource Portfolio Solutions S.A., entered into a revolving credit facility with STS Master Fund, Ltd. (“STS”) (the “Revolver”). STS is an investment fund managed by Deer Park. The Revolver was amended effective February 14, 2023 (the “Amended Revolver”).</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19, 2025, Altisource entered into an agreement to terminate the $15.0 million revolver with STS. The Company did not have any borrowings outstanding under the Revolver.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WARRANTS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Penny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14, 2023, the lenders under the Amended Credit Agreement (see Note 10 for additional information) received warrants (the “Penny Warrants”) to purchase 3,223,851 shares of Altisource common stock (the “Penny Warrant Shares”). The number of Penny Warrant Shares was subject to reduction based on the amount of Aggregate Paydowns. During 2023, the Company made $30 million of Aggregate Paydowns. Since Aggregate Paydowns were equal to or greater than $30 million, the number of Penny Warrant Shares was reduced to 1,612,705.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Penny Warrant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20" w:type="dxa"/>
            <w:vAlign w:val="bottom"/>
          </w:tcPr>
          <w:p>
            <w:pPr>
              <w:spacing w:after="0"/>
              <w:rPr>
                <w:sz w:val="16"/>
                <w:szCs w:val="16"/>
                <w:color w:val="auto"/>
              </w:rPr>
            </w:pPr>
          </w:p>
        </w:tc>
        <w:tc>
          <w:tcPr>
            <w:tcW w:w="20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Penny Warrant Shares</w:t>
            </w:r>
          </w:p>
        </w:tc>
      </w:tr>
      <w:tr>
        <w:trPr>
          <w:trHeight w:val="24"/>
        </w:trPr>
        <w:tc>
          <w:tcPr>
            <w:tcW w:w="92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18"/>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1,612,705</w:t>
            </w:r>
          </w:p>
        </w:tc>
      </w:tr>
      <w:tr>
        <w:trPr>
          <w:trHeight w:val="223"/>
        </w:trPr>
        <w:tc>
          <w:tcPr>
            <w:tcW w:w="9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(96,841)</w:t>
            </w:r>
          </w:p>
        </w:tc>
      </w:tr>
      <w:tr>
        <w:trPr>
          <w:trHeight w:val="221"/>
        </w:trPr>
        <w:tc>
          <w:tcPr>
            <w:tcW w:w="9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1,515,864</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(1,515,864)</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exercise price per share of common stock under each Penny Warrant is equal to $0.01. As of March 31, 2025, no Penny Warrant Shares remain outstanding.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Stakeholder Warrants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2025, the Company distributed 70.5 million warrants to purchase approximately 114.5 million shares of Altisource common stock for $1.20 per share (the “Stakeholder Warrants”). The distribution of Stakeholder Warrants was contingent upon, among other things, approval of the distribution by the Company’s shareholders and the consummation of the Debt Exchange Transaction (such conditions, collectively, the “Distribution Conditions”). The Distribution Conditions were satisfied during the quarter ended March 31, 2025.</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Fifty percent of the Stakeholder Warrants will expire on April 2, 2029 and require settlement through the cash payment to the Company of the exercise price of such Stakeholder Warrant (“Cash Exercise Stakeholder Warrants”). Fifty percent of the Stakeholder Warrants will expire on April 30, 2032 and require settlement through the forfeiture of shares of common stock to the Company equal to the exercise price of such Stakeholder Warrants (“Net Exercise Stakeholder Warrants”). Each Cash Exercise Stakeholder Warrant is exercisable for 1.625 shares of our common stock (“Cash Exercise Stakeholder Warrant Shares). Each Net Settle Stakeholder Warrant is exercisable for 1.625 shares of our common stock (“Net Exercise Stakeholder Warrant Shares”). The Stakeholder Warrants are exercisable on the later of (i) 90 days after their issuance and (ii) first date on which the VWAP (as defined in the Warrant Agent Agreement for the Stakeholder Warrants (the “Warrant Agent Agreement”)) of the common stock equals or exceeds the Implied Per Share Exercise Price (as such term is defined in the Warrant Agent Agreement) of the Stakeholder Warrants, which is initially $1.20, for a period of fifteen consecutive trading days (the “VWAP Condition”). The exercise price of the Stakeholder Warrants is $1.95 per Stakeholder Warrant.</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values of the Cash Exercise Stakeholder Warrants and the Net Exercise Stakeholder Warrants were determined using the Black-Scholes option pricing model. The following table summarizes the fair value of the Stakeholder Warrants and the assumptions used to determine the fair value: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8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Cash Exercise Stakeholder Warrants</w:t>
            </w:r>
          </w:p>
        </w:tc>
        <w:tc>
          <w:tcPr>
            <w:tcW w:w="27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Net Exercise Stakeholder Warrants</w:t>
            </w:r>
          </w:p>
        </w:tc>
      </w:tr>
      <w:tr>
        <w:trPr>
          <w:trHeight w:val="24"/>
        </w:trPr>
        <w:tc>
          <w:tcPr>
            <w:tcW w:w="57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192"/>
        </w:trPr>
        <w:tc>
          <w:tcPr>
            <w:tcW w:w="57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 (%)</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4.29 %</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4.42 %</w:t>
            </w: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 (%)</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c>
          <w:tcPr>
            <w:tcW w:w="12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57.50 %</w:t>
            </w: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option life (in years)</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r>
      <w:tr>
        <w:trPr>
          <w:trHeight w:val="21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per Stakeholder Warrant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Stakeholder Warrants are indexed to Altisource’s stock and are classified as equity under ASC 815, resulting in a $40.5 million increase in Additional paid-in capital. The distribution of the Stakeholder Warrants are non-reciprocal pro rata distributions and are accounted for as a dividend. Because the Company has negative retained earnings, the Company recorded the dividend as a $40.5 million reduction to Additional paid-in capital. Since the transaction is accounted for as both 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and a decrease in Additional paid-in capital, the net result is zero and is not reflected in the Condensed Consolidated Statements of Equity (Deficit).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outstanding Stakeholder Warrants and Stakeholder Warrant Shares following the distribution: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Cash Exercise Stakeholder</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Cash Exercise Stakeholder</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Exercise Stakeholder</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Exercise Stakeholder</w:t>
            </w:r>
          </w:p>
        </w:tc>
        <w:tc>
          <w:tcPr>
            <w:tcW w:w="1920" w:type="dxa"/>
            <w:vAlign w:val="bottom"/>
            <w:vMerge w:val="restart"/>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Total Stakeholder Warrants</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Stakeholder Warrant</w:t>
            </w:r>
          </w:p>
        </w:tc>
        <w:tc>
          <w:tcPr>
            <w:tcW w:w="0" w:type="dxa"/>
            <w:vAlign w:val="bottom"/>
          </w:tcPr>
          <w:p>
            <w:pPr>
              <w:spacing w:after="0"/>
              <w:rPr>
                <w:sz w:val="1"/>
                <w:szCs w:val="1"/>
                <w:color w:val="auto"/>
              </w:rPr>
            </w:pPr>
          </w:p>
        </w:tc>
      </w:tr>
      <w:tr>
        <w:trPr>
          <w:trHeight w:val="191"/>
        </w:trPr>
        <w:tc>
          <w:tcPr>
            <w:tcW w:w="1820" w:type="dxa"/>
            <w:vAlign w:val="bottom"/>
          </w:tcPr>
          <w:p>
            <w:pPr>
              <w:jc w:val="right"/>
              <w:ind w:right="56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 Shares</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 Shares</w:t>
            </w:r>
          </w:p>
        </w:tc>
        <w:tc>
          <w:tcPr>
            <w:tcW w:w="1920" w:type="dxa"/>
            <w:vAlign w:val="bottom"/>
            <w:vMerge w:val="continue"/>
          </w:tcPr>
          <w:p>
            <w:pPr>
              <w:spacing w:after="0"/>
              <w:rPr>
                <w:sz w:val="16"/>
                <w:szCs w:val="16"/>
                <w:color w:val="auto"/>
              </w:rPr>
            </w:pPr>
          </w:p>
        </w:tc>
        <w:tc>
          <w:tcPr>
            <w:tcW w:w="1800" w:type="dxa"/>
            <w:vAlign w:val="bottom"/>
          </w:tcPr>
          <w:p>
            <w:pPr>
              <w:jc w:val="right"/>
              <w:ind w:right="60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31"/>
        </w:trPr>
        <w:tc>
          <w:tcPr>
            <w:tcW w:w="18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35,230,503</w:t>
            </w:r>
          </w:p>
        </w:tc>
        <w:tc>
          <w:tcPr>
            <w:tcW w:w="1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57,249,567</w:t>
            </w:r>
          </w:p>
        </w:tc>
        <w:tc>
          <w:tcPr>
            <w:tcW w:w="1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35,230,503</w:t>
            </w:r>
          </w:p>
        </w:tc>
        <w:tc>
          <w:tcPr>
            <w:tcW w:w="18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57,249,567</w:t>
            </w:r>
          </w:p>
        </w:tc>
        <w:tc>
          <w:tcPr>
            <w:tcW w:w="19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70,461,006</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114,499,134</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NON-CURRENT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liabilities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19,068</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20,016</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 AND FINANCIAL INSTRUMENTS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table presents the carrying amount and estimated fair value of financial instruments and certain liabilities measured at fair value as of March 31, 2025 and December 31, 2024. The following fair values are estimated using market information and what the Company believes to be appropriate valuation methodologies under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Fair value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top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Revolving loan agreement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Senior secured term loan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128,040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Super senior term loan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 on a Recurring Basis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Cash and cash equivalents and restricted cash are carried at amounts that approximate their fair values due to the highly liquid nature of these instruments and are measured using Level 1 inputs.</w:t>
      </w:r>
    </w:p>
    <w:p>
      <w:pPr>
        <w:spacing w:after="0" w:line="1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our SSTL is based on quoted mark prices. Based on the frequency of trading, we do not believe that there is an active market for our debt. Therefore, the quoted prices are considered Level 2 input</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Super senior term loan and Revolving Loan Agreement were measured using Level 3 inputs based on the present value of the future payments. As quoted market prices are not available and there is no trading, we believe that the contractual interest rates represent the market rate at the measurement date and therefore the fair value equals the book value.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different levels during the periods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derived 45% of its revenue from Onity for the three months ended March 31, 2025 (see Note 2 for additional information on Onity revenues and accounts receivable balance). The Company strives to mitigate its concentrations of credit risk with respect to accounts receivable by actively monitoring past due accounts and the economic status of larger customers, if known.</w:t>
      </w:r>
    </w:p>
    <w:p>
      <w:pPr>
        <w:spacing w:after="0" w:line="123" w:lineRule="exact"/>
        <w:rPr>
          <w:sz w:val="20"/>
          <w:szCs w:val="20"/>
          <w:color w:val="auto"/>
        </w:rPr>
      </w:pPr>
    </w:p>
    <w:p>
      <w:pPr>
        <w:ind w:right="4760"/>
        <w:spacing w:after="0" w:line="431" w:lineRule="auto"/>
        <w:rPr>
          <w:sz w:val="20"/>
          <w:szCs w:val="20"/>
          <w:color w:val="auto"/>
        </w:rPr>
      </w:pPr>
      <w:r>
        <w:rPr>
          <w:rFonts w:ascii="Times New Roman" w:cs="Times New Roman" w:eastAsia="Times New Roman" w:hAnsi="Times New Roman"/>
          <w:sz w:val="18"/>
          <w:szCs w:val="18"/>
          <w:b w:val="1"/>
          <w:bCs w:val="1"/>
          <w:color w:val="auto"/>
        </w:rPr>
        <w:t>NOTE 14 — SHAREHOLDERS’ EQUITY AND SHARE-BASED COMPENSATION Common stock</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18, 2025, the Company’s shareholders approved an increase in the number of authorized shares from 100 million to 250 million, a decrease in the par value of the Company’s common stock from $1.00 to $0.01 and an increase in the number of shares of common stock reserved for issuance under the Equity Plan from approximately 11.7 million to approximately 16.3 million. Common stock and Additional paid-in capital for prior periods have been restated to reflect the change in par value.</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19, 2025, the Company issued 58.2 million shares of common stock to lenders under the Debt Exchange Shares in connection with the Debt Exchange Transaction. See Note 10, Long-Term Debt. Pursuant to the terms of the Exchange Agreement, dated February 19, 2025, by and among the Borrower and Altisource Portfolio Solutions S.A., on the one hand, and the Lenders, on the other hand, with limited exceptions, the Lenders may not, among other things, sell, offer to sell, grant any option to purchase or otherwise dispose of any Debt Exchange Shares, without the prior written consent of Altisource Portfolio Solutions S.A., until the date that is the earlier of (i) September 17, 2025 or (ii) the date on which Altisource Portfolio Solutions S.A. completes a liquidation, merger, stock exchange or other similar transaction that results in all of Altisource’s shareholders having the right to exchange their shares of common stock for cash, securities or other property (“Lock-Up”).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March 31, 2025, approximately 3.1 million shares of common stock remain available for repurchase under the program. There were no purchases of shares of common stock during the three months ended March 31, 2025 and 2024. Under the Amended Credit Agreement, we are not permitted to repurchase shares except for limited circumstances.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share-based awards in the form of stock options, restricted shares and restricted share units (“RSUs”) for certain employees, officers and directors. We recognized share-based compensation expense of $1.1 million and $2.2 million for the three months ended March 31, 2025 and 2024, respectively. As of March 31, 2025, estimated unrecognized compensation costs related to share-based awards amounted to $6.2 million, which we expect to recognize over a weighted average remaining requisite service period of approximately 1.74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grants are composed of a combination of service-based, market-based and performance-based options.</w:t>
      </w:r>
    </w:p>
    <w:p>
      <w:pPr>
        <w:spacing w:after="0" w:line="16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Options. </w:t>
      </w:r>
      <w:r>
        <w:rPr>
          <w:rFonts w:ascii="Times New Roman" w:cs="Times New Roman" w:eastAsia="Times New Roman" w:hAnsi="Times New Roman"/>
          <w:sz w:val="18"/>
          <w:szCs w:val="18"/>
          <w:color w:val="auto"/>
        </w:rPr>
        <w:t>These options generally vest over three or four years with equal annual vesting and generally expire on the earlier of ten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the date of grant or following termination of service. A total of 159 thousand service-based options were outstanding as of March 31, 2025.</w:t>
      </w:r>
    </w:p>
    <w:p>
      <w:pPr>
        <w:spacing w:after="0" w:line="107" w:lineRule="exact"/>
        <w:rPr>
          <w:sz w:val="20"/>
          <w:szCs w:val="20"/>
          <w:color w:val="auto"/>
        </w:rPr>
      </w:pPr>
    </w:p>
    <w:p>
      <w:pPr>
        <w:jc w:val="both"/>
        <w:ind w:left="320"/>
        <w:spacing w:after="0" w:line="249" w:lineRule="auto"/>
        <w:rPr>
          <w:sz w:val="20"/>
          <w:szCs w:val="20"/>
          <w:color w:val="auto"/>
        </w:rPr>
      </w:pPr>
      <w:r>
        <w:rPr>
          <w:rFonts w:ascii="Times New Roman" w:cs="Times New Roman" w:eastAsia="Times New Roman" w:hAnsi="Times New Roman"/>
          <w:sz w:val="18"/>
          <w:szCs w:val="18"/>
          <w:i w:val="1"/>
          <w:iCs w:val="1"/>
          <w:color w:val="auto"/>
        </w:rPr>
        <w:t>Market-Based Options</w:t>
      </w:r>
      <w:r>
        <w:rPr>
          <w:rFonts w:ascii="Times New Roman" w:cs="Times New Roman" w:eastAsia="Times New Roman" w:hAnsi="Times New Roman"/>
          <w:sz w:val="18"/>
          <w:szCs w:val="18"/>
          <w:color w:val="auto"/>
        </w:rPr>
        <w:t>. These option grants generally have two components, each of which vests only upon the achievement of certain criteria.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which we refer to as “ordinary performance” grants, generally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as “extraordinary performance” grants, generally begins to vest if the stock price is at least triple the exercise price, as long as the stock price realizes a compounded annual gain of at least 25% over the exercise price. Market-based options generally vest in three or four year installments with the first installment vesting upon the achievement of the criteria and the remaining installments vesting thereafter in equal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35 thousand market-based options were outstanding as of March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Performance-Based Options. </w:t>
      </w:r>
      <w:r>
        <w:rPr>
          <w:rFonts w:ascii="Times New Roman" w:cs="Times New Roman" w:eastAsia="Times New Roman" w:hAnsi="Times New Roman"/>
          <w:sz w:val="18"/>
          <w:szCs w:val="18"/>
          <w:color w:val="auto"/>
        </w:rPr>
        <w:t>These option grants generally will vest if certain specific financial measures are achieved; typically with one-fourth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each anniversary of the grant date. The award of performance-based options is adjusted based on the level of achievement specified in the award agreements. If the performance criteria achieved is above threshold performance levels, participants generally have the opportunity to vest in 50% to 200% of the option grants, depending upon performance achieved. If the performance criteria achieved is below a certain threshold, the options are canceled. The options generally expire on the earlier of ten years after the date of grant or following termination of service, unless the performance criteria is met prior to termination of service in which case vesting will generally continue in accordance with the provisions of the award agreement. There were 461 thousand performance-based options outstanding as of March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stock option grants during the three months ended March 31, 2025 and 2024.</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determined the expected option life of all service-based stock option grants using the simplified method, determined based on the graded vesting term plus the contractual term of the options, divided by two. We use the simplified method because we believe that our historical data does not provide a reasonable basis upon which to estimate expected option life.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grant date fair value of stock options that vested during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 of stock options granted per share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320" w:type="dxa"/>
            <w:vAlign w:val="bottom"/>
          </w:tcPr>
          <w:p>
            <w:pPr>
              <w:spacing w:after="0"/>
              <w:rPr>
                <w:sz w:val="18"/>
                <w:szCs w:val="18"/>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 date fair value of stock options that vested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stock options: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80" w:type="dxa"/>
            <w:vAlign w:val="bottom"/>
          </w:tcPr>
          <w:p>
            <w:pPr>
              <w:spacing w:after="0"/>
              <w:rPr>
                <w:sz w:val="13"/>
                <w:szCs w:val="13"/>
                <w:color w:val="auto"/>
              </w:rPr>
            </w:pPr>
          </w:p>
        </w:tc>
        <w:tc>
          <w:tcPr>
            <w:tcW w:w="12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80" w:type="dxa"/>
            <w:vAlign w:val="bottom"/>
          </w:tcPr>
          <w:p>
            <w:pPr>
              <w:spacing w:after="0"/>
              <w:rPr>
                <w:sz w:val="12"/>
                <w:szCs w:val="12"/>
                <w:color w:val="auto"/>
              </w:rPr>
            </w:pPr>
          </w:p>
        </w:tc>
        <w:tc>
          <w:tcPr>
            <w:tcW w:w="1240" w:type="dxa"/>
            <w:vAlign w:val="bottom"/>
          </w:tcPr>
          <w:p>
            <w:pPr>
              <w:jc w:val="center"/>
              <w:ind w:right="105"/>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18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680,242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2025</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655,242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March 31, 2025</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524,478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Share-Based Awards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other share-based and similar types of awards are comprised of restricted shares and RSUs. The restricted shares and RSUs are comprised of a combination of service-based awards, performance-based awards and performance and market-based awards.</w:t>
      </w:r>
    </w:p>
    <w:p>
      <w:pPr>
        <w:spacing w:after="0" w:line="108"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Service-Based Awards. </w:t>
      </w:r>
      <w:r>
        <w:rPr>
          <w:rFonts w:ascii="Times New Roman" w:cs="Times New Roman" w:eastAsia="Times New Roman" w:hAnsi="Times New Roman"/>
          <w:sz w:val="18"/>
          <w:szCs w:val="18"/>
          <w:color w:val="auto"/>
        </w:rPr>
        <w:t>These awards generally vest over one-to-four-year periods. A total of 7,207 thousand service-based awards were outstanding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w:t>
      </w:r>
    </w:p>
    <w:p>
      <w:pPr>
        <w:spacing w:after="0" w:line="107"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Performance-Based Awards. </w:t>
      </w:r>
      <w:r>
        <w:rPr>
          <w:rFonts w:ascii="Times New Roman" w:cs="Times New Roman" w:eastAsia="Times New Roman" w:hAnsi="Times New Roman"/>
          <w:sz w:val="18"/>
          <w:szCs w:val="18"/>
          <w:color w:val="auto"/>
        </w:rPr>
        <w:t>These awards generally vest if certain specific financial measures are achieved; generally one-third vests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grant date or cliff-vest on the third anniversary of the grant date. The number of performance-based restricted shares and RSUs that may vest is based on the level of achievement as specified in the award agreements. If the performance criteria achieved is above certain financial performance levels and Altisource’s share performance is above certain established criteria, participants have the opportunity to vest in up to 150% of the restricted share unit award for certain awards. If the performance criteria achieved is below certain thresholds, the award is canceled. A total of 235 thousand performance-based awards were outstanding as of March 31, 2025.</w:t>
      </w:r>
    </w:p>
    <w:p>
      <w:pPr>
        <w:spacing w:after="0" w:line="13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Performance-Based and Market-Based Awards. </w:t>
      </w:r>
      <w:r>
        <w:rPr>
          <w:rFonts w:ascii="Times New Roman" w:cs="Times New Roman" w:eastAsia="Times New Roman" w:hAnsi="Times New Roman"/>
          <w:sz w:val="18"/>
          <w:szCs w:val="18"/>
          <w:color w:val="auto"/>
        </w:rPr>
        <w:t>These awards generally vest if certain specific financial measures are achieved and if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conditions are achieved. If the performance criteria achieved is above certain financial performance levels and Altisource’s share performance is above certain established criteria, participants have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opportunity to vest in up to 300% of the restricted share unit award for certain awards. If the performance criteria or the market criteria is below certain thresholds, the award is canceled. The Company estimates the grant date fair value of these awards using a Monte Carlo simulation model. A total of 235 thousand performance-based and market-based awards were outstanding as of March 31, 2025.</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granted 6.8 million RSUs (at a weighted average grant date fair value of $0.97 per share) during the three months ended March 31, 2025. Approximately 4.6 million of these RSUs were granted to senior management in connection with the Debt Exchange Transaction. These grants included 91 thousand performance-based awards and 91 thousand awards that include both a performance condition and a market condition. The Company granted 366 thousand RSUs (at a weighted average grant date fair value of $2.31 per share) during the three months ended March 31, 2024. These grants included 86 thousand performance-based awards and 86 thousand awards that include both a performance condition and a market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restricted shares and RSUs: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restricted</w:t>
            </w:r>
          </w:p>
        </w:tc>
      </w:tr>
      <w:tr>
        <w:trPr>
          <w:trHeight w:val="144"/>
        </w:trPr>
        <w:tc>
          <w:tcPr>
            <w:tcW w:w="9600" w:type="dxa"/>
            <w:vAlign w:val="bottom"/>
          </w:tcPr>
          <w:p>
            <w:pPr>
              <w:spacing w:after="0"/>
              <w:rPr>
                <w:sz w:val="12"/>
                <w:szCs w:val="12"/>
                <w:color w:val="auto"/>
              </w:rPr>
            </w:pP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and restricted</w:t>
            </w:r>
          </w:p>
        </w:tc>
      </w:tr>
      <w:tr>
        <w:trPr>
          <w:trHeight w:val="192"/>
        </w:trPr>
        <w:tc>
          <w:tcPr>
            <w:tcW w:w="96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 units</w:t>
            </w:r>
          </w:p>
        </w:tc>
      </w:tr>
      <w:tr>
        <w:trPr>
          <w:trHeight w:val="198"/>
        </w:trPr>
        <w:tc>
          <w:tcPr>
            <w:tcW w:w="96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1,997,887</w:t>
            </w:r>
          </w:p>
        </w:tc>
      </w:tr>
      <w:tr>
        <w:trPr>
          <w:trHeight w:val="210"/>
        </w:trPr>
        <w:tc>
          <w:tcPr>
            <w:tcW w:w="9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6,763,136</w:t>
            </w:r>
          </w:p>
        </w:tc>
      </w:tr>
      <w:tr>
        <w:trPr>
          <w:trHeight w:val="214"/>
        </w:trPr>
        <w:tc>
          <w:tcPr>
            <w:tcW w:w="9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Issued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(580,329)</w:t>
            </w:r>
          </w:p>
        </w:tc>
      </w:tr>
      <w:tr>
        <w:trPr>
          <w:trHeight w:val="210"/>
        </w:trPr>
        <w:tc>
          <w:tcPr>
            <w:tcW w:w="9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(503,365)</w:t>
            </w:r>
          </w:p>
        </w:tc>
      </w:tr>
      <w:tr>
        <w:trPr>
          <w:trHeight w:val="194"/>
        </w:trPr>
        <w:tc>
          <w:tcPr>
            <w:tcW w:w="96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2025</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7,677,329</w:t>
            </w:r>
          </w:p>
        </w:tc>
      </w:tr>
      <w:tr>
        <w:trPr>
          <w:trHeight w:val="20"/>
        </w:trPr>
        <w:tc>
          <w:tcPr>
            <w:tcW w:w="9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 consolidated entity that is a mortgage cooperative managed, but not owned, by Altisource. The Lenders One members’ earnings are included in revenue and reduced from net loss to arrive at net loss attributable to Altisource (see Note 1). Our services are provided to customers located in the United States. The components of revenue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7"/>
                <w:szCs w:val="17"/>
                <w:color w:val="auto"/>
              </w:rPr>
            </w:pPr>
          </w:p>
        </w:tc>
        <w:tc>
          <w:tcPr>
            <w:tcW w:w="110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5"/>
        </w:trPr>
        <w:tc>
          <w:tcPr>
            <w:tcW w:w="8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36,891</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194"/>
        </w:trPr>
        <w:tc>
          <w:tcPr>
            <w:tcW w:w="8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total revenue by segment and major source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28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35,157</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0" w:type="dxa"/>
            <w:vAlign w:val="bottom"/>
          </w:tcPr>
          <w:p>
            <w:pPr>
              <w:spacing w:after="0"/>
              <w:rPr>
                <w:sz w:val="1"/>
                <w:szCs w:val="1"/>
                <w:color w:val="auto"/>
              </w:rPr>
            </w:pPr>
          </w:p>
        </w:tc>
      </w:tr>
      <w:tr>
        <w:trPr>
          <w:trHeight w:val="232"/>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Revenue recognized</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Revenue related to</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when services are</w:t>
            </w:r>
          </w:p>
        </w:tc>
        <w:tc>
          <w:tcPr>
            <w:tcW w:w="156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technology platforms</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Reimbursable expenses</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performed or assets</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professional</w:t>
            </w:r>
          </w:p>
        </w:tc>
        <w:tc>
          <w:tcPr>
            <w:tcW w:w="15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96"/>
        </w:trPr>
        <w:tc>
          <w:tcPr>
            <w:tcW w:w="50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services</w:t>
            </w:r>
          </w:p>
        </w:tc>
        <w:tc>
          <w:tcPr>
            <w:tcW w:w="28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31,502</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Origination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0" w:type="dxa"/>
            <w:vAlign w:val="bottom"/>
          </w:tcPr>
          <w:p>
            <w:pPr>
              <w:spacing w:after="0"/>
              <w:rPr>
                <w:sz w:val="1"/>
                <w:szCs w:val="1"/>
                <w:color w:val="auto"/>
              </w:rPr>
            </w:pPr>
          </w:p>
        </w:tc>
      </w:tr>
      <w:tr>
        <w:trPr>
          <w:trHeight w:val="232"/>
        </w:trPr>
        <w:tc>
          <w:tcPr>
            <w:tcW w:w="5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service revenue by the timing of revenue recognition was as follows for the 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Over-time revenue recognition</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w:t>
            </w:r>
          </w:p>
        </w:tc>
      </w:tr>
      <w:tr>
        <w:trPr>
          <w:trHeight w:val="210"/>
        </w:trPr>
        <w:tc>
          <w:tcPr>
            <w:tcW w:w="8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Point-in-time revenue recognition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30,497</w:t>
            </w:r>
          </w:p>
        </w:tc>
      </w:tr>
      <w:tr>
        <w:trPr>
          <w:trHeight w:val="194"/>
        </w:trPr>
        <w:tc>
          <w:tcPr>
            <w:tcW w:w="8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service revenue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36,891</w:t>
            </w: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receivables, unbilled receivables (presented as unbilled revenue on our condensed consolidated balance sheets), and customer advances (presented as deferred revenue on our condensed consolidated balance sheets), where applicable.</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over-time revenue recognition model consists primarily of the following services for which revenue is recognized over the period during which services are provided:</w:t>
      </w:r>
    </w:p>
    <w:p>
      <w:pPr>
        <w:spacing w:after="0" w:line="110" w:lineRule="exact"/>
        <w:rPr>
          <w:sz w:val="20"/>
          <w:szCs w:val="20"/>
          <w:color w:val="auto"/>
        </w:rPr>
      </w:pPr>
    </w:p>
    <w:p>
      <w:pPr>
        <w:ind w:left="320" w:hanging="314"/>
        <w:spacing w:after="0" w:line="257"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foreclosure trustee services, revenue is recognized as work progresses, in accordance with agreed upon milestones with full recognition upon completion and/or recording the related foreclosure deed.</w:t>
      </w:r>
    </w:p>
    <w:p>
      <w:pPr>
        <w:ind w:left="320" w:hanging="314"/>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SaaS based technology to manage REO, we recognize revenue over the estimated average number of months the REO properties are on the platform before they are sold.</w:t>
      </w:r>
    </w:p>
    <w:p>
      <w:pPr>
        <w:spacing w:after="0" w:line="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transactions, revenue is recognized over the period during which services are provided.</w:t>
      </w:r>
    </w:p>
    <w:p>
      <w:pPr>
        <w:spacing w:after="0" w:line="5" w:lineRule="exact"/>
        <w:rPr>
          <w:rFonts w:ascii="Times New Roman" w:cs="Times New Roman" w:eastAsia="Times New Roman" w:hAnsi="Times New Roman"/>
          <w:sz w:val="18"/>
          <w:szCs w:val="18"/>
          <w:color w:val="auto"/>
        </w:rPr>
      </w:pPr>
    </w:p>
    <w:p>
      <w:pPr>
        <w:ind w:left="320" w:hanging="314"/>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fund disbursement services, we recognize revenue over the period during which we perform the processing services with full recognition upon completion of the disbursements.</w:t>
      </w:r>
    </w:p>
    <w:p>
      <w:pPr>
        <w:spacing w:after="0" w:line="1" w:lineRule="exact"/>
        <w:rPr>
          <w:rFonts w:ascii="Times New Roman" w:cs="Times New Roman" w:eastAsia="Times New Roman" w:hAnsi="Times New Roman"/>
          <w:sz w:val="18"/>
          <w:szCs w:val="18"/>
          <w:color w:val="auto"/>
        </w:rPr>
      </w:pPr>
    </w:p>
    <w:p>
      <w:pPr>
        <w:jc w:val="both"/>
        <w:ind w:left="320" w:hanging="314"/>
        <w:spacing w:after="0" w:line="24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residential real estate renovation services, we recognize revenue over time as work is completed, measured by the percentage of work performed relative to the total project. Field inspections by qualified professionals form a fundamental part of the Company’s assessment, measure and documentation of work completed on real estate renovations. As of March 31, 2025, the value of unfulfilled orders amounted to $3.5 million, with the majority of this backlog expected to be completed and recognized as revenue within the second quarter of 2025 and the remainder anticipated to be completed in the third quarter of 2025.</w:t>
      </w:r>
    </w:p>
    <w:p>
      <w:pPr>
        <w:spacing w:after="0" w:line="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membership fees from Lender One members ratably over the term of membership.</w:t>
      </w:r>
    </w:p>
    <w:p>
      <w:pPr>
        <w:spacing w:after="0" w:line="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vendor management oversight software-as-a-service (“SaaS”), we recognize revenue over the period during which we perform the services.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 G. Aldridge, Jr., the Managing Partner of Aldridge Pite LLP (“Aldridge Pite”), is a member of the Board of Directors of Altisource. Aldridge Pite provides eviction and other real estate related services to the Company and pays for the use of certain of the Company’s technology in connection with providing these services. The Company recognized less than $0.1 million and $0.1 million for the three months ended March 31, 2025 and 2024, respectively, of service revenue relating to services provided to Aldridge Pite.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contract assets consist of unbilled accounts receivable (see Note 3). Our contract liabilities consist of current deferred revenue and other non-current liabilities as reported on the accompanying condensed consolidated balance sheets. The deferred revenue opening and closing balances are presented below for the three months ended March 31: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beginning balance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8"/>
              </w:rPr>
              <w:t>(3,979)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8"/>
              </w:rPr>
              <w:t>(3,204)</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Revenue recognized that was included in the deferred revenue balance at the beginning of the period</w:t>
            </w:r>
          </w:p>
        </w:tc>
        <w:tc>
          <w:tcPr>
            <w:tcW w:w="320" w:type="dxa"/>
            <w:vAlign w:val="bottom"/>
          </w:tcPr>
          <w:p>
            <w:pPr>
              <w:spacing w:after="0"/>
              <w:rPr>
                <w:sz w:val="18"/>
                <w:szCs w:val="18"/>
                <w:color w:val="auto"/>
              </w:rPr>
            </w:pPr>
          </w:p>
        </w:tc>
        <w:tc>
          <w:tcPr>
            <w:tcW w:w="110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w w:val="99"/>
              </w:rPr>
              <w:t>1,825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w w:val="99"/>
              </w:rPr>
              <w:t>1,394</w:t>
            </w: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due to billing, excluding amounts recognized as revenue during the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8"/>
              </w:rPr>
              <w:t>(1,485)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22"/>
              <w:spacing w:after="0"/>
              <w:rPr>
                <w:sz w:val="20"/>
                <w:szCs w:val="20"/>
                <w:color w:val="auto"/>
              </w:rPr>
            </w:pPr>
            <w:r>
              <w:rPr>
                <w:rFonts w:ascii="Times New Roman" w:cs="Times New Roman" w:eastAsia="Times New Roman" w:hAnsi="Times New Roman"/>
                <w:sz w:val="16"/>
                <w:szCs w:val="16"/>
                <w:color w:val="auto"/>
                <w:w w:val="98"/>
              </w:rPr>
              <w:t>(1,649)</w:t>
            </w:r>
          </w:p>
        </w:tc>
      </w:tr>
      <w:tr>
        <w:trPr>
          <w:trHeight w:val="207"/>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revenue, ending balance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8"/>
              </w:rPr>
              <w:t>(3,639)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center"/>
              <w:ind w:left="522"/>
              <w:spacing w:after="0"/>
              <w:rPr>
                <w:sz w:val="20"/>
                <w:szCs w:val="20"/>
                <w:color w:val="auto"/>
              </w:rPr>
            </w:pPr>
            <w:r>
              <w:rPr>
                <w:rFonts w:ascii="Times New Roman" w:cs="Times New Roman" w:eastAsia="Times New Roman" w:hAnsi="Times New Roman"/>
                <w:sz w:val="16"/>
                <w:szCs w:val="16"/>
                <w:color w:val="auto"/>
                <w:w w:val="98"/>
              </w:rPr>
              <w:t>(3,459)</w:t>
            </w:r>
          </w:p>
        </w:tc>
      </w:tr>
      <w:tr>
        <w:trPr>
          <w:trHeight w:val="20"/>
        </w:trPr>
        <w:tc>
          <w:tcPr>
            <w:tcW w:w="8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COST OF REVENUE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 The components of cost of revenue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7"/>
                <w:szCs w:val="17"/>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7,113</w:t>
            </w: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19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27,165</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recognized $0.2 million and $0.2 million for the three months ended March 31, 2025 and 2024, respectively, of cost of revenue relating to services received from Aldridge Pite. As of March 31, 2025, the Company had no payable to Aldridge Pite.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SELLING, GENERAL AND ADMINISTRATIVE EXPENSES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includes payroll and employee benefits associated with personnel employed in executive, sales and marketing, finance, technology, law, compliance, human resources, vendor management, facilities and risk management roles. This category also includes professional services fees, occupancy costs, marketing costs, depreciation and amortization of non-operating assets and other expenses. The components of selling, general and administrative expenses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7"/>
                <w:szCs w:val="17"/>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r>
      <w:tr>
        <w:trPr>
          <w:trHeight w:val="194"/>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OTHER INCOME (EXPENSE), NET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net consists of the following:</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516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5725"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134860" cy="134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34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19011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13" w:lineRule="exact"/>
        <w:rPr>
          <w:sz w:val="20"/>
          <w:szCs w:val="20"/>
          <w:color w:val="auto"/>
        </w:rPr>
      </w:pPr>
    </w:p>
    <w:p>
      <w:pPr>
        <w:ind w:left="560"/>
        <w:spacing w:after="0"/>
        <w:tabs>
          <w:tab w:leader="none" w:pos="21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31115</wp:posOffset>
            </wp:positionV>
            <wp:extent cx="19011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240" w:lineRule="exact"/>
        <w:rPr>
          <w:sz w:val="20"/>
          <w:szCs w:val="20"/>
          <w:color w:val="auto"/>
        </w:rPr>
      </w:pPr>
    </w:p>
    <w:p>
      <w:pPr>
        <w:spacing w:after="0"/>
        <w:tabs>
          <w:tab w:leader="none" w:pos="1100" w:val="left"/>
          <w:tab w:leader="none" w:pos="1540" w:val="left"/>
          <w:tab w:leader="none" w:pos="26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193</w:t>
        <w:tab/>
        <w:t>$</w:t>
      </w:r>
      <w:r>
        <w:rPr>
          <w:sz w:val="20"/>
          <w:szCs w:val="20"/>
          <w:color w:val="auto"/>
        </w:rPr>
        <w:tab/>
      </w:r>
      <w:r>
        <w:rPr>
          <w:rFonts w:ascii="Times New Roman" w:cs="Times New Roman" w:eastAsia="Times New Roman" w:hAnsi="Times New Roman"/>
          <w:sz w:val="16"/>
          <w:szCs w:val="16"/>
          <w:color w:val="auto"/>
        </w:rPr>
        <w:t>223</w:t>
      </w:r>
    </w:p>
    <w:p>
      <w:pPr>
        <w:spacing w:after="0" w:line="28" w:lineRule="exact"/>
        <w:rPr>
          <w:sz w:val="20"/>
          <w:szCs w:val="20"/>
          <w:color w:val="auto"/>
        </w:rPr>
      </w:pPr>
    </w:p>
    <w:p>
      <w:pPr>
        <w:ind w:left="2560" w:hanging="1433"/>
        <w:spacing w:after="0"/>
        <w:tabs>
          <w:tab w:leader="none" w:pos="2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1,419</w:t>
      </w:r>
    </w:p>
    <w:p>
      <w:pPr>
        <w:spacing w:after="0" w:line="240" w:lineRule="exact"/>
        <w:rPr>
          <w:sz w:val="20"/>
          <w:szCs w:val="20"/>
          <w:color w:val="auto"/>
        </w:rPr>
      </w:pPr>
    </w:p>
    <w:p>
      <w:pPr>
        <w:spacing w:after="0"/>
        <w:tabs>
          <w:tab w:leader="none" w:pos="1100" w:val="left"/>
          <w:tab w:leader="none" w:pos="1540" w:val="left"/>
          <w:tab w:leader="none" w:pos="2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144</w:t>
        <w:tab/>
        <w:t>$</w:t>
      </w:r>
      <w:r>
        <w:rPr>
          <w:sz w:val="20"/>
          <w:szCs w:val="20"/>
          <w:color w:val="auto"/>
        </w:rPr>
        <w:tab/>
      </w:r>
      <w:r>
        <w:rPr>
          <w:rFonts w:ascii="Times New Roman" w:cs="Times New Roman" w:eastAsia="Times New Roman" w:hAnsi="Times New Roman"/>
          <w:sz w:val="16"/>
          <w:szCs w:val="16"/>
          <w:color w:val="auto"/>
        </w:rPr>
        <w:t>1,642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18415</wp:posOffset>
            </wp:positionV>
            <wp:extent cx="190119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1190" cy="336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an income tax provision of $0.7 million and $0.7 million for the three months ended March 31, 2025 and 2024, respectively. Income tax provision for the three months ended March 31, 2025 was driven primarily by income tax expense on transfer pricing income from India and the United States, no tax benefit on the pretax loss from our Luxembourg operating company, and uncertain tax positions.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LOSS PER SHARE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loss per share is computed by dividing loss available to common shareholders by the weighted average number of common shares outstanding for the period. In accordance with ASC 260, Penny Warrants are included in the calculation of weighted average basic and diluted loss per share for the period that they are classified as equity. For the three months ended March 31, 2025, 0.8 million Penny Warrants have been included in the calculation of weighted average basic and diluted loss per share. Diluted net loss per share excludes all dilutive securities because their impact would be anti-dilutive, as described below.</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are calculated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Pr>
          <w:p>
            <w:pPr>
              <w:spacing w:after="0"/>
              <w:rPr>
                <w:sz w:val="17"/>
                <w:szCs w:val="17"/>
                <w:color w:val="auto"/>
              </w:rPr>
            </w:pPr>
          </w:p>
        </w:tc>
        <w:tc>
          <w:tcPr>
            <w:tcW w:w="110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5"/>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37"/>
        </w:trPr>
        <w:tc>
          <w:tcPr>
            <w:tcW w:w="8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58,122</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2025 and 2024, 5.3 million and 2.1 million, respectively, stock options, restricted shares and RSUs were excluded from the computation of loss per share, as a result of the following:</w:t>
      </w:r>
    </w:p>
    <w:p>
      <w:pPr>
        <w:spacing w:after="0" w:line="110" w:lineRule="exact"/>
        <w:rPr>
          <w:sz w:val="20"/>
          <w:szCs w:val="20"/>
          <w:color w:val="auto"/>
        </w:rPr>
      </w:pPr>
    </w:p>
    <w:p>
      <w:pPr>
        <w:ind w:left="480" w:hanging="315"/>
        <w:spacing w:after="0" w:line="274" w:lineRule="auto"/>
        <w:tabs>
          <w:tab w:leader="none" w:pos="4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and 2024, 4.2 million and 0.7 million, respectively, stock options, restricted shares and RSUs were anti-dilutive and have been excluded from the computation of diluted loss per share because the Company incurred a net loss</w:t>
      </w:r>
    </w:p>
    <w:p>
      <w:pPr>
        <w:spacing w:after="0" w:line="4" w:lineRule="exact"/>
        <w:rPr>
          <w:rFonts w:ascii="Times New Roman" w:cs="Times New Roman" w:eastAsia="Times New Roman" w:hAnsi="Times New Roman"/>
          <w:sz w:val="18"/>
          <w:szCs w:val="18"/>
          <w:color w:val="auto"/>
        </w:rPr>
      </w:pPr>
    </w:p>
    <w:p>
      <w:pPr>
        <w:ind w:left="480" w:hanging="315"/>
        <w:spacing w:after="0" w:line="274" w:lineRule="auto"/>
        <w:tabs>
          <w:tab w:leader="none" w:pos="4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and 2024, 0.2 million and 0.4 million, respectively, stock options were anti-dilutive and have been excluded from the computation of diluted loss per share because their exercise price was greater than the average market price of our common stock</w:t>
      </w:r>
    </w:p>
    <w:p>
      <w:pPr>
        <w:spacing w:after="0" w:line="4" w:lineRule="exact"/>
        <w:rPr>
          <w:rFonts w:ascii="Times New Roman" w:cs="Times New Roman" w:eastAsia="Times New Roman" w:hAnsi="Times New Roman"/>
          <w:sz w:val="18"/>
          <w:szCs w:val="18"/>
          <w:color w:val="auto"/>
        </w:rPr>
      </w:pPr>
    </w:p>
    <w:p>
      <w:pPr>
        <w:jc w:val="both"/>
        <w:ind w:left="480" w:hanging="315"/>
        <w:spacing w:after="0" w:line="281" w:lineRule="auto"/>
        <w:tabs>
          <w:tab w:leader="none" w:pos="4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March 31, 2025 and 2024, 0.9 million and 1.0 million, respectively, stock options, restricted shares and RSUs, which begin to vest upon the achievement of certain market criteria related to our common stock price, performance criteria and a total shareholder return compared to the market benchmark, have been excluded from the computation of diluted loss per share because the achievement levels have not yet been met</w:t>
      </w:r>
    </w:p>
    <w:p>
      <w:pPr>
        <w:spacing w:after="0" w:line="2" w:lineRule="exact"/>
        <w:rPr>
          <w:rFonts w:ascii="Times New Roman" w:cs="Times New Roman" w:eastAsia="Times New Roman" w:hAnsi="Times New Roman"/>
          <w:sz w:val="17"/>
          <w:szCs w:val="17"/>
          <w:color w:val="auto"/>
        </w:rPr>
      </w:pPr>
    </w:p>
    <w:p>
      <w:pPr>
        <w:ind w:left="480" w:hanging="315"/>
        <w:spacing w:after="0" w:line="274" w:lineRule="auto"/>
        <w:tabs>
          <w:tab w:leader="none" w:pos="4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2025, Stakeholder Warrants were anti-dilutive and have been excluded from the computation of diluted loss per share because their exercise price was greater than the average market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COMMITMENTS, CONTINGENCIES AND REGULATORY MATTERS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in Note 2, during the three months ended March 31, 2025, Onity was our largest customer, accounting for 45% of our total revenue. Additionally, 5% of our revenue for the three months ended March 31, 2025 was earned on the loan portfolios serviced by Onity, when a party other than Onity or the MSRs owner selected Altisource as the service provider.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3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December 31, 2024, Onity reported that approximately 14% of loans serviced and subserviced by Onity (measured in UPB) and approximately 63% of all delinquent loans that Onity services were related to Rithm MSRs or rights to MSRs.</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non-government-sponsored enterprise (“GSE”)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1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lease certain premises and equipment, primarily consisting of office space. Certain of our leases include options to renew at our discretion or terminate leases early, and these options are considered in our determination of the expected lease term. Certain of our lease agreements include rental payments adjusted periodically for inflation. Our lease agreements generally do not contain any material residual value guarantees or material restrictive covenants. We sublease certain office space to third parties. Sublease income was $0.1 million and $0.2 million for the three months ended March 31, 2025 and 2024, respectively. The amortization periods of right-of-use assets are generally limited by the expected lease term. Our leases generally have expected lease terms at adoption of one to six years.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lease terms and our discount rate assumption were as follows for the three months ended March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2"/>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2"/>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08"/>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6.39 %</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lease activity during the period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0"/>
        </w:trPr>
        <w:tc>
          <w:tcPr>
            <w:tcW w:w="8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6"/>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7"/>
                <w:szCs w:val="17"/>
                <w:color w:val="auto"/>
              </w:rPr>
            </w:pPr>
          </w:p>
        </w:tc>
        <w:tc>
          <w:tcPr>
            <w:tcW w:w="1100" w:type="dxa"/>
            <w:vAlign w:val="bottom"/>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194"/>
        </w:trPr>
        <w:tc>
          <w:tcPr>
            <w:tcW w:w="8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r>
      <w:tr>
        <w:trPr>
          <w:trHeight w:val="212"/>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8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5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214"/>
        </w:trPr>
        <w:tc>
          <w:tcPr>
            <w:tcW w:w="8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for amounts included in the measurement of lease liabilities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18"/>
                <w:szCs w:val="18"/>
                <w:color w:val="auto"/>
              </w:rPr>
            </w:pPr>
          </w:p>
        </w:tc>
        <w:tc>
          <w:tcPr>
            <w:tcW w:w="560" w:type="dxa"/>
            <w:vAlign w:val="bottom"/>
          </w:tcPr>
          <w:p>
            <w:pPr>
              <w:jc w:val="right"/>
              <w:ind w:right="40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4"/>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(twelve months or less) lease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lease liabilities as of March 31, 2025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3"/>
                <w:szCs w:val="1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6"/>
        </w:trPr>
        <w:tc>
          <w:tcPr>
            <w:tcW w:w="9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195"/>
        </w:trPr>
        <w:tc>
          <w:tcPr>
            <w:tcW w:w="9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0"/>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4"/>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9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0" w:type="dxa"/>
            <w:vAlign w:val="bottom"/>
          </w:tcPr>
          <w:p>
            <w:pPr>
              <w:spacing w:after="0"/>
              <w:rPr>
                <w:sz w:val="1"/>
                <w:szCs w:val="1"/>
                <w:color w:val="auto"/>
              </w:rPr>
            </w:pPr>
          </w:p>
        </w:tc>
      </w:tr>
      <w:tr>
        <w:trPr>
          <w:trHeight w:val="212"/>
        </w:trPr>
        <w:tc>
          <w:tcPr>
            <w:tcW w:w="9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94"/>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Escrow and Other Balances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hold customers’ assets in escrow and other accounts at various financial institutions pending completion of certain real estate activities. These amounts are held in escrow and other accounts for limited periods of time and are not included in the accompanying condensed consolidated balance sheets. Amounts held in escrow and other accounts were $35.7 million and $24.9 million as of March 31, 2025 and December 31, 2024,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includes interest expense and costs related to corporate functions including executive, infrastructure and certain technology groups, finance, law, compliance, human resources, vendor management, facilities, risk management, and eliminations between reportable segments.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(loss) before income taxes and non-controlling interests is the measure of segment profit and loss that is determined in accordance with the measurement principles used in measuring the corresponding amounts in the consolidated financial statements and used by the chief operating decision maker to evaluate segment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80" w:type="dxa"/>
            <w:vAlign w:val="bottom"/>
          </w:tcPr>
          <w:p>
            <w:pPr>
              <w:spacing w:after="0"/>
              <w:rPr>
                <w:sz w:val="11"/>
                <w:szCs w:val="11"/>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1"/>
                <w:szCs w:val="11"/>
                <w:color w:val="auto"/>
              </w:rPr>
            </w:pPr>
          </w:p>
        </w:tc>
        <w:tc>
          <w:tcPr>
            <w:tcW w:w="1140" w:type="dxa"/>
            <w:vAlign w:val="bottom"/>
          </w:tcPr>
          <w:p>
            <w:pPr>
              <w:jc w:val="right"/>
              <w:ind w:right="182"/>
              <w:spacing w:after="0" w:line="128"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43,439</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30,114</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13,325</w:t>
            </w:r>
          </w:p>
        </w:tc>
        <w:tc>
          <w:tcPr>
            <w:tcW w:w="0" w:type="dxa"/>
            <w:vAlign w:val="bottom"/>
          </w:tcPr>
          <w:p>
            <w:pPr>
              <w:spacing w:after="0"/>
              <w:rPr>
                <w:sz w:val="1"/>
                <w:szCs w:val="1"/>
                <w:color w:val="auto"/>
              </w:rPr>
            </w:pPr>
          </w:p>
        </w:tc>
      </w:tr>
      <w:tr>
        <w:trPr>
          <w:trHeight w:val="212"/>
        </w:trPr>
        <w:tc>
          <w:tcPr>
            <w:tcW w:w="5660" w:type="dxa"/>
            <w:vAlign w:val="bottom"/>
            <w:tcBorders>
              <w:bottom w:val="single" w:sz="8" w:color="CCEEFF"/>
            </w:tcBorders>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Selling, general and administrative expenses</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10,080</w:t>
            </w:r>
          </w:p>
        </w:tc>
        <w:tc>
          <w:tcPr>
            <w:tcW w:w="0" w:type="dxa"/>
            <w:vAlign w:val="bottom"/>
          </w:tcPr>
          <w:p>
            <w:pPr>
              <w:spacing w:after="0"/>
              <w:rPr>
                <w:sz w:val="1"/>
                <w:szCs w:val="1"/>
                <w:color w:val="auto"/>
              </w:rPr>
            </w:pPr>
          </w:p>
        </w:tc>
      </w:tr>
      <w:tr>
        <w:trPr>
          <w:trHeight w:val="205"/>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3,245</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amendment costs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(7,774)</w:t>
            </w:r>
          </w:p>
        </w:tc>
        <w:tc>
          <w:tcPr>
            <w:tcW w:w="0" w:type="dxa"/>
            <w:vAlign w:val="bottom"/>
          </w:tcPr>
          <w:p>
            <w:pPr>
              <w:spacing w:after="0"/>
              <w:rPr>
                <w:sz w:val="1"/>
                <w:szCs w:val="1"/>
                <w:color w:val="auto"/>
              </w:rPr>
            </w:pPr>
          </w:p>
        </w:tc>
      </w:tr>
      <w:tr>
        <w:trPr>
          <w:trHeight w:val="194"/>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jc w:val="both"/>
        <w:ind w:left="640" w:hanging="316"/>
        <w:spacing w:after="0" w:line="231" w:lineRule="auto"/>
        <w:tabs>
          <w:tab w:leader="none" w:pos="63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Servicer and Real Estate and Origination selling, general and administrative expenses include $0.1 million and $0.1 million of other expenses primarily related to bad debt expense and other operating expenses, respectively. Corporate and Others selling, general and administrative expenses include $0.7 million of other expenses primarily related to other operating expenses.</w:t>
      </w:r>
    </w:p>
    <w:p>
      <w:pPr>
        <w:spacing w:after="0" w:line="2" w:lineRule="exact"/>
        <w:rPr>
          <w:rFonts w:ascii="Times New Roman" w:cs="Times New Roman" w:eastAsia="Times New Roman" w:hAnsi="Times New Roman"/>
          <w:sz w:val="23"/>
          <w:szCs w:val="23"/>
          <w:color w:val="auto"/>
          <w:vertAlign w:val="superscript"/>
        </w:rPr>
      </w:pPr>
    </w:p>
    <w:p>
      <w:pPr>
        <w:ind w:left="640" w:hanging="316"/>
        <w:spacing w:after="0" w:line="215" w:lineRule="auto"/>
        <w:tabs>
          <w:tab w:leader="none" w:pos="633"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Servicer and Real Estate other income is primarily interest income. Corporate and Others other income primarily include other non-operating gains and losses.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18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0"/>
                <w:szCs w:val="10"/>
                <w:color w:val="auto"/>
              </w:rPr>
            </w:pPr>
          </w:p>
        </w:tc>
        <w:tc>
          <w:tcPr>
            <w:tcW w:w="1140" w:type="dxa"/>
            <w:vAlign w:val="bottom"/>
          </w:tcPr>
          <w:p>
            <w:pPr>
              <w:jc w:val="right"/>
              <w:ind w:right="182"/>
              <w:spacing w:after="0" w:line="126"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7"/>
                <w:szCs w:val="17"/>
                <w:color w:val="auto"/>
              </w:rPr>
            </w:pPr>
          </w:p>
        </w:tc>
        <w:tc>
          <w:tcPr>
            <w:tcW w:w="114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39,469</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27,165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12,304</w:t>
            </w:r>
          </w:p>
        </w:tc>
        <w:tc>
          <w:tcPr>
            <w:tcW w:w="0" w:type="dxa"/>
            <w:vAlign w:val="bottom"/>
          </w:tcPr>
          <w:p>
            <w:pPr>
              <w:spacing w:after="0"/>
              <w:rPr>
                <w:sz w:val="1"/>
                <w:szCs w:val="1"/>
                <w:color w:val="auto"/>
              </w:rPr>
            </w:pPr>
          </w:p>
        </w:tc>
      </w:tr>
      <w:tr>
        <w:trPr>
          <w:trHeight w:val="212"/>
        </w:trPr>
        <w:tc>
          <w:tcPr>
            <w:tcW w:w="5660" w:type="dxa"/>
            <w:vAlign w:val="bottom"/>
            <w:tcBorders>
              <w:bottom w:val="single" w:sz="8" w:color="CCEEFF"/>
            </w:tcBorders>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Selling, general and administrative expenses</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12,852</w:t>
            </w:r>
          </w:p>
        </w:tc>
        <w:tc>
          <w:tcPr>
            <w:tcW w:w="0" w:type="dxa"/>
            <w:vAlign w:val="bottom"/>
          </w:tcPr>
          <w:p>
            <w:pPr>
              <w:spacing w:after="0"/>
              <w:rPr>
                <w:sz w:val="1"/>
                <w:szCs w:val="1"/>
                <w:color w:val="auto"/>
              </w:rPr>
            </w:pPr>
          </w:p>
        </w:tc>
      </w:tr>
      <w:tr>
        <w:trPr>
          <w:trHeight w:val="205"/>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 (expense)</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(9,529)</w:t>
            </w:r>
          </w:p>
        </w:tc>
        <w:tc>
          <w:tcPr>
            <w:tcW w:w="0" w:type="dxa"/>
            <w:vAlign w:val="bottom"/>
          </w:tcPr>
          <w:p>
            <w:pPr>
              <w:spacing w:after="0"/>
              <w:rPr>
                <w:sz w:val="1"/>
                <w:szCs w:val="1"/>
                <w:color w:val="auto"/>
              </w:rPr>
            </w:pPr>
          </w:p>
        </w:tc>
      </w:tr>
      <w:tr>
        <w:trPr>
          <w:trHeight w:val="214"/>
        </w:trPr>
        <w:tc>
          <w:tcPr>
            <w:tcW w:w="5660" w:type="dxa"/>
            <w:vAlign w:val="bottom"/>
            <w:gridSpan w:val="2"/>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Other, net</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1,642</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(8,435)</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jc w:val="both"/>
        <w:ind w:left="640" w:right="40" w:hanging="316"/>
        <w:spacing w:after="0" w:line="231" w:lineRule="auto"/>
        <w:tabs>
          <w:tab w:leader="none" w:pos="63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Servicer and Real Estate and Origination selling, general and administrative expenses include $0.3 million and $0.5 million of other expenses primarily related to bad debt expense and other operating expenses, respectively. Corporate and Others selling, general and administrative expenses include $0.8 million of other expenses primarily related to other operating expenses.</w:t>
      </w:r>
    </w:p>
    <w:p>
      <w:pPr>
        <w:spacing w:after="0" w:line="2" w:lineRule="exact"/>
        <w:rPr>
          <w:rFonts w:ascii="Times New Roman" w:cs="Times New Roman" w:eastAsia="Times New Roman" w:hAnsi="Times New Roman"/>
          <w:sz w:val="23"/>
          <w:szCs w:val="23"/>
          <w:color w:val="auto"/>
          <w:vertAlign w:val="superscript"/>
        </w:rPr>
      </w:pPr>
    </w:p>
    <w:p>
      <w:pPr>
        <w:ind w:left="640" w:hanging="316"/>
        <w:spacing w:after="0" w:line="215" w:lineRule="auto"/>
        <w:tabs>
          <w:tab w:leader="none" w:pos="63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Servicer and Real Estate other income is primarily interest income. Corporate and Others other income primarily include other non-operating gains and losses.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ALTISOURCE PORTFOLIO SOLUTIONS S.A.</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Total Assets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our segments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180" w:type="dxa"/>
            <w:vAlign w:val="bottom"/>
          </w:tcPr>
          <w:p>
            <w:pPr>
              <w:spacing w:after="0"/>
              <w:rPr>
                <w:sz w:val="13"/>
                <w:szCs w:val="13"/>
                <w:color w:val="auto"/>
              </w:rPr>
            </w:pPr>
          </w:p>
        </w:tc>
        <w:tc>
          <w:tcPr>
            <w:tcW w:w="11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5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Others</w:t>
            </w:r>
          </w:p>
        </w:tc>
        <w:tc>
          <w:tcPr>
            <w:tcW w:w="180" w:type="dxa"/>
            <w:vAlign w:val="bottom"/>
          </w:tcPr>
          <w:p>
            <w:pPr>
              <w:spacing w:after="0"/>
              <w:rPr>
                <w:sz w:val="16"/>
                <w:szCs w:val="16"/>
                <w:color w:val="auto"/>
              </w:rPr>
            </w:pPr>
          </w:p>
        </w:tc>
        <w:tc>
          <w:tcPr>
            <w:tcW w:w="114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4"/>
        </w:trPr>
        <w:tc>
          <w:tcPr>
            <w:tcW w:w="800" w:type="dxa"/>
            <w:vAlign w:val="bottom"/>
            <w:tcBorders>
              <w:top w:val="single" w:sz="8" w:color="auto"/>
            </w:tcBorders>
          </w:tcPr>
          <w:p>
            <w:pPr>
              <w:spacing w:after="0"/>
              <w:rPr>
                <w:sz w:val="16"/>
                <w:szCs w:val="16"/>
                <w:color w:val="auto"/>
              </w:rPr>
            </w:pPr>
          </w:p>
        </w:tc>
        <w:tc>
          <w:tcPr>
            <w:tcW w:w="4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March 31,</w:t>
            </w:r>
          </w:p>
        </w:tc>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145,659</w:t>
            </w:r>
          </w:p>
        </w:tc>
        <w:tc>
          <w:tcPr>
            <w:tcW w:w="0" w:type="dxa"/>
            <w:vAlign w:val="bottom"/>
          </w:tcPr>
          <w:p>
            <w:pPr>
              <w:spacing w:after="0"/>
              <w:rPr>
                <w:sz w:val="1"/>
                <w:szCs w:val="1"/>
                <w:color w:val="auto"/>
              </w:rPr>
            </w:pPr>
          </w:p>
        </w:tc>
      </w:tr>
      <w:tr>
        <w:trPr>
          <w:trHeight w:val="214"/>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December</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143,606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2024 filed with the Securities and Exchange Commission (“SEC”) on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Such statements are based on expectations as to the future and are not statements of historical fact. Furthermore,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32"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related to sources of liquidity and the adequacy of financial resources;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our ability to grow our business, including executing on our strategic initiatives and improve margins;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variable nature of our cost structure that would allow us to realign our cost structure in line with revenue;</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the impact of seasonality;</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effective tax rate; and</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reserves and valuations.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 xml:space="preserve">Important factors that could cause actual results to differ materially from those suggested by the forward-looking statements include, but are not limited to, the risks discussed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section of our Form 10-K for the year ended December 31, 2024 as updated by this Form 10-Q including:</w:t>
      </w:r>
    </w:p>
    <w:p>
      <w:pPr>
        <w:spacing w:after="0" w:line="110" w:lineRule="exact"/>
        <w:rPr>
          <w:sz w:val="20"/>
          <w:szCs w:val="20"/>
          <w:color w:val="auto"/>
        </w:rPr>
      </w:pPr>
    </w:p>
    <w:p>
      <w:pPr>
        <w:ind w:left="640" w:hanging="316"/>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residential mortgage delinquencies, foreclosure initiations and foreclosure sales could negatively effect demand for some of our services;</w:t>
      </w:r>
    </w:p>
    <w:p>
      <w:pPr>
        <w:spacing w:after="0" w:line="56" w:lineRule="exact"/>
        <w:rPr>
          <w:rFonts w:ascii="Times New Roman" w:cs="Times New Roman" w:eastAsia="Times New Roman" w:hAnsi="Times New Roman"/>
          <w:sz w:val="17"/>
          <w:szCs w:val="17"/>
          <w:color w:val="auto"/>
        </w:rPr>
      </w:pPr>
    </w:p>
    <w:p>
      <w:pPr>
        <w:ind w:left="640" w:hanging="316"/>
        <w:spacing w:after="0" w:line="26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Onity Group Inc. (together with its subsidiaries, “Onity”) (formerly Ocwen Financial Corporation, or “Ocwen”) as a customer or our ability to receive the anticipated volume of referrals from Onity;</w:t>
      </w:r>
    </w:p>
    <w:p>
      <w:pPr>
        <w:spacing w:after="0" w:line="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Rithm Capital Corp. (individually, together with one or more of its subsidiaries, or one or more of its subsidiaries individually, “Rithm”) as a customer or our ability to receive the anticipated volume of referrals from Rithm;</w:t>
      </w:r>
    </w:p>
    <w:p>
      <w:pPr>
        <w:spacing w:after="0" w:line="4" w:lineRule="exact"/>
        <w:rPr>
          <w:rFonts w:ascii="Times New Roman" w:cs="Times New Roman" w:eastAsia="Times New Roman" w:hAnsi="Times New Roman"/>
          <w:sz w:val="18"/>
          <w:szCs w:val="18"/>
          <w:color w:val="auto"/>
        </w:rPr>
      </w:pPr>
    </w:p>
    <w:p>
      <w:pPr>
        <w:ind w:left="640" w:hanging="316"/>
        <w:spacing w:after="0" w:line="26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material agreements if a change of control is deemed to have occurred including, among other things, through the formation of a shareholder group, which may cause a termination event or event of default under certain of our agreements;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strategic plan;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expand relationships and attract new customers;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governmental regulations and policies and any changes in such regulations and policies;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launch and gain market acceptance of new solutions or recoup our investments in developing such new solutions;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origination volume;</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incidents, data breaches and cybersecurity risks; and</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tax regulations and interpretations in the countries, states and local jurisdictions in which we operate.</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When we refer to “Altisource,” the “Company,” “we,” “us” or “our” we mean Altisource Portfolio Solutions S.A., a Luxembourg société anonyme, or public limited liability company, and its subsidiaries.</w:t>
      </w:r>
    </w:p>
    <w:p>
      <w:pPr>
        <w:spacing w:after="0" w:line="1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markets we serve.</w:t>
      </w:r>
    </w:p>
    <w:p>
      <w:pPr>
        <w:spacing w:after="0" w:line="10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We conduct our operations through two reportable segments: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In addition, we report </w:t>
      </w:r>
      <w:r>
        <w:rPr>
          <w:rFonts w:ascii="Times New Roman" w:cs="Times New Roman" w:eastAsia="Times New Roman" w:hAnsi="Times New Roman"/>
          <w:sz w:val="18"/>
          <w:szCs w:val="18"/>
          <w:i w:val="1"/>
          <w:iCs w:val="1"/>
          <w:color w:val="auto"/>
        </w:rPr>
        <w:t>Corporate and Others</w:t>
      </w:r>
      <w:r>
        <w:rPr>
          <w:rFonts w:ascii="Times New Roman" w:cs="Times New Roman" w:eastAsia="Times New Roman" w:hAnsi="Times New Roman"/>
          <w:sz w:val="18"/>
          <w:szCs w:val="18"/>
          <w:color w:val="auto"/>
        </w:rPr>
        <w:t xml:space="preserve"> separately.</w:t>
      </w:r>
    </w:p>
    <w:p>
      <w:pPr>
        <w:spacing w:after="0" w:line="10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Servicer and Real Estate</w:t>
      </w:r>
      <w:r>
        <w:rPr>
          <w:rFonts w:ascii="Times New Roman" w:cs="Times New Roman" w:eastAsia="Times New Roman" w:hAnsi="Times New Roman"/>
          <w:sz w:val="18"/>
          <w:szCs w:val="18"/>
          <w:color w:val="auto"/>
        </w:rPr>
        <w:t xml:space="preserve"> segment provides loan servicers and real estate investors with solutions and technologies that span the mortgage and real estate lifecycle. Within the Servicer and Real Estate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98" w:lineRule="exact"/>
        <w:rPr>
          <w:sz w:val="20"/>
          <w:szCs w:val="20"/>
          <w:color w:val="auto"/>
        </w:rPr>
      </w:pPr>
    </w:p>
    <w:p>
      <w:pPr>
        <w:jc w:val="both"/>
        <w:ind w:left="640"/>
        <w:spacing w:after="0" w:line="237" w:lineRule="auto"/>
        <w:rPr>
          <w:sz w:val="20"/>
          <w:szCs w:val="20"/>
          <w:color w:val="auto"/>
        </w:rPr>
      </w:pPr>
      <w:r>
        <w:rPr>
          <w:rFonts w:ascii="Times New Roman" w:cs="Times New Roman" w:eastAsia="Times New Roman" w:hAnsi="Times New Roman"/>
          <w:sz w:val="18"/>
          <w:szCs w:val="18"/>
          <w:color w:val="auto"/>
        </w:rPr>
        <w:t>Our Solutions business includes property preservation and inspection services, title insurance (as an agent) and settlement services, real estate valuation services, foreclosure trustee services, residential and commercial construction inspection and risk mitigation services, and residential real estate renovation services.</w:t>
      </w:r>
    </w:p>
    <w:p>
      <w:pPr>
        <w:spacing w:after="0" w:line="1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Marketplace</w:t>
      </w:r>
    </w:p>
    <w:p>
      <w:pPr>
        <w:spacing w:after="0" w:line="1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Marketplace business includes the Hubzu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online real estate auction platform, real estate brokerage and asset management services.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software-as-a-service (“SaaS”) Products</w:t>
      </w:r>
    </w:p>
    <w:p>
      <w:pPr>
        <w:spacing w:after="0" w:line="108" w:lineRule="exact"/>
        <w:rPr>
          <w:sz w:val="20"/>
          <w:szCs w:val="20"/>
          <w:color w:val="auto"/>
        </w:rPr>
      </w:pPr>
    </w:p>
    <w:p>
      <w:pPr>
        <w:jc w:val="both"/>
        <w:ind w:left="640"/>
        <w:spacing w:after="0" w:line="206" w:lineRule="auto"/>
        <w:rPr>
          <w:sz w:val="20"/>
          <w:szCs w:val="20"/>
          <w:color w:val="auto"/>
        </w:rPr>
      </w:pPr>
      <w:r>
        <w:rPr>
          <w:rFonts w:ascii="Times New Roman" w:cs="Times New Roman" w:eastAsia="Times New Roman" w:hAnsi="Times New Roman"/>
          <w:sz w:val="18"/>
          <w:szCs w:val="18"/>
          <w:color w:val="auto"/>
        </w:rPr>
        <w:t>Our Technology and SaaS Products business includes Equator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SaaS-based technology to manage real estate owned (“REO”) and investor homes, short sales, foreclosure, bankruptcy and eviction processes), Vendorly Invoice (a vendor invoicing and payment system), RentRange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single and multi-family rental data, analytics and rent-based valuation solution), REALSynergy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 commercial loan servicing platform), and NestRange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(a single-family automated valuation model and analytics solution).</w:t>
      </w:r>
    </w:p>
    <w:p>
      <w:pPr>
        <w:spacing w:after="0" w:line="14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Origination</w:t>
      </w:r>
      <w:r>
        <w:rPr>
          <w:rFonts w:ascii="Times New Roman" w:cs="Times New Roman" w:eastAsia="Times New Roman" w:hAnsi="Times New Roman"/>
          <w:sz w:val="18"/>
          <w:szCs w:val="18"/>
          <w:color w:val="auto"/>
        </w:rPr>
        <w:t xml:space="preserve"> segment provides originators with solutions and technologies that span the mortgage origination lifecycle. Within the Origination segment we provide:</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Solutions</w:t>
      </w:r>
    </w:p>
    <w:p>
      <w:pPr>
        <w:spacing w:after="0" w:line="111"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18"/>
          <w:szCs w:val="18"/>
          <w:color w:val="auto"/>
        </w:rPr>
        <w:t>Our Solutions business includes title insurance (as an agent) and settlement services, real estate valuation services, loan fulfillment and insurance services.</w:t>
      </w:r>
    </w:p>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Lenders One</w:t>
      </w:r>
    </w:p>
    <w:p>
      <w:pPr>
        <w:spacing w:after="0" w:line="108" w:lineRule="exact"/>
        <w:rPr>
          <w:sz w:val="20"/>
          <w:szCs w:val="20"/>
          <w:color w:val="auto"/>
        </w:rPr>
      </w:pPr>
    </w:p>
    <w:p>
      <w:pPr>
        <w:jc w:val="both"/>
        <w:ind w:left="640"/>
        <w:spacing w:after="0" w:line="232" w:lineRule="auto"/>
        <w:rPr>
          <w:sz w:val="20"/>
          <w:szCs w:val="20"/>
          <w:color w:val="auto"/>
        </w:rPr>
      </w:pPr>
      <w:r>
        <w:rPr>
          <w:rFonts w:ascii="Times New Roman" w:cs="Times New Roman" w:eastAsia="Times New Roman" w:hAnsi="Times New Roman"/>
          <w:sz w:val="18"/>
          <w:szCs w:val="18"/>
          <w:color w:val="auto"/>
        </w:rPr>
        <w:t>Our Lenders One business includes management services provided to the Best Partners Mortgage Cooperative, Inc., doing business as Lenders One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(“Lenders One”), and certain loan manufacturing and capital markets services provided to the members of the Lenders One cooperative.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Technology and SaaS Products</w:t>
      </w:r>
    </w:p>
    <w:p>
      <w:pPr>
        <w:spacing w:after="0" w:line="111" w:lineRule="exact"/>
        <w:rPr>
          <w:sz w:val="20"/>
          <w:szCs w:val="20"/>
          <w:color w:val="auto"/>
        </w:rPr>
      </w:pPr>
    </w:p>
    <w:p>
      <w:pPr>
        <w:jc w:val="both"/>
        <w:ind w:left="640"/>
        <w:spacing w:after="0" w:line="238" w:lineRule="auto"/>
        <w:rPr>
          <w:sz w:val="20"/>
          <w:szCs w:val="20"/>
          <w:color w:val="auto"/>
        </w:rPr>
      </w:pPr>
      <w:r>
        <w:rPr>
          <w:rFonts w:ascii="Times New Roman" w:cs="Times New Roman" w:eastAsia="Times New Roman" w:hAnsi="Times New Roman"/>
          <w:sz w:val="18"/>
          <w:szCs w:val="18"/>
          <w:color w:val="auto"/>
        </w:rPr>
        <w:t>Our Technology and SaaS Products business includes Vendorly Monitor (a vendor management platform), Lenders One Loan Automation (“LOLA”) (a marketplace to order services and a tool to automate components of the loan manufacturing process), TrelixAI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(technology to manage the workflow and automate components of the loan fulfillment and pre and post-close quality control), and ADMS (a document management and data analytics delivery platform).</w:t>
      </w:r>
    </w:p>
    <w:p>
      <w:pPr>
        <w:spacing w:after="0" w:line="13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Lenders One is a mortgage cooperative managed, but not owned, by Altisource. The Lenders One members’ earnings are included in revenue and reduced from net loss to arrive at net loss attributable to Altisource.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Core Businesses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focused on becoming the premier provider of mortgage and real estate marketplaces and related technology enabled solutions to a broad and diversified customer base of residential real estate and loan investors, servicers, and originators. The real estate and mortgage marketplaces represent very large markets, and we believe our scale and suite of offerings provide us with competitive advantages that could support our growth. As we navigate the current state of the economy, interest rate environment, housing supply, and other macro-economic trends, we continue to evaluate our strategy and core businesses and seek to position our businesses to provide long term value to our customers and shareholders.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Each of our business segments provides Altisource the potential to grow and diversify our customer and revenue base. We believe these business segments address very large markets and directly leverage our core competencies and distinct competitive advantages. Our business segments and strategic initiatives follow: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Servicer and Real Estate:</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Through our offerings that support residential real estate and loan investors and forward and reverse servicers, we provide a suite of loan default and real estate investor solutions and technologies intended to meet their growing and evolving needs. We are focused on gaining market share on existing solutions and launching new solutions with our existing customer base and attracting new customers to our offerings. We have a customer base that includes government-sponsored enterprises (“GSEs”), asset managers, and several large bank and non-bank servicers including Onity and Rithm. We believe we are one of only a few providers with a broad suite of solutions, nationwide coverage and scalability. Further, we believe we are well positioned to gain market share from existing and new customers if loan delinquency rates and foreclosure initiations and sales rise, or if they consolidate to larger, full-service providers or outsource services that have historically been performed in-house.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Through our offerings that support mortgage loan originators (or other similar mortgage market participants), we provide a suite of solutions and technologies to meet the evolving and growing needs of lenders, mortgage purchasers and securitizers. We are focused on growing business from our existing customer base, attracting new customers to our offerings and developing new offerings. We have a customer base that includes the Lenders One cooperative members (Lenders One is a residential mortgage cooperative managed by Altisource), which includes independent mortgage bankers, credit unions, and banks, as well as bank and non-bank loan originators. We believe our suite of services, technologies and unique access to the members of the Lenders One mortgage cooperative position us to grow our relationships with our existing customer base by growing membership of Lenders One, increasing member adoption of existing solutions and developing and cross-selling new offerings. Further, we believe we are well positioned to gain market share from existing and new customers as customers and prospects look to Lenders One to help them improve their profitability and better compete.</w:t>
      </w:r>
    </w:p>
    <w:p>
      <w:pPr>
        <w:spacing w:after="0" w:line="13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Corporate and Others </w:t>
      </w:r>
      <w:r>
        <w:rPr>
          <w:rFonts w:ascii="Times New Roman" w:cs="Times New Roman" w:eastAsia="Times New Roman" w:hAnsi="Times New Roman"/>
          <w:sz w:val="18"/>
          <w:szCs w:val="18"/>
          <w:color w:val="auto"/>
        </w:rPr>
        <w:t>includes interest expense and costs related to corporate functions including executive, infrastructure and certain technology groups,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law, compliance, human resources, vendor management, facilities, risk management and eliminations between reportable segments.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Default Related Mortgage Market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Serious delinquency rates, foreclosure initiations and foreclosure sales are low relative to historical levels. Additionally, foreclosure initiations and sales as a percentage of seriously delinquent loans for 2020 through 2024 are significantly lower than prior years. During 2020 and 2021, these percentages were significantly impacted by COVID-19 borrower relief measures, including foreclosure moratoriums and forbearance programs. These measures largely expired at the end of 2021. Beginning in 2022, we believe these percentages were impacted by servicer practices, home price appreciation, the interest rate environment, housing supply, the general state of the economy, and other factors. In 2021 and 2022, a low interest environment drove a high volume of refinance transactions and home prices appreciated significantly. Although interest rates began 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increase in 2022, home prices remained high. With greater home equity from home price appreciation, we believe troubled borrowers have more options to avoid foreclosure.</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While we cannot predict whether the default market will return to a pre-pandemic operating environment, we believe the demand for our Default business is likely to grow. We estimate that in today’s environment it typically takes on average two years to convert foreclosure initiations to foreclosure sales and six months to market and sell the REO. The foreclosure timelines could vary significantly based upon, for example, the state where the property is located, whether the foreclosure is contested, amount of borrower equity in the home and available borrower relief programs. The REO sale timelines could also vary significantly based upon, for example, mortgage interest rates, the local real estate market, whether the home is located in a redemption state and whether the home is occupied post foreclosure.</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2024 and the three months ended March 31, 2025, to address the close to historically low delinquency rates, we worked to (1) reduce our cost structure, (2) maintain the infrastructure to deliver default related services for our customer base and support the anticipated increase in demand should delinquency rates, foreclosure initiations and/or foreclosure sales rise, (3) launch a residential renovation business to renovate single family homes and launch a commercial real estate auction business on Hubzu, our online auction platform, and (4) launch new solutions and increase customer adoption of our existing solutions to accelerate the growth of our Origination segment.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May 16, 2023, our shareholders approved the renewal and amendment of the share repurchase program previously approved by the shareholders on May 15, 2018. Under the program, we are authorized to purchase up to 3.1 million shares of our common stock, based on a limit of 15% of the outstanding shares of common stock on the date of approval, at a minimum price of $1.00 per share and a maximum price of $25.00 per share, for a period of five years from the date of approval. As of March 31, 2025, approximately 3.1 million shares of common stock remain available for repurchase under the program. There were no purchases of shares of common stock during the three months ended March 31, 2025 and 2024. Under the new first lien loan facility (the “New Facility”) and the super senior credit facility (the “Super Senior Facility”), we are not permitted to repurchase shares except for limited circumstances.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Onity Related Matters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2025, Onity was our largest customer, accounting for 45% of our total revenue. Additionally, 5% of our revenue for the three months ended March 31, 2025 was earned on the loan portfolios serviced by Onity, when a party other than Onity or the mortgage servicing rights (“MSRs”) owner selected Altisource as the service provider.</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Onity has disclosed that it is subject to a number of ongoing regulatory examinations, consent orders, inquiries, subpoenas, civil investigative demands, requests for information and other actions and is subject to pending and threatened legal proceedings, some of which include claims against Onity for substantial monetary damages. Previous regulatory actions against Onity have subjected Onity to independent oversight of its operations and placed certain restrictions on its ability to acquire servicing rights or proceed with default-related actions on the loans it services. Existing or future similar matters could result in adverse regulatory or other actions against Onity. In addition to the above, Onity may become subject to future adverse regulatory or other actions.</w:t>
      </w:r>
    </w:p>
    <w:p>
      <w:pPr>
        <w:spacing w:after="0" w:line="13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Onity has disclosed that Rithm is one of its largest servicing clients. As of December 31, 2024, Onity reported that approximately 14% of loans serviced and subserviced by Onity (measured in UPB) and approximately 63% of all delinquent loans that Onity services were related to Rithm MSRs or rights to MSRs.</w:t>
      </w:r>
    </w:p>
    <w:p>
      <w:pPr>
        <w:spacing w:after="0" w:line="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existence or outcome of Onity regulatory matters or the termination of Onity’s sub-servicing agreements with Rithm or other significant Onity clients may have significant adverse effects on Onity’s business. For example, Onity may be required to alter the way it conducts business, including the parties it contracts with for services, it may be required to seek changes to its existing pricing structure with us, it may lose its non-GSE servicing rights or subservicing arrangements or may lose one or more of its state servicing or origination licenses. Additional regulatory actions or adverse financial developments may impose additional restrictions on or require changes in Onity’s business that could require it to sell assets or change its business operations. Any or all of these effects and others could result in our eventual loss of Onity as a customer or a reduction in the number and/or volume of services it purchases from us or the loss of other customers.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If any of the following events occurred, Altisource’s revenue could be significantly reduced and our results of operations could be materially adversely affected, including from the possible impairment or write-off of goodwill, intangible assets, property and equipment, other assets and accounts receivable:</w:t>
      </w:r>
    </w:p>
    <w:p>
      <w:pPr>
        <w:spacing w:after="0" w:line="110"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loses Onity as a customer or there is a significant reduction in the volume of services it purchases from us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sells or transfers a significant portion of its GSE or Federal Housing Administration servicing rights or subservicing arrangements or remaining other servicing rights or subservicing arrangements and Altisource fails to be retained as a service provider</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Rithm changes significantly, including Onity’s sub-servicing arrangement with Rithm expiring without renewal, and this change results in a change in our status as a provider of services related to the Subject MSRs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loses state servicing licenses in states with a significant number of loans in Onity’s servicing portfolio</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Onity is subject to stays, moratoriums, suspensions or other restrictions that limit or delay default-related actions on the loans it services</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relationship between Onity and Altisource changes significantly or there are significant changes to our pricing to Onity for services from which we generate material revenue</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Altisource otherwise fails to be retained as a service provider and/or there is a reduction in referral volumes</w:t>
      </w:r>
    </w:p>
    <w:p>
      <w:pPr>
        <w:spacing w:after="0" w:line="16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foregoing list is not intended to be exhaustive. Management cannot predict whether any of these events or other events will occur or the amount of any impact they may have on Altisource.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impact the comparability of our results:</w:t>
      </w:r>
    </w:p>
    <w:p>
      <w:pPr>
        <w:spacing w:after="0" w:line="111" w:lineRule="exact"/>
        <w:rPr>
          <w:sz w:val="20"/>
          <w:szCs w:val="20"/>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initiations were 25% higher for the three months ended March 31, 2025 compared to the same period in 2024 (and 18%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foreclosure sales were 2% lower for the three months ended March 31, 2025 compared to the same period in 2024 (and 53% lower than the same pre-COVID-19 period in 2019)</w:t>
      </w:r>
    </w:p>
    <w:p>
      <w:pPr>
        <w:spacing w:after="0" w:line="4" w:lineRule="exact"/>
        <w:rPr>
          <w:rFonts w:ascii="Times New Roman" w:cs="Times New Roman" w:eastAsia="Times New Roman" w:hAnsi="Times New Roman"/>
          <w:sz w:val="18"/>
          <w:szCs w:val="18"/>
          <w:color w:val="auto"/>
        </w:rPr>
      </w:pPr>
    </w:p>
    <w:p>
      <w:pPr>
        <w:ind w:left="640" w:hanging="316"/>
        <w:spacing w:after="0" w:line="273"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Industrywide mortgage origination volume decreased by 1% for the three months ended March 31, 2025 compared to the same period in 2024, comprised of an 11% decline in purchase origination and a 25% increase in refinancing origination</w:t>
      </w:r>
    </w:p>
    <w:p>
      <w:pPr>
        <w:spacing w:after="0" w:line="19"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15"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On February 19, 2025, Altisource Portfolio Solutions S.A and Altisource S.à r.l. (the “Borrower”) entered into agreements with 100% of the lenders under the SSTL (the “Lenders”). Under these agreements, the Lenders exchanged the senior secured term loans (“SSTL”) with an outstanding balance of $232.8 million for a $160.0 million New Facility and 58.2 million shares of common stock (the “Debt Exchange Shares”) (collectively, the “Debt Exchange Transaction”). The New Facility is comprised of a $110.0 million interest-bearing loan (the “New Debt”) and a $50.0 million non-interest-bearing exit fee. In connection with the Debt Exchange Transaction, the Company expensed $3.0 million relating to fees paid to advisors and others</w:t>
      </w:r>
    </w:p>
    <w:p>
      <w:pPr>
        <w:spacing w:after="0" w:line="27" w:lineRule="exact"/>
        <w:rPr>
          <w:rFonts w:ascii="Times New Roman" w:cs="Times New Roman" w:eastAsia="Times New Roman" w:hAnsi="Times New Roman"/>
          <w:sz w:val="19"/>
          <w:szCs w:val="19"/>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interest rate on the Company’s SSTL was 8.75% for the three months ended March 31, 2025 compared to 14.20% for the same period in 2024</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an income tax provision of $0.7 million and $0.7 million for the three months ended March 31, 2025 and 2024, respectively. The income tax provision for the three months ended March 31, 2025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Results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Times New Roman" w:cs="Times New Roman" w:eastAsia="Times New Roman" w:hAnsi="Times New Roman"/>
          <w:sz w:val="18"/>
          <w:szCs w:val="18"/>
          <w:i w:val="1"/>
          <w:iCs w:val="1"/>
          <w:color w:val="auto"/>
        </w:rPr>
        <w:t>Segment Results of Operations</w:t>
      </w:r>
      <w:r>
        <w:rPr>
          <w:rFonts w:ascii="Times New Roman" w:cs="Times New Roman" w:eastAsia="Times New Roman" w:hAnsi="Times New Roman"/>
          <w:sz w:val="18"/>
          <w:szCs w:val="18"/>
          <w:color w:val="auto"/>
        </w:rPr>
        <w:t>”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6"/>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Increase (decrease)</w:t>
            </w:r>
          </w:p>
        </w:tc>
        <w:tc>
          <w:tcPr>
            <w:tcW w:w="0" w:type="dxa"/>
            <w:vAlign w:val="bottom"/>
          </w:tcPr>
          <w:p>
            <w:pPr>
              <w:spacing w:after="0"/>
              <w:rPr>
                <w:sz w:val="1"/>
                <w:szCs w:val="1"/>
                <w:color w:val="auto"/>
              </w:rPr>
            </w:pPr>
          </w:p>
        </w:tc>
      </w:tr>
      <w:tr>
        <w:trPr>
          <w:trHeight w:val="194"/>
        </w:trPr>
        <w:tc>
          <w:tcPr>
            <w:tcW w:w="6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Servicer and Real Estate</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32,865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29,081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Origination</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8,030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7,810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65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service revenue</w:t>
            </w:r>
          </w:p>
        </w:tc>
        <w:tc>
          <w:tcPr>
            <w:tcW w:w="360" w:type="dxa"/>
            <w:vAlign w:val="bottom"/>
          </w:tcPr>
          <w:p>
            <w:pPr>
              <w:spacing w:after="0"/>
              <w:rPr>
                <w:sz w:val="17"/>
                <w:szCs w:val="17"/>
                <w:color w:val="auto"/>
              </w:rPr>
            </w:pP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40,895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36,891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7"/>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43,439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39,469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30,114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27,165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7"/>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13,325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12,304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10,080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12,852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7"/>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3,245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(4,938)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(9,529)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exchange transaction expenses</w:t>
            </w:r>
          </w:p>
        </w:tc>
        <w:tc>
          <w:tcPr>
            <w:tcW w:w="3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03"/>
        </w:trPr>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60" w:type="dxa"/>
            <w:vAlign w:val="bottom"/>
          </w:tcPr>
          <w:p>
            <w:pPr>
              <w:spacing w:after="0"/>
              <w:rPr>
                <w:sz w:val="17"/>
                <w:szCs w:val="17"/>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(7,774)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Loss before income taxes and non-controlling interests</w:t>
            </w:r>
          </w:p>
        </w:tc>
        <w:tc>
          <w:tcPr>
            <w:tcW w:w="360" w:type="dxa"/>
            <w:vAlign w:val="bottom"/>
          </w:tcPr>
          <w:p>
            <w:pPr>
              <w:spacing w:after="0"/>
              <w:rPr>
                <w:sz w:val="18"/>
                <w:szCs w:val="18"/>
                <w:color w:val="auto"/>
              </w:rPr>
            </w:pPr>
          </w:p>
        </w:tc>
        <w:tc>
          <w:tcPr>
            <w:tcW w:w="11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(4,529)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(8,435)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(9,157)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4"/>
        </w:trPr>
        <w:tc>
          <w:tcPr>
            <w:tcW w:w="6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loss attributable to Altisource</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(5,344)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(9,198)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 service revenue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per share: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(0.33)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58,122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28,181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58,122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28,181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service revenue of $40.9 million for the three months ended March 31, 2025, an 11% increase compared to the three months ended March 31, 2024. The increase in service revenue for the three months ended March 31, 2025 was primarily driven by higher revenue in both segments. Revenue was higher in the Servicer and Real Estate segment from growth in our Property Renovation Services and Foreclosure Trustee businesses in the Solutions business, partially offset by fewer home sales in the Marketplace business. Revenue was higher in the Origination segment from higher volumes in the Trelix business within the Solutions business.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reimbursable expenses revenue of $2.5 million for the three months ended March 31, 2025, a 3% decrease compared to the three months ended March 31, 2024. The decrease in reimbursable expenses for the three months ended March 31, 2025 was primarily driven by lower REO title related expenses in the Servicer and Real Estate Solutions business and fewer asset resolution and asset management activities in the Marketplace business, partially offset by an increase in property preservation services in the Solutions business within the Servicer and Real Estate segment.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revenues can be impacted by seasonality. More specifically, revenues from property sales, loan originations and certain property preservation services in field services typically tend to be at their lowest level during the fall and winter months and at their highest level during the spring and summer months. However, as a result of the current default market, home price appreciation and higher mortgage interest rates, the seasonal impact to revenue may not follow historical patterns.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principally includes payroll and employee benefits associated with personnel employed in customer service, operations and technology roles, fees paid to external providers related to the provision of services, reimbursable expenses, technology and telecommunications costs as well as depreciation and amortization of operating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consists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recognized cost of revenue of $30.1 million for the three months ended March 31, 2025, an 11% increase compared to the three months ended March 31, 2024. Outside fees and services increased primarily from higher revenue in both Segments. Compensation and benefits for the three months ended March 31, 2025 increased primarily due to higher annual incentive compensation accruals. Depreciation and amortization was lower from the completion of the depreciation periods of certain premises and equipment with only modest additions. In addition, changes in reimbursable expenses for the three months ended March 31, 2024 are consistent with the changes in reimbursable expenses revenue discussed in the revenue section above.</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Gross profit increased to $13.3 million, representing 33% of service revenue, for the three months ended March 31, 2025 compared to $12.3 million, representing 33% of service revenue, for the three months ended March 31, 2024. Gross profit as a percentage of service revenue for the three months ended March 31, 2025 was relatively flat compared to the three months ended March 31,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Selling, general and administrative (“SG&amp;A”) expenses includes payroll for personnel employed in executive, sales and marketing, finance, technology, law, compliance, audit, human resources, vendor management, facilities and risk management roles. This category also includes professional services fees, occupancy costs, marketing costs, depreciation and amortization of non-operating assets and other expenses.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SG&amp;A expenses for the three months ended March 31, 2025 of $10.1 million decreased by 22% compared to the three months ended March 31, 2024. The decrease for the three months ended March 31, 2024 was primarily driven by lower compensation and benefits, professional services and other costs. Compensation and benefits for the three months ended March 31, 2025 decreased from efficiency and cost reductions measures. Professional services for the three months ended March 31, 2025 decreased primarily due to lower costs related to legacy indemnification accruals. Other SG&amp;A expenses for the three months ended March 31, 2025 decreased primarily due to lower bad debt expense.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from operations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(loss) from operations for the three months ended March 31, 2025 was $3.2 million, representing 8% of service revenue, compared to $(0.5) million, representing (1)% of service revenue, for the three months ended March 31, 2024. Income (loss) from operations as a percentage of service revenue improved for the three months ended March 31, 2025 compared to the three months ended March 31, 2024, primarily as a result of lower SG&amp;A expenses as a percentage of service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was $(7.8) million for the three months ended March 31, 2025 compared to $(7.9) million for the three months ended March 31, 2024. The change for the three months ended March 31, 2025 was primarily driven by lower interest expense, partially offset by higher debt exchange transaction expenses. The lower interest expense was driven by the decrease in the SSTL balance and a lower interest rate from the February 19, 2025 Debt Exchange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recognized an income tax provision of $0.7 million and $0.7 million for the three months ended March 31, 2025 and 2024, respectively. The income tax provision for the three months ended March 31, 2025 was driven primarily by income tax expense on transfer pricing income from India and the United States, no tax benefit on the pretax loss from our Luxembourg operating company, and uncertain tax positions.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 OF OPERATIONS</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for our segments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1"/>
                <w:szCs w:val="11"/>
                <w:color w:val="auto"/>
              </w:rPr>
            </w:pPr>
          </w:p>
        </w:tc>
        <w:tc>
          <w:tcPr>
            <w:tcW w:w="1220" w:type="dxa"/>
            <w:vAlign w:val="bottom"/>
          </w:tcPr>
          <w:p>
            <w:pPr>
              <w:jc w:val="center"/>
              <w:ind w:right="122"/>
              <w:spacing w:after="0" w:line="128"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4"/>
        </w:trPr>
        <w:tc>
          <w:tcPr>
            <w:tcW w:w="5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6"/>
                <w:szCs w:val="16"/>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32,865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8,030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40,895</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2,471</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35,157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43,439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21,861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6,690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30,114</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13,296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13,325</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10,080</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10,956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3,245</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(7,774)</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(4,529)</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3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5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0"/>
                <w:szCs w:val="10"/>
                <w:color w:val="auto"/>
              </w:rPr>
            </w:pPr>
          </w:p>
        </w:tc>
        <w:tc>
          <w:tcPr>
            <w:tcW w:w="13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b w:val="1"/>
                <w:bCs w:val="1"/>
                <w:color w:val="auto"/>
              </w:rPr>
              <w:t>Servicer and Real</w:t>
            </w:r>
          </w:p>
        </w:tc>
        <w:tc>
          <w:tcPr>
            <w:tcW w:w="200" w:type="dxa"/>
            <w:vAlign w:val="bottom"/>
          </w:tcPr>
          <w:p>
            <w:pPr>
              <w:spacing w:after="0"/>
              <w:rPr>
                <w:sz w:val="10"/>
                <w:szCs w:val="10"/>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Origination</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00" w:type="dxa"/>
            <w:vAlign w:val="bottom"/>
          </w:tcPr>
          <w:p>
            <w:pPr>
              <w:spacing w:after="0"/>
              <w:rPr>
                <w:sz w:val="10"/>
                <w:szCs w:val="10"/>
                <w:color w:val="auto"/>
              </w:rPr>
            </w:pPr>
          </w:p>
        </w:tc>
        <w:tc>
          <w:tcPr>
            <w:tcW w:w="1220" w:type="dxa"/>
            <w:vAlign w:val="bottom"/>
          </w:tcPr>
          <w:p>
            <w:pPr>
              <w:jc w:val="center"/>
              <w:ind w:right="122"/>
              <w:spacing w:after="0" w:line="126"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200" w:type="dxa"/>
            <w:vAlign w:val="bottom"/>
          </w:tcPr>
          <w:p>
            <w:pPr>
              <w:spacing w:after="0"/>
              <w:rPr>
                <w:sz w:val="17"/>
                <w:szCs w:val="17"/>
                <w:color w:val="auto"/>
              </w:rPr>
            </w:pPr>
          </w:p>
        </w:tc>
        <w:tc>
          <w:tcPr>
            <w:tcW w:w="12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Altisource</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Service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29,081</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7,810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36,891</w:t>
            </w: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Reimbursable expenses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2,537</w:t>
            </w:r>
          </w:p>
        </w:tc>
        <w:tc>
          <w:tcPr>
            <w:tcW w:w="0" w:type="dxa"/>
            <w:vAlign w:val="bottom"/>
          </w:tcPr>
          <w:p>
            <w:pPr>
              <w:spacing w:after="0"/>
              <w:rPr>
                <w:sz w:val="1"/>
                <w:szCs w:val="1"/>
                <w:color w:val="auto"/>
              </w:rPr>
            </w:pPr>
          </w:p>
        </w:tc>
      </w:tr>
      <w:tr>
        <w:trPr>
          <w:trHeight w:val="21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7"/>
        </w:trPr>
        <w:tc>
          <w:tcPr>
            <w:tcW w:w="5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31,502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7,967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39,469</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19,132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6,133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27,165</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 (loss)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12,304</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12,852</w:t>
            </w:r>
          </w:p>
        </w:tc>
        <w:tc>
          <w:tcPr>
            <w:tcW w:w="0" w:type="dxa"/>
            <w:vAlign w:val="bottom"/>
          </w:tcPr>
          <w:p>
            <w:pPr>
              <w:spacing w:after="0"/>
              <w:rPr>
                <w:sz w:val="1"/>
                <w:szCs w:val="1"/>
                <w:color w:val="auto"/>
              </w:rPr>
            </w:pPr>
          </w:p>
        </w:tc>
      </w:tr>
      <w:tr>
        <w:trPr>
          <w:trHeight w:val="20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(7,887)</w:t>
            </w: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(8,435)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Margins: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 / service revenue</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8"/>
        </w:trPr>
        <w:tc>
          <w:tcPr>
            <w:tcW w:w="5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(loss) from operations / service revenue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Servicer and Real Estate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line of business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23,899</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7"/>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Marketplace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4"/>
        </w:trPr>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35,157</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recognized service revenue of $32.9 million for the three months ended March 31, 2025, a 13% increase compared to the three months ended March 31, 2024. We also recognized reimbursable expenses revenue of $2.3 million for the three months ended March 31, 2025, a 5% decrease compared to the three months ended March 31, 2024. The increase in service revenue for the three months ended March 31, 2025 was driven by growth in our Property Renovation Services and Foreclosure Trustee businesses in the Solutions business, partially offset by fewer home sales in the Marketplace business. The decrease in reimbursable expenses for the three months ended March 31, 2025 was primarily driven by fewer assets resolution and asset management activities in the Marketplace business and lower REO title related expenses in our Title business in the Solutions business, partially offset by an increase in property preservation services in our Field Services business in the Solutions business.</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our Servicer and Real Estate businesses are impacted by seasonality. Revenues from property sales and certain property preservation services are generally lowest during the fall and winter months and highest during the spring and summer months. However, as a result of the current default market, home price appreciation and higher mortgage interest rates, the seasonal impact to revenue may not follow historical patterns.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three months ended March 31, 2025 of $21.9 million increased by 14% compared to the three months ended March 31, 2024. The increase in cost of revenue for the three months ended March 31, 2025 is primarily driven by higher outside fees and services from higher revenue in the Property Renovation Services and Foreclosure Trustee businesses in the Solutions business and higher compensation and benefits primarily due to higher annual incentive compensation accruals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higher technology and telecommunications from a benefit recognized in 2024, partially offset by lower reimbursable expenses discussed above.</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increased to $13.3 million, representing 40% of service revenue, for the three months ended March 31, 2025 compared to $12.4 million, representing 43% of service revenue, for the three months ended March 31, 2024. Gross profit as a percentage of service revenue for the three months ended March 31, 2025 decreased primarily due to a change in revenue mix from greater growth in the lower margin Property Renovations Services business than in the higher margin Foreclosure Trsutee business. Our margins can vary substantially depending upon the service revenue mix.</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94"/>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SG&amp;A for the three months ended March 31, 2025 of $2.3 million decreased by 24% compared to the three months ended March 31, 2024. The decrease in SG&amp;A for the three months ended March 31, 2025 is primarily due to lower professional services and other expenses. Professional services for the three months ended March 31, 2025 decreased primarily due to lower legal-related costs. Other expenses for the three months ended March 31, 2025 decreased from lower bad debt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Income from operations increased to $11.0 million, representing 33% of service revenue, for the three months ended March 31, 2025 compared to $9.3 million, representing 32% of service revenue, for the three months ended March 31, 2024. The increase in operating income as a percentage of service revenue for the three months ended March 31, 2025 is primarily the result of lower SG&amp;A expenses, partially offset by lower gross profit margins.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business unit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Lenders One</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SaaS Products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service revenue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Solutions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7"/>
        </w:trPr>
        <w:tc>
          <w:tcPr>
            <w:tcW w:w="6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reimbursable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recognized service revenue of $8.0 million for the three months ended March 31, 2025, a 3% increase compared to the three months ended March 31, 2024. We also recognized reimbursable expenses revenue of $0.2 million for the three months ended March 31, 2025, a 54% increase compared to the three months ended March 31, 2024. The increase in service revenue in the Origination segment for the three months ended March 31, 2025 is primarily driven by higher volumes in the Trelix business within the Solutions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Outside fees and services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Reimbursable expenses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revenue for the three months ended March 31, 2025 of $6.7 million increased by 9% compared to the three months ended March 31, 2024. The increase in cost of revenue for the three months ended March 31, 2025 was primarily driven by higher outside fees and services from a change in revenue mix and higher compensation and benefits from an increase in headcount to support growth in the Trelix business.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Gross profit decreased to $1.6 million, representing 20% of service revenue, for the three months ended March 31, 2025 compared to $1.8 million, representing 23% of service revenue, for the three months ended March 31, 2024. Gross profit as a percentage of service revenue for the three months ended March 31, 2025 decreased from a change in revenue mix.</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SG&amp;A for the three months ended March 31, 2025 of $1.7 million decreased by 15% compared to the three months ended March 31, 2024. The decrease in SG&amp;A for the three months ended March 31, 2025 is primarily due to lower other expenses from lower bad debt expense, partially offset by higher professional services from higher legal-related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Loss from operations was $(0.1) million, representing (1)% of service revenue, for the three months ended March 31, 2025 compared to $(0.1) million, representing (2)% of service revenue, for the three months ended March 31, 2024. The improvement in operating income as a percentage of service revenue for the three months ended March 31, 2025 is primarily from lower SG&amp;A expenses, partially offset by lower gross profit margins.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telecommunications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 for the three months ended March 31, 2025 of $1.6 million decreased by 18% compared to the three months ended March 31, 2024. The decrease in cost of revenue for the three months ended March 31, 2025 is primarily driven by lower technology and telecommunications due to efficiency initiatives and cost savings initiatives and lower depreciation and amortization from the completion of the depreciation periods for certain premises and equipment.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SG&amp;A in Corporate and Others include costs related to the corporate functions including executive, finance, technology, law, compliance, human resources, vendor management, facilities, risk management and eliminations between reportable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60" w:type="dxa"/>
            <w:vAlign w:val="bottom"/>
            <w:gridSpan w:val="6"/>
          </w:tcPr>
          <w:p>
            <w:pPr>
              <w:jc w:val="right"/>
              <w:ind w:right="12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5"/>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related costs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costs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4"/>
        </w:trPr>
        <w:tc>
          <w:tcPr>
            <w:tcW w:w="6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SG&amp;A for the three months ended March 31, 2025 of $6.1 million decreased by 22% compared to the three months ended March 31, 2024. The decrease for the three months ended March 31, 2025 is primarily driven by lower compensation and benefits driven by efficiency initiatives and cost savings initiatives and lower professional services from lower accruals for estimated legal matters.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principally includes interest expense and other non-operating gains and losses.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net was $(7.8) million for the three months ended March 31, 2025 compared to $(7.9) million for the three months ended March 31, 2024. The change for the three months ended March 31, 2025 was primarily driven by lower interest expense, partially offset by higher debt exchange transaction expenses. The lower interest expense was driven by the decrease in the SSTL balance and a lower interest rate from the February 19, 2025 Debt Exchange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primary source of liquidity has historically been cash flow from operations, cash proceeds from sales of businesses, cash proceeds from the sale of equity securities and cash on hand. However, primarily due to lower delinquency and foreclosure rates, and higher home equity, revenue has declined significantly compared to pre-pandemic levels. The lower revenue, partially offset by efficiency initiatives and cost savings initiatives, has resulted in negative operating cash flow from operations. We believe lower interest expense as a result of the February 2025 Debt Exchange Transaction, anticipated growth from the renovation business launched in 2024, the anticipated improvement in the default market, on-boarding sales wins, and revenue mix together with our reduced cost structure, should help improve operating cash flow.</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to deploy cash generated in a disciplined manner. Principally, we intend to use cash to develop and grow complementary services and businesses that we believe will generate attractive margins in line with our core capabilities and strategy and fund negative operating cash flow, if necessary. We also use cash for repayments of our long-term debt and capital investments. In addition, from time to time we may consider and evaluate business acquisitions, dispositions, closures, sales of equity securities or other similar actions that are aligned with our strategy.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Loan Agreement</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Company’s Renovation business, on June 3, 2024 Altisource Solutions, Inc., an indirect subsidiary of Altisource Portfolio Solutions S.A, entered into a revolving loan agreement with a then related party, Altisource Asset Management Corporation (“AAMC”) (the “Revolving Loan Agreement”).</w:t>
      </w:r>
    </w:p>
    <w:p>
      <w:pPr>
        <w:spacing w:after="0" w:line="1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Under the terms of the Revolving Loan Agreement, AAMC will make loans to Altisource from time to time, as may be requested by Altisource. The Revolving Loan Agreement provides Altisource the ability to borrow an initial aggregate amount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of up to $1.0 million, with the potential for this to be increased up to $3.0 million at the option of AAMC. Amounts that are repaid may be re-borrowed in accordance with the limitations set forth below.</w:t>
      </w:r>
    </w:p>
    <w:p>
      <w:pPr>
        <w:spacing w:after="0" w:line="1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maturity date of the Revolving Loan Agreement is June 3, 2025 and may be automatically extended for one year on each anniversary of the maturity date. During any extension period, AAMC may terminate the Revolving Loan Agreement upon 150 days prior written notice and the loan will mature upon such termination. The outstanding balance on the Revolving Loan Agreement is due and payable on such maturity date.</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Borrowings under the Revolving Loan Agreement bear interest of 12.00% per annum in cash and are payable monthly in arrears on the first business day of each calendar month. Altisource will pay AAMC a monthly unused commitment fee in an amount equal to 0.25% per annum of the average amount of the unused available credit under the Revolving Loan Agreement.</w:t>
      </w:r>
    </w:p>
    <w:p>
      <w:pPr>
        <w:spacing w:after="0" w:line="12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Altisource’s obligation under the Revolving Loan Agreement is secured by certain receivables related to the Company’s residential real estate renovation services 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there was $1.0 million outstanding debt under the Revolving Loan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94"/>
        </w:trPr>
        <w:tc>
          <w:tcPr>
            <w:tcW w:w="6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9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the end of the period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Cash flows from operating activities generally consist of the cash effects of transactions and events that enter into the determination of net loss. For the three months ended March 31, 2025, net cash used in operating activities was $(5.0) million compared to net cash used in operating activities of $(2.2) million for the three months ended March 31, 2024. The increase in cash used in operating activities was driven by $3.0 million in expenses related to the Debt Exchange Transaction in the first quarter of 2025, a $1.4 million increase in cash used for working capital, partially offset by improving income from operations and lower cash paid for interest expense. Cash used in working capital increased from a $2.0 million return of surety bonds in the first quarter of 2024 and a higher increase in 2025 accounts receivable from revenue growth, partially offset by higher growth in accounts payable. 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Consequently, our cash flows from operations may be negatively impacted when comparing one period to another.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cash provided by (used in) financing activities was $6.0 million and $(0.7) million for the three months ended March 31, 2025 and 2024, respectively. During the three months ended March 31, 2024, we received $11.3 million in proceeds from the Super Senior Credit Facility, net of original issuance discount. We used $(1.7) million for debt issuance costs and $(3.2) million related to the issuance of equity, in connection to the Debt Exchange Transaction. During the three months ended March 31, 2025 and 2024, we made payments of $0.3 million and $0.6 million, respectively, to satisfy employee tax withholding obligations on the issuance of restricted share units (“RSUs”) and restricted shares. These payments were made to tax authorities, at the employees’ direction, to satisfy the employees’ tax obligations rather than issuing a portion of vested restricted share units and restricted shares to employees. In addition, during both the three months ended March 31, 2025 and 2024, we distributed less than $0.1 million to non-controlling interests.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Uses of Cash</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significant future liquidity obligations primarily pertain to amortization of the New Facility, amortization and maturity of the Super Senior Facility, interest expense under the New Facility and the Super Senior Facility (see Liquidity section above), and operating lease payments on certain of our premises and equipment.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future uses of cash include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2"/>
                <w:szCs w:val="2"/>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2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2026-2027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2028-2029</w:t>
            </w:r>
          </w:p>
        </w:tc>
        <w:tc>
          <w:tcPr>
            <w:tcW w:w="0" w:type="dxa"/>
            <w:vAlign w:val="bottom"/>
          </w:tcPr>
          <w:p>
            <w:pPr>
              <w:spacing w:after="0"/>
              <w:rPr>
                <w:sz w:val="1"/>
                <w:szCs w:val="1"/>
                <w:color w:val="auto"/>
              </w:rPr>
            </w:pPr>
          </w:p>
        </w:tc>
      </w:tr>
      <w:tr>
        <w:trPr>
          <w:trHeight w:val="194"/>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New Facility </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Super Senior Facility </w:t>
            </w:r>
            <w:r>
              <w:rPr>
                <w:rFonts w:ascii="Times New Roman" w:cs="Times New Roman" w:eastAsia="Times New Roman" w:hAnsi="Times New Roman"/>
                <w:sz w:val="20"/>
                <w:szCs w:val="20"/>
                <w:color w:val="auto"/>
                <w:vertAlign w:val="superscript"/>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12,156</w:t>
            </w:r>
          </w:p>
        </w:tc>
        <w:tc>
          <w:tcPr>
            <w:tcW w:w="0" w:type="dxa"/>
            <w:vAlign w:val="bottom"/>
          </w:tcPr>
          <w:p>
            <w:pPr>
              <w:spacing w:after="0"/>
              <w:rPr>
                <w:sz w:val="1"/>
                <w:szCs w:val="1"/>
                <w:color w:val="auto"/>
              </w:rPr>
            </w:pPr>
          </w:p>
        </w:tc>
      </w:tr>
      <w:tr>
        <w:trPr>
          <w:trHeight w:val="212"/>
        </w:trPr>
        <w:tc>
          <w:tcPr>
            <w:tcW w:w="5220" w:type="dxa"/>
            <w:vAlign w:val="bottom"/>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Revolving Loan Agreement </w:t>
            </w:r>
            <w:r>
              <w:rPr>
                <w:rFonts w:ascii="Times New Roman" w:cs="Times New Roman" w:eastAsia="Times New Roman" w:hAnsi="Times New Roman"/>
                <w:sz w:val="20"/>
                <w:szCs w:val="20"/>
                <w:color w:val="auto"/>
                <w:vertAlign w:val="superscript"/>
              </w:rPr>
              <w:t>(3)</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220" w:type="dxa"/>
            <w:vAlign w:val="bottom"/>
            <w:gridSpan w:val="2"/>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Interest payments </w:t>
            </w:r>
            <w:r>
              <w:rPr>
                <w:rFonts w:ascii="Times New Roman" w:cs="Times New Roman" w:eastAsia="Times New Roman" w:hAnsi="Times New Roman"/>
                <w:sz w:val="20"/>
                <w:szCs w:val="20"/>
                <w:color w:val="auto"/>
                <w:vertAlign w:val="superscript"/>
              </w:rPr>
              <w:t>(4)</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24,906</w:t>
            </w: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payments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13,173</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40,761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$158.6 million of the New Facility matures on April 30, 2030 and $1.4 million of the New Facility matures on January 15, 2029.</w:t>
      </w:r>
    </w:p>
    <w:p>
      <w:pPr>
        <w:ind w:left="320" w:hanging="314"/>
        <w:spacing w:after="0" w:line="191"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Super Senior Facility matures on February 19, 2029.</w:t>
      </w:r>
    </w:p>
    <w:p>
      <w:pPr>
        <w:spacing w:after="0" w:line="1" w:lineRule="exact"/>
        <w:rPr>
          <w:rFonts w:ascii="Times New Roman" w:cs="Times New Roman" w:eastAsia="Times New Roman" w:hAnsi="Times New Roman"/>
          <w:sz w:val="23"/>
          <w:szCs w:val="23"/>
          <w:color w:val="auto"/>
          <w:vertAlign w:val="superscript"/>
        </w:rPr>
      </w:pPr>
    </w:p>
    <w:p>
      <w:pPr>
        <w:ind w:left="240" w:hanging="234"/>
        <w:spacing w:after="0" w:line="215" w:lineRule="auto"/>
        <w:tabs>
          <w:tab w:leader="none" w:pos="344"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outstanding balance of our Revolving Loan Agreement as of March 31, 2025 is $1.0 million and is due on June 3, 2025, and may be automatically extended for one year on each anniversary of the maturity date. The table herein reflects a maturity date of June 3, 2025.</w:t>
      </w:r>
    </w:p>
    <w:p>
      <w:pPr>
        <w:spacing w:after="0" w:line="1" w:lineRule="exact"/>
        <w:rPr>
          <w:rFonts w:ascii="Times New Roman" w:cs="Times New Roman" w:eastAsia="Times New Roman" w:hAnsi="Times New Roman"/>
          <w:sz w:val="23"/>
          <w:szCs w:val="23"/>
          <w:color w:val="auto"/>
          <w:vertAlign w:val="superscript"/>
        </w:rPr>
      </w:pPr>
    </w:p>
    <w:p>
      <w:pPr>
        <w:ind w:left="240" w:hanging="234"/>
        <w:spacing w:after="0" w:line="215" w:lineRule="auto"/>
        <w:tabs>
          <w:tab w:leader="none" w:pos="404"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future interest payments for the New Facility and the Super Senior Facility based on the three-month Secured Overnight Financing Rate (“SOFR”) interest rate as of March 31,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anticipate funding future liquidity requirements with a combination of existing cash balances and cash anticipated to be generated by 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10 and Note 21 to the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off-balance sheet arrangements consist of escrow and certain other account arrangements.</w:t>
      </w:r>
    </w:p>
    <w:p>
      <w:pPr>
        <w:spacing w:after="0" w:line="1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hold customers’ assets in escrow and other accounts at various financial institutions pending completion of certain real estate and construction review activities. These amounts are held in escrow and other accounts for limited periods of time and are not included in the accompanying condensed consolidated balance sheets. Amounts held in escrow and other accounts were $35.7 million and $24.9 million as of March 31, 2025 and December 31, 2024,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three months ended March 31, 2025, there were no significant changes to our contractual obligations from those identified in our Form 10-K for the fiscal year ended December 31, 2024 and this Form 10-Q, other than those that occur in the normal course of business. See Note 21 to the condensed consolidated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ESTIMATES AND RECENT ACCOUNTING PRONOUNCEMENTS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prepare our interim condensed consolidated financial statements in accordance with GAAP.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critical accounting policies are described in the MD&amp;A section of our Form 10-K for the year ended December 31, 2024 filed with the SEC on March 31, 2025. There have been no material changes to our critical accounting policies during the three months ended March 31, 2025.</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Future Adoption of New Accounting Pronouncements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for a discussion of recently issued accounting pronouncements, including pronouncements that were adopted in the current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market risk consists primarily of interest rate and foreign currency exchange rate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New Facility, the interest rate charged on the New Debt is SOFR, with a minimum floor of 3.5%, plus 6.5%. The interest rate charged on the Super Senior Facility is SOFR, with a minimum floor of 3.5%, plus 6.5%. Based on the terms of the New Facility and the Super Senior Facility, a one percentage point increase in SOFR would increase our annual interest expense by approximately $1.2 million, and there would be a $1.2 million decrease in our annual interest expense if there was a one percentage point decrease in SOFR.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Exchange Risk</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for the first quarter of 2025, a one percentage point increase or decrease in value of the Indian rupee in relation to the United States dollar would increase or decrease our annual expenses by approximately $0.1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4"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Chairman and Chief Executive Officer and Chief Financial Officer, as appropriate, to allow timely decisions regarding required disclosure.</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As of March 31, 2025, an evaluation was conducted under the supervision and with the participation of our management, including our Chairman and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2025.</w:t>
      </w:r>
    </w:p>
    <w:p>
      <w:pPr>
        <w:spacing w:after="0" w:line="104"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p>
    <w:p>
      <w:pPr>
        <w:spacing w:after="0" w:line="16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record a liability for contingencies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currently involved in legal actions in the course of our business, most of which seek monetary damages. Although the outcome of these proceedings cannot be predicted with certainty, we currently believe that their outcome, both individually and in the aggregate, will not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Periodically, we are subject to audits, examinations and investigations by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previously disclosed in Part I, Item 1A of our Annual Report on Form 10-K for the year ended December 31, 2024. Capitalized terms used but not defined in this section have the meanings given to them in the 2024 Form 10-K. The risk factors in our Annual Report continue to describe risks that could materially affect our business, financial condition, results of operations, and stock price. Additional risks and uncertainties not currently known to us or that we currently deem immaterial may also materially adversely affect us.</w:t>
      </w:r>
    </w:p>
    <w:p>
      <w:pPr>
        <w:spacing w:after="0" w:line="1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The expiration of restrictions on the sale or transfer of shares of common stock issued to lenders in connection with the Debt Exchange Transaction may increase the volatility of our common stock.</w:t>
      </w:r>
    </w:p>
    <w:p>
      <w:pPr>
        <w:spacing w:after="0" w:line="10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significant number of shares of our common stock were issued to lenders in connection with the Debt Exchange Transaction and are subject to restrictions on sale or transfer through approximately September 17, 2025. Upon expiration of these restrictions, these shares may become eligible for resale in the public market, subject to applicable securities laws. Any actual or perceived future sales of these shares may negatively affect the market price of our common stock or increase volatility. The potential for these shares to be sold may also limit our ability to raise additional capital through equity offerings.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purchases of shares of common stock during the three months ended March 31, 2025. On May 16, 2023, our shareholders approved the renewal and amendment of the share repurchase program previously approved by the shareholders on May 15, 2018. Under the program, we are authorized to purchase up to 3.1 million shares of our common stock in the open market, subject to certain parameters, for a period of five years from the date of approval. As of March 31, 2025, the maximum number of shares that may be purchased under the repurchase program is 3.1 million shares of the Company’s common stock. Under the New Facility and the Super Senior Facility, we are not permitted to repurchase shares except for limited circumstances. In addition to the share repurchase program, during the three months ended March 31, 2025, 323,559 common shares were withheld from employees to satisfy tax withholding obligations that arose from the vesting of restricted shares.</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February 20, 2024, the Company issued a total of 232,580 RSUs as equity compensation under the Altisource 2024 Long Term Incentive Plan to the Company’s Chairman and Chief Executive Officer, Chief Financial Officer, and Chief Legal and Compliance Officer as unregistered securities in a private placement exempt from registration pursuant to Rule 4(a)(2) of the Securities Act of 1933, as amended.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19"/>
                <w:szCs w:val="19"/>
                <w:color w:val="auto"/>
              </w:rPr>
            </w:pPr>
          </w:p>
        </w:tc>
        <w:tc>
          <w:tcPr>
            <w:tcW w:w="1014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Executive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Section 302 Certification of the Chief Financial Officer pursuant to Exchange Act Rule 13a-14(a)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C2C2C"/>
              </w:rPr>
              <w:t>*</w:t>
            </w:r>
          </w:p>
        </w:tc>
        <w:tc>
          <w:tcPr>
            <w:tcW w:w="100" w:type="dxa"/>
            <w:vAlign w:val="bottom"/>
          </w:tcPr>
          <w:p>
            <w:pPr>
              <w:spacing w:after="0"/>
              <w:rPr>
                <w:sz w:val="22"/>
                <w:szCs w:val="22"/>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Certification by the Chief Executive Officer and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color w:val="2C2C2C"/>
              </w:rPr>
              <w:t>*</w:t>
            </w:r>
          </w:p>
        </w:tc>
        <w:tc>
          <w:tcPr>
            <w:tcW w:w="100" w:type="dxa"/>
            <w:vAlign w:val="bottom"/>
          </w:tcPr>
          <w:p>
            <w:pPr>
              <w:spacing w:after="0"/>
              <w:rPr>
                <w:sz w:val="21"/>
                <w:szCs w:val="21"/>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Pursuant to Rule 405 of Regulation S-T, the following financial information from the Company’s Quarterly Report on Form 10-Q for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period ended March 31, 2025 is formatted in Inline XBRL interactive data files: (i) Condensed Consolidated Balance Sheets as of March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77" w:lineRule="exact"/>
              <w:rPr>
                <w:sz w:val="20"/>
                <w:szCs w:val="20"/>
                <w:color w:val="auto"/>
              </w:rPr>
            </w:pPr>
            <w:r>
              <w:rPr>
                <w:rFonts w:ascii="Times New Roman" w:cs="Times New Roman" w:eastAsia="Times New Roman" w:hAnsi="Times New Roman"/>
                <w:sz w:val="18"/>
                <w:szCs w:val="18"/>
                <w:color w:val="auto"/>
              </w:rPr>
              <w:t>2025 and December 31, 2024; (ii) Condensed Consolidated Statements of Operations and Comprehensive Loss for the 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color w:val="auto"/>
              </w:rPr>
              <w:t>March 31, 2025 and 2024; (iii) Condensed Consolidated Statements of Equity for the three months ended March 31, 2025 and 2024; (iv)</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2025 and 2024; and (v) Notes to Condensed</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0" w:type="dxa"/>
            <w:vAlign w:val="bottom"/>
          </w:tcPr>
          <w:p>
            <w:pPr>
              <w:spacing w:after="0"/>
              <w:rPr>
                <w:sz w:val="1"/>
                <w:szCs w:val="1"/>
                <w:color w:val="auto"/>
              </w:rPr>
            </w:pPr>
          </w:p>
        </w:tc>
      </w:tr>
      <w:tr>
        <w:trPr>
          <w:trHeight w:val="278"/>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4" w:lineRule="exact"/>
        <w:rPr>
          <w:sz w:val="20"/>
          <w:szCs w:val="20"/>
          <w:color w:val="auto"/>
        </w:rPr>
      </w:pPr>
    </w:p>
    <w:p>
      <w:pPr>
        <w:ind w:left="1120" w:hanging="1096"/>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ALTISOURCE PORTFOLIO SOLUTIONS S.A.</w:t>
      </w:r>
    </w:p>
    <w:p>
      <w:pPr>
        <w:spacing w:after="0" w:line="2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89" w:lineRule="exact"/>
        <w:rPr>
          <w:sz w:val="20"/>
          <w:szCs w:val="20"/>
          <w:color w:val="auto"/>
        </w:rPr>
      </w:pPr>
    </w:p>
    <w:p>
      <w:pPr>
        <w:ind w:left="20"/>
        <w:spacing w:after="0"/>
        <w:tabs>
          <w:tab w:leader="none" w:pos="700" w:val="left"/>
          <w:tab w:leader="none" w:pos="6380" w:val="left"/>
          <w:tab w:leader="none" w:pos="6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4353560</wp:posOffset>
            </wp:positionH>
            <wp:positionV relativeFrom="paragraph">
              <wp:posOffset>14605</wp:posOffset>
            </wp:positionV>
            <wp:extent cx="2785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85110" cy="8255"/>
                    </a:xfrm>
                    <a:prstGeom prst="rect">
                      <a:avLst/>
                    </a:prstGeom>
                    <a:noFill/>
                  </pic:spPr>
                </pic:pic>
              </a:graphicData>
            </a:graphic>
          </wp:anchor>
        </w:drawing>
      </w:r>
    </w:p>
    <w:p>
      <w:pPr>
        <w:spacing w:after="0" w:line="12"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Michelle D. Esterman</w:t>
      </w:r>
    </w:p>
    <w:p>
      <w:pPr>
        <w:spacing w:after="0" w:line="24"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Chief Financial Officer</w:t>
      </w:r>
    </w:p>
    <w:p>
      <w:pPr>
        <w:ind w:left="6880"/>
        <w:spacing w:after="0" w:line="236" w:lineRule="auto"/>
        <w:rPr>
          <w:sz w:val="20"/>
          <w:szCs w:val="20"/>
          <w:color w:val="auto"/>
        </w:rPr>
      </w:pPr>
      <w:r>
        <w:rPr>
          <w:rFonts w:ascii="Times New Roman" w:cs="Times New Roman" w:eastAsia="Times New Roman" w:hAnsi="Times New Roman"/>
          <w:sz w:val="18"/>
          <w:szCs w:val="18"/>
          <w:color w:val="auto"/>
        </w:rPr>
        <w:t>(On behalf of the Registrant and as its Principal Financial</w:t>
      </w:r>
    </w:p>
    <w:p>
      <w:pPr>
        <w:spacing w:after="0" w:line="1"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B. Shepro, hereby certify that:</w:t>
      </w:r>
    </w:p>
    <w:p>
      <w:pPr>
        <w:spacing w:after="0" w:line="164"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72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William B. Shepro</w:t>
            </w:r>
          </w:p>
        </w:tc>
      </w:tr>
      <w:tr>
        <w:trPr>
          <w:trHeight w:val="213"/>
        </w:trPr>
        <w:tc>
          <w:tcPr>
            <w:tcW w:w="3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r>
      <w:tr>
        <w:trPr>
          <w:trHeight w:val="225"/>
        </w:trPr>
        <w:tc>
          <w:tcPr>
            <w:tcW w:w="3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1"/>
        </w:trPr>
        <w:tc>
          <w:tcPr>
            <w:tcW w:w="3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7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SECTION 302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Michelle D. Esterman, hereby certify that:</w:t>
      </w:r>
    </w:p>
    <w:p>
      <w:pPr>
        <w:spacing w:after="0" w:line="164"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2025 of Altisource Portfolio Solutions S.A.;</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7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1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left="960" w:hanging="318"/>
        <w:spacing w:after="0" w:line="274" w:lineRule="auto"/>
        <w:tabs>
          <w:tab w:leader="none" w:pos="11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106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left="960" w:hanging="318"/>
        <w:spacing w:after="0" w:line="274" w:lineRule="auto"/>
        <w:tabs>
          <w:tab w:leader="none" w:pos="10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2025</w:t>
            </w:r>
          </w:p>
        </w:tc>
        <w:tc>
          <w:tcPr>
            <w:tcW w:w="724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   /s/ Michelle D. Esterman</w:t>
            </w:r>
          </w:p>
        </w:tc>
      </w:tr>
      <w:tr>
        <w:trPr>
          <w:trHeight w:val="213"/>
        </w:trPr>
        <w:tc>
          <w:tcPr>
            <w:tcW w:w="37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3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77"/>
        </w:trPr>
        <w:tc>
          <w:tcPr>
            <w:tcW w:w="37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1"/>
        </w:trPr>
        <w:tc>
          <w:tcPr>
            <w:tcW w:w="37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87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2025</w:t>
      </w:r>
    </w:p>
    <w:p>
      <w:pPr>
        <w:spacing w:after="0" w:line="3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connection with the Quarterly Report on Form 10-Q of Altisource Portfolio Solutions S.A. (the “Company”) for the quarterly period ended March 31, 2025, as filed with the Securities and Exchange Commission on the date hereof (the “Report”), William B. Shepro, as Chairman and Chief Executive Officer of the Company, and Michelle D. Esterman, as Chief Financial Officer of the Company, each hereby certifies, pursuant to 18 U.S.C. Section 1350, that:</w:t>
      </w:r>
    </w:p>
    <w:p>
      <w:pPr>
        <w:spacing w:after="0" w:line="106" w:lineRule="exact"/>
        <w:rPr>
          <w:sz w:val="20"/>
          <w:szCs w:val="20"/>
          <w:color w:val="auto"/>
        </w:rPr>
      </w:pPr>
    </w:p>
    <w:p>
      <w:pPr>
        <w:ind w:left="700" w:hanging="37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376"/>
        <w:spacing w:after="0"/>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B. Shepro</w:t>
            </w: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D. Esterman</w:t>
            </w:r>
          </w:p>
        </w:tc>
      </w:tr>
      <w:tr>
        <w:trPr>
          <w:trHeight w:val="213"/>
        </w:trPr>
        <w:tc>
          <w:tcPr>
            <w:tcW w:w="52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B. Shepro</w:t>
            </w:r>
          </w:p>
        </w:tc>
        <w:tc>
          <w:tcPr>
            <w:tcW w:w="100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D. Esterman</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5"/>
        </w:trPr>
        <w:tc>
          <w:tcPr>
            <w:tcW w:w="5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25"/>
        </w:trPr>
        <w:tc>
          <w:tcPr>
            <w:tcW w:w="5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1"/>
        </w:trPr>
        <w:tc>
          <w:tcPr>
            <w:tcW w:w="52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w:t>
            </w:r>
          </w:p>
        </w:tc>
        <w:tc>
          <w:tcPr>
            <w:tcW w:w="100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w:t>
            </w:r>
          </w:p>
        </w:tc>
      </w:tr>
    </w:tbl>
    <w:p>
      <w:pPr>
        <w:spacing w:after="0" w:line="1" w:lineRule="exact"/>
        <w:rPr>
          <w:sz w:val="20"/>
          <w:szCs w:val="20"/>
          <w:color w:val="auto"/>
        </w:rPr>
      </w:pP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3"/>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49"/>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2025-05-01T06:15:27Z</dcterms:created>
  <dcterms:modified xsi:type="dcterms:W3CDTF">2025-05-01T06:15:27Z</dcterms:modified>
</cp:coreProperties>
</file>