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5"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8" w:lineRule="exact"/>
        <w:rPr>
          <w:sz w:val="24"/>
          <w:szCs w:val="24"/>
          <w:color w:val="auto"/>
        </w:rPr>
      </w:pPr>
    </w:p>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4"/>
          <w:szCs w:val="24"/>
          <w:color w:val="auto"/>
        </w:rPr>
      </w:pPr>
    </w:p>
    <w:p>
      <w:pPr>
        <w:jc w:val="center"/>
        <w:ind w:right="-1159"/>
        <w:spacing w:after="0"/>
        <w:rPr>
          <w:sz w:val="20"/>
          <w:szCs w:val="20"/>
          <w:color w:val="auto"/>
        </w:rPr>
      </w:pPr>
      <w:r>
        <w:rPr>
          <w:rFonts w:ascii="Arial" w:cs="Arial" w:eastAsia="Arial" w:hAnsi="Arial"/>
          <w:sz w:val="15"/>
          <w:szCs w:val="15"/>
          <w:b w:val="1"/>
          <w:bCs w:val="1"/>
          <w:color w:val="auto"/>
        </w:rPr>
        <w:t>UNITED STATES</w:t>
      </w:r>
    </w:p>
    <w:p>
      <w:pPr>
        <w:spacing w:after="0" w:line="16" w:lineRule="exact"/>
        <w:rPr>
          <w:sz w:val="24"/>
          <w:szCs w:val="24"/>
          <w:color w:val="auto"/>
        </w:rPr>
      </w:pPr>
    </w:p>
    <w:p>
      <w:pPr>
        <w:jc w:val="center"/>
        <w:ind w:right="-1159"/>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1159"/>
        <w:spacing w:after="0"/>
        <w:rPr>
          <w:sz w:val="20"/>
          <w:szCs w:val="20"/>
          <w:color w:val="auto"/>
        </w:rPr>
      </w:pPr>
      <w:r>
        <w:rPr>
          <w:rFonts w:ascii="Arial" w:cs="Arial" w:eastAsia="Arial" w:hAnsi="Arial"/>
          <w:sz w:val="15"/>
          <w:szCs w:val="15"/>
          <w:b w:val="1"/>
          <w:bCs w:val="1"/>
          <w:color w:val="auto"/>
        </w:rPr>
        <w:t>Washington, D.C. 20549</w:t>
      </w:r>
    </w:p>
    <w:p>
      <w:pPr>
        <w:spacing w:after="0" w:line="150" w:lineRule="exact"/>
        <w:rPr>
          <w:sz w:val="24"/>
          <w:szCs w:val="24"/>
          <w:color w:val="auto"/>
        </w:rPr>
      </w:pPr>
    </w:p>
    <w:p>
      <w:pPr>
        <w:jc w:val="center"/>
        <w:ind w:right="-1159"/>
        <w:spacing w:after="0"/>
        <w:rPr>
          <w:sz w:val="20"/>
          <w:szCs w:val="20"/>
          <w:color w:val="auto"/>
        </w:rPr>
      </w:pPr>
      <w:r>
        <w:rPr>
          <w:rFonts w:ascii="Arial" w:cs="Arial" w:eastAsia="Arial" w:hAnsi="Arial"/>
          <w:sz w:val="21"/>
          <w:szCs w:val="21"/>
          <w:b w:val="1"/>
          <w:bCs w:val="1"/>
          <w:color w:val="auto"/>
        </w:rPr>
        <w:t>SCHEDULE 14A INFORMATION</w:t>
      </w:r>
    </w:p>
    <w:p>
      <w:pPr>
        <w:spacing w:after="0" w:line="213" w:lineRule="exact"/>
        <w:rPr>
          <w:sz w:val="24"/>
          <w:szCs w:val="24"/>
          <w:color w:val="auto"/>
        </w:rPr>
      </w:pPr>
    </w:p>
    <w:p>
      <w:pPr>
        <w:jc w:val="center"/>
        <w:ind w:right="-1159"/>
        <w:spacing w:after="0"/>
        <w:rPr>
          <w:sz w:val="20"/>
          <w:szCs w:val="20"/>
          <w:color w:val="auto"/>
        </w:rPr>
      </w:pPr>
      <w:r>
        <w:rPr>
          <w:rFonts w:ascii="Arial" w:cs="Arial" w:eastAsia="Arial" w:hAnsi="Arial"/>
          <w:sz w:val="15"/>
          <w:szCs w:val="15"/>
          <w:color w:val="auto"/>
        </w:rPr>
        <w:t>Proxy Statement Pursuant to Section 14(a) of the</w:t>
      </w:r>
    </w:p>
    <w:p>
      <w:pPr>
        <w:jc w:val="center"/>
        <w:ind w:right="-1159"/>
        <w:spacing w:after="0"/>
        <w:rPr>
          <w:sz w:val="20"/>
          <w:szCs w:val="20"/>
          <w:color w:val="auto"/>
        </w:rPr>
      </w:pPr>
      <w:r>
        <w:rPr>
          <w:rFonts w:ascii="Arial" w:cs="Arial" w:eastAsia="Arial" w:hAnsi="Arial"/>
          <w:sz w:val="15"/>
          <w:szCs w:val="15"/>
          <w:color w:val="auto"/>
        </w:rPr>
        <w:t>Securities Exchange Act of 1934</w:t>
      </w:r>
    </w:p>
    <w:p>
      <w:pPr>
        <w:spacing w:after="0" w:line="145" w:lineRule="exact"/>
        <w:rPr>
          <w:sz w:val="24"/>
          <w:szCs w:val="24"/>
          <w:color w:val="auto"/>
        </w:rPr>
      </w:pPr>
    </w:p>
    <w:p>
      <w:pPr>
        <w:ind w:left="114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44"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19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205" w:lineRule="exact"/>
        <w:rPr>
          <w:sz w:val="24"/>
          <w:szCs w:val="24"/>
          <w:color w:val="auto"/>
        </w:rPr>
      </w:pPr>
    </w:p>
    <w:p>
      <w:pPr>
        <w:ind w:left="1500" w:hanging="364"/>
        <w:spacing w:after="0"/>
        <w:tabs>
          <w:tab w:leader="none" w:pos="150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98" w:lineRule="exact"/>
        <w:rPr>
          <w:rFonts w:ascii="Arial" w:cs="Arial" w:eastAsia="Arial" w:hAnsi="Arial"/>
          <w:sz w:val="15"/>
          <w:szCs w:val="15"/>
          <w:color w:val="auto"/>
        </w:rPr>
      </w:pPr>
    </w:p>
    <w:p>
      <w:pPr>
        <w:ind w:left="1500" w:hanging="364"/>
        <w:spacing w:after="0"/>
        <w:tabs>
          <w:tab w:leader="none" w:pos="150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35" w:lineRule="exact"/>
        <w:rPr>
          <w:sz w:val="24"/>
          <w:szCs w:val="24"/>
          <w:color w:val="auto"/>
        </w:rPr>
      </w:pPr>
    </w:p>
    <w:p>
      <w:pPr>
        <w:ind w:left="1500" w:hanging="364"/>
        <w:spacing w:after="0"/>
        <w:tabs>
          <w:tab w:leader="none" w:pos="150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7" w:lineRule="exact"/>
        <w:rPr>
          <w:sz w:val="24"/>
          <w:szCs w:val="24"/>
          <w:color w:val="auto"/>
        </w:rPr>
      </w:pPr>
    </w:p>
    <w:p>
      <w:pPr>
        <w:ind w:left="1500" w:hanging="364"/>
        <w:spacing w:after="0"/>
        <w:tabs>
          <w:tab w:leader="none" w:pos="1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6" w:lineRule="exact"/>
        <w:rPr>
          <w:rFonts w:ascii="Arial" w:cs="Arial" w:eastAsia="Arial" w:hAnsi="Arial"/>
          <w:sz w:val="15"/>
          <w:szCs w:val="15"/>
          <w:color w:val="auto"/>
        </w:rPr>
      </w:pPr>
    </w:p>
    <w:p>
      <w:pPr>
        <w:ind w:left="1500" w:hanging="364"/>
        <w:spacing w:after="0"/>
        <w:tabs>
          <w:tab w:leader="none" w:pos="1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331" w:lineRule="exact"/>
        <w:rPr>
          <w:sz w:val="24"/>
          <w:szCs w:val="24"/>
          <w:color w:val="auto"/>
        </w:rPr>
      </w:pPr>
    </w:p>
    <w:p>
      <w:pPr>
        <w:ind w:left="4160"/>
        <w:spacing w:after="0"/>
        <w:rPr>
          <w:sz w:val="20"/>
          <w:szCs w:val="20"/>
          <w:color w:val="auto"/>
        </w:rPr>
      </w:pPr>
      <w:r>
        <w:rPr>
          <w:rFonts w:ascii="Arial" w:cs="Arial" w:eastAsia="Arial" w:hAnsi="Arial"/>
          <w:sz w:val="15"/>
          <w:szCs w:val="1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60325</wp:posOffset>
            </wp:positionV>
            <wp:extent cx="58286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157" w:lineRule="exact"/>
        <w:rPr>
          <w:sz w:val="24"/>
          <w:szCs w:val="24"/>
          <w:color w:val="auto"/>
        </w:rPr>
      </w:pPr>
    </w:p>
    <w:p>
      <w:pPr>
        <w:ind w:left="4160"/>
        <w:spacing w:after="0"/>
        <w:rPr>
          <w:sz w:val="20"/>
          <w:szCs w:val="20"/>
          <w:color w:val="auto"/>
        </w:rPr>
      </w:pPr>
      <w:r>
        <w:rPr>
          <w:rFonts w:ascii="Arial" w:cs="Arial" w:eastAsia="Arial" w:hAnsi="Arial"/>
          <w:sz w:val="15"/>
          <w:szCs w:val="15"/>
          <w:color w:val="auto"/>
        </w:rPr>
        <w:t>(Name of Registrant as Specified in its Charter)</w:t>
      </w:r>
    </w:p>
    <w:p>
      <w:pPr>
        <w:spacing w:after="0" w:line="187" w:lineRule="exact"/>
        <w:rPr>
          <w:sz w:val="24"/>
          <w:szCs w:val="24"/>
          <w:color w:val="auto"/>
        </w:rPr>
      </w:pPr>
    </w:p>
    <w:p>
      <w:pPr>
        <w:jc w:val="center"/>
        <w:ind w:right="-1159"/>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721360</wp:posOffset>
            </wp:positionH>
            <wp:positionV relativeFrom="paragraph">
              <wp:posOffset>60325</wp:posOffset>
            </wp:positionV>
            <wp:extent cx="5828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8665" cy="6985"/>
                    </a:xfrm>
                    <a:prstGeom prst="rect">
                      <a:avLst/>
                    </a:prstGeom>
                    <a:noFill/>
                  </pic:spPr>
                </pic:pic>
              </a:graphicData>
            </a:graphic>
          </wp:anchor>
        </w:drawing>
      </w:r>
    </w:p>
    <w:p>
      <w:pPr>
        <w:spacing w:after="0" w:line="157" w:lineRule="exact"/>
        <w:rPr>
          <w:sz w:val="24"/>
          <w:szCs w:val="24"/>
          <w:color w:val="auto"/>
        </w:rPr>
      </w:pPr>
    </w:p>
    <w:p>
      <w:pPr>
        <w:jc w:val="center"/>
        <w:ind w:right="-115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71"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205" w:lineRule="exact"/>
        <w:rPr>
          <w:sz w:val="24"/>
          <w:szCs w:val="24"/>
          <w:color w:val="auto"/>
        </w:rPr>
      </w:pPr>
    </w:p>
    <w:p>
      <w:pPr>
        <w:ind w:left="1500" w:hanging="364"/>
        <w:spacing w:after="0"/>
        <w:tabs>
          <w:tab w:leader="none" w:pos="150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7" w:lineRule="exact"/>
        <w:rPr>
          <w:sz w:val="24"/>
          <w:szCs w:val="24"/>
          <w:color w:val="auto"/>
        </w:rPr>
      </w:pPr>
    </w:p>
    <w:p>
      <w:pPr>
        <w:ind w:left="1500" w:hanging="364"/>
        <w:spacing w:after="0"/>
        <w:tabs>
          <w:tab w:leader="none" w:pos="150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217" w:lineRule="exact"/>
        <w:rPr>
          <w:sz w:val="24"/>
          <w:szCs w:val="24"/>
          <w:color w:val="auto"/>
        </w:rPr>
      </w:pPr>
    </w:p>
    <w:p>
      <w:pPr>
        <w:ind w:left="1840" w:right="4840" w:hanging="704"/>
        <w:spacing w:after="0" w:line="246" w:lineRule="auto"/>
        <w:tabs>
          <w:tab w:leader="none" w:pos="1509" w:val="left"/>
        </w:tabs>
        <w:numPr>
          <w:ilvl w:val="0"/>
          <w:numId w:val="6"/>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 N/A</w:t>
      </w:r>
    </w:p>
    <w:p>
      <w:pPr>
        <w:spacing w:after="0" w:line="1" w:lineRule="exact"/>
        <w:rPr>
          <w:rFonts w:ascii="Arial" w:cs="Arial" w:eastAsia="Arial" w:hAnsi="Arial"/>
          <w:sz w:val="15"/>
          <w:szCs w:val="15"/>
          <w:color w:val="auto"/>
        </w:rPr>
      </w:pPr>
    </w:p>
    <w:p>
      <w:pPr>
        <w:ind w:left="1840" w:right="4560" w:hanging="704"/>
        <w:spacing w:after="0" w:line="246" w:lineRule="auto"/>
        <w:tabs>
          <w:tab w:leader="none" w:pos="1509" w:val="left"/>
        </w:tabs>
        <w:numPr>
          <w:ilvl w:val="0"/>
          <w:numId w:val="6"/>
        </w:numPr>
        <w:rPr>
          <w:rFonts w:ascii="Arial" w:cs="Arial" w:eastAsia="Arial" w:hAnsi="Arial"/>
          <w:sz w:val="15"/>
          <w:szCs w:val="15"/>
          <w:color w:val="auto"/>
        </w:rPr>
      </w:pPr>
      <w:r>
        <w:rPr>
          <w:rFonts w:ascii="Arial" w:cs="Arial" w:eastAsia="Arial" w:hAnsi="Arial"/>
          <w:sz w:val="15"/>
          <w:szCs w:val="15"/>
          <w:color w:val="auto"/>
        </w:rPr>
        <w:t>Aggregate number of securities to which the transaction applies: N/A</w:t>
      </w:r>
    </w:p>
    <w:p>
      <w:pPr>
        <w:spacing w:after="0" w:line="1" w:lineRule="exact"/>
        <w:rPr>
          <w:rFonts w:ascii="Arial" w:cs="Arial" w:eastAsia="Arial" w:hAnsi="Arial"/>
          <w:sz w:val="15"/>
          <w:szCs w:val="15"/>
          <w:color w:val="auto"/>
        </w:rPr>
      </w:pPr>
    </w:p>
    <w:p>
      <w:pPr>
        <w:ind w:left="1500" w:right="120" w:hanging="364"/>
        <w:spacing w:after="0" w:line="238" w:lineRule="auto"/>
        <w:tabs>
          <w:tab w:leader="none" w:pos="1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5"/>
          <w:szCs w:val="15"/>
          <w:color w:val="auto"/>
        </w:rPr>
      </w:pPr>
    </w:p>
    <w:p>
      <w:pPr>
        <w:ind w:left="1840"/>
        <w:spacing w:after="0"/>
        <w:rPr>
          <w:rFonts w:ascii="Arial" w:cs="Arial" w:eastAsia="Arial" w:hAnsi="Arial"/>
          <w:sz w:val="15"/>
          <w:szCs w:val="15"/>
          <w:color w:val="auto"/>
        </w:rPr>
      </w:pPr>
      <w:r>
        <w:rPr>
          <w:rFonts w:ascii="Arial" w:cs="Arial" w:eastAsia="Arial" w:hAnsi="Arial"/>
          <w:sz w:val="15"/>
          <w:szCs w:val="15"/>
          <w:color w:val="auto"/>
        </w:rPr>
        <w:t>N/A</w:t>
      </w:r>
    </w:p>
    <w:p>
      <w:pPr>
        <w:spacing w:after="0" w:line="9" w:lineRule="exact"/>
        <w:rPr>
          <w:rFonts w:ascii="Arial" w:cs="Arial" w:eastAsia="Arial" w:hAnsi="Arial"/>
          <w:sz w:val="15"/>
          <w:szCs w:val="15"/>
          <w:color w:val="auto"/>
        </w:rPr>
      </w:pPr>
    </w:p>
    <w:p>
      <w:pPr>
        <w:ind w:left="1500" w:hanging="364"/>
        <w:spacing w:after="0"/>
        <w:tabs>
          <w:tab w:leader="none" w:pos="1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953770</wp:posOffset>
            </wp:positionH>
            <wp:positionV relativeFrom="paragraph">
              <wp:posOffset>-676910</wp:posOffset>
            </wp:positionV>
            <wp:extent cx="55816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1650" cy="698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-451485</wp:posOffset>
            </wp:positionV>
            <wp:extent cx="55816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1650" cy="698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-117475</wp:posOffset>
            </wp:positionV>
            <wp:extent cx="55816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1650" cy="6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953770</wp:posOffset>
            </wp:positionH>
            <wp:positionV relativeFrom="paragraph">
              <wp:posOffset>-1905</wp:posOffset>
            </wp:positionV>
            <wp:extent cx="55816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1650" cy="6985"/>
                    </a:xfrm>
                    <a:prstGeom prst="rect">
                      <a:avLst/>
                    </a:prstGeom>
                    <a:noFill/>
                  </pic:spPr>
                </pic:pic>
              </a:graphicData>
            </a:graphic>
          </wp:anchor>
        </w:drawing>
      </w:r>
    </w:p>
    <w:p>
      <w:pPr>
        <w:ind w:left="1500" w:hanging="364"/>
        <w:spacing w:after="0"/>
        <w:tabs>
          <w:tab w:leader="none" w:pos="1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5" w:lineRule="exact"/>
        <w:rPr>
          <w:rFonts w:ascii="Arial" w:cs="Arial" w:eastAsia="Arial" w:hAnsi="Arial"/>
          <w:sz w:val="15"/>
          <w:szCs w:val="15"/>
          <w:color w:val="auto"/>
        </w:rPr>
      </w:pPr>
    </w:p>
    <w:p>
      <w:pPr>
        <w:ind w:left="1500"/>
        <w:spacing w:after="0"/>
        <w:rPr>
          <w:rFonts w:ascii="Arial" w:cs="Arial" w:eastAsia="Arial" w:hAnsi="Arial"/>
          <w:sz w:val="15"/>
          <w:szCs w:val="15"/>
          <w:color w:val="auto"/>
        </w:rPr>
      </w:pPr>
      <w:r>
        <w:rPr>
          <w:rFonts w:ascii="Arial" w:cs="Arial" w:eastAsia="Arial" w:hAnsi="Arial"/>
          <w:sz w:val="15"/>
          <w:szCs w:val="15"/>
          <w:color w:val="auto"/>
        </w:rPr>
        <w:t>o</w:t>
      </w:r>
      <w:r>
        <w:rPr>
          <w:rFonts w:ascii="Arial" w:cs="Arial" w:eastAsia="Arial" w:hAnsi="Arial"/>
          <w:sz w:val="14"/>
          <w:szCs w:val="14"/>
          <w:color w:val="auto"/>
        </w:rPr>
        <w:t>Fee paid previously with preliminary materials.</w:t>
      </w:r>
    </w:p>
    <w:p>
      <w:pPr>
        <w:spacing w:after="0" w:line="227" w:lineRule="exact"/>
        <w:rPr>
          <w:sz w:val="24"/>
          <w:szCs w:val="24"/>
          <w:color w:val="auto"/>
        </w:rPr>
      </w:pPr>
    </w:p>
    <w:p>
      <w:pPr>
        <w:ind w:left="1900" w:hanging="398"/>
        <w:spacing w:after="0" w:line="243" w:lineRule="auto"/>
        <w:tabs>
          <w:tab w:leader="none" w:pos="1900" w:val="left"/>
        </w:tabs>
        <w:numPr>
          <w:ilvl w:val="1"/>
          <w:numId w:val="8"/>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6" w:lineRule="exact"/>
        <w:rPr>
          <w:rFonts w:ascii="Arial" w:cs="Arial" w:eastAsia="Arial" w:hAnsi="Arial"/>
          <w:sz w:val="15"/>
          <w:szCs w:val="15"/>
          <w:color w:val="auto"/>
        </w:rPr>
      </w:pPr>
    </w:p>
    <w:p>
      <w:pPr>
        <w:ind w:left="1500" w:hanging="364"/>
        <w:spacing w:after="0"/>
        <w:tabs>
          <w:tab w:leader="none" w:pos="1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 Previously Paid:</w:t>
      </w:r>
    </w:p>
    <w:p>
      <w:pPr>
        <w:ind w:left="184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953770</wp:posOffset>
            </wp:positionH>
            <wp:positionV relativeFrom="paragraph">
              <wp:posOffset>-1270</wp:posOffset>
            </wp:positionV>
            <wp:extent cx="55816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1650" cy="6985"/>
                    </a:xfrm>
                    <a:prstGeom prst="rect">
                      <a:avLst/>
                    </a:prstGeom>
                    <a:noFill/>
                  </pic:spPr>
                </pic:pic>
              </a:graphicData>
            </a:graphic>
          </wp:anchor>
        </w:drawing>
      </w:r>
    </w:p>
    <w:p>
      <w:pPr>
        <w:ind w:left="1840" w:right="5680" w:hanging="704"/>
        <w:spacing w:after="0" w:line="246" w:lineRule="auto"/>
        <w:tabs>
          <w:tab w:leader="none" w:pos="1509"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Form, Schedule or Registration Statement No.: N/A</w:t>
      </w:r>
    </w:p>
    <w:p>
      <w:pPr>
        <w:ind w:left="1500" w:hanging="364"/>
        <w:spacing w:after="0"/>
        <w:tabs>
          <w:tab w:leader="none" w:pos="1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953770</wp:posOffset>
            </wp:positionH>
            <wp:positionV relativeFrom="paragraph">
              <wp:posOffset>-117475</wp:posOffset>
            </wp:positionV>
            <wp:extent cx="55816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1650" cy="6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953770</wp:posOffset>
            </wp:positionH>
            <wp:positionV relativeFrom="paragraph">
              <wp:posOffset>-1270</wp:posOffset>
            </wp:positionV>
            <wp:extent cx="55816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1650" cy="6985"/>
                    </a:xfrm>
                    <a:prstGeom prst="rect">
                      <a:avLst/>
                    </a:prstGeom>
                    <a:noFill/>
                  </pic:spPr>
                </pic:pic>
              </a:graphicData>
            </a:graphic>
          </wp:anchor>
        </w:drawing>
      </w:r>
    </w:p>
    <w:p>
      <w:pPr>
        <w:ind w:left="1840" w:right="8060" w:hanging="704"/>
        <w:spacing w:after="0" w:line="282" w:lineRule="auto"/>
        <w:tabs>
          <w:tab w:leader="none" w:pos="1509" w:val="left"/>
        </w:tabs>
        <w:numPr>
          <w:ilvl w:val="0"/>
          <w:numId w:val="10"/>
        </w:numPr>
        <w:rPr>
          <w:rFonts w:ascii="Arial" w:cs="Arial" w:eastAsia="Arial" w:hAnsi="Arial"/>
          <w:sz w:val="14"/>
          <w:szCs w:val="14"/>
          <w:color w:val="auto"/>
        </w:rPr>
      </w:pPr>
      <w:r>
        <w:rPr>
          <w:rFonts w:ascii="Arial" w:cs="Arial" w:eastAsia="Arial" w:hAnsi="Arial"/>
          <w:sz w:val="14"/>
          <w:szCs w:val="14"/>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38735</wp:posOffset>
            </wp:positionV>
            <wp:extent cx="727265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-23495</wp:posOffset>
            </wp:positionV>
            <wp:extent cx="55816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1650" cy="6985"/>
                    </a:xfrm>
                    <a:prstGeom prst="rect">
                      <a:avLst/>
                    </a:prstGeom>
                    <a:noFill/>
                  </pic:spPr>
                </pic:pic>
              </a:graphicData>
            </a:graphic>
          </wp:anchor>
        </w:drawing>
      </w:r>
    </w:p>
    <w:p>
      <w:pPr>
        <w:sectPr>
          <w:pgSz w:w="11900" w:h="16838" w:orient="portrait"/>
          <w:cols w:equalWidth="0" w:num="1">
            <w:col w:w="10280"/>
          </w:cols>
          <w:pgMar w:left="240" w:top="601" w:right="1379" w:bottom="1440" w:gutter="0" w:footer="0" w:header="0"/>
        </w:sectPr>
      </w:pPr>
    </w:p>
    <w:bookmarkStart w:id="1" w:name="page2"/>
    <w:bookmarkEnd w:id="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5815965</wp:posOffset>
            </wp:positionH>
            <wp:positionV relativeFrom="paragraph">
              <wp:posOffset>114300</wp:posOffset>
            </wp:positionV>
            <wp:extent cx="1446530" cy="726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6530"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August 14, 2018</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Dear Fellow Shareholder:</w:t>
      </w:r>
    </w:p>
    <w:p>
      <w:pPr>
        <w:spacing w:after="0" w:line="182" w:lineRule="exact"/>
        <w:rPr>
          <w:sz w:val="20"/>
          <w:szCs w:val="20"/>
          <w:color w:val="auto"/>
        </w:rPr>
      </w:pPr>
    </w:p>
    <w:p>
      <w:pPr>
        <w:ind w:right="240"/>
        <w:spacing w:after="0" w:line="241" w:lineRule="auto"/>
        <w:rPr>
          <w:sz w:val="20"/>
          <w:szCs w:val="20"/>
          <w:color w:val="auto"/>
        </w:rPr>
      </w:pPr>
      <w:r>
        <w:rPr>
          <w:rFonts w:ascii="Arial" w:cs="Arial" w:eastAsia="Arial" w:hAnsi="Arial"/>
          <w:sz w:val="15"/>
          <w:szCs w:val="15"/>
          <w:color w:val="auto"/>
        </w:rPr>
        <w:t>On behalf of the Board of Directors, we cordially invite you to attend the Special General Meeting of Shareholders of Altisource Portfolio Solutions S.A. (the "Special Meeting"), being held to elect an additional Director to our Board of Directors. The Special Meeting which will be held at the registered office of the Company located at 40, avenue Monterey, L-2163 Luxembourg City, Grand Duchy of Luxembourg on Tuesday, September 25, 2018, at 9:00 a.m. Central European Time. Further details regarding admission to the Special Meeting as well as the business to be conducted at the meeting are more fully described in the accompanying materials.</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It is very important that you be represented at the Special Meeting regardless of the number of shares you own or whether you are able to attend in person. If you are a shareholder of record (that is, you hold your shares in your name as a holder of record with our transfer agent), you may authorize your proxy by the Internet, by telephone or by mail as described in the accompanying materials. If your shares are held through a bank or broker, please follow the voting instructions you receive from your bank or broker. This will not prevent you from voting in person but will ensure that your vote is counted if you are unable to attend.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Thank you for your support of and interest in Altisource Portfolio Solutions S.A.</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1395095" cy="327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5095" cy="32702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128905</wp:posOffset>
            </wp:positionV>
            <wp:extent cx="1024890" cy="356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4890"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20"/>
                <w:szCs w:val="20"/>
                <w:color w:val="auto"/>
              </w:rPr>
            </w:pPr>
            <w:r>
              <w:rPr>
                <w:rFonts w:ascii="Arial" w:cs="Arial" w:eastAsia="Arial" w:hAnsi="Arial"/>
                <w:sz w:val="15"/>
                <w:szCs w:val="15"/>
                <w:color w:val="auto"/>
              </w:rPr>
              <w:t>Timo Vättö</w:t>
            </w:r>
          </w:p>
        </w:tc>
        <w:tc>
          <w:tcPr>
            <w:tcW w:w="8420" w:type="dxa"/>
            <w:vAlign w:val="bottom"/>
          </w:tcPr>
          <w:p>
            <w:pPr>
              <w:ind w:left="2700"/>
              <w:spacing w:after="0"/>
              <w:rPr>
                <w:sz w:val="20"/>
                <w:szCs w:val="20"/>
                <w:color w:val="auto"/>
              </w:rPr>
            </w:pPr>
            <w:r>
              <w:rPr>
                <w:rFonts w:ascii="Arial" w:cs="Arial" w:eastAsia="Arial" w:hAnsi="Arial"/>
                <w:sz w:val="15"/>
                <w:szCs w:val="15"/>
                <w:color w:val="auto"/>
              </w:rPr>
              <w:t>William B. Shepro</w:t>
            </w:r>
          </w:p>
        </w:tc>
      </w:tr>
      <w:tr>
        <w:trPr>
          <w:trHeight w:val="179"/>
        </w:trPr>
        <w:tc>
          <w:tcPr>
            <w:tcW w:w="3020" w:type="dxa"/>
            <w:vAlign w:val="bottom"/>
          </w:tcPr>
          <w:p>
            <w:pPr>
              <w:spacing w:after="0"/>
              <w:rPr>
                <w:sz w:val="20"/>
                <w:szCs w:val="20"/>
                <w:color w:val="auto"/>
              </w:rPr>
            </w:pPr>
            <w:r>
              <w:rPr>
                <w:rFonts w:ascii="Arial" w:cs="Arial" w:eastAsia="Arial" w:hAnsi="Arial"/>
                <w:sz w:val="15"/>
                <w:szCs w:val="15"/>
                <w:color w:val="auto"/>
              </w:rPr>
              <w:t>Chairman of the Board of Directors</w:t>
            </w:r>
          </w:p>
        </w:tc>
        <w:tc>
          <w:tcPr>
            <w:tcW w:w="8420" w:type="dxa"/>
            <w:vAlign w:val="bottom"/>
          </w:tcPr>
          <w:p>
            <w:pPr>
              <w:ind w:left="2700"/>
              <w:spacing w:after="0"/>
              <w:rPr>
                <w:sz w:val="20"/>
                <w:szCs w:val="20"/>
                <w:color w:val="auto"/>
              </w:rPr>
            </w:pPr>
            <w:r>
              <w:rPr>
                <w:rFonts w:ascii="Arial" w:cs="Arial" w:eastAsia="Arial" w:hAnsi="Arial"/>
                <w:sz w:val="15"/>
                <w:szCs w:val="15"/>
                <w:color w:val="auto"/>
              </w:rPr>
              <w:t>Chief Executive Officer and Director</w:t>
            </w:r>
          </w:p>
        </w:tc>
      </w:tr>
      <w:tr>
        <w:trPr>
          <w:trHeight w:val="595"/>
        </w:trPr>
        <w:tc>
          <w:tcPr>
            <w:tcW w:w="3020" w:type="dxa"/>
            <w:vAlign w:val="bottom"/>
          </w:tcPr>
          <w:p>
            <w:pPr>
              <w:spacing w:after="0"/>
              <w:rPr>
                <w:sz w:val="24"/>
                <w:szCs w:val="24"/>
                <w:color w:val="auto"/>
              </w:rPr>
            </w:pPr>
          </w:p>
        </w:tc>
        <w:tc>
          <w:tcPr>
            <w:tcW w:w="8420" w:type="dxa"/>
            <w:vAlign w:val="bottom"/>
          </w:tcPr>
          <w:p>
            <w:pPr>
              <w:ind w:left="720"/>
              <w:spacing w:after="0"/>
              <w:rPr>
                <w:sz w:val="20"/>
                <w:szCs w:val="20"/>
                <w:color w:val="auto"/>
              </w:rPr>
            </w:pPr>
            <w:r>
              <w:rPr>
                <w:rFonts w:ascii="Arial" w:cs="Arial" w:eastAsia="Arial" w:hAnsi="Arial"/>
                <w:sz w:val="15"/>
                <w:szCs w:val="15"/>
                <w:color w:val="auto"/>
              </w:rPr>
              <w:t>40, avenue Monterey, L-2163 Luxembourg, +352 2469 7900</w:t>
            </w:r>
          </w:p>
        </w:tc>
      </w:tr>
      <w:tr>
        <w:trPr>
          <w:trHeight w:val="181"/>
        </w:trPr>
        <w:tc>
          <w:tcPr>
            <w:tcW w:w="3020" w:type="dxa"/>
            <w:vAlign w:val="bottom"/>
            <w:tcBorders>
              <w:bottom w:val="single" w:sz="8" w:color="808080"/>
            </w:tcBorders>
          </w:tcPr>
          <w:p>
            <w:pPr>
              <w:spacing w:after="0"/>
              <w:rPr>
                <w:sz w:val="15"/>
                <w:szCs w:val="15"/>
                <w:color w:val="auto"/>
              </w:rPr>
            </w:pPr>
          </w:p>
        </w:tc>
        <w:tc>
          <w:tcPr>
            <w:tcW w:w="84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5815965</wp:posOffset>
            </wp:positionH>
            <wp:positionV relativeFrom="paragraph">
              <wp:posOffset>114300</wp:posOffset>
            </wp:positionV>
            <wp:extent cx="1446530" cy="726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6530"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ALTISOURCE PORTFOLIO SOLUTIONS S.A.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5"/>
          </w:tcPr>
          <w:p>
            <w:pPr>
              <w:spacing w:after="0"/>
              <w:rPr>
                <w:sz w:val="20"/>
                <w:szCs w:val="20"/>
                <w:color w:val="auto"/>
              </w:rPr>
            </w:pPr>
            <w:r>
              <w:rPr>
                <w:rFonts w:ascii="Arial" w:cs="Arial" w:eastAsia="Arial" w:hAnsi="Arial"/>
                <w:sz w:val="12"/>
                <w:szCs w:val="12"/>
                <w:b w:val="1"/>
                <w:bCs w:val="1"/>
                <w:color w:val="auto"/>
              </w:rPr>
              <w:t>PAGE</w:t>
            </w:r>
          </w:p>
        </w:tc>
      </w:tr>
      <w:tr>
        <w:trPr>
          <w:trHeight w:val="140"/>
        </w:trPr>
        <w:tc>
          <w:tcPr>
            <w:tcW w:w="1140" w:type="dxa"/>
            <w:vAlign w:val="bottom"/>
          </w:tcPr>
          <w:p>
            <w:pPr>
              <w:spacing w:after="0"/>
              <w:rPr>
                <w:sz w:val="12"/>
                <w:szCs w:val="12"/>
                <w:color w:val="auto"/>
              </w:rPr>
            </w:pPr>
          </w:p>
        </w:tc>
        <w:tc>
          <w:tcPr>
            <w:tcW w:w="8620" w:type="dxa"/>
            <w:vAlign w:val="bottom"/>
            <w:gridSpan w:val="20"/>
          </w:tcPr>
          <w:p>
            <w:pPr>
              <w:spacing w:after="0" w:line="141" w:lineRule="exact"/>
              <w:rPr>
                <w:rFonts w:ascii="Arial" w:cs="Arial" w:eastAsia="Arial" w:hAnsi="Arial"/>
                <w:sz w:val="15"/>
                <w:szCs w:val="15"/>
                <w:color w:val="0000EE"/>
              </w:rPr>
            </w:pPr>
            <w:hyperlink w:anchor="page4">
              <w:r>
                <w:rPr>
                  <w:rFonts w:ascii="Arial" w:cs="Arial" w:eastAsia="Arial" w:hAnsi="Arial"/>
                  <w:sz w:val="15"/>
                  <w:szCs w:val="15"/>
                  <w:color w:val="0000EE"/>
                </w:rPr>
                <w:t>NOTICE OF SPECIAL GENERAL MEETING OF SHAREHOLDERS AND IMPORTANT NOTICE REGARDING THE</w:t>
              </w:r>
            </w:hyperlink>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52"/>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0" w:type="dxa"/>
            <w:vAlign w:val="bottom"/>
            <w:tcBorders>
              <w:bottom w:val="single" w:sz="8" w:color="0000EE"/>
            </w:tcBorders>
            <w:gridSpan w:val="18"/>
          </w:tcPr>
          <w:p>
            <w:pPr>
              <w:spacing w:after="0" w:line="152" w:lineRule="exact"/>
              <w:rPr>
                <w:rFonts w:ascii="Arial" w:cs="Arial" w:eastAsia="Arial" w:hAnsi="Arial"/>
                <w:sz w:val="15"/>
                <w:szCs w:val="15"/>
                <w:color w:val="0000EE"/>
                <w:w w:val="98"/>
              </w:rPr>
            </w:pPr>
            <w:hyperlink w:anchor="page4">
              <w:r>
                <w:rPr>
                  <w:rFonts w:ascii="Arial" w:cs="Arial" w:eastAsia="Arial" w:hAnsi="Arial"/>
                  <w:sz w:val="15"/>
                  <w:szCs w:val="15"/>
                  <w:color w:val="0000EE"/>
                  <w:w w:val="98"/>
                </w:rPr>
                <w:t>AVAILABILITY OF PROXY MATERIALS FOR THE SPECIAL GENERAL MEETING OF SHAREHOLDERS TO BE HELD ON</w:t>
              </w:r>
            </w:hyperlink>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80" w:type="dxa"/>
            <w:vAlign w:val="bottom"/>
            <w:gridSpan w:val="19"/>
          </w:tcPr>
          <w:p>
            <w:pPr>
              <w:spacing w:after="0" w:line="152" w:lineRule="exact"/>
              <w:rPr>
                <w:rFonts w:ascii="Arial" w:cs="Arial" w:eastAsia="Arial" w:hAnsi="Arial"/>
                <w:sz w:val="15"/>
                <w:szCs w:val="15"/>
                <w:color w:val="0000EE"/>
              </w:rPr>
            </w:pPr>
            <w:hyperlink w:anchor="page4">
              <w:r>
                <w:rPr>
                  <w:rFonts w:ascii="Arial" w:cs="Arial" w:eastAsia="Arial" w:hAnsi="Arial"/>
                  <w:sz w:val="15"/>
                  <w:szCs w:val="15"/>
                  <w:color w:val="0000EE"/>
                </w:rPr>
                <w:t>SEPTEMBER 25, 2018</w:t>
              </w:r>
            </w:hyperlink>
          </w:p>
        </w:tc>
        <w:tc>
          <w:tcPr>
            <w:tcW w:w="340" w:type="dxa"/>
            <w:vAlign w:val="bottom"/>
            <w:gridSpan w:val="4"/>
          </w:tcPr>
          <w:p>
            <w:pPr>
              <w:jc w:val="right"/>
              <w:ind w:right="40"/>
              <w:spacing w:after="0" w:line="152" w:lineRule="exact"/>
              <w:rPr>
                <w:rFonts w:ascii="Arial" w:cs="Arial" w:eastAsia="Arial" w:hAnsi="Arial"/>
                <w:sz w:val="15"/>
                <w:szCs w:val="15"/>
                <w:color w:val="0000EE"/>
              </w:rPr>
            </w:pPr>
            <w:hyperlink w:anchor="page4">
              <w:r>
                <w:rPr>
                  <w:rFonts w:ascii="Arial" w:cs="Arial" w:eastAsia="Arial" w:hAnsi="Arial"/>
                  <w:sz w:val="15"/>
                  <w:szCs w:val="15"/>
                  <w:color w:val="0000EE"/>
                </w:rPr>
                <w:t>3</w:t>
              </w:r>
            </w:hyperlink>
          </w:p>
        </w:tc>
        <w:tc>
          <w:tcPr>
            <w:tcW w:w="13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620" w:type="dxa"/>
            <w:vAlign w:val="bottom"/>
            <w:gridSpan w:val="12"/>
          </w:tcPr>
          <w:p>
            <w:pPr>
              <w:spacing w:after="0"/>
              <w:rPr>
                <w:rFonts w:ascii="Arial" w:cs="Arial" w:eastAsia="Arial" w:hAnsi="Arial"/>
                <w:sz w:val="15"/>
                <w:szCs w:val="15"/>
                <w:color w:val="0000EE"/>
                <w:w w:val="98"/>
              </w:rPr>
            </w:pPr>
            <w:hyperlink w:anchor="page6">
              <w:r>
                <w:rPr>
                  <w:rFonts w:ascii="Arial" w:cs="Arial" w:eastAsia="Arial" w:hAnsi="Arial"/>
                  <w:sz w:val="15"/>
                  <w:szCs w:val="15"/>
                  <w:color w:val="0000EE"/>
                  <w:w w:val="98"/>
                </w:rPr>
                <w:t>SPECIAL GENERAL MEETING OF SHAREHOLDERS</w:t>
              </w:r>
            </w:hyperlink>
          </w:p>
        </w:tc>
        <w:tc>
          <w:tcPr>
            <w:tcW w:w="5000" w:type="dxa"/>
            <w:vAlign w:val="bottom"/>
            <w:gridSpan w:val="8"/>
          </w:tcPr>
          <w:p>
            <w:pPr>
              <w:spacing w:after="0"/>
              <w:rPr>
                <w:sz w:val="24"/>
                <w:szCs w:val="24"/>
                <w:color w:val="auto"/>
              </w:rPr>
            </w:pPr>
          </w:p>
        </w:tc>
        <w:tc>
          <w:tcPr>
            <w:tcW w:w="220" w:type="dxa"/>
            <w:vAlign w:val="bottom"/>
            <w:gridSpan w:val="2"/>
          </w:tcPr>
          <w:p>
            <w:pPr>
              <w:spacing w:after="0"/>
              <w:rPr>
                <w:sz w:val="24"/>
                <w:szCs w:val="24"/>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5</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620" w:type="dxa"/>
            <w:vAlign w:val="bottom"/>
            <w:gridSpan w:val="12"/>
          </w:tcPr>
          <w:p>
            <w:pPr>
              <w:spacing w:after="0"/>
              <w:rPr>
                <w:rFonts w:ascii="Arial" w:cs="Arial" w:eastAsia="Arial" w:hAnsi="Arial"/>
                <w:sz w:val="15"/>
                <w:szCs w:val="15"/>
                <w:color w:val="0000EE"/>
              </w:rPr>
            </w:pPr>
            <w:hyperlink w:anchor="page9">
              <w:r>
                <w:rPr>
                  <w:rFonts w:ascii="Arial" w:cs="Arial" w:eastAsia="Arial" w:hAnsi="Arial"/>
                  <w:sz w:val="15"/>
                  <w:szCs w:val="15"/>
                  <w:color w:val="0000EE"/>
                </w:rPr>
                <w:t>PROPOSAL: ELECTION OF DIRECTOR</w:t>
              </w:r>
            </w:hyperlink>
          </w:p>
        </w:tc>
        <w:tc>
          <w:tcPr>
            <w:tcW w:w="5000" w:type="dxa"/>
            <w:vAlign w:val="bottom"/>
            <w:gridSpan w:val="8"/>
          </w:tcPr>
          <w:p>
            <w:pPr>
              <w:spacing w:after="0"/>
              <w:rPr>
                <w:sz w:val="24"/>
                <w:szCs w:val="24"/>
                <w:color w:val="auto"/>
              </w:rPr>
            </w:pPr>
          </w:p>
        </w:tc>
        <w:tc>
          <w:tcPr>
            <w:tcW w:w="220" w:type="dxa"/>
            <w:vAlign w:val="bottom"/>
            <w:gridSpan w:val="2"/>
          </w:tcPr>
          <w:p>
            <w:pPr>
              <w:spacing w:after="0"/>
              <w:rPr>
                <w:sz w:val="24"/>
                <w:szCs w:val="24"/>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9">
              <w:r>
                <w:rPr>
                  <w:rFonts w:ascii="Arial" w:cs="Arial" w:eastAsia="Arial" w:hAnsi="Arial"/>
                  <w:sz w:val="15"/>
                  <w:szCs w:val="15"/>
                  <w:color w:val="0000EE"/>
                  <w:w w:val="71"/>
                </w:rPr>
                <w:t>8</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4120" w:type="dxa"/>
            <w:vAlign w:val="bottom"/>
            <w:gridSpan w:val="15"/>
          </w:tcPr>
          <w:p>
            <w:pPr>
              <w:spacing w:after="0"/>
              <w:rPr>
                <w:rFonts w:ascii="Arial" w:cs="Arial" w:eastAsia="Arial" w:hAnsi="Arial"/>
                <w:sz w:val="15"/>
                <w:szCs w:val="15"/>
                <w:color w:val="0000EE"/>
                <w:w w:val="98"/>
              </w:rPr>
            </w:pPr>
            <w:hyperlink w:anchor="page10">
              <w:r>
                <w:rPr>
                  <w:rFonts w:ascii="Arial" w:cs="Arial" w:eastAsia="Arial" w:hAnsi="Arial"/>
                  <w:sz w:val="15"/>
                  <w:szCs w:val="15"/>
                  <w:color w:val="0000EE"/>
                  <w:w w:val="98"/>
                </w:rPr>
                <w:t>BOARD OF DIRECTORS AND CORPORATE GOVERNANCE</w:t>
              </w:r>
            </w:hyperlink>
          </w:p>
        </w:tc>
        <w:tc>
          <w:tcPr>
            <w:tcW w:w="4500" w:type="dxa"/>
            <w:vAlign w:val="bottom"/>
            <w:gridSpan w:val="5"/>
          </w:tcPr>
          <w:p>
            <w:pPr>
              <w:spacing w:after="0"/>
              <w:rPr>
                <w:sz w:val="24"/>
                <w:szCs w:val="24"/>
                <w:color w:val="auto"/>
              </w:rPr>
            </w:pPr>
          </w:p>
        </w:tc>
        <w:tc>
          <w:tcPr>
            <w:tcW w:w="220" w:type="dxa"/>
            <w:vAlign w:val="bottom"/>
            <w:gridSpan w:val="2"/>
          </w:tcPr>
          <w:p>
            <w:pPr>
              <w:spacing w:after="0"/>
              <w:rPr>
                <w:sz w:val="24"/>
                <w:szCs w:val="24"/>
                <w:color w:val="auto"/>
              </w:rPr>
            </w:pPr>
          </w:p>
        </w:tc>
        <w:tc>
          <w:tcPr>
            <w:tcW w:w="120" w:type="dxa"/>
            <w:vAlign w:val="bottom"/>
            <w:gridSpan w:val="2"/>
          </w:tcPr>
          <w:p>
            <w:pPr>
              <w:jc w:val="right"/>
              <w:ind w:right="40"/>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9</w:t>
              </w:r>
            </w:hyperlink>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4120" w:type="dxa"/>
            <w:vAlign w:val="bottom"/>
            <w:gridSpan w:val="15"/>
          </w:tcPr>
          <w:p>
            <w:pPr>
              <w:spacing w:after="0"/>
              <w:rPr>
                <w:rFonts w:ascii="Arial" w:cs="Arial" w:eastAsia="Arial" w:hAnsi="Arial"/>
                <w:sz w:val="15"/>
                <w:szCs w:val="15"/>
                <w:color w:val="0000EE"/>
              </w:rPr>
            </w:pPr>
            <w:hyperlink w:anchor="page22">
              <w:r>
                <w:rPr>
                  <w:rFonts w:ascii="Arial" w:cs="Arial" w:eastAsia="Arial" w:hAnsi="Arial"/>
                  <w:sz w:val="15"/>
                  <w:szCs w:val="15"/>
                  <w:color w:val="0000EE"/>
                </w:rPr>
                <w:t>BOARD OF DIRECTORS COMPENSATION</w:t>
              </w:r>
            </w:hyperlink>
          </w:p>
        </w:tc>
        <w:tc>
          <w:tcPr>
            <w:tcW w:w="4500" w:type="dxa"/>
            <w:vAlign w:val="bottom"/>
            <w:gridSpan w:val="5"/>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22">
              <w:r>
                <w:rPr>
                  <w:rFonts w:ascii="Arial" w:cs="Arial" w:eastAsia="Arial" w:hAnsi="Arial"/>
                  <w:sz w:val="15"/>
                  <w:szCs w:val="15"/>
                  <w:color w:val="0000EE"/>
                </w:rPr>
                <w:t>21</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660" w:type="dxa"/>
            <w:vAlign w:val="bottom"/>
            <w:gridSpan w:val="13"/>
          </w:tcPr>
          <w:p>
            <w:pPr>
              <w:spacing w:after="0"/>
              <w:rPr>
                <w:rFonts w:ascii="Arial" w:cs="Arial" w:eastAsia="Arial" w:hAnsi="Arial"/>
                <w:sz w:val="15"/>
                <w:szCs w:val="15"/>
                <w:color w:val="0000EE"/>
                <w:w w:val="98"/>
              </w:rPr>
            </w:pPr>
            <w:hyperlink w:anchor="page25">
              <w:r>
                <w:rPr>
                  <w:rFonts w:ascii="Arial" w:cs="Arial" w:eastAsia="Arial" w:hAnsi="Arial"/>
                  <w:sz w:val="15"/>
                  <w:szCs w:val="15"/>
                  <w:color w:val="0000EE"/>
                  <w:w w:val="98"/>
                </w:rPr>
                <w:t>EXECUTIVE OFFICERS WHO ARE NOT DIRECTORS</w:t>
              </w:r>
            </w:hyperlink>
          </w:p>
        </w:tc>
        <w:tc>
          <w:tcPr>
            <w:tcW w:w="4960" w:type="dxa"/>
            <w:vAlign w:val="bottom"/>
            <w:gridSpan w:val="7"/>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25">
              <w:r>
                <w:rPr>
                  <w:rFonts w:ascii="Arial" w:cs="Arial" w:eastAsia="Arial" w:hAnsi="Arial"/>
                  <w:sz w:val="15"/>
                  <w:szCs w:val="15"/>
                  <w:color w:val="0000EE"/>
                </w:rPr>
                <w:t>24</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5"/>
                <w:szCs w:val="15"/>
                <w:color w:val="0000EE"/>
                <w:w w:val="98"/>
              </w:rPr>
            </w:pPr>
            <w:hyperlink w:anchor="page26">
              <w:r>
                <w:rPr>
                  <w:rFonts w:ascii="Arial" w:cs="Arial" w:eastAsia="Arial" w:hAnsi="Arial"/>
                  <w:sz w:val="15"/>
                  <w:szCs w:val="15"/>
                  <w:color w:val="0000EE"/>
                  <w:w w:val="98"/>
                </w:rPr>
                <w:t>SECURITY OWNERSHIP OF CERTAIN BENEFICIAL OWNERS AND MANAGEMENT</w:t>
              </w:r>
            </w:hyperlink>
          </w:p>
        </w:tc>
        <w:tc>
          <w:tcPr>
            <w:tcW w:w="2900" w:type="dxa"/>
            <w:vAlign w:val="bottom"/>
            <w:gridSpan w:val="3"/>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26">
              <w:r>
                <w:rPr>
                  <w:rFonts w:ascii="Arial" w:cs="Arial" w:eastAsia="Arial" w:hAnsi="Arial"/>
                  <w:sz w:val="15"/>
                  <w:szCs w:val="15"/>
                  <w:color w:val="0000EE"/>
                </w:rPr>
                <w:t>25</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280" w:type="dxa"/>
            <w:vAlign w:val="bottom"/>
            <w:gridSpan w:val="11"/>
          </w:tcPr>
          <w:p>
            <w:pPr>
              <w:spacing w:after="0"/>
              <w:rPr>
                <w:rFonts w:ascii="Arial" w:cs="Arial" w:eastAsia="Arial" w:hAnsi="Arial"/>
                <w:sz w:val="15"/>
                <w:szCs w:val="15"/>
                <w:color w:val="0000EE"/>
                <w:w w:val="98"/>
              </w:rPr>
            </w:pPr>
            <w:hyperlink w:anchor="page30">
              <w:r>
                <w:rPr>
                  <w:rFonts w:ascii="Arial" w:cs="Arial" w:eastAsia="Arial" w:hAnsi="Arial"/>
                  <w:sz w:val="15"/>
                  <w:szCs w:val="15"/>
                  <w:color w:val="0000EE"/>
                  <w:w w:val="98"/>
                </w:rPr>
                <w:t>COMPENSATION DISCUSSION AND ANALYSIS</w:t>
              </w:r>
            </w:hyperlink>
          </w:p>
        </w:tc>
        <w:tc>
          <w:tcPr>
            <w:tcW w:w="2440" w:type="dxa"/>
            <w:vAlign w:val="bottom"/>
            <w:gridSpan w:val="6"/>
          </w:tcPr>
          <w:p>
            <w:pPr>
              <w:spacing w:after="0"/>
              <w:rPr>
                <w:sz w:val="24"/>
                <w:szCs w:val="24"/>
                <w:color w:val="auto"/>
              </w:rPr>
            </w:pPr>
          </w:p>
        </w:tc>
        <w:tc>
          <w:tcPr>
            <w:tcW w:w="2900" w:type="dxa"/>
            <w:vAlign w:val="bottom"/>
            <w:gridSpan w:val="3"/>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30">
              <w:r>
                <w:rPr>
                  <w:rFonts w:ascii="Arial" w:cs="Arial" w:eastAsia="Arial" w:hAnsi="Arial"/>
                  <w:sz w:val="15"/>
                  <w:szCs w:val="15"/>
                  <w:color w:val="0000EE"/>
                </w:rPr>
                <w:t>29</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280" w:type="dxa"/>
            <w:vAlign w:val="bottom"/>
            <w:gridSpan w:val="11"/>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COMPENSATION COMMITTEE REPORT</w:t>
              </w:r>
            </w:hyperlink>
          </w:p>
        </w:tc>
        <w:tc>
          <w:tcPr>
            <w:tcW w:w="5340" w:type="dxa"/>
            <w:vAlign w:val="bottom"/>
            <w:gridSpan w:val="9"/>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53">
              <w:r>
                <w:rPr>
                  <w:rFonts w:ascii="Arial" w:cs="Arial" w:eastAsia="Arial" w:hAnsi="Arial"/>
                  <w:sz w:val="15"/>
                  <w:szCs w:val="15"/>
                  <w:color w:val="0000EE"/>
                </w:rPr>
                <w:t>52</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2080" w:type="dxa"/>
            <w:vAlign w:val="bottom"/>
            <w:gridSpan w:val="5"/>
          </w:tcPr>
          <w:p>
            <w:pPr>
              <w:spacing w:after="0"/>
              <w:rPr>
                <w:rFonts w:ascii="Arial" w:cs="Arial" w:eastAsia="Arial" w:hAnsi="Arial"/>
                <w:sz w:val="15"/>
                <w:szCs w:val="15"/>
                <w:color w:val="0000EE"/>
                <w:w w:val="97"/>
              </w:rPr>
            </w:pPr>
            <w:hyperlink w:anchor="page54">
              <w:r>
                <w:rPr>
                  <w:rFonts w:ascii="Arial" w:cs="Arial" w:eastAsia="Arial" w:hAnsi="Arial"/>
                  <w:sz w:val="15"/>
                  <w:szCs w:val="15"/>
                  <w:color w:val="0000EE"/>
                  <w:w w:val="97"/>
                </w:rPr>
                <w:t>EXECUTIVE COMPENSATION</w:t>
              </w:r>
            </w:hyperlink>
          </w:p>
        </w:tc>
        <w:tc>
          <w:tcPr>
            <w:tcW w:w="700" w:type="dxa"/>
            <w:vAlign w:val="bottom"/>
            <w:gridSpan w:val="3"/>
          </w:tcPr>
          <w:p>
            <w:pPr>
              <w:spacing w:after="0"/>
              <w:rPr>
                <w:sz w:val="24"/>
                <w:szCs w:val="24"/>
                <w:color w:val="auto"/>
              </w:rPr>
            </w:pPr>
          </w:p>
        </w:tc>
        <w:tc>
          <w:tcPr>
            <w:tcW w:w="5840" w:type="dxa"/>
            <w:vAlign w:val="bottom"/>
            <w:gridSpan w:val="12"/>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54">
              <w:r>
                <w:rPr>
                  <w:rFonts w:ascii="Arial" w:cs="Arial" w:eastAsia="Arial" w:hAnsi="Arial"/>
                  <w:sz w:val="15"/>
                  <w:szCs w:val="15"/>
                  <w:color w:val="0000EE"/>
                </w:rPr>
                <w:t>53</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5"/>
                <w:szCs w:val="15"/>
                <w:color w:val="0000EE"/>
              </w:rPr>
            </w:pPr>
            <w:hyperlink w:anchor="page69">
              <w:r>
                <w:rPr>
                  <w:rFonts w:ascii="Arial" w:cs="Arial" w:eastAsia="Arial" w:hAnsi="Arial"/>
                  <w:sz w:val="15"/>
                  <w:szCs w:val="15"/>
                  <w:color w:val="0000EE"/>
                </w:rPr>
                <w:t>INDEPENDENT PUBLIC ACCOUNTANTS</w:t>
              </w:r>
            </w:hyperlink>
          </w:p>
        </w:tc>
        <w:tc>
          <w:tcPr>
            <w:tcW w:w="300" w:type="dxa"/>
            <w:vAlign w:val="bottom"/>
            <w:gridSpan w:val="3"/>
          </w:tcPr>
          <w:p>
            <w:pPr>
              <w:jc w:val="right"/>
              <w:spacing w:after="0"/>
              <w:rPr>
                <w:rFonts w:ascii="Arial" w:cs="Arial" w:eastAsia="Arial" w:hAnsi="Arial"/>
                <w:sz w:val="15"/>
                <w:szCs w:val="15"/>
                <w:color w:val="0000EE"/>
              </w:rPr>
            </w:pPr>
            <w:hyperlink w:anchor="page69">
              <w:r>
                <w:rPr>
                  <w:rFonts w:ascii="Arial" w:cs="Arial" w:eastAsia="Arial" w:hAnsi="Arial"/>
                  <w:sz w:val="15"/>
                  <w:szCs w:val="15"/>
                  <w:color w:val="0000EE"/>
                </w:rPr>
                <w:t>68</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2800" w:type="dxa"/>
            <w:vAlign w:val="bottom"/>
            <w:gridSpan w:val="9"/>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REPORT OF THE AUDIT COMMITTEE</w:t>
              </w:r>
            </w:hyperlink>
          </w:p>
        </w:tc>
        <w:tc>
          <w:tcPr>
            <w:tcW w:w="5820" w:type="dxa"/>
            <w:vAlign w:val="bottom"/>
            <w:gridSpan w:val="11"/>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69</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1920" w:type="dxa"/>
            <w:vAlign w:val="bottom"/>
            <w:gridSpan w:val="4"/>
          </w:tcPr>
          <w:p>
            <w:pPr>
              <w:spacing w:after="0"/>
              <w:rPr>
                <w:rFonts w:ascii="Arial" w:cs="Arial" w:eastAsia="Arial" w:hAnsi="Arial"/>
                <w:sz w:val="15"/>
                <w:szCs w:val="15"/>
                <w:color w:val="0000EE"/>
                <w:w w:val="97"/>
              </w:rPr>
            </w:pPr>
            <w:hyperlink w:anchor="page71">
              <w:r>
                <w:rPr>
                  <w:rFonts w:ascii="Arial" w:cs="Arial" w:eastAsia="Arial" w:hAnsi="Arial"/>
                  <w:sz w:val="15"/>
                  <w:szCs w:val="15"/>
                  <w:color w:val="0000EE"/>
                  <w:w w:val="97"/>
                </w:rPr>
                <w:t>EXTERNAL AUDITOR FEES</w:t>
              </w:r>
            </w:hyperlink>
          </w:p>
        </w:tc>
        <w:tc>
          <w:tcPr>
            <w:tcW w:w="700" w:type="dxa"/>
            <w:vAlign w:val="bottom"/>
            <w:gridSpan w:val="2"/>
          </w:tcPr>
          <w:p>
            <w:pPr>
              <w:spacing w:after="0"/>
              <w:rPr>
                <w:sz w:val="24"/>
                <w:szCs w:val="24"/>
                <w:color w:val="auto"/>
              </w:rPr>
            </w:pPr>
          </w:p>
        </w:tc>
        <w:tc>
          <w:tcPr>
            <w:tcW w:w="6000" w:type="dxa"/>
            <w:vAlign w:val="bottom"/>
            <w:gridSpan w:val="14"/>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71">
              <w:r>
                <w:rPr>
                  <w:rFonts w:ascii="Arial" w:cs="Arial" w:eastAsia="Arial" w:hAnsi="Arial"/>
                  <w:sz w:val="15"/>
                  <w:szCs w:val="15"/>
                  <w:color w:val="0000EE"/>
                </w:rPr>
                <w:t>70</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4920" w:type="dxa"/>
            <w:vAlign w:val="bottom"/>
            <w:gridSpan w:val="16"/>
          </w:tcPr>
          <w:p>
            <w:pPr>
              <w:spacing w:after="0"/>
              <w:rPr>
                <w:rFonts w:ascii="Arial" w:cs="Arial" w:eastAsia="Arial" w:hAnsi="Arial"/>
                <w:sz w:val="15"/>
                <w:szCs w:val="15"/>
                <w:color w:val="0000EE"/>
                <w:w w:val="98"/>
              </w:rPr>
            </w:pPr>
            <w:hyperlink w:anchor="page73">
              <w:r>
                <w:rPr>
                  <w:rFonts w:ascii="Arial" w:cs="Arial" w:eastAsia="Arial" w:hAnsi="Arial"/>
                  <w:sz w:val="15"/>
                  <w:szCs w:val="15"/>
                  <w:color w:val="0000EE"/>
                  <w:w w:val="98"/>
                </w:rPr>
                <w:t>BUSINESS RELATIONSHIPS AND RELATED PERSON TRANSACTIONS</w:t>
              </w:r>
            </w:hyperlink>
          </w:p>
        </w:tc>
        <w:tc>
          <w:tcPr>
            <w:tcW w:w="3700" w:type="dxa"/>
            <w:vAlign w:val="bottom"/>
            <w:gridSpan w:val="4"/>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73">
              <w:r>
                <w:rPr>
                  <w:rFonts w:ascii="Arial" w:cs="Arial" w:eastAsia="Arial" w:hAnsi="Arial"/>
                  <w:sz w:val="15"/>
                  <w:szCs w:val="15"/>
                  <w:color w:val="0000EE"/>
                </w:rPr>
                <w:t>72</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580" w:type="dxa"/>
            <w:vAlign w:val="bottom"/>
            <w:gridSpan w:val="1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4920" w:type="dxa"/>
            <w:vAlign w:val="bottom"/>
            <w:gridSpan w:val="16"/>
          </w:tcPr>
          <w:p>
            <w:pPr>
              <w:spacing w:after="0"/>
              <w:rPr>
                <w:rFonts w:ascii="Arial" w:cs="Arial" w:eastAsia="Arial" w:hAnsi="Arial"/>
                <w:sz w:val="15"/>
                <w:szCs w:val="15"/>
                <w:color w:val="0000EE"/>
              </w:rPr>
            </w:pPr>
            <w:hyperlink w:anchor="page75">
              <w:r>
                <w:rPr>
                  <w:rFonts w:ascii="Arial" w:cs="Arial" w:eastAsia="Arial" w:hAnsi="Arial"/>
                  <w:sz w:val="15"/>
                  <w:szCs w:val="15"/>
                  <w:color w:val="0000EE"/>
                </w:rPr>
                <w:t>SHAREHOLDER PROPOSALS AND ANNUAL REPORTS</w:t>
              </w:r>
            </w:hyperlink>
          </w:p>
        </w:tc>
        <w:tc>
          <w:tcPr>
            <w:tcW w:w="3700" w:type="dxa"/>
            <w:vAlign w:val="bottom"/>
            <w:gridSpan w:val="4"/>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75">
              <w:r>
                <w:rPr>
                  <w:rFonts w:ascii="Arial" w:cs="Arial" w:eastAsia="Arial" w:hAnsi="Arial"/>
                  <w:sz w:val="15"/>
                  <w:szCs w:val="15"/>
                  <w:color w:val="0000EE"/>
                </w:rPr>
                <w:t>74</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580" w:type="dxa"/>
            <w:vAlign w:val="bottom"/>
            <w:gridSpan w:val="12"/>
            <w:shd w:val="clear" w:color="auto" w:fill="0000EE"/>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35"/>
        </w:trPr>
        <w:tc>
          <w:tcPr>
            <w:tcW w:w="1140" w:type="dxa"/>
            <w:vAlign w:val="bottom"/>
          </w:tcPr>
          <w:p>
            <w:pPr>
              <w:spacing w:after="0"/>
              <w:rPr>
                <w:sz w:val="24"/>
                <w:szCs w:val="24"/>
                <w:color w:val="auto"/>
              </w:rPr>
            </w:pPr>
          </w:p>
        </w:tc>
        <w:tc>
          <w:tcPr>
            <w:tcW w:w="3840" w:type="dxa"/>
            <w:vAlign w:val="bottom"/>
            <w:gridSpan w:val="14"/>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OTHER MATTERS</w:t>
              </w:r>
            </w:hyperlink>
          </w:p>
        </w:tc>
        <w:tc>
          <w:tcPr>
            <w:tcW w:w="4780" w:type="dxa"/>
            <w:vAlign w:val="bottom"/>
            <w:gridSpan w:val="6"/>
          </w:tcPr>
          <w:p>
            <w:pPr>
              <w:spacing w:after="0"/>
              <w:rPr>
                <w:sz w:val="24"/>
                <w:szCs w:val="24"/>
                <w:color w:val="auto"/>
              </w:rPr>
            </w:pPr>
          </w:p>
        </w:tc>
        <w:tc>
          <w:tcPr>
            <w:tcW w:w="300" w:type="dxa"/>
            <w:vAlign w:val="bottom"/>
            <w:gridSpan w:val="3"/>
          </w:tcPr>
          <w:p>
            <w:pPr>
              <w:jc w:val="right"/>
              <w:spacing w:after="0"/>
              <w:rPr>
                <w:rFonts w:ascii="Arial" w:cs="Arial" w:eastAsia="Arial" w:hAnsi="Arial"/>
                <w:sz w:val="15"/>
                <w:szCs w:val="15"/>
                <w:color w:val="0000EE"/>
              </w:rPr>
            </w:pPr>
            <w:hyperlink w:anchor="page76">
              <w:r>
                <w:rPr>
                  <w:rFonts w:ascii="Arial" w:cs="Arial" w:eastAsia="Arial" w:hAnsi="Arial"/>
                  <w:sz w:val="15"/>
                  <w:szCs w:val="15"/>
                  <w:color w:val="0000EE"/>
                </w:rPr>
                <w:t>75</w:t>
              </w:r>
            </w:hyperlink>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2"/>
        </w:trPr>
        <w:tc>
          <w:tcPr>
            <w:tcW w:w="1140" w:type="dxa"/>
            <w:vAlign w:val="bottom"/>
            <w:tcBorders>
              <w:bottom w:val="single" w:sz="8" w:color="808080"/>
            </w:tcBorders>
          </w:tcPr>
          <w:p>
            <w:pPr>
              <w:spacing w:after="0"/>
              <w:rPr>
                <w:sz w:val="8"/>
                <w:szCs w:val="8"/>
                <w:color w:val="auto"/>
              </w:rPr>
            </w:pPr>
          </w:p>
        </w:tc>
        <w:tc>
          <w:tcPr>
            <w:tcW w:w="140" w:type="dxa"/>
            <w:vAlign w:val="bottom"/>
            <w:tcBorders>
              <w:top w:val="single" w:sz="8" w:color="0000EE"/>
              <w:bottom w:val="single" w:sz="8" w:color="808080"/>
            </w:tcBorders>
          </w:tcPr>
          <w:p>
            <w:pPr>
              <w:spacing w:after="0"/>
              <w:rPr>
                <w:sz w:val="8"/>
                <w:szCs w:val="8"/>
                <w:color w:val="auto"/>
              </w:rPr>
            </w:pPr>
          </w:p>
        </w:tc>
        <w:tc>
          <w:tcPr>
            <w:tcW w:w="1120" w:type="dxa"/>
            <w:vAlign w:val="bottom"/>
            <w:tcBorders>
              <w:top w:val="single" w:sz="8" w:color="0000EE"/>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top w:val="single" w:sz="8" w:color="0000EE"/>
              <w:bottom w:val="single" w:sz="8" w:color="808080"/>
            </w:tcBorders>
          </w:tcPr>
          <w:p>
            <w:pPr>
              <w:spacing w:after="0"/>
              <w:rPr>
                <w:sz w:val="8"/>
                <w:szCs w:val="8"/>
                <w:color w:val="auto"/>
              </w:rPr>
            </w:pPr>
          </w:p>
        </w:tc>
        <w:tc>
          <w:tcPr>
            <w:tcW w:w="80" w:type="dxa"/>
            <w:vAlign w:val="bottom"/>
            <w:tcBorders>
              <w:top w:val="single" w:sz="8" w:color="0000EE"/>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ALTISOURCE PORTFOLIO SOLUTIONS S.A.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40, avenue Monterey</w:t>
      </w:r>
    </w:p>
    <w:p>
      <w:pPr>
        <w:jc w:val="center"/>
        <w:ind w:right="-19"/>
        <w:spacing w:after="0"/>
        <w:rPr>
          <w:sz w:val="20"/>
          <w:szCs w:val="20"/>
          <w:color w:val="auto"/>
        </w:rPr>
      </w:pPr>
      <w:r>
        <w:rPr>
          <w:rFonts w:ascii="Arial" w:cs="Arial" w:eastAsia="Arial" w:hAnsi="Arial"/>
          <w:sz w:val="15"/>
          <w:szCs w:val="15"/>
          <w:b w:val="1"/>
          <w:bCs w:val="1"/>
          <w:color w:val="auto"/>
        </w:rPr>
        <w:t>L-2163 Luxembourg City</w:t>
      </w:r>
    </w:p>
    <w:p>
      <w:pPr>
        <w:jc w:val="center"/>
        <w:ind w:right="-19"/>
        <w:spacing w:after="0"/>
        <w:rPr>
          <w:sz w:val="20"/>
          <w:szCs w:val="20"/>
          <w:color w:val="auto"/>
        </w:rPr>
      </w:pPr>
      <w:r>
        <w:rPr>
          <w:rFonts w:ascii="Arial" w:cs="Arial" w:eastAsia="Arial" w:hAnsi="Arial"/>
          <w:sz w:val="15"/>
          <w:szCs w:val="15"/>
          <w:b w:val="1"/>
          <w:bCs w:val="1"/>
          <w:color w:val="auto"/>
        </w:rPr>
        <w:t>Grand Duchy of Luxembourg</w:t>
      </w:r>
    </w:p>
    <w:p>
      <w:pPr>
        <w:jc w:val="center"/>
        <w:ind w:right="20"/>
        <w:spacing w:after="0"/>
        <w:rPr>
          <w:sz w:val="20"/>
          <w:szCs w:val="20"/>
          <w:color w:val="auto"/>
        </w:rPr>
      </w:pPr>
      <w:r>
        <w:rPr>
          <w:rFonts w:ascii="Arial" w:cs="Arial" w:eastAsia="Arial" w:hAnsi="Arial"/>
          <w:sz w:val="15"/>
          <w:szCs w:val="15"/>
          <w:b w:val="1"/>
          <w:bCs w:val="1"/>
          <w:color w:val="auto"/>
        </w:rPr>
        <w:t>R.C.S. Luxembourg B 72 391</w:t>
      </w:r>
    </w:p>
    <w:p>
      <w:pPr>
        <w:spacing w:after="0" w:line="336" w:lineRule="exact"/>
        <w:rPr>
          <w:sz w:val="20"/>
          <w:szCs w:val="20"/>
          <w:color w:val="auto"/>
        </w:rPr>
      </w:pPr>
    </w:p>
    <w:p>
      <w:pPr>
        <w:jc w:val="center"/>
        <w:ind w:right="20"/>
        <w:spacing w:after="0" w:line="255" w:lineRule="auto"/>
        <w:rPr>
          <w:sz w:val="20"/>
          <w:szCs w:val="20"/>
          <w:color w:val="auto"/>
        </w:rPr>
      </w:pPr>
      <w:r>
        <w:rPr>
          <w:rFonts w:ascii="Arial" w:cs="Arial" w:eastAsia="Arial" w:hAnsi="Arial"/>
          <w:sz w:val="15"/>
          <w:szCs w:val="15"/>
          <w:b w:val="1"/>
          <w:bCs w:val="1"/>
          <w:color w:val="auto"/>
        </w:rPr>
        <w:t>NOTICE OF SPECIAL GENERAL MEETING OF SHAREHOLDERS AND IMPORTANT NOTICE REGARDING THE AVAILABILITY OF PROXY MATERIALS FOR THE SPECIAL GENERAL MEETING OF SHAREHOLDERS TO BE HELD ON SEPTEMBER 25, 2018</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NOTICE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Special General Meeting of Shareholders ("Special Meeting") will be held:</w:t>
      </w:r>
    </w:p>
    <w:p>
      <w:pPr>
        <w:spacing w:after="0" w:line="34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color w:val="auto"/>
        </w:rPr>
        <w:t>Tuesday, September 25, 2018</w:t>
      </w:r>
    </w:p>
    <w:p>
      <w:pPr>
        <w:spacing w:after="0" w:line="182"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Time:</w:t>
      </w:r>
      <w:r>
        <w:rPr>
          <w:sz w:val="20"/>
          <w:szCs w:val="20"/>
          <w:color w:val="auto"/>
        </w:rPr>
        <w:tab/>
      </w:r>
      <w:r>
        <w:rPr>
          <w:rFonts w:ascii="Arial" w:cs="Arial" w:eastAsia="Arial" w:hAnsi="Arial"/>
          <w:sz w:val="15"/>
          <w:szCs w:val="15"/>
          <w:color w:val="auto"/>
        </w:rPr>
        <w:t>9:00 a.m. Central European Time</w:t>
      </w:r>
    </w:p>
    <w:p>
      <w:pPr>
        <w:spacing w:after="0" w:line="181"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5"/>
          <w:szCs w:val="15"/>
          <w:b w:val="1"/>
          <w:bCs w:val="1"/>
          <w:color w:val="auto"/>
        </w:rPr>
        <w:t>Location:</w:t>
      </w:r>
      <w:r>
        <w:rPr>
          <w:sz w:val="20"/>
          <w:szCs w:val="20"/>
          <w:color w:val="auto"/>
        </w:rPr>
        <w:tab/>
      </w:r>
      <w:r>
        <w:rPr>
          <w:rFonts w:ascii="Arial" w:cs="Arial" w:eastAsia="Arial" w:hAnsi="Arial"/>
          <w:sz w:val="15"/>
          <w:szCs w:val="15"/>
          <w:color w:val="auto"/>
        </w:rPr>
        <w:t>Altisource Portfolio Solutions S.A.</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40, avenue Monterey</w:t>
      </w:r>
    </w:p>
    <w:p>
      <w:pPr>
        <w:ind w:left="1160"/>
        <w:spacing w:after="0"/>
        <w:rPr>
          <w:sz w:val="20"/>
          <w:szCs w:val="20"/>
          <w:color w:val="auto"/>
        </w:rPr>
      </w:pPr>
      <w:r>
        <w:rPr>
          <w:rFonts w:ascii="Arial" w:cs="Arial" w:eastAsia="Arial" w:hAnsi="Arial"/>
          <w:sz w:val="15"/>
          <w:szCs w:val="15"/>
          <w:color w:val="auto"/>
        </w:rPr>
        <w:t>L-2163 Luxembourg City</w:t>
      </w:r>
    </w:p>
    <w:p>
      <w:pPr>
        <w:ind w:left="1160"/>
        <w:spacing w:after="0"/>
        <w:rPr>
          <w:sz w:val="20"/>
          <w:szCs w:val="20"/>
          <w:color w:val="auto"/>
        </w:rPr>
      </w:pPr>
      <w:r>
        <w:rPr>
          <w:rFonts w:ascii="Arial" w:cs="Arial" w:eastAsia="Arial" w:hAnsi="Arial"/>
          <w:sz w:val="15"/>
          <w:szCs w:val="15"/>
          <w:color w:val="auto"/>
        </w:rPr>
        <w:t>Grand Duchy of Luxembourg</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PURPOSE</w:t>
      </w:r>
    </w:p>
    <w:p>
      <w:pPr>
        <w:spacing w:after="0" w:line="200" w:lineRule="exact"/>
        <w:rPr>
          <w:sz w:val="20"/>
          <w:szCs w:val="20"/>
          <w:color w:val="auto"/>
        </w:rPr>
      </w:pPr>
    </w:p>
    <w:p>
      <w:pPr>
        <w:ind w:left="900" w:hanging="451"/>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elect one (1) additional Director until the next annual meeting of shareholders or until his successor has been elected and qualified; and</w:t>
      </w:r>
    </w:p>
    <w:p>
      <w:pPr>
        <w:spacing w:after="0" w:line="182" w:lineRule="exact"/>
        <w:rPr>
          <w:rFonts w:ascii="Arial" w:cs="Arial" w:eastAsia="Arial" w:hAnsi="Arial"/>
          <w:sz w:val="15"/>
          <w:szCs w:val="15"/>
          <w:color w:val="auto"/>
        </w:rPr>
      </w:pPr>
    </w:p>
    <w:p>
      <w:pPr>
        <w:ind w:left="900" w:hanging="451"/>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Special Meeting and any adjournment or postponement thereof.</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PROCEDURES</w:t>
      </w:r>
    </w:p>
    <w:p>
      <w:pPr>
        <w:spacing w:after="0" w:line="200" w:lineRule="exact"/>
        <w:rPr>
          <w:sz w:val="20"/>
          <w:szCs w:val="20"/>
          <w:color w:val="auto"/>
        </w:rPr>
      </w:pPr>
    </w:p>
    <w:p>
      <w:pPr>
        <w:ind w:left="900" w:hanging="451"/>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Board of Directors has fixed August 9, 2018 as the record date for the determination of shareholders entitled to notice of and to vote at the Special Meeting.</w:t>
      </w:r>
    </w:p>
    <w:p>
      <w:pPr>
        <w:spacing w:after="0" w:line="182" w:lineRule="exact"/>
        <w:rPr>
          <w:rFonts w:ascii="Arial" w:cs="Arial" w:eastAsia="Arial" w:hAnsi="Arial"/>
          <w:sz w:val="14"/>
          <w:szCs w:val="14"/>
          <w:color w:val="auto"/>
        </w:rPr>
      </w:pPr>
    </w:p>
    <w:p>
      <w:pPr>
        <w:ind w:left="900" w:right="100" w:hanging="451"/>
        <w:spacing w:after="0" w:line="255"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Only shareholders as of the close of business on the record date will be able to vote at the Special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4"/>
          <w:szCs w:val="14"/>
          <w:b w:val="1"/>
          <w:bCs w:val="1"/>
          <w:color w:val="auto"/>
        </w:rPr>
        <w:t>Even if you plan to attend the</w:t>
      </w:r>
    </w:p>
    <w:p>
      <w:pPr>
        <w:spacing w:after="0" w:line="1" w:lineRule="exact"/>
        <w:rPr>
          <w:rFonts w:ascii="Arial" w:cs="Arial" w:eastAsia="Arial" w:hAnsi="Arial"/>
          <w:sz w:val="14"/>
          <w:szCs w:val="14"/>
          <w:color w:val="auto"/>
        </w:rPr>
      </w:pPr>
    </w:p>
    <w:p>
      <w:pPr>
        <w:ind w:left="900" w:right="540"/>
        <w:spacing w:after="0" w:line="247" w:lineRule="auto"/>
        <w:rPr>
          <w:rFonts w:ascii="Arial" w:cs="Arial" w:eastAsia="Arial" w:hAnsi="Arial"/>
          <w:sz w:val="14"/>
          <w:szCs w:val="14"/>
          <w:color w:val="auto"/>
        </w:rPr>
      </w:pPr>
      <w:r>
        <w:rPr>
          <w:rFonts w:ascii="Arial" w:cs="Arial" w:eastAsia="Arial" w:hAnsi="Arial"/>
          <w:sz w:val="15"/>
          <w:szCs w:val="15"/>
          <w:b w:val="1"/>
          <w:bCs w:val="1"/>
          <w:color w:val="auto"/>
        </w:rPr>
        <w:t>Special Meeting, we recommend that you vote your shares in advance of the meeting pursuant to the instructions listed in the accompanying materials so that your vote will be counted if you are unable to attend the Special Meeting.</w:t>
      </w:r>
    </w:p>
    <w:p>
      <w:pPr>
        <w:spacing w:after="0" w:line="171" w:lineRule="exact"/>
        <w:rPr>
          <w:rFonts w:ascii="Arial" w:cs="Arial" w:eastAsia="Arial" w:hAnsi="Arial"/>
          <w:sz w:val="14"/>
          <w:szCs w:val="14"/>
          <w:color w:val="auto"/>
        </w:rPr>
      </w:pPr>
    </w:p>
    <w:p>
      <w:pPr>
        <w:ind w:left="900" w:right="120" w:hanging="451"/>
        <w:spacing w:after="0" w:line="264"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The proxy statement for our Special Meeting and our annual report to shareholders on Form 10-K for the year ended December 31, 2017 are available on our website under Investor Relations-Financial Information at </w:t>
      </w:r>
      <w:r>
        <w:rPr>
          <w:rFonts w:ascii="Arial" w:cs="Arial" w:eastAsia="Arial" w:hAnsi="Arial"/>
          <w:sz w:val="14"/>
          <w:szCs w:val="14"/>
          <w:u w:val="single" w:color="auto"/>
          <w:color w:val="auto"/>
        </w:rPr>
        <w:t>http://ir.altisource.com/financials.cfm</w:t>
      </w:r>
      <w:r>
        <w:rPr>
          <w:rFonts w:ascii="Arial" w:cs="Arial" w:eastAsia="Arial" w:hAnsi="Arial"/>
          <w:sz w:val="14"/>
          <w:szCs w:val="14"/>
          <w:color w:val="auto"/>
        </w:rPr>
        <w:t xml:space="preserve">. In accordance with Securities and Exchange Commission ("SEC") rules, you may also access our proxy statement and annual report at </w:t>
      </w:r>
      <w:r>
        <w:rPr>
          <w:rFonts w:ascii="Arial" w:cs="Arial" w:eastAsia="Arial" w:hAnsi="Arial"/>
          <w:sz w:val="14"/>
          <w:szCs w:val="14"/>
          <w:u w:val="single" w:color="auto"/>
          <w:color w:val="auto"/>
        </w:rPr>
        <w:t>http://www.proxyvote.com</w:t>
      </w:r>
      <w:r>
        <w:rPr>
          <w:rFonts w:ascii="Arial" w:cs="Arial" w:eastAsia="Arial" w:hAnsi="Arial"/>
          <w:sz w:val="14"/>
          <w:szCs w:val="14"/>
          <w:color w:val="auto"/>
        </w:rPr>
        <w:t>, a website that does not identify or track visitors to the site, by entering the Control Number found on your Notice and Access Card, your proxy card or your email notification, as applicable, in the space provided.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900" w:hanging="451"/>
        <w:spacing w:after="0" w:line="220"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Although Luxembourg law does not require a quorum for the conduct of business at the Special Meeting, in accordance with the requirements of the NASDAQ listing standards, we have established that the presence at the Special Meeting of holders of at least thirty-three and one-third percent (33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our issued and outstanding shares of common stock able to be voted, represented in person or by proxy, will constitute a quorum for the transaction of business at the Special Meeting.</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245110</wp:posOffset>
            </wp:positionV>
            <wp:extent cx="1373505" cy="356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350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Kevin J. Wilcox</w:t>
      </w:r>
    </w:p>
    <w:p>
      <w:pPr>
        <w:spacing w:after="0"/>
        <w:rPr>
          <w:sz w:val="20"/>
          <w:szCs w:val="20"/>
          <w:color w:val="auto"/>
        </w:rPr>
      </w:pPr>
      <w:r>
        <w:rPr>
          <w:rFonts w:ascii="Arial" w:cs="Arial" w:eastAsia="Arial" w:hAnsi="Arial"/>
          <w:sz w:val="15"/>
          <w:szCs w:val="15"/>
          <w:color w:val="auto"/>
        </w:rPr>
        <w:t>Corporate Secretary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August 14, 2018</w:t>
      </w:r>
    </w:p>
    <w:p>
      <w:pPr>
        <w:spacing w:after="0"/>
        <w:rPr>
          <w:sz w:val="20"/>
          <w:szCs w:val="20"/>
          <w:color w:val="auto"/>
        </w:rPr>
      </w:pPr>
      <w:r>
        <w:rPr>
          <w:rFonts w:ascii="Arial" w:cs="Arial" w:eastAsia="Arial" w:hAnsi="Arial"/>
          <w:sz w:val="15"/>
          <w:szCs w:val="15"/>
          <w:color w:val="auto"/>
        </w:rPr>
        <w:t>Luxembourg City, Grand Duchy of Luxembourg</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Portfolio Solutions S.A.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2675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Information</w:t>
      </w:r>
    </w:p>
    <w:p>
      <w:pPr>
        <w:spacing w:after="0" w:line="200"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We have made this proxy statement available to you on or about August 14, 2018 as a holder of common stock of Altisource Portfolio Solutions S.A. ("Altisource" or the "Company") because our Board of Directors is soliciting your proxy to be used at our Special Meeting, and any adjournment or postponement thereof. The Special Meeting will be held at our registered office located at 40, avenue Monterey, L-2163 Luxembourg City, Grand Duchy of Luxembourg on Tuesday, September 25, 2018, at 9:00 a.m. Central European Time for the purposes listed in the Notice of Special General Meeting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Internet Availability of Proxy Materials</w:t>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15"/>
          <w:szCs w:val="15"/>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August 14, 2018, we commenced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If you previously chose to receive our proxy materials electronically, you will receive an email with links to the online proxy materials. If you previously requested to receive paper copies of the proxy materials by mail, you will receive the proxy materials by mail until you elect otherwise.</w:t>
      </w:r>
    </w:p>
    <w:p>
      <w:pPr>
        <w:spacing w:after="0" w:line="178" w:lineRule="exact"/>
        <w:rPr>
          <w:sz w:val="20"/>
          <w:szCs w:val="20"/>
          <w:color w:val="auto"/>
        </w:rPr>
      </w:pPr>
    </w:p>
    <w:p>
      <w:pPr>
        <w:ind w:right="240"/>
        <w:spacing w:after="0" w:line="247" w:lineRule="auto"/>
        <w:rPr>
          <w:sz w:val="20"/>
          <w:szCs w:val="20"/>
          <w:color w:val="auto"/>
        </w:rPr>
      </w:pPr>
      <w:r>
        <w:rPr>
          <w:rFonts w:ascii="Arial" w:cs="Arial" w:eastAsia="Arial" w:hAnsi="Arial"/>
          <w:sz w:val="15"/>
          <w:szCs w:val="15"/>
          <w:color w:val="auto"/>
        </w:rPr>
        <w:t>Shareholders of record will receive a paper copy of the proxy materials by mail unless they previously requested delivery of proxy materials electronically. The proxy card included with the proxy materials contains instructions on how to request electronic delivery of future proxy materials.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May Vote</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You are entitled to vote at the Special Meeting, and any adjournment or postponement thereof, if you are a holder of our common stock at the close of business on August 9, 2018. At the close of business on August 9, 2018, there were 17,040,916 shares of common stock issued, outstanding and able to be voted, and there was no other class of equity securities outstanding. Each share of our common stock is entitled to one (1) vote at the Special Meeting on all matters properly presented for a vote.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Procedures</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If you are a shareholder of record, which means you hold your shares through an account with our transfer agent, American Stock Transfer &amp; Trust Company, LLC, you may vote by one of the following three options for voting before the Special Meeting:</w:t>
      </w:r>
    </w:p>
    <w:p>
      <w:pPr>
        <w:spacing w:after="0" w:line="171" w:lineRule="exact"/>
        <w:rPr>
          <w:sz w:val="20"/>
          <w:szCs w:val="20"/>
          <w:color w:val="auto"/>
        </w:rPr>
      </w:pPr>
    </w:p>
    <w:p>
      <w:pPr>
        <w:ind w:left="900" w:hanging="45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Over the Internet, at </w:t>
      </w:r>
      <w:r>
        <w:rPr>
          <w:rFonts w:ascii="Arial" w:cs="Arial" w:eastAsia="Arial" w:hAnsi="Arial"/>
          <w:sz w:val="15"/>
          <w:szCs w:val="15"/>
          <w:u w:val="single" w:color="auto"/>
          <w:color w:val="auto"/>
        </w:rPr>
        <w:t>http://www.proxyvote.com</w:t>
      </w:r>
      <w:r>
        <w:rPr>
          <w:rFonts w:ascii="Arial" w:cs="Arial" w:eastAsia="Arial" w:hAnsi="Arial"/>
          <w:sz w:val="15"/>
          <w:szCs w:val="15"/>
          <w:color w:val="auto"/>
        </w:rPr>
        <w:t>, by following the instructions on your proxy card or the instructions that you received by email;</w:t>
      </w:r>
    </w:p>
    <w:p>
      <w:pPr>
        <w:spacing w:after="0" w:line="182" w:lineRule="exact"/>
        <w:rPr>
          <w:rFonts w:ascii="Arial" w:cs="Arial" w:eastAsia="Arial" w:hAnsi="Arial"/>
          <w:sz w:val="15"/>
          <w:szCs w:val="15"/>
          <w:color w:val="auto"/>
        </w:rPr>
      </w:pPr>
    </w:p>
    <w:p>
      <w:pPr>
        <w:ind w:left="900" w:hanging="45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By telephone; or</w:t>
      </w:r>
    </w:p>
    <w:p>
      <w:pPr>
        <w:spacing w:after="0" w:line="170" w:lineRule="exact"/>
        <w:rPr>
          <w:rFonts w:ascii="Arial" w:cs="Arial" w:eastAsia="Arial" w:hAnsi="Arial"/>
          <w:sz w:val="15"/>
          <w:szCs w:val="15"/>
          <w:color w:val="auto"/>
        </w:rPr>
      </w:pPr>
    </w:p>
    <w:p>
      <w:pPr>
        <w:ind w:left="900" w:hanging="45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By completing, dating, signing and returning a proxy card by mail.</w:t>
      </w:r>
    </w:p>
    <w:p>
      <w:pPr>
        <w:spacing w:after="0" w:line="182" w:lineRule="exact"/>
        <w:rPr>
          <w:sz w:val="20"/>
          <w:szCs w:val="20"/>
          <w:color w:val="auto"/>
        </w:rPr>
      </w:pPr>
    </w:p>
    <w:p>
      <w:pPr>
        <w:jc w:val="both"/>
        <w:ind w:right="360"/>
        <w:spacing w:after="0" w:line="282" w:lineRule="auto"/>
        <w:rPr>
          <w:sz w:val="20"/>
          <w:szCs w:val="20"/>
          <w:color w:val="auto"/>
        </w:rPr>
      </w:pPr>
      <w:r>
        <w:rPr>
          <w:rFonts w:ascii="Arial" w:cs="Arial" w:eastAsia="Arial" w:hAnsi="Arial"/>
          <w:sz w:val="14"/>
          <w:szCs w:val="14"/>
          <w:color w:val="auto"/>
        </w:rPr>
        <w:t>If you are a beneficial holder, meaning you hold your shares in "street name" through an account with a bank or broker, please follow the voting directions on the voting instruction form that your bank or broker provides to you. Your ability to vote over the Internet or by telephone depends on the voting procedures of your bank or broker.</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300"/>
        <w:spacing w:after="0" w:line="247" w:lineRule="auto"/>
        <w:rPr>
          <w:sz w:val="20"/>
          <w:szCs w:val="20"/>
          <w:color w:val="auto"/>
        </w:rPr>
      </w:pPr>
      <w:r>
        <w:rPr>
          <w:rFonts w:ascii="Arial" w:cs="Arial" w:eastAsia="Arial" w:hAnsi="Arial"/>
          <w:sz w:val="15"/>
          <w:szCs w:val="15"/>
          <w:color w:val="auto"/>
        </w:rPr>
        <w:t>If you plan to vote over the Internet or by telephone, your voting instructions must be received no later than 9:59 p.m. Central European Time (3:59 p.m. Eastern Time) on Monday, September 24, 2018 in order to allow sufficient time to tabulate the votes prior to the start of the meeting.</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Shareholders may also vote in person at the Special Meeting. All shareholders must present valid government-issued photo identification to vote at the meeting. If your shares are held by a bank or broker, you must also obtain and present a "legal proxy" from the holder of record to vote at the meeting. For specific instructions, please refer to the proxy card, Notice or email notification you receive.</w:t>
      </w:r>
    </w:p>
    <w:p>
      <w:pPr>
        <w:spacing w:after="0" w:line="156"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b w:val="1"/>
          <w:bCs w:val="1"/>
          <w:color w:val="auto"/>
        </w:rPr>
        <w:t>Even if you plan to attend the Special Meeting, we recommend that you vote your shares in advance of the meeting in one of the manners available to you so that your vote will be counted if you later are unable to attend the Special Meeting.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a Proxy Works</w:t>
      </w:r>
    </w:p>
    <w:p>
      <w:pPr>
        <w:spacing w:after="0" w:line="200" w:lineRule="exact"/>
        <w:rPr>
          <w:sz w:val="20"/>
          <w:szCs w:val="20"/>
          <w:color w:val="auto"/>
        </w:rPr>
      </w:pPr>
    </w:p>
    <w:p>
      <w:pPr>
        <w:ind w:right="240"/>
        <w:spacing w:after="0" w:line="241" w:lineRule="auto"/>
        <w:rPr>
          <w:sz w:val="20"/>
          <w:szCs w:val="20"/>
          <w:color w:val="auto"/>
        </w:rPr>
      </w:pPr>
      <w:r>
        <w:rPr>
          <w:rFonts w:ascii="Arial" w:cs="Arial" w:eastAsia="Arial" w:hAnsi="Arial"/>
          <w:sz w:val="15"/>
          <w:szCs w:val="15"/>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for the Special Meeting will be voted "FOR" the nominee for Director named in this proxy statement and, with regard to any other business that properly comes before the Special Meeting, in accordance with the discretion of the persons appointed as proxies.</w:t>
      </w:r>
    </w:p>
    <w:p>
      <w:pPr>
        <w:spacing w:after="0" w:line="177" w:lineRule="exact"/>
        <w:rPr>
          <w:sz w:val="20"/>
          <w:szCs w:val="20"/>
          <w:color w:val="auto"/>
        </w:rPr>
      </w:pPr>
    </w:p>
    <w:p>
      <w:pPr>
        <w:jc w:val="both"/>
        <w:ind w:right="140"/>
        <w:spacing w:after="0" w:line="241" w:lineRule="auto"/>
        <w:rPr>
          <w:sz w:val="20"/>
          <w:szCs w:val="20"/>
          <w:color w:val="auto"/>
        </w:rPr>
      </w:pPr>
      <w:r>
        <w:rPr>
          <w:rFonts w:ascii="Arial" w:cs="Arial" w:eastAsia="Arial" w:hAnsi="Arial"/>
          <w:sz w:val="15"/>
          <w:szCs w:val="15"/>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The proposal to elect the nominee for Director is expected to be "non-routine;" therefore, if you do not instruct your bank or broker how to vote your shares with respect to this proposal, your shares will not be counted.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to Revoke a Proxy</w:t>
      </w:r>
    </w:p>
    <w:p>
      <w:pPr>
        <w:spacing w:after="0" w:line="200" w:lineRule="exact"/>
        <w:rPr>
          <w:sz w:val="20"/>
          <w:szCs w:val="20"/>
          <w:color w:val="auto"/>
        </w:rPr>
      </w:pPr>
    </w:p>
    <w:p>
      <w:pPr>
        <w:ind w:right="380"/>
        <w:spacing w:after="0" w:line="247" w:lineRule="auto"/>
        <w:rPr>
          <w:sz w:val="20"/>
          <w:szCs w:val="20"/>
          <w:color w:val="auto"/>
        </w:rPr>
      </w:pPr>
      <w:r>
        <w:rPr>
          <w:rFonts w:ascii="Arial" w:cs="Arial" w:eastAsia="Arial" w:hAnsi="Arial"/>
          <w:sz w:val="15"/>
          <w:szCs w:val="15"/>
          <w:color w:val="auto"/>
        </w:rPr>
        <w:t>Your proxies may be used only at the Special Meeting and any adjournment or postponement thereof, and will not be used for any other meeting. You have the power to revoke your proxy at any time before it is exercised by:</w:t>
      </w:r>
    </w:p>
    <w:p>
      <w:pPr>
        <w:spacing w:after="0" w:line="171" w:lineRule="exact"/>
        <w:rPr>
          <w:sz w:val="20"/>
          <w:szCs w:val="20"/>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delivering written notice to our Corporate Secretary at the following address prior to the Special Meeting:</w:t>
      </w: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Kevin J. Wilcox, Corporate Secretary</w:t>
      </w:r>
    </w:p>
    <w:p>
      <w:pPr>
        <w:ind w:left="1360"/>
        <w:spacing w:after="0"/>
        <w:rPr>
          <w:sz w:val="20"/>
          <w:szCs w:val="20"/>
          <w:color w:val="auto"/>
        </w:rPr>
      </w:pPr>
      <w:r>
        <w:rPr>
          <w:rFonts w:ascii="Arial" w:cs="Arial" w:eastAsia="Arial" w:hAnsi="Arial"/>
          <w:sz w:val="15"/>
          <w:szCs w:val="15"/>
          <w:color w:val="auto"/>
        </w:rPr>
        <w:t>Altisource Portfolio Solutions S.A.</w:t>
      </w:r>
    </w:p>
    <w:p>
      <w:pPr>
        <w:ind w:left="1360"/>
        <w:spacing w:after="0"/>
        <w:rPr>
          <w:sz w:val="20"/>
          <w:szCs w:val="20"/>
          <w:color w:val="auto"/>
        </w:rPr>
      </w:pPr>
      <w:r>
        <w:rPr>
          <w:rFonts w:ascii="Arial" w:cs="Arial" w:eastAsia="Arial" w:hAnsi="Arial"/>
          <w:sz w:val="15"/>
          <w:szCs w:val="15"/>
          <w:color w:val="auto"/>
        </w:rPr>
        <w:t>40, avenue Monterey</w:t>
      </w:r>
    </w:p>
    <w:p>
      <w:pPr>
        <w:ind w:left="1360"/>
        <w:spacing w:after="0"/>
        <w:rPr>
          <w:sz w:val="20"/>
          <w:szCs w:val="20"/>
          <w:color w:val="auto"/>
        </w:rPr>
      </w:pPr>
      <w:r>
        <w:rPr>
          <w:rFonts w:ascii="Arial" w:cs="Arial" w:eastAsia="Arial" w:hAnsi="Arial"/>
          <w:sz w:val="15"/>
          <w:szCs w:val="15"/>
          <w:color w:val="auto"/>
        </w:rPr>
        <w:t>L-2163 Luxembourg City</w:t>
      </w:r>
    </w:p>
    <w:p>
      <w:pPr>
        <w:ind w:left="1360"/>
        <w:spacing w:after="0"/>
        <w:rPr>
          <w:sz w:val="20"/>
          <w:szCs w:val="20"/>
          <w:color w:val="auto"/>
        </w:rPr>
      </w:pPr>
      <w:r>
        <w:rPr>
          <w:rFonts w:ascii="Arial" w:cs="Arial" w:eastAsia="Arial" w:hAnsi="Arial"/>
          <w:sz w:val="15"/>
          <w:szCs w:val="15"/>
          <w:color w:val="auto"/>
        </w:rPr>
        <w:t>Grand Duchy of Luxembourg;</w:t>
      </w:r>
    </w:p>
    <w:p>
      <w:pPr>
        <w:spacing w:after="0" w:line="194" w:lineRule="exact"/>
        <w:rPr>
          <w:sz w:val="20"/>
          <w:szCs w:val="20"/>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submitting a properly executed proxy bearing a later date prior to the Special Meeting; or</w:t>
      </w:r>
    </w:p>
    <w:p>
      <w:pPr>
        <w:spacing w:after="0" w:line="170"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appearing at the Special Meeting and giving the Corporate Secretary notice of your intention to vote in person.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Quorum and Voting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Although Luxembourg law does not require a quorum for the conduct of business at the Special Meeting, in accordance with the requirements of the NASDAQ listing</w:t>
      </w:r>
    </w:p>
    <w:p>
      <w:pPr>
        <w:ind w:right="400"/>
        <w:spacing w:after="0" w:line="217" w:lineRule="auto"/>
        <w:rPr>
          <w:sz w:val="20"/>
          <w:szCs w:val="20"/>
          <w:color w:val="auto"/>
        </w:rPr>
      </w:pPr>
      <w:r>
        <w:rPr>
          <w:rFonts w:ascii="Arial" w:cs="Arial" w:eastAsia="Arial" w:hAnsi="Arial"/>
          <w:sz w:val="14"/>
          <w:szCs w:val="14"/>
          <w:color w:val="auto"/>
        </w:rPr>
        <w:t>standards, the Company has established that the presence at the Special Meeting of holders of at least thirty-three and one-third percent (33</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12"/>
          <w:szCs w:val="12"/>
          <w:color w:val="auto"/>
        </w:rPr>
        <w:t>3</w:t>
      </w:r>
      <w:r>
        <w:rPr>
          <w:rFonts w:ascii="Arial" w:cs="Arial" w:eastAsia="Arial" w:hAnsi="Arial"/>
          <w:sz w:val="14"/>
          <w:szCs w:val="14"/>
          <w:color w:val="auto"/>
        </w:rPr>
        <w:t>%) of our issued and outstanding shares of common stock able to be voted, represented in person or by proxy, will constitute a quorum for the transaction of business at the Special Meeting.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Pursuant to Luxembourg law and assuming a quorum, the nominee for Director will be elected as a Director of Altisource at the Special Meeting so long as the votes cast in favor of the nominee exceed the votes cast against the nominee. You may vote for, against or abstain from voting with respect to the nominee for Director.</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Any other matter properly submitted for your consideration will be approved with such vote as required by Luxembourg law. Abstentions will not be counted in determining the votes cast in connection with the proposal in the agenda of the Special Meeting.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6564630</wp:posOffset>
            </wp:positionH>
            <wp:positionV relativeFrom="paragraph">
              <wp:posOffset>114300</wp:posOffset>
            </wp:positionV>
            <wp:extent cx="697865"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786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Election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right="320"/>
        <w:spacing w:after="0" w:line="247" w:lineRule="auto"/>
        <w:rPr>
          <w:sz w:val="20"/>
          <w:szCs w:val="20"/>
          <w:color w:val="auto"/>
        </w:rPr>
      </w:pPr>
      <w:r>
        <w:rPr>
          <w:rFonts w:ascii="Arial" w:cs="Arial" w:eastAsia="Arial" w:hAnsi="Arial"/>
          <w:sz w:val="15"/>
          <w:szCs w:val="15"/>
          <w:color w:val="auto"/>
        </w:rPr>
        <w:t>Our Articles of Incorporation provide that our Board of Directors shall consist of no less than three (3) and no more than seven (7) members, with the exact number to be decided by our shareholders.</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Our Board of Directors currently consists of six (6) members whose terms will expire at the 2019 annual meeting of shareholders. On July 24, 2018, the Board of Directors, acting pursuant to the recommendation of the Nomination/Governance Committee, nominated Scott E. Burg for election as an additional Director at the Special Meeting, which would increase the Board of Directors to seven (7) members. Under Luxembourg law, additional directors may be elected only by vote of our shareholders (except in the case of a vacancy). The Board of Directors recommends that our shareholders vote for the election of Mr. Burg as an additional Director at the Special Meeting to serve until the 2019 annual meeting of shareholders or until his successor has been elected and qualified and subject to his earlier death, resignation or removal.</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nominee's principal occupation for the last five (5) years and additional biographical information are set forth below.</w:t>
      </w:r>
    </w:p>
    <w:p>
      <w:pPr>
        <w:spacing w:after="0" w:line="164"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b w:val="1"/>
          <w:bCs w:val="1"/>
          <w:i w:val="1"/>
          <w:iCs w:val="1"/>
          <w:color w:val="auto"/>
        </w:rPr>
        <w:t xml:space="preserve">Scott E. Burg </w:t>
      </w:r>
      <w:r>
        <w:rPr>
          <w:rFonts w:ascii="Arial" w:cs="Arial" w:eastAsia="Arial" w:hAnsi="Arial"/>
          <w:sz w:val="14"/>
          <w:szCs w:val="14"/>
          <w:color w:val="auto"/>
        </w:rPr>
        <w:t>(age 39). Mr. Burg serves as Chief Investment Officer and Managing Partner of Deer Park Road Management Company, LP ("Deer Park"), where he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responsible for the firm's portfolios and portfolio risk management. Prior to joining Deer Park in August 2010, Mr. Burg was a Principal at General Capital Partners, where he advised middle-market companies in distressed situations. Mr. Burg also worked at Pursuit Partners, a $550 million fixed-income hedge fund, where he analyzed residential mortgage-backed securities, and he founded The Murray Hill IPS (later Clayton IPS; now MountainView IPS), a world-wide leader in the valuation of difficult-to-price assets. Mr. Burg holds a Bachelor of Science from the University of Colorado and a Master of Business Administration from the University of Denver's Daniels College of Business.</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Mr. Burg is being nominated to serve on our Board based on his financial expertise and deep experience in business advisory services and asset management, including real estate-related investments. As Chief Investment Officer and Managing Partner of one of the Company's largest investors, Mr. Burg offers financial expertise and has a well-developed understanding of our business and industry.</w:t>
      </w:r>
    </w:p>
    <w:p>
      <w:pPr>
        <w:spacing w:after="0" w:line="174"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If Mr. Burg becomes unable or unwilling to stand for election at the time of the Special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Mr. Burg would not be able or willing to serve as Director if elected.</w:t>
      </w:r>
    </w:p>
    <w:p>
      <w:pPr>
        <w:spacing w:after="0" w:line="328"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OUR BOARD OF DIRECTORS UNANIMOUSLY RECOMMENDS</w:t>
      </w:r>
    </w:p>
    <w:p>
      <w:pPr>
        <w:spacing w:after="0" w:line="17"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THAT YOU VOTE "FOR" THE NOMINEE FOR DIRECTOR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concerning each of our current Directors whose term of office will continue after the Special Meeting:</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Nomination/</w:t>
            </w:r>
          </w:p>
        </w:tc>
        <w:tc>
          <w:tcPr>
            <w:tcW w:w="0" w:type="dxa"/>
            <w:vAlign w:val="bottom"/>
          </w:tcPr>
          <w:p>
            <w:pPr>
              <w:spacing w:after="0"/>
              <w:rPr>
                <w:sz w:val="1"/>
                <w:szCs w:val="1"/>
                <w:color w:val="auto"/>
              </w:rPr>
            </w:pPr>
          </w:p>
        </w:tc>
      </w:tr>
      <w:tr>
        <w:trPr>
          <w:trHeight w:val="17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7"/>
              </w:rPr>
              <w:t>Age</w:t>
            </w:r>
            <w:r>
              <w:rPr>
                <w:rFonts w:ascii="Arial" w:cs="Arial" w:eastAsia="Arial" w:hAnsi="Arial"/>
                <w:sz w:val="24"/>
                <w:szCs w:val="24"/>
                <w:b w:val="1"/>
                <w:bCs w:val="1"/>
                <w:color w:val="auto"/>
                <w:w w:val="87"/>
                <w:vertAlign w:val="superscript"/>
              </w:rPr>
              <w:t>(1)</w:t>
            </w: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rPr>
              <w:t>Director</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9"/>
              </w:rPr>
              <w:t>Executive</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9"/>
              </w:rPr>
              <w:t>Audit</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rPr>
              <w:t>Compliance</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Governance</w:t>
            </w:r>
          </w:p>
        </w:tc>
        <w:tc>
          <w:tcPr>
            <w:tcW w:w="0" w:type="dxa"/>
            <w:vAlign w:val="bottom"/>
          </w:tcPr>
          <w:p>
            <w:pPr>
              <w:spacing w:after="0"/>
              <w:rPr>
                <w:sz w:val="1"/>
                <w:szCs w:val="1"/>
                <w:color w:val="auto"/>
              </w:rPr>
            </w:pPr>
          </w:p>
        </w:tc>
      </w:tr>
      <w:tr>
        <w:trPr>
          <w:trHeight w:val="187"/>
        </w:trPr>
        <w:tc>
          <w:tcPr>
            <w:tcW w:w="2980" w:type="dxa"/>
            <w:vAlign w:val="bottom"/>
            <w:tcBorders>
              <w:bottom w:val="single" w:sz="8" w:color="auto"/>
            </w:tcBorders>
          </w:tcPr>
          <w:p>
            <w:pPr>
              <w:ind w:left="1280"/>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Since</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Committee</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Committee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Timo Vättö</w:t>
            </w:r>
            <w:r>
              <w:rPr>
                <w:rFonts w:ascii="Arial" w:cs="Arial" w:eastAsia="Arial" w:hAnsi="Arial"/>
                <w:sz w:val="22"/>
                <w:szCs w:val="22"/>
                <w:color w:val="auto"/>
                <w:vertAlign w:val="superscript"/>
              </w:rPr>
              <w:t>(2)</w:t>
            </w:r>
          </w:p>
        </w:tc>
        <w:tc>
          <w:tcPr>
            <w:tcW w:w="52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rPr>
              <w:t>53</w:t>
            </w:r>
          </w:p>
        </w:tc>
        <w:tc>
          <w:tcPr>
            <w:tcW w:w="68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w w:val="95"/>
              </w:rPr>
              <w:t>2009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ind w:left="340"/>
              <w:spacing w:after="0" w:line="198" w:lineRule="exact"/>
              <w:rPr>
                <w:sz w:val="20"/>
                <w:szCs w:val="20"/>
                <w:color w:val="auto"/>
              </w:rPr>
            </w:pPr>
            <w:r>
              <w:rPr>
                <w:rFonts w:ascii="Arial" w:cs="Arial" w:eastAsia="Arial" w:hAnsi="Arial"/>
                <w:sz w:val="22"/>
                <w:szCs w:val="22"/>
                <w:color w:val="auto"/>
                <w:vertAlign w:val="subscript"/>
              </w:rPr>
              <w:t>X</w:t>
            </w:r>
            <w:r>
              <w:rPr>
                <w:rFonts w:ascii="Arial" w:cs="Arial" w:eastAsia="Arial" w:hAnsi="Arial"/>
                <w:sz w:val="11"/>
                <w:szCs w:val="11"/>
                <w:color w:val="auto"/>
              </w:rPr>
              <w:t>(3)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ind w:left="460"/>
              <w:spacing w:after="0" w:line="198" w:lineRule="exact"/>
              <w:rPr>
                <w:sz w:val="20"/>
                <w:szCs w:val="20"/>
                <w:color w:val="auto"/>
              </w:rPr>
            </w:pPr>
            <w:r>
              <w:rPr>
                <w:rFonts w:ascii="Arial" w:cs="Arial" w:eastAsia="Arial" w:hAnsi="Arial"/>
                <w:sz w:val="22"/>
                <w:szCs w:val="22"/>
                <w:color w:val="auto"/>
                <w:vertAlign w:val="subscript"/>
              </w:rPr>
              <w:t>X</w:t>
            </w:r>
            <w:r>
              <w:rPr>
                <w:rFonts w:ascii="Arial" w:cs="Arial" w:eastAsia="Arial" w:hAnsi="Arial"/>
                <w:sz w:val="11"/>
                <w:szCs w:val="11"/>
                <w:color w:val="auto"/>
              </w:rPr>
              <w:t>(3)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5"/>
                <w:szCs w:val="15"/>
                <w:color w:val="auto"/>
              </w:rPr>
              <w:t>Orin S. Kramer</w:t>
            </w:r>
          </w:p>
        </w:tc>
        <w:tc>
          <w:tcPr>
            <w:tcW w:w="520" w:type="dxa"/>
            <w:vAlign w:val="bottom"/>
            <w:gridSpan w:val="2"/>
          </w:tcPr>
          <w:p>
            <w:pPr>
              <w:jc w:val="center"/>
              <w:ind w:left="26"/>
              <w:spacing w:after="0"/>
              <w:rPr>
                <w:sz w:val="20"/>
                <w:szCs w:val="20"/>
                <w:color w:val="auto"/>
              </w:rPr>
            </w:pPr>
            <w:r>
              <w:rPr>
                <w:rFonts w:ascii="Arial" w:cs="Arial" w:eastAsia="Arial" w:hAnsi="Arial"/>
                <w:sz w:val="15"/>
                <w:szCs w:val="15"/>
                <w:color w:val="auto"/>
              </w:rPr>
              <w:t>73</w:t>
            </w:r>
          </w:p>
        </w:tc>
        <w:tc>
          <w:tcPr>
            <w:tcW w:w="680" w:type="dxa"/>
            <w:vAlign w:val="bottom"/>
            <w:gridSpan w:val="2"/>
          </w:tcPr>
          <w:p>
            <w:pPr>
              <w:jc w:val="center"/>
              <w:ind w:left="6"/>
              <w:spacing w:after="0"/>
              <w:rPr>
                <w:sz w:val="20"/>
                <w:szCs w:val="20"/>
                <w:color w:val="auto"/>
              </w:rPr>
            </w:pPr>
            <w:r>
              <w:rPr>
                <w:rFonts w:ascii="Arial" w:cs="Arial" w:eastAsia="Arial" w:hAnsi="Arial"/>
                <w:sz w:val="15"/>
                <w:szCs w:val="15"/>
                <w:color w:val="auto"/>
                <w:w w:val="95"/>
              </w:rPr>
              <w:t>2016</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W. Michael Linn</w:t>
            </w:r>
          </w:p>
        </w:tc>
        <w:tc>
          <w:tcPr>
            <w:tcW w:w="52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rPr>
              <w:t>70</w:t>
            </w:r>
          </w:p>
        </w:tc>
        <w:tc>
          <w:tcPr>
            <w:tcW w:w="68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w w:val="95"/>
              </w:rPr>
              <w:t>2011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ind w:left="360"/>
              <w:spacing w:after="0" w:line="205"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60"/>
              <w:spacing w:after="0" w:line="205"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5"/>
                <w:szCs w:val="15"/>
                <w:color w:val="auto"/>
              </w:rPr>
              <w:t>Joseph L. Morettini</w:t>
            </w:r>
          </w:p>
        </w:tc>
        <w:tc>
          <w:tcPr>
            <w:tcW w:w="520" w:type="dxa"/>
            <w:vAlign w:val="bottom"/>
            <w:gridSpan w:val="2"/>
          </w:tcPr>
          <w:p>
            <w:pPr>
              <w:jc w:val="center"/>
              <w:ind w:left="26"/>
              <w:spacing w:after="0"/>
              <w:rPr>
                <w:sz w:val="20"/>
                <w:szCs w:val="20"/>
                <w:color w:val="auto"/>
              </w:rPr>
            </w:pPr>
            <w:r>
              <w:rPr>
                <w:rFonts w:ascii="Arial" w:cs="Arial" w:eastAsia="Arial" w:hAnsi="Arial"/>
                <w:sz w:val="15"/>
                <w:szCs w:val="15"/>
                <w:color w:val="auto"/>
              </w:rPr>
              <w:t>65</w:t>
            </w:r>
          </w:p>
        </w:tc>
        <w:tc>
          <w:tcPr>
            <w:tcW w:w="680" w:type="dxa"/>
            <w:vAlign w:val="bottom"/>
            <w:gridSpan w:val="2"/>
          </w:tcPr>
          <w:p>
            <w:pPr>
              <w:jc w:val="center"/>
              <w:ind w:left="6"/>
              <w:spacing w:after="0"/>
              <w:rPr>
                <w:sz w:val="20"/>
                <w:szCs w:val="20"/>
                <w:color w:val="auto"/>
              </w:rPr>
            </w:pPr>
            <w:r>
              <w:rPr>
                <w:rFonts w:ascii="Arial" w:cs="Arial" w:eastAsia="Arial" w:hAnsi="Arial"/>
                <w:sz w:val="15"/>
                <w:szCs w:val="15"/>
                <w:color w:val="auto"/>
                <w:w w:val="95"/>
              </w:rPr>
              <w:t>2017</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(4)</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(4)</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Roland Müller-Ineichen</w:t>
            </w:r>
          </w:p>
        </w:tc>
        <w:tc>
          <w:tcPr>
            <w:tcW w:w="520" w:type="dxa"/>
            <w:vAlign w:val="bottom"/>
            <w:gridSpan w:val="2"/>
            <w:shd w:val="clear" w:color="auto" w:fill="CCEEFF"/>
          </w:tcPr>
          <w:p>
            <w:pPr>
              <w:jc w:val="center"/>
              <w:ind w:left="26"/>
              <w:spacing w:after="0"/>
              <w:rPr>
                <w:sz w:val="20"/>
                <w:szCs w:val="20"/>
                <w:color w:val="auto"/>
              </w:rPr>
            </w:pPr>
            <w:r>
              <w:rPr>
                <w:rFonts w:ascii="Arial" w:cs="Arial" w:eastAsia="Arial" w:hAnsi="Arial"/>
                <w:sz w:val="15"/>
                <w:szCs w:val="15"/>
                <w:color w:val="auto"/>
              </w:rPr>
              <w:t>57</w:t>
            </w:r>
          </w:p>
        </w:tc>
        <w:tc>
          <w:tcPr>
            <w:tcW w:w="680" w:type="dxa"/>
            <w:vAlign w:val="bottom"/>
            <w:gridSpan w:val="2"/>
            <w:shd w:val="clear" w:color="auto" w:fill="CCEEFF"/>
          </w:tcPr>
          <w:p>
            <w:pPr>
              <w:jc w:val="center"/>
              <w:ind w:left="6"/>
              <w:spacing w:after="0"/>
              <w:rPr>
                <w:sz w:val="20"/>
                <w:szCs w:val="20"/>
                <w:color w:val="auto"/>
              </w:rPr>
            </w:pPr>
            <w:r>
              <w:rPr>
                <w:rFonts w:ascii="Arial" w:cs="Arial" w:eastAsia="Arial" w:hAnsi="Arial"/>
                <w:sz w:val="15"/>
                <w:szCs w:val="15"/>
                <w:color w:val="auto"/>
                <w:w w:val="95"/>
              </w:rPr>
              <w:t>2009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320"/>
              <w:spacing w:after="0" w:line="205" w:lineRule="exact"/>
              <w:rPr>
                <w:sz w:val="20"/>
                <w:szCs w:val="20"/>
                <w:color w:val="auto"/>
              </w:rPr>
            </w:pPr>
            <w:r>
              <w:rPr>
                <w:rFonts w:ascii="Arial" w:cs="Arial" w:eastAsia="Arial" w:hAnsi="Arial"/>
                <w:sz w:val="23"/>
                <w:szCs w:val="23"/>
                <w:color w:val="auto"/>
                <w:vertAlign w:val="subscript"/>
              </w:rPr>
              <w:t>X</w:t>
            </w:r>
            <w:r>
              <w:rPr>
                <w:rFonts w:ascii="Arial" w:cs="Arial" w:eastAsia="Arial" w:hAnsi="Arial"/>
                <w:sz w:val="11"/>
                <w:szCs w:val="11"/>
                <w:color w:val="auto"/>
              </w:rPr>
              <w:t>(3)</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X</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20"/>
                <w:szCs w:val="20"/>
                <w:color w:val="auto"/>
              </w:rPr>
            </w:pPr>
            <w:r>
              <w:rPr>
                <w:rFonts w:ascii="Arial" w:cs="Arial" w:eastAsia="Arial" w:hAnsi="Arial"/>
                <w:sz w:val="15"/>
                <w:szCs w:val="15"/>
                <w:color w:val="auto"/>
              </w:rPr>
              <w:t>William B. Shepro</w:t>
            </w:r>
          </w:p>
        </w:tc>
        <w:tc>
          <w:tcPr>
            <w:tcW w:w="520" w:type="dxa"/>
            <w:vAlign w:val="bottom"/>
            <w:gridSpan w:val="2"/>
          </w:tcPr>
          <w:p>
            <w:pPr>
              <w:jc w:val="center"/>
              <w:ind w:left="26"/>
              <w:spacing w:after="0"/>
              <w:rPr>
                <w:sz w:val="20"/>
                <w:szCs w:val="20"/>
                <w:color w:val="auto"/>
              </w:rPr>
            </w:pPr>
            <w:r>
              <w:rPr>
                <w:rFonts w:ascii="Arial" w:cs="Arial" w:eastAsia="Arial" w:hAnsi="Arial"/>
                <w:sz w:val="15"/>
                <w:szCs w:val="15"/>
                <w:color w:val="auto"/>
              </w:rPr>
              <w:t>49</w:t>
            </w:r>
          </w:p>
        </w:tc>
        <w:tc>
          <w:tcPr>
            <w:tcW w:w="680" w:type="dxa"/>
            <w:vAlign w:val="bottom"/>
            <w:gridSpan w:val="2"/>
          </w:tcPr>
          <w:p>
            <w:pPr>
              <w:jc w:val="center"/>
              <w:ind w:left="6"/>
              <w:spacing w:after="0"/>
              <w:rPr>
                <w:sz w:val="20"/>
                <w:szCs w:val="20"/>
                <w:color w:val="auto"/>
              </w:rPr>
            </w:pPr>
            <w:r>
              <w:rPr>
                <w:rFonts w:ascii="Arial" w:cs="Arial" w:eastAsia="Arial" w:hAnsi="Arial"/>
                <w:sz w:val="15"/>
                <w:szCs w:val="15"/>
                <w:color w:val="auto"/>
                <w:w w:val="95"/>
              </w:rPr>
              <w:t>2009</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600" w:hanging="464"/>
        <w:spacing w:after="0"/>
        <w:tabs>
          <w:tab w:leader="none" w:pos="160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As of August 9, 2018</w:t>
      </w:r>
    </w:p>
    <w:p>
      <w:pPr>
        <w:spacing w:after="0" w:line="4" w:lineRule="exact"/>
        <w:rPr>
          <w:rFonts w:ascii="Arial" w:cs="Arial" w:eastAsia="Arial" w:hAnsi="Arial"/>
          <w:sz w:val="25"/>
          <w:szCs w:val="25"/>
          <w:color w:val="auto"/>
          <w:vertAlign w:val="superscript"/>
        </w:rPr>
      </w:pPr>
    </w:p>
    <w:p>
      <w:pPr>
        <w:ind w:left="1600" w:hanging="464"/>
        <w:spacing w:after="0" w:line="188" w:lineRule="auto"/>
        <w:tabs>
          <w:tab w:leader="none" w:pos="160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Chairman of the Board of Directors</w:t>
      </w:r>
    </w:p>
    <w:p>
      <w:pPr>
        <w:ind w:left="1600" w:hanging="464"/>
        <w:spacing w:after="0" w:line="188" w:lineRule="auto"/>
        <w:tabs>
          <w:tab w:leader="none" w:pos="160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Committee Chairman as of August 9, 2018</w:t>
      </w:r>
    </w:p>
    <w:p>
      <w:pPr>
        <w:ind w:left="1600" w:hanging="464"/>
        <w:spacing w:after="0" w:line="186" w:lineRule="auto"/>
        <w:tabs>
          <w:tab w:leader="none" w:pos="1600" w:val="left"/>
        </w:tabs>
        <w:numPr>
          <w:ilvl w:val="0"/>
          <w:numId w:val="17"/>
        </w:numPr>
        <w:rPr>
          <w:rFonts w:ascii="Arial" w:cs="Arial" w:eastAsia="Arial" w:hAnsi="Arial"/>
          <w:sz w:val="20"/>
          <w:szCs w:val="20"/>
          <w:color w:val="auto"/>
          <w:vertAlign w:val="superscript"/>
        </w:rPr>
      </w:pPr>
      <w:r>
        <w:rPr>
          <w:rFonts w:ascii="Arial" w:cs="Arial" w:eastAsia="Arial" w:hAnsi="Arial"/>
          <w:sz w:val="12"/>
          <w:szCs w:val="12"/>
          <w:color w:val="auto"/>
        </w:rPr>
        <w:t>Committee member effective May 17, 2017, the date of his initial election to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principal occupation for the last five (5) years and additional biographical information of each Director of Altisource are set forth below.</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All of our Directors bring a wealth of leadership experience derived from their service in executive and managerial roles as well as extensive board experience.</w:t>
      </w:r>
    </w:p>
    <w:p>
      <w:pPr>
        <w:spacing w:after="0" w:line="164" w:lineRule="exact"/>
        <w:rPr>
          <w:sz w:val="20"/>
          <w:szCs w:val="20"/>
          <w:color w:val="auto"/>
        </w:rPr>
      </w:pPr>
    </w:p>
    <w:p>
      <w:pPr>
        <w:ind w:right="20"/>
        <w:spacing w:after="0" w:line="242" w:lineRule="auto"/>
        <w:rPr>
          <w:sz w:val="20"/>
          <w:szCs w:val="20"/>
          <w:color w:val="auto"/>
        </w:rPr>
      </w:pPr>
      <w:r>
        <w:rPr>
          <w:rFonts w:ascii="Arial" w:cs="Arial" w:eastAsia="Arial" w:hAnsi="Arial"/>
          <w:sz w:val="15"/>
          <w:szCs w:val="15"/>
          <w:b w:val="1"/>
          <w:bCs w:val="1"/>
          <w:i w:val="1"/>
          <w:iCs w:val="1"/>
          <w:color w:val="auto"/>
        </w:rPr>
        <w:t xml:space="preserve">Timo Vättö. </w:t>
      </w:r>
      <w:r>
        <w:rPr>
          <w:rFonts w:ascii="Arial" w:cs="Arial" w:eastAsia="Arial" w:hAnsi="Arial"/>
          <w:sz w:val="15"/>
          <w:szCs w:val="15"/>
          <w:color w:val="auto"/>
        </w:rPr>
        <w:t>Mr. Vättö was appointed to the Board of Directors of Altisource in August 2009, as Lead Independent Director in May 2014 and as Chairman of 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in January 2015. He is the founder and owner of Cundo Management AG, a provider of independent corporate advisory services, which was founded in November 2008. Mr. Vättö serves as Chairman of the Board of Directors of Evalueserve Ltd, a privately held global professional services provider offering research, analytics and data management services. He also serves on the Board of Directors of IHAG Holding AG, a family-owned company that holds a diversified portfolio of majority and minority shareholdings in a variety of sectors, on the Board of Directors of Rettig Group, a privately held investment company, and as Chairman of the Board of Directors of KYC Exchange Net AG, a privately held company that provides a secure platform for Know Your Customer and Customer Due Diligence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 member of the Board of Directors, including as a member of the Audit Committee, of Citibank (Switzerland) AG, part of Citigroup's Wealth Management Business. Mr. Vättö holds a Master of Science in Economics and Business Administration from the University of Tampere in Finland.</w:t>
      </w:r>
    </w:p>
    <w:p>
      <w:pPr>
        <w:spacing w:after="0" w:line="179"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Mr. Vättö's experience with Cundo Management AG and Citigroup makes him financially literate and qualifies him as a financial expert as defined by NASDAQ listing standards and SEC rules, and his knowledge of the financial services industry provides the Board of Directors with subject matter expertise. Through his eight plus years of service on our Board of Directors, Mr. Vättö has developed a thorough understanding of our business and industry.</w:t>
      </w:r>
    </w:p>
    <w:p>
      <w:pPr>
        <w:spacing w:after="0" w:line="156" w:lineRule="exact"/>
        <w:rPr>
          <w:sz w:val="20"/>
          <w:szCs w:val="20"/>
          <w:color w:val="auto"/>
        </w:rPr>
      </w:pPr>
    </w:p>
    <w:p>
      <w:pPr>
        <w:spacing w:after="0" w:line="282" w:lineRule="auto"/>
        <w:rPr>
          <w:sz w:val="20"/>
          <w:szCs w:val="20"/>
          <w:color w:val="auto"/>
        </w:rPr>
      </w:pPr>
      <w:r>
        <w:rPr>
          <w:rFonts w:ascii="Arial" w:cs="Arial" w:eastAsia="Arial" w:hAnsi="Arial"/>
          <w:sz w:val="14"/>
          <w:szCs w:val="14"/>
          <w:b w:val="1"/>
          <w:bCs w:val="1"/>
          <w:i w:val="1"/>
          <w:iCs w:val="1"/>
          <w:color w:val="auto"/>
        </w:rPr>
        <w:t xml:space="preserve">Orin S. Kramer. </w:t>
      </w:r>
      <w:r>
        <w:rPr>
          <w:rFonts w:ascii="Arial" w:cs="Arial" w:eastAsia="Arial" w:hAnsi="Arial"/>
          <w:sz w:val="14"/>
          <w:szCs w:val="14"/>
          <w:color w:val="auto"/>
        </w:rPr>
        <w:t>Mr. Kramer was appointed to the Board of Directors of Altisource in August 2016. Mr. Kramer manages Boston Provident, L.P., a private investment fund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founded in 1992. He has served as Chairman of the New Jersey State Investment Council from 2002 to 2010, Chairman of the Robert F. Kennedy Center from 2009 to 2013, and in his region as Chairman of the Community Chest from 1998 to 2007. Mr. Kramer serves on the Board of the National Park Foundation and on the Board of the Climate</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Reality Project, chaired by former Vice President Gore, since 2004. Mr. Kramer has also served on the boards of a number of financial services firms, both public and private.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In 2011, Mr. Kramer was appointed to the New York State Council of Economic and Fiscal Advisors by Governor Cuomo. In 2007, he was appointed by the Pennsylvania State Treasurer as a member of the Financial Asset Management Commission, which reviewed the State's investment practices. In 1995, he was designated by the Secretary of Treasury to serve as a member of the Advisory Commission on Financial Services. He was named by President Clinton as a member of the Commission to Study Capital Budgeting. In 1992, he served as a coordinator of President-elect Clinton's transition team on financial services issues. In 1990, he was appointed by the Governor of California as Executive Director of the California Commission on Ratemaking for Workers Compensation Insurance. In 1986, he served as Vice-chairman and Executive Director of a special commission appointed by Governor Cuomo to study the liability insurance crisis and civil justice reform and he co-authored the New York DeWind Commission report on product deregulation for banks. Mr. Kramer has published two books and a number of studies on the financial services industry. He has taught financial institutions law at Columbia Law School.</w:t>
      </w:r>
    </w:p>
    <w:p>
      <w:pPr>
        <w:spacing w:after="0" w:line="177" w:lineRule="exact"/>
        <w:rPr>
          <w:sz w:val="20"/>
          <w:szCs w:val="20"/>
          <w:color w:val="auto"/>
        </w:rPr>
      </w:pPr>
    </w:p>
    <w:p>
      <w:pPr>
        <w:ind w:right="240"/>
        <w:spacing w:after="0" w:line="241" w:lineRule="auto"/>
        <w:rPr>
          <w:sz w:val="20"/>
          <w:szCs w:val="20"/>
          <w:color w:val="auto"/>
        </w:rPr>
      </w:pPr>
      <w:r>
        <w:rPr>
          <w:rFonts w:ascii="Arial" w:cs="Arial" w:eastAsia="Arial" w:hAnsi="Arial"/>
          <w:sz w:val="15"/>
          <w:szCs w:val="15"/>
          <w:color w:val="auto"/>
        </w:rPr>
        <w:t>From 1981 to 1983, Mr. Kramer was a member of the Financial Institutions group at the management-consulting firm of McKinsey &amp; Co. From 1977 to 1981, he served as Associate Director of the White House Domestic Policy Staff. Previously, Mr. Kramer had been an associate with the law firm of Simpson Thacher &amp; Bartlett and Executive Director of the New York State Commission on Living Costs and the Economy. He received a Bachelor of Arts from Yale College and a Juris Doctor from Columbia Law School.</w:t>
      </w:r>
    </w:p>
    <w:p>
      <w:pPr>
        <w:spacing w:after="0" w:line="177"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Mr. Kramer has over thirty-five years of experience in various public sector roles in the financial services industry. With his extensive experience in business advisory services and investment activity and his deep knowledge of the financial services industry, Mr. Kramer offers both financial expertise and a valuable perspective on government, regulation and risk management.</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i w:val="1"/>
          <w:iCs w:val="1"/>
          <w:color w:val="auto"/>
        </w:rPr>
        <w:t xml:space="preserve">W. Michael Linn. </w:t>
      </w:r>
      <w:r>
        <w:rPr>
          <w:rFonts w:ascii="Arial" w:cs="Arial" w:eastAsia="Arial" w:hAnsi="Arial"/>
          <w:sz w:val="15"/>
          <w:szCs w:val="15"/>
          <w:color w:val="auto"/>
        </w:rPr>
        <w:t>Mr. Linn was appointed to the Board of Directors of Altisource in May 2011. Mr. Linn also serves as a Board member of Panua Partners in Hope,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charitable organization dedicated to demonstrating a cost effective methodology for eliminating multigenerational poverty. In addition, Mr. Linn is a private investor in energy-related industries. Mr. Linn previously served as President and Chief Executive Officer of Greensleeves, LLC from January 2010 to April 2014. He also served on the Board of Directors of National Lime and Stone from 1994 through 2012. Mr. Linn served on the Board of Directors of Ocwen Financial Corporation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77" w:lineRule="exact"/>
        <w:rPr>
          <w:sz w:val="20"/>
          <w:szCs w:val="20"/>
          <w:color w:val="auto"/>
        </w:rPr>
      </w:pPr>
    </w:p>
    <w:p>
      <w:pPr>
        <w:ind w:right="320"/>
        <w:spacing w:after="0" w:line="243" w:lineRule="auto"/>
        <w:rPr>
          <w:sz w:val="20"/>
          <w:szCs w:val="20"/>
          <w:color w:val="auto"/>
        </w:rPr>
      </w:pPr>
      <w:r>
        <w:rPr>
          <w:rFonts w:ascii="Arial" w:cs="Arial" w:eastAsia="Arial" w:hAnsi="Arial"/>
          <w:sz w:val="15"/>
          <w:szCs w:val="15"/>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defined by NASDAQ listing standards and SEC rules. Through his seven plus years of service on our Board of Directors, Mr. Linn has developed a thorough understanding of our business and industry.</w:t>
      </w:r>
    </w:p>
    <w:p>
      <w:pPr>
        <w:spacing w:after="0" w:line="156" w:lineRule="exact"/>
        <w:rPr>
          <w:sz w:val="20"/>
          <w:szCs w:val="20"/>
          <w:color w:val="auto"/>
        </w:rPr>
      </w:pPr>
    </w:p>
    <w:p>
      <w:pPr>
        <w:jc w:val="both"/>
        <w:ind w:right="120"/>
        <w:spacing w:after="0" w:line="255" w:lineRule="auto"/>
        <w:rPr>
          <w:sz w:val="20"/>
          <w:szCs w:val="20"/>
          <w:color w:val="auto"/>
        </w:rPr>
      </w:pPr>
      <w:r>
        <w:rPr>
          <w:rFonts w:ascii="Arial" w:cs="Arial" w:eastAsia="Arial" w:hAnsi="Arial"/>
          <w:sz w:val="15"/>
          <w:szCs w:val="15"/>
          <w:b w:val="1"/>
          <w:bCs w:val="1"/>
          <w:i w:val="1"/>
          <w:iCs w:val="1"/>
          <w:color w:val="auto"/>
        </w:rPr>
        <w:t xml:space="preserve">Joseph L. Morettini. </w:t>
      </w:r>
      <w:r>
        <w:rPr>
          <w:rFonts w:ascii="Arial" w:cs="Arial" w:eastAsia="Arial" w:hAnsi="Arial"/>
          <w:sz w:val="15"/>
          <w:szCs w:val="15"/>
          <w:color w:val="auto"/>
        </w:rPr>
        <w:t>Mr. Morettini was appointed to the Board of Directors of Altisource in May 2017. Mr. Morettini served as Partner of Deloitte &amp; Touche LLP ("Deloitte")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1989 until his retirement in 2015, and in various positions with Deloitte from 1984 to 1989. During his tenure at Deloitte, his client responsibilities included companies in the financial services and mortgage servicing industries in addition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various public companies from small market capitalization to large market capitalization.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Mr. Morettini's extensive experience with large financial institutions and public corporations in the financial services and mortgage servicing industries and his over thirty years of experience with Deloitte provide the Board of Directors with valuable insight from an accounting and audit perspective. Mr. Morettini is financially literate and qualifies as a financial expert as defined by NASDAQ listing standards and SEC rules.</w:t>
      </w:r>
    </w:p>
    <w:p>
      <w:pPr>
        <w:spacing w:after="0" w:line="156" w:lineRule="exact"/>
        <w:rPr>
          <w:sz w:val="20"/>
          <w:szCs w:val="20"/>
          <w:color w:val="auto"/>
        </w:rPr>
      </w:pPr>
    </w:p>
    <w:p>
      <w:pPr>
        <w:spacing w:after="0"/>
        <w:tabs>
          <w:tab w:leader="none" w:pos="1820" w:val="left"/>
        </w:tabs>
        <w:rPr>
          <w:sz w:val="20"/>
          <w:szCs w:val="20"/>
          <w:color w:val="auto"/>
        </w:rPr>
      </w:pPr>
      <w:r>
        <w:rPr>
          <w:rFonts w:ascii="Arial" w:cs="Arial" w:eastAsia="Arial" w:hAnsi="Arial"/>
          <w:sz w:val="15"/>
          <w:szCs w:val="15"/>
          <w:b w:val="1"/>
          <w:bCs w:val="1"/>
          <w:i w:val="1"/>
          <w:iCs w:val="1"/>
          <w:color w:val="auto"/>
        </w:rPr>
        <w:t>Roland Müller-Ineichen.</w:t>
      </w:r>
      <w:r>
        <w:rPr>
          <w:sz w:val="20"/>
          <w:szCs w:val="20"/>
          <w:color w:val="auto"/>
        </w:rPr>
        <w:tab/>
      </w:r>
      <w:r>
        <w:rPr>
          <w:rFonts w:ascii="Arial" w:cs="Arial" w:eastAsia="Arial" w:hAnsi="Arial"/>
          <w:sz w:val="14"/>
          <w:szCs w:val="14"/>
          <w:color w:val="auto"/>
        </w:rPr>
        <w:t>Mr. Müller-Ineichen was appointed to the Board of Directors of Altisource in July 2009. He also serves on the Board of Directors of Bank</w:t>
      </w:r>
    </w:p>
    <w:p>
      <w:pPr>
        <w:spacing w:after="0" w:line="1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of Sberbank (Switzerland) Ltd, based in Zurich, Switzerland, a subsidiary of Sberbank Russia, offering trade finance, trading and corporate banking services; and of Habib Bank AG Zurich, a provider of corporate, personal, private, and correspondent banking products based in Zurich.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defined by NASDAQ listing standards and SEC rules. Through his nine plus years of service on our Board of Directors, Mr. Müller-Ineichen has developed a thorough understanding of our business and industry.</w:t>
      </w:r>
    </w:p>
    <w:p>
      <w:pPr>
        <w:spacing w:after="0" w:line="159"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b w:val="1"/>
          <w:bCs w:val="1"/>
          <w:i w:val="1"/>
          <w:iCs w:val="1"/>
          <w:color w:val="auto"/>
        </w:rPr>
        <w:t xml:space="preserve">William B. Shepro. </w:t>
      </w:r>
      <w:r>
        <w:rPr>
          <w:rFonts w:ascii="Arial" w:cs="Arial" w:eastAsia="Arial" w:hAnsi="Arial"/>
          <w:sz w:val="15"/>
          <w:szCs w:val="15"/>
          <w:color w:val="auto"/>
        </w:rPr>
        <w:t>Mr. Shepro was appointed Chief Executive Officer and to the Board of Directors of Altisource in July 2009. Mr. Shepro previously served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Operating Officer of Ocwen Solutions, a business unit of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He holds a Bachelor of Science in Business from Skidmore College and a Juris Doctor from the Florida State University College of Law.</w:t>
      </w:r>
    </w:p>
    <w:p>
      <w:pPr>
        <w:spacing w:after="0" w:line="172" w:lineRule="exact"/>
        <w:rPr>
          <w:sz w:val="20"/>
          <w:szCs w:val="20"/>
          <w:color w:val="auto"/>
        </w:rPr>
      </w:pPr>
    </w:p>
    <w:p>
      <w:pPr>
        <w:jc w:val="both"/>
        <w:ind w:right="180"/>
        <w:spacing w:after="0" w:line="243" w:lineRule="auto"/>
        <w:rPr>
          <w:sz w:val="20"/>
          <w:szCs w:val="20"/>
          <w:color w:val="auto"/>
        </w:rPr>
      </w:pPr>
      <w:r>
        <w:rPr>
          <w:rFonts w:ascii="Arial" w:cs="Arial" w:eastAsia="Arial" w:hAnsi="Arial"/>
          <w:sz w:val="15"/>
          <w:szCs w:val="15"/>
          <w:color w:val="auto"/>
        </w:rPr>
        <w:t>Mr. Shepro's day-to-day leadership and intimate knowledge of our business and operations provide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of the Board of Directors</w:t>
      </w:r>
    </w:p>
    <w:p>
      <w:pPr>
        <w:spacing w:after="0" w:line="200" w:lineRule="exact"/>
        <w:rPr>
          <w:sz w:val="20"/>
          <w:szCs w:val="20"/>
          <w:color w:val="auto"/>
        </w:rPr>
      </w:pPr>
    </w:p>
    <w:p>
      <w:pPr>
        <w:ind w:right="220"/>
        <w:spacing w:after="0" w:line="243" w:lineRule="auto"/>
        <w:rPr>
          <w:sz w:val="20"/>
          <w:szCs w:val="20"/>
          <w:color w:val="auto"/>
        </w:rPr>
      </w:pPr>
      <w:r>
        <w:rPr>
          <w:rFonts w:ascii="Arial" w:cs="Arial" w:eastAsia="Arial" w:hAnsi="Arial"/>
          <w:sz w:val="15"/>
          <w:szCs w:val="15"/>
          <w:color w:val="auto"/>
        </w:rPr>
        <w:t>The Board of Directors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74" w:lineRule="exact"/>
        <w:rPr>
          <w:sz w:val="20"/>
          <w:szCs w:val="20"/>
          <w:color w:val="auto"/>
        </w:rPr>
      </w:pPr>
    </w:p>
    <w:p>
      <w:pPr>
        <w:jc w:val="both"/>
        <w:ind w:right="520"/>
        <w:spacing w:after="0" w:line="282" w:lineRule="auto"/>
        <w:rPr>
          <w:sz w:val="20"/>
          <w:szCs w:val="20"/>
          <w:color w:val="auto"/>
        </w:rPr>
      </w:pPr>
      <w:r>
        <w:rPr>
          <w:rFonts w:ascii="Arial" w:cs="Arial" w:eastAsia="Arial" w:hAnsi="Arial"/>
          <w:sz w:val="14"/>
          <w:szCs w:val="14"/>
          <w:color w:val="auto"/>
        </w:rPr>
        <w:t>Our Board of Directors met thirteen (13) times in 2017. The average attendance of all incumbent Directors at Board and Committee meetings in 2017 was ninety-eight percent (98%) and each Director attended at least seventy-five percent (75%) of the total number of meetings of the Board and the Committees on which they served.</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Although we do not have a formal policy regarding Director attendance at our annual meetings of shareholders, our Directors generally attend. All of the incumbent members of Board of Directors attended our 2017 annual meeting of shareholders, except Mr. Kramer who was unable to attend due to a personal matter. All of the incumbent members of Board of Directors attended our 2018 annual meeting of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Independence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Corporate Governance Guidelines provide that a majority of our Directors must qualify as independent Directors under NASDAQ listing standards and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177"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The Board of Directors has determined that all of our current Directors other than Mr. Shepro are independent under NASDAQ listing standards. Mr. Shepro is deemed not to be independent because he serves as the Chief Executive Officer of Altisource. Upon his election, the Board of Directors has determined that Mr. Burg will also qualify as independent.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Our Corporate Governance Guidelines provide that the Board may appoint a lead independent director unless the Chairman of the Board is an independent director.</w:t>
      </w:r>
    </w:p>
    <w:p>
      <w:pPr>
        <w:spacing w:after="0"/>
        <w:rPr>
          <w:sz w:val="20"/>
          <w:szCs w:val="20"/>
          <w:color w:val="auto"/>
        </w:rPr>
      </w:pPr>
      <w:r>
        <w:rPr>
          <w:rFonts w:ascii="Arial" w:cs="Arial" w:eastAsia="Arial" w:hAnsi="Arial"/>
          <w:sz w:val="15"/>
          <w:szCs w:val="15"/>
          <w:color w:val="auto"/>
        </w:rPr>
        <w:t>Mr. Vättö, an independent Director, is the Chairman and, as a result, we do not currently have a lead independent director.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Sessions of Independent Directors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Independent Directors met in executive session of the Board of Directors without management five (5) times in 2017.</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200" w:lineRule="exact"/>
        <w:rPr>
          <w:sz w:val="20"/>
          <w:szCs w:val="20"/>
          <w:color w:val="auto"/>
        </w:rPr>
      </w:pPr>
    </w:p>
    <w:p>
      <w:pPr>
        <w:ind w:right="300"/>
        <w:spacing w:after="0" w:line="247" w:lineRule="auto"/>
        <w:rPr>
          <w:sz w:val="20"/>
          <w:szCs w:val="20"/>
          <w:color w:val="auto"/>
        </w:rPr>
      </w:pPr>
      <w:r>
        <w:rPr>
          <w:rFonts w:ascii="Arial" w:cs="Arial" w:eastAsia="Arial" w:hAnsi="Arial"/>
          <w:sz w:val="15"/>
          <w:szCs w:val="15"/>
          <w:color w:val="auto"/>
        </w:rPr>
        <w:t>The Board of Directors currently believes that separating the positions of Chief Executive Officer and Chairman is the appropriate structure for the Company's needs. The Board periodically reviews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leadership structure and may make changes in the future as it deems to be in the best interests of the Company and our shareholders at such time.</w:t>
      </w:r>
    </w:p>
    <w:p>
      <w:pPr>
        <w:spacing w:after="0" w:line="182"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 Chief Executive Officer is responsible for our day-to-day operations and for formulating and executing our long-term strategy in collaboration with the Board of Directors. The Chairman of the Board leads the Board and oversees meetings of the Board of Directors, ensures the delivery of information necessary for the Board's informed decision-making and, together with the Board, approves the strategy for Altisource. We currently believe that the leadership structure now in place appropriately serves the Board's ability to carry out its roles and responsibilities on behalf of the shareholders and allows the Chief Executive Officer to focus his time and energy on operating and managing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200" w:lineRule="exact"/>
        <w:rPr>
          <w:sz w:val="20"/>
          <w:szCs w:val="20"/>
          <w:color w:val="auto"/>
        </w:rPr>
      </w:pPr>
    </w:p>
    <w:p>
      <w:pPr>
        <w:jc w:val="both"/>
        <w:ind w:right="60"/>
        <w:spacing w:after="0" w:line="243" w:lineRule="auto"/>
        <w:rPr>
          <w:sz w:val="20"/>
          <w:szCs w:val="20"/>
          <w:color w:val="auto"/>
        </w:rPr>
      </w:pPr>
      <w:r>
        <w:rPr>
          <w:rFonts w:ascii="Arial" w:cs="Arial" w:eastAsia="Arial" w:hAnsi="Arial"/>
          <w:sz w:val="15"/>
          <w:szCs w:val="15"/>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56"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The Audit Committee of our Board of Directors oversees the relationship with our independent registered certified public accounting firm and certified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auditor; provides 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in which a "Related Person" (as defined by SEC Regulation S-K in accordance with the Company's Related Person Transactions Policy) has a material interest;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 The Audit Committee is also empowered to retain, at the Company's expense, such independent counsel or other advisors as it deems necessary in connection with its responsibilities.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members of the Audit Committee for 2017 were Messrs. Müller-Ineichen, Morettini,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178"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 xml:space="preserve">Our Audit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2018. The Audit Committee met fourteen (14) times and took action pursuant to written consent two (2) times in 2017. The Audit Committee met in executive session with both the Company's internal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external auditors five (5) times, solely with the Company's internal auditors three (3) times and solely with the Company's external auditors five (5) times in 2017.</w:t>
      </w:r>
    </w:p>
    <w:p>
      <w:pPr>
        <w:spacing w:after="0" w:line="164"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The Compensation Committee of our Board of Directors oversees our compensation and employee benefit plans and practices.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also evaluates and makes recommendations to our Board of Directors for compensation and other human resources matters relating to our executive officers. The Compensation Committee reviews with the Chief Executive Officer and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the 2009 Equity Incentive Plan.</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its compensation consultant Exequity LLP ("Exequity") is independent and that the engagement of Exequity by the Company raises no conflict of interest. In 2017, our Compensation Committee engaged Exequity to conduct a peer group analysis, review the compensation levels for Directors and executive officers and review the design of awards granted pursuant to our Long-Term Incentive Plan for our executive officers and other key employees. Please see "Role of Compensation Consultant" in our Compensation Discussion and Analysis for further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 members of the Compensation Committee during 2017 were Messrs. Vättö, Müller-Ineichen and Kramer, with Mr. Vättö serving as the Chairman.</w:t>
      </w:r>
    </w:p>
    <w:p>
      <w:pPr>
        <w:spacing w:after="0" w:line="182" w:lineRule="exact"/>
        <w:rPr>
          <w:sz w:val="20"/>
          <w:szCs w:val="20"/>
          <w:color w:val="auto"/>
        </w:rPr>
      </w:pPr>
    </w:p>
    <w:p>
      <w:pPr>
        <w:ind w:right="400"/>
        <w:spacing w:after="0" w:line="241" w:lineRule="auto"/>
        <w:rPr>
          <w:sz w:val="20"/>
          <w:szCs w:val="20"/>
          <w:color w:val="auto"/>
        </w:rPr>
      </w:pPr>
      <w:r>
        <w:rPr>
          <w:rFonts w:ascii="Arial" w:cs="Arial" w:eastAsia="Arial" w:hAnsi="Arial"/>
          <w:sz w:val="15"/>
          <w:szCs w:val="15"/>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 xml:space="preserve">Our Compensation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2018. The Compensation Committee met eight (8) times in 2017.</w:t>
      </w:r>
    </w:p>
    <w:p>
      <w:pPr>
        <w:spacing w:after="0" w:line="157" w:lineRule="exact"/>
        <w:rPr>
          <w:sz w:val="20"/>
          <w:szCs w:val="20"/>
          <w:color w:val="auto"/>
        </w:rPr>
      </w:pPr>
    </w:p>
    <w:p>
      <w:pPr>
        <w:ind w:right="500"/>
        <w:spacing w:after="0" w:line="272" w:lineRule="auto"/>
        <w:rPr>
          <w:sz w:val="20"/>
          <w:szCs w:val="20"/>
          <w:color w:val="auto"/>
        </w:rPr>
      </w:pPr>
      <w:r>
        <w:rPr>
          <w:rFonts w:ascii="Arial" w:cs="Arial" w:eastAsia="Arial" w:hAnsi="Arial"/>
          <w:sz w:val="15"/>
          <w:szCs w:val="15"/>
          <w:b w:val="1"/>
          <w:bCs w:val="1"/>
          <w:i w:val="1"/>
          <w:iCs w:val="1"/>
          <w:color w:val="auto"/>
        </w:rPr>
        <w:t xml:space="preserve">Compensation Committee Interlocks and Insider Participation. </w:t>
      </w:r>
      <w:r>
        <w:rPr>
          <w:rFonts w:ascii="Arial" w:cs="Arial" w:eastAsia="Arial" w:hAnsi="Arial"/>
          <w:sz w:val="15"/>
          <w:szCs w:val="15"/>
          <w:color w:val="auto"/>
        </w:rPr>
        <w:t>No current member of the Compensation Committee has ever been an officer or employee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and no member has nor has ever had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0"/>
        <w:spacing w:after="0" w:line="243" w:lineRule="auto"/>
        <w:rPr>
          <w:sz w:val="20"/>
          <w:szCs w:val="20"/>
          <w:color w:val="auto"/>
        </w:rPr>
      </w:pPr>
      <w:r>
        <w:rPr>
          <w:rFonts w:ascii="Arial" w:cs="Arial" w:eastAsia="Arial" w:hAnsi="Arial"/>
          <w:sz w:val="15"/>
          <w:szCs w:val="15"/>
          <w:color w:val="auto"/>
        </w:rPr>
        <w:t>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2017 fiscal year.</w:t>
      </w:r>
    </w:p>
    <w:p>
      <w:pPr>
        <w:spacing w:after="0" w:line="156"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b w:val="1"/>
          <w:bCs w:val="1"/>
          <w:i w:val="1"/>
          <w:iCs w:val="1"/>
          <w:color w:val="auto"/>
        </w:rPr>
        <w:t xml:space="preserve">Compliance Committee. </w:t>
      </w:r>
      <w:r>
        <w:rPr>
          <w:rFonts w:ascii="Arial" w:cs="Arial" w:eastAsia="Arial" w:hAnsi="Arial"/>
          <w:sz w:val="15"/>
          <w:szCs w:val="15"/>
          <w:color w:val="auto"/>
        </w:rPr>
        <w:t>The Compliance Committee of our Board of Directors provides assistance to the Board with the development, monitoring and evaluation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2017 were Messrs. Linn, Morettini, Müller-Ineichen and Kramer, with Mr. Linn serving as the Chairman. Each member of the Compliance Committee is independent as defined by NASDAQ listing standards.</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 xml:space="preserve">Our Compliance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February 2018. The Compliance Committee met five (5) times in 2017.</w:t>
      </w:r>
    </w:p>
    <w:p>
      <w:pPr>
        <w:spacing w:after="0" w:line="157"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b w:val="1"/>
          <w:bCs w:val="1"/>
          <w:i w:val="1"/>
          <w:iCs w:val="1"/>
          <w:color w:val="auto"/>
        </w:rPr>
        <w:t xml:space="preserve">Nomination/Governance Committee. </w:t>
      </w:r>
      <w:r>
        <w:rPr>
          <w:rFonts w:ascii="Arial" w:cs="Arial" w:eastAsia="Arial" w:hAnsi="Arial"/>
          <w:sz w:val="15"/>
          <w:szCs w:val="15"/>
          <w:color w:val="auto"/>
        </w:rPr>
        <w:t>The Nomination/Governance Committee of our Board of Directors makes recommendations to our Board of Directors of individuals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69" w:lineRule="exact"/>
        <w:rPr>
          <w:sz w:val="20"/>
          <w:szCs w:val="20"/>
          <w:color w:val="auto"/>
        </w:rPr>
      </w:pPr>
    </w:p>
    <w:p>
      <w:pPr>
        <w:ind w:right="340"/>
        <w:spacing w:after="0" w:line="247" w:lineRule="auto"/>
        <w:rPr>
          <w:sz w:val="20"/>
          <w:szCs w:val="20"/>
          <w:color w:val="auto"/>
        </w:rPr>
      </w:pPr>
      <w:r>
        <w:rPr>
          <w:rFonts w:ascii="Arial" w:cs="Arial" w:eastAsia="Arial" w:hAnsi="Arial"/>
          <w:sz w:val="15"/>
          <w:szCs w:val="15"/>
          <w:color w:val="auto"/>
        </w:rPr>
        <w:t>The members of the Nomination/Governance Committee during 2017 were Messrs. Linn, Vättö and Kramer, with Mr. Linn serving as the Chairman. Each member of the Nomination/Governance Committee is independent as defined by NASDAQ listing standards.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 xml:space="preserve">Our Nomination/Governance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2018. The Nomination/Governance Committee met five (5) times in 2017.</w:t>
      </w:r>
    </w:p>
    <w:p>
      <w:pPr>
        <w:spacing w:after="0" w:line="175" w:lineRule="exact"/>
        <w:rPr>
          <w:sz w:val="20"/>
          <w:szCs w:val="20"/>
          <w:color w:val="auto"/>
        </w:rPr>
      </w:pPr>
    </w:p>
    <w:p>
      <w:pPr>
        <w:ind w:right="260"/>
        <w:spacing w:after="0" w:line="243" w:lineRule="auto"/>
        <w:rPr>
          <w:sz w:val="20"/>
          <w:szCs w:val="20"/>
          <w:color w:val="auto"/>
        </w:rPr>
      </w:pPr>
      <w:r>
        <w:rPr>
          <w:rFonts w:ascii="Arial" w:cs="Arial" w:eastAsia="Arial" w:hAnsi="Arial"/>
          <w:sz w:val="15"/>
          <w:szCs w:val="15"/>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74" w:lineRule="exact"/>
        <w:rPr>
          <w:sz w:val="20"/>
          <w:szCs w:val="20"/>
          <w:color w:val="auto"/>
        </w:rPr>
      </w:pPr>
    </w:p>
    <w:p>
      <w:pPr>
        <w:ind w:right="440"/>
        <w:spacing w:after="0" w:line="243" w:lineRule="auto"/>
        <w:rPr>
          <w:sz w:val="20"/>
          <w:szCs w:val="20"/>
          <w:color w:val="auto"/>
        </w:rPr>
      </w:pPr>
      <w:r>
        <w:rPr>
          <w:rFonts w:ascii="Arial" w:cs="Arial" w:eastAsia="Arial" w:hAnsi="Arial"/>
          <w:sz w:val="15"/>
          <w:szCs w:val="15"/>
          <w:color w:val="auto"/>
        </w:rPr>
        <w:t>When recommending nominees to the Board, the Nomination/Governance Committee considers candidates based on merit, against objective criteria relating to the candidate's knowledge, experience, skills and expertise, with due regard for the benefits of diversity on the Board. In considering diversity, the Nomination/Governance Committee considers differences that relate to gender, age, ethnicity, race, national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6" w:name="page17"/>
    <w:bookmarkEnd w:id="1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4367530</wp:posOffset>
            </wp:positionH>
            <wp:positionV relativeFrom="paragraph">
              <wp:posOffset>114300</wp:posOffset>
            </wp:positionV>
            <wp:extent cx="2900045"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 xml:space="preserve">origin, cultural background, disability, religion and sexual orientation. In February 2018, the Board of Directors amended our Board Diversity Policy to further emphasize the Company's commitment to diversity in connection with appointments to the Board. The Nomination/Governance Committee assesses the effectiveness of our Board Diversity policy as part of its annual review of Board composition and considers the results of this assessment when evaluating director nominees. Our Board Diversity Policy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evaluating a particular candidate, the Nomination/Governance Committee will also consider factors other than the candidate's qualifications and background, including</w:t>
      </w:r>
    </w:p>
    <w:p>
      <w:pPr>
        <w:ind w:left="168" w:hanging="168"/>
        <w:spacing w:after="0"/>
        <w:tabs>
          <w:tab w:leader="none" w:pos="168"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current composition of the Board of Directors and the interplay of the candidate's experience with the background of other members of our Board of Directors,</w:t>
      </w:r>
    </w:p>
    <w:p>
      <w:pPr>
        <w:ind w:left="8" w:right="120" w:hanging="8"/>
        <w:spacing w:after="0" w:line="247" w:lineRule="auto"/>
        <w:tabs>
          <w:tab w:leader="none" w:pos="215" w:val="left"/>
        </w:tabs>
        <w:numPr>
          <w:ilvl w:val="0"/>
          <w:numId w:val="18"/>
        </w:numPr>
        <w:rPr>
          <w:rFonts w:ascii="Arial" w:cs="Arial" w:eastAsia="Arial" w:hAnsi="Arial"/>
          <w:sz w:val="15"/>
          <w:szCs w:val="15"/>
          <w:color w:val="auto"/>
        </w:rPr>
      </w:pPr>
      <w:r>
        <w:rPr>
          <w:rFonts w:ascii="Arial" w:cs="Arial" w:eastAsia="Arial" w:hAnsi="Arial"/>
          <w:sz w:val="15"/>
          <w:szCs w:val="15"/>
          <w:color w:val="auto"/>
        </w:rPr>
        <w:t>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171" w:lineRule="exact"/>
        <w:rPr>
          <w:sz w:val="20"/>
          <w:szCs w:val="20"/>
          <w:color w:val="auto"/>
        </w:rPr>
      </w:pPr>
    </w:p>
    <w:p>
      <w:pPr>
        <w:ind w:left="8" w:right="280"/>
        <w:spacing w:after="0" w:line="241" w:lineRule="auto"/>
        <w:rPr>
          <w:sz w:val="20"/>
          <w:szCs w:val="20"/>
          <w:color w:val="auto"/>
        </w:rPr>
      </w:pPr>
      <w:r>
        <w:rPr>
          <w:rFonts w:ascii="Arial" w:cs="Arial" w:eastAsia="Arial" w:hAnsi="Arial"/>
          <w:sz w:val="15"/>
          <w:szCs w:val="15"/>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77" w:lineRule="exact"/>
        <w:rPr>
          <w:sz w:val="20"/>
          <w:szCs w:val="20"/>
          <w:color w:val="auto"/>
        </w:rPr>
      </w:pPr>
    </w:p>
    <w:p>
      <w:pPr>
        <w:ind w:left="8" w:right="40"/>
        <w:spacing w:after="0"/>
        <w:rPr>
          <w:sz w:val="20"/>
          <w:szCs w:val="20"/>
          <w:color w:val="auto"/>
        </w:rPr>
      </w:pPr>
      <w:r>
        <w:rPr>
          <w:rFonts w:ascii="Arial" w:cs="Arial" w:eastAsia="Arial" w:hAnsi="Arial"/>
          <w:sz w:val="15"/>
          <w:szCs w:val="15"/>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which a shareholder desires to have included in our proxy materials for consideration at our 2019 annual meeting of shareholders must be received at our registered office no later than December 4, 2018. Please see the "Shareholder Proposals" section for additional information regarding shareholder proposals.</w:t>
      </w:r>
    </w:p>
    <w:p>
      <w:pPr>
        <w:spacing w:after="0" w:line="177" w:lineRule="exact"/>
        <w:rPr>
          <w:sz w:val="20"/>
          <w:szCs w:val="20"/>
          <w:color w:val="auto"/>
        </w:rPr>
      </w:pPr>
    </w:p>
    <w:p>
      <w:pPr>
        <w:ind w:left="8" w:right="140"/>
        <w:spacing w:after="0" w:line="241" w:lineRule="auto"/>
        <w:rPr>
          <w:sz w:val="20"/>
          <w:szCs w:val="20"/>
          <w:color w:val="auto"/>
        </w:rPr>
      </w:pPr>
      <w:r>
        <w:rPr>
          <w:rFonts w:ascii="Arial" w:cs="Arial" w:eastAsia="Arial" w:hAnsi="Arial"/>
          <w:sz w:val="15"/>
          <w:szCs w:val="15"/>
          <w:color w:val="auto"/>
        </w:rPr>
        <w:t>On July 24, 2018, following the recommendation of the Nomination/Governance Committee, the Board of Directors nominated Mr. Scott E. Burg for election to the Board of Directors at the Special Meeting, which would increase the size of the Board of Directors to seven (7) Directors. In selecting Mr. Burg to serve on our Board of Directors, the Board of Directors considered the value that he would add due to his relevant experience and understanding of our business and industries. With the addition of Mr. Burg, together with Messrs. Kramer and Morettini, both of whom were elected in the last two years, our Board's composition reflects a balanced approach to Director tenure, allowing the Board to benefit from the experience of longer-serving Directors combined with fresh perspectives from newer Directors.</w:t>
      </w:r>
    </w:p>
    <w:p>
      <w:pPr>
        <w:spacing w:after="0" w:line="175" w:lineRule="exact"/>
        <w:rPr>
          <w:sz w:val="20"/>
          <w:szCs w:val="20"/>
          <w:color w:val="auto"/>
        </w:rPr>
      </w:pPr>
    </w:p>
    <w:p>
      <w:pPr>
        <w:ind w:left="8" w:right="420"/>
        <w:spacing w:after="0" w:line="282" w:lineRule="auto"/>
        <w:rPr>
          <w:sz w:val="20"/>
          <w:szCs w:val="20"/>
          <w:color w:val="auto"/>
        </w:rPr>
      </w:pPr>
      <w:r>
        <w:rPr>
          <w:rFonts w:ascii="Arial" w:cs="Arial" w:eastAsia="Arial" w:hAnsi="Arial"/>
          <w:sz w:val="14"/>
          <w:szCs w:val="14"/>
          <w:color w:val="auto"/>
        </w:rPr>
        <w:t>Our Nomination/Governance Committee continues to consider the composition and diversity of our Board and at a future date may propose the election of an additional director candidate in order to complement the qualifications and experience of our existing Board members, and to enhance the diversity of our Board composition.</w:t>
      </w:r>
    </w:p>
    <w:p>
      <w:pPr>
        <w:spacing w:after="0" w:line="130" w:lineRule="exact"/>
        <w:rPr>
          <w:sz w:val="20"/>
          <w:szCs w:val="20"/>
          <w:color w:val="auto"/>
        </w:rPr>
      </w:pPr>
    </w:p>
    <w:p>
      <w:pPr>
        <w:ind w:left="8"/>
        <w:spacing w:after="0" w:line="272"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is generally responsible to act on behalf of our Board of Directors during the intervals between meetings of our Board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otherwise assist the Board in handling matters that, in the opinion of the Chairman of the Board, should not be postponed until the next</w:t>
      </w:r>
    </w:p>
    <w:p>
      <w:pPr>
        <w:spacing w:after="0" w:line="15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scheduled meeting of the Board. The members of the Executive Committee during 2017 were Messrs. Vättö and Shepro, with Mr. Vättö serving as the Chairman.</w:t>
      </w:r>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 xml:space="preserve">Our Executive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2018. The Executive Committee took no formal actions in 2017.</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Guidelines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175" w:lineRule="exact"/>
        <w:rPr>
          <w:sz w:val="20"/>
          <w:szCs w:val="20"/>
          <w:color w:val="auto"/>
        </w:rPr>
      </w:pPr>
    </w:p>
    <w:p>
      <w:pPr>
        <w:ind w:right="240"/>
        <w:spacing w:after="0" w:line="241" w:lineRule="auto"/>
        <w:rPr>
          <w:sz w:val="20"/>
          <w:szCs w:val="20"/>
          <w:color w:val="auto"/>
        </w:rPr>
      </w:pPr>
      <w:r>
        <w:rPr>
          <w:rFonts w:ascii="Arial" w:cs="Arial" w:eastAsia="Arial" w:hAnsi="Arial"/>
          <w:sz w:val="15"/>
          <w:szCs w:val="15"/>
          <w:color w:val="auto"/>
        </w:rPr>
        <w:t>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February 2018. Our Corporate Governance Guidelines are available on our website at www.altisource.com and are available to any shareholder who requests a copy by writing to our Corporate Secretary at Altisource Portfolio Solutions S.A., 40, avenue Monterey, L-2163 Luxembourg City, Grand Duchy of Luxembourg.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Rights</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We are committed to governance policies and practices that serve the interests of the Company and its shareholders in accordance with Luxembourg law. The following table summarizes some of our policies and practices that provide rights to our shareholders:</w:t>
      </w:r>
    </w:p>
    <w:p>
      <w:pPr>
        <w:spacing w:after="0" w:line="155" w:lineRule="exact"/>
        <w:rPr>
          <w:sz w:val="20"/>
          <w:szCs w:val="20"/>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Majority Voting: </w:t>
      </w:r>
      <w:r>
        <w:rPr>
          <w:rFonts w:ascii="Arial" w:cs="Arial" w:eastAsia="Arial" w:hAnsi="Arial"/>
          <w:sz w:val="15"/>
          <w:szCs w:val="15"/>
          <w:color w:val="auto"/>
        </w:rPr>
        <w:t>Directors are elected by the majority of votes cast.</w:t>
      </w:r>
    </w:p>
    <w:p>
      <w:pPr>
        <w:spacing w:after="0" w:line="22"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Annual Elections: </w:t>
      </w:r>
      <w:r>
        <w:rPr>
          <w:rFonts w:ascii="Arial" w:cs="Arial" w:eastAsia="Arial" w:hAnsi="Arial"/>
          <w:sz w:val="15"/>
          <w:szCs w:val="15"/>
          <w:color w:val="auto"/>
        </w:rPr>
        <w:t>All Directors are elected annually. Altisource does not have a staggered board.</w:t>
      </w:r>
    </w:p>
    <w:p>
      <w:pPr>
        <w:spacing w:after="0" w:line="3" w:lineRule="exact"/>
        <w:rPr>
          <w:rFonts w:ascii="Arial" w:cs="Arial" w:eastAsia="Arial" w:hAnsi="Arial"/>
          <w:sz w:val="15"/>
          <w:szCs w:val="15"/>
          <w:color w:val="auto"/>
        </w:rPr>
      </w:pPr>
    </w:p>
    <w:p>
      <w:pPr>
        <w:ind w:left="900" w:right="200" w:hanging="451"/>
        <w:spacing w:after="0" w:line="238"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Shareholder Proposals: </w:t>
      </w:r>
      <w:r>
        <w:rPr>
          <w:rFonts w:ascii="Arial" w:cs="Arial" w:eastAsia="Arial" w:hAnsi="Arial"/>
          <w:sz w:val="15"/>
          <w:szCs w:val="15"/>
          <w:color w:val="auto"/>
        </w:rPr>
        <w:t>Shareholders representing individually or jointly at least ten percent (10%) of the Company's share capital may nominate candidates</w:t>
      </w:r>
      <w:r>
        <w:rPr>
          <w:rFonts w:ascii="Arial" w:cs="Arial" w:eastAsia="Arial" w:hAnsi="Arial"/>
          <w:sz w:val="15"/>
          <w:szCs w:val="15"/>
          <w:i w:val="1"/>
          <w:iCs w:val="1"/>
          <w:color w:val="auto"/>
        </w:rPr>
        <w:t xml:space="preserve"> </w:t>
      </w:r>
      <w:r>
        <w:rPr>
          <w:rFonts w:ascii="Arial" w:cs="Arial" w:eastAsia="Arial" w:hAnsi="Arial"/>
          <w:sz w:val="15"/>
          <w:szCs w:val="15"/>
          <w:color w:val="auto"/>
        </w:rPr>
        <w:t>for election to the Altisource Board and make other proposals for inclusion in the proxy statement, subject to completing certain formalities. Please see the "Shareholder Proposals" section for additional information.</w:t>
      </w:r>
    </w:p>
    <w:p>
      <w:pPr>
        <w:spacing w:after="0" w:line="1" w:lineRule="exact"/>
        <w:rPr>
          <w:rFonts w:ascii="Arial" w:cs="Arial" w:eastAsia="Arial" w:hAnsi="Arial"/>
          <w:sz w:val="15"/>
          <w:szCs w:val="15"/>
          <w:color w:val="auto"/>
        </w:rPr>
      </w:pPr>
    </w:p>
    <w:p>
      <w:pPr>
        <w:ind w:left="900" w:right="100" w:hanging="451"/>
        <w:spacing w:after="0" w:line="243"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Special Meetings: </w:t>
      </w:r>
      <w:r>
        <w:rPr>
          <w:rFonts w:ascii="Arial" w:cs="Arial" w:eastAsia="Arial" w:hAnsi="Arial"/>
          <w:sz w:val="15"/>
          <w:szCs w:val="15"/>
          <w:color w:val="auto"/>
        </w:rPr>
        <w:t>A special meeting of shareholders may be called at any time by the holders of at least ten percent (10%) of the outstanding stock entitled to</w:t>
      </w:r>
      <w:r>
        <w:rPr>
          <w:rFonts w:ascii="Arial" w:cs="Arial" w:eastAsia="Arial" w:hAnsi="Arial"/>
          <w:sz w:val="15"/>
          <w:szCs w:val="15"/>
          <w:i w:val="1"/>
          <w:iCs w:val="1"/>
          <w:color w:val="auto"/>
        </w:rPr>
        <w:t xml:space="preserve"> </w:t>
      </w:r>
      <w:r>
        <w:rPr>
          <w:rFonts w:ascii="Arial" w:cs="Arial" w:eastAsia="Arial" w:hAnsi="Arial"/>
          <w:sz w:val="15"/>
          <w:szCs w:val="15"/>
          <w:color w:val="auto"/>
        </w:rPr>
        <w:t>be voted at such meeting.</w:t>
      </w:r>
    </w:p>
    <w:p>
      <w:pPr>
        <w:spacing w:after="0" w:line="1" w:lineRule="exact"/>
        <w:rPr>
          <w:rFonts w:ascii="Arial" w:cs="Arial" w:eastAsia="Arial" w:hAnsi="Arial"/>
          <w:sz w:val="15"/>
          <w:szCs w:val="15"/>
          <w:color w:val="auto"/>
        </w:rPr>
      </w:pPr>
    </w:p>
    <w:p>
      <w:pPr>
        <w:ind w:left="900" w:hanging="451"/>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No Shareholder Rights Plan: </w:t>
      </w:r>
      <w:r>
        <w:rPr>
          <w:rFonts w:ascii="Arial" w:cs="Arial" w:eastAsia="Arial" w:hAnsi="Arial"/>
          <w:sz w:val="15"/>
          <w:szCs w:val="15"/>
          <w:color w:val="auto"/>
        </w:rPr>
        <w:t>Altisource does not maintain a shareholder rights plan (sometimes called a "poison pill").</w:t>
      </w:r>
    </w:p>
    <w:p>
      <w:pPr>
        <w:spacing w:after="0" w:line="187"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The Board of Directors and its Committees monitor developments in governance best practices to assure that it continues to meet its commitment to represent shareholder interests.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Engagement</w:t>
      </w:r>
    </w:p>
    <w:p>
      <w:pPr>
        <w:spacing w:after="0" w:line="200"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Engagement with our shareholders helps us gain useful feedback on a wide variety of topics, including corporate governance, compensation practices, Board diversity, capital structure, business performance and the operation of the Company. This feedback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177" w:lineRule="exact"/>
        <w:rPr>
          <w:sz w:val="20"/>
          <w:szCs w:val="20"/>
          <w:color w:val="auto"/>
        </w:rPr>
      </w:pPr>
    </w:p>
    <w:p>
      <w:pPr>
        <w:ind w:right="300"/>
        <w:spacing w:after="0" w:line="264" w:lineRule="auto"/>
        <w:rPr>
          <w:sz w:val="20"/>
          <w:szCs w:val="20"/>
          <w:color w:val="auto"/>
        </w:rPr>
      </w:pPr>
      <w:r>
        <w:rPr>
          <w:rFonts w:ascii="Arial" w:cs="Arial" w:eastAsia="Arial" w:hAnsi="Arial"/>
          <w:sz w:val="14"/>
          <w:szCs w:val="14"/>
          <w:color w:val="auto"/>
        </w:rPr>
        <w:t>Altisource interacts and communicates with shareholders in a number of forums, including quarterly earnings presentations, SEC filings, investor conferences and press releases. In addition, Altisource has a practice of directly engaging with shareholders by phone or in person throughout the year to obtain their input. Such discussions typically include our Chief Executive Officer, our Chief Financial Officer and/or the Chairman of the Board of Directors. In 2017 and in the early part of 2018, we had discussions with shareholders collectively owning more than a majority of our issued and outstanding shares regarding, among other topics, strategy and financial results.</w:t>
      </w:r>
    </w:p>
    <w:p>
      <w:pPr>
        <w:spacing w:after="0" w:line="161"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 xml:space="preserve">Shareholder feedback is thoughtfully considered and has led to modifications in our governance practices and disclosures. At the 2017 annual meeting of shareholders, the Board recommended an </w:t>
      </w:r>
      <w:r>
        <w:rPr>
          <w:rFonts w:ascii="Arial" w:cs="Arial" w:eastAsia="Arial" w:hAnsi="Arial"/>
          <w:sz w:val="15"/>
          <w:szCs w:val="15"/>
          <w:i w:val="1"/>
          <w:iCs w:val="1"/>
          <w:color w:val="auto"/>
        </w:rPr>
        <w:t>annual</w:t>
      </w:r>
      <w:r>
        <w:rPr>
          <w:rFonts w:ascii="Arial" w:cs="Arial" w:eastAsia="Arial" w:hAnsi="Arial"/>
          <w:sz w:val="15"/>
          <w:szCs w:val="15"/>
          <w:color w:val="auto"/>
        </w:rPr>
        <w:t xml:space="preserve"> Say-on-Pay vote after considering feedback from shareholders and that an </w:t>
      </w:r>
      <w:r>
        <w:rPr>
          <w:rFonts w:ascii="Arial" w:cs="Arial" w:eastAsia="Arial" w:hAnsi="Arial"/>
          <w:sz w:val="15"/>
          <w:szCs w:val="15"/>
          <w:i w:val="1"/>
          <w:iCs w:val="1"/>
          <w:color w:val="auto"/>
        </w:rPr>
        <w:t>annual</w:t>
      </w:r>
      <w:r>
        <w:rPr>
          <w:rFonts w:ascii="Arial" w:cs="Arial" w:eastAsia="Arial" w:hAnsi="Arial"/>
          <w:sz w:val="15"/>
          <w:szCs w:val="15"/>
          <w:color w:val="auto"/>
        </w:rPr>
        <w:t xml:space="preserve"> Say-on-Pay vote enables our shareholders to provide timely input on executive compensation matters. In February 2018, in line with the Board's longstanding view and based in part on shareholder encouragement, we amended our Board Diversity Policy to further emphasize our commitment to diversity, and disclosed this policy on our website. In addition, the Nomination/Governance Committee has taken steps to establish a more diverse pool of director candidates as part of its ongoing succession planning process.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corporate.secretary@altisource.lu. Relevant communications received in writing are distributed to our Board of Directors or to individual Directors, as appropriate, depending on the facts and circumstances outlined in the communication received.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Ethics</w:t>
      </w:r>
    </w:p>
    <w:p>
      <w:pPr>
        <w:spacing w:after="0" w:line="200"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Executive Vice President, Finance and Chief Accounting Officer. The Code of Business Conduct and Ethics and the Code of Ethics for Senior Financial Officers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2018.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or otherwise disclosed in accordance with such rules.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Management and Oversight Process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and its Committees play a key role in the oversight of the Company's risk management.</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Through regular reviews with management and internal and external auditors, the Board of Directors and the Audit Committee monitor Altisource's credit risk, liquidity risk, operational risk, legal and regulatory risk and enterprise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175" w:lineRule="exact"/>
        <w:rPr>
          <w:sz w:val="20"/>
          <w:szCs w:val="20"/>
          <w:color w:val="auto"/>
        </w:rPr>
      </w:pPr>
    </w:p>
    <w:p>
      <w:pPr>
        <w:jc w:val="both"/>
        <w:ind w:right="200"/>
        <w:spacing w:after="0" w:line="243" w:lineRule="auto"/>
        <w:rPr>
          <w:sz w:val="20"/>
          <w:szCs w:val="20"/>
          <w:color w:val="auto"/>
        </w:rPr>
      </w:pPr>
      <w:r>
        <w:rPr>
          <w:rFonts w:ascii="Arial" w:cs="Arial" w:eastAsia="Arial" w:hAnsi="Arial"/>
          <w:sz w:val="15"/>
          <w:szCs w:val="15"/>
          <w:color w:val="auto"/>
        </w:rPr>
        <w:t>On an annual basis, the Board of Directors and the Audit Committee perform an enterprise risk assessment with management to review the principal risks and monitors the steps management is taking to map and mitigate these risks. This enterprise risk assessment includes operational, financial, legal and regulatory compliance, reputational, technology, privacy, data security (including cybersecurity), strategic and other risks that could adversely affect our business.</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74" w:lineRule="exact"/>
        <w:rPr>
          <w:sz w:val="20"/>
          <w:szCs w:val="20"/>
          <w:color w:val="auto"/>
        </w:rPr>
      </w:pPr>
    </w:p>
    <w:p>
      <w:pPr>
        <w:ind w:right="740"/>
        <w:spacing w:after="0" w:line="247" w:lineRule="auto"/>
        <w:rPr>
          <w:sz w:val="20"/>
          <w:szCs w:val="20"/>
          <w:color w:val="auto"/>
        </w:rPr>
      </w:pPr>
      <w:r>
        <w:rPr>
          <w:rFonts w:ascii="Arial" w:cs="Arial" w:eastAsia="Arial" w:hAnsi="Arial"/>
          <w:sz w:val="15"/>
          <w:szCs w:val="15"/>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71"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The role of the Board of Directors in risk oversight is consistent with the Company's leadership structure, with the Chief Executive Officer, Chief Administration and Risk Officer and other members of management having responsibility for assessing and managing the Company's risk exposure, and our Chairman, the Board of Directors and its Committees providing oversight of the management of these risks.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Responsibility and Sustainability</w:t>
      </w:r>
    </w:p>
    <w:p>
      <w:pPr>
        <w:spacing w:after="0" w:line="200" w:lineRule="exact"/>
        <w:rPr>
          <w:sz w:val="20"/>
          <w:szCs w:val="20"/>
          <w:color w:val="auto"/>
        </w:rPr>
      </w:pPr>
    </w:p>
    <w:p>
      <w:pPr>
        <w:ind w:right="260"/>
        <w:spacing w:after="0" w:line="241" w:lineRule="auto"/>
        <w:rPr>
          <w:sz w:val="20"/>
          <w:szCs w:val="20"/>
          <w:color w:val="auto"/>
        </w:rPr>
      </w:pPr>
      <w:r>
        <w:rPr>
          <w:rFonts w:ascii="Arial" w:cs="Arial" w:eastAsia="Arial" w:hAnsi="Arial"/>
          <w:sz w:val="15"/>
          <w:szCs w:val="15"/>
          <w:color w:val="auto"/>
        </w:rPr>
        <w:t>At Altisource, we are dedicated to improving the welfare of the communities in which we operate through social and other responsibility initiatives, such as our continued collaboration with Habitat for Humanity International ("Habitat") to help revitalize homes and communities. We believe that our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 contributing to the long-term success of our business.</w:t>
      </w:r>
    </w:p>
    <w:p>
      <w:pPr>
        <w:spacing w:after="0" w:line="177"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In 2017, Altisource employees dedicated over 4,400 hours to community-service activities, which is approximately twice the number of hours dedicated in 2016. These activities included helping to build or renovate homes in nine U.S. metropolitan areas as part of the Company's alliance with Habitat, participating in the building of homes, schools and sanitation infrastructure in India, helping to create shelter for low-income families in Uruguay and repainting an elementary school in the Philippines. The Company also donated over $700,000 in support of activities including home-building in the U.S., India and Uruguay and assistance in Texas, Florida and the United States Virgin Islands following the 2017 hurricanes that affected those areas.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114300</wp:posOffset>
            </wp:positionV>
            <wp:extent cx="2900045"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0004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In addition, in 2017, Altisource's Corporate Responsibility Management Committee began studying how to expand the Company's sustainability efforts, including waste reduction and energy efficiency, and developing a framework for reporting on these efforts. We currently anticipate finalizing this framework in 2018. We are also focused in 2018 on increasing diversity among the vendors for certain of our businesses, as well as on the further expansion of our sustainability practices in telecommuting, mass transit and other areas.</w:t>
      </w:r>
    </w:p>
    <w:p>
      <w:pPr>
        <w:spacing w:after="0" w:line="177" w:lineRule="exact"/>
        <w:rPr>
          <w:sz w:val="20"/>
          <w:szCs w:val="20"/>
          <w:color w:val="auto"/>
        </w:rPr>
      </w:pPr>
    </w:p>
    <w:p>
      <w:pPr>
        <w:ind w:right="320"/>
        <w:spacing w:after="0" w:line="247" w:lineRule="auto"/>
        <w:rPr>
          <w:sz w:val="20"/>
          <w:szCs w:val="20"/>
          <w:color w:val="auto"/>
        </w:rPr>
      </w:pPr>
      <w:r>
        <w:rPr>
          <w:rFonts w:ascii="Arial" w:cs="Arial" w:eastAsia="Arial" w:hAnsi="Arial"/>
          <w:sz w:val="15"/>
          <w:szCs w:val="15"/>
          <w:color w:val="auto"/>
        </w:rPr>
        <w:t>Our Board of Directors provides oversight of our Corporate Responsibility Management Committee and receives regular updates on the effectiveness of the Corporate Responsibility program.</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42" w:right="4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Arrangements for Non-Management Directors</w:t>
      </w:r>
    </w:p>
    <w:p>
      <w:pPr>
        <w:spacing w:after="0" w:line="200" w:lineRule="exact"/>
        <w:rPr>
          <w:sz w:val="20"/>
          <w:szCs w:val="20"/>
          <w:color w:val="auto"/>
        </w:rPr>
      </w:pPr>
    </w:p>
    <w:p>
      <w:pPr>
        <w:ind w:right="160"/>
        <w:spacing w:after="0" w:line="243" w:lineRule="auto"/>
        <w:rPr>
          <w:sz w:val="20"/>
          <w:szCs w:val="20"/>
          <w:color w:val="auto"/>
        </w:rPr>
      </w:pPr>
      <w:r>
        <w:rPr>
          <w:rFonts w:ascii="Arial" w:cs="Arial" w:eastAsia="Arial" w:hAnsi="Arial"/>
          <w:sz w:val="15"/>
          <w:szCs w:val="15"/>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74"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75"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For the 2016 to 2017 service year, all of our non-management Directors attended at least seventy-five percent (75%) of all meetings of the Board of Directors and Committees on which they served, and all of the non-management Directors who served as Directors during the service year, other than Mr. Kramer, received an award of 4,126 shares of our common stock at the end of the service year based on an award value of $110,000. For the 2016 to 2017 service year, Mr. Kramer, having served on the Board of Directors less than a full service year, received 2,627 shares based on an award value of $81,972 ($110,000 prorated to his election date). Mr. Morettini did not receive a service award for the 2016 to 2017 service year, having been elected to the Board beginning in the 2017 to 2018 service year.</w:t>
      </w:r>
    </w:p>
    <w:p>
      <w:pPr>
        <w:spacing w:after="0" w:line="175"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For the 2017 to 2018 service year, our non-management Directors attended at least seventy-five percent (75%) of all meetings of the Board of Directors and Committees on which they served and received 5,762 shares of our common stock at the end of the service year, based on an award value of $110,000 divided by the average of the high and low prices of the common stock as reported on the NASDAQ Global Select Market on the first day of the 2017 to 2018 service year.</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For the 2018 to 2019 service year, our non-management Directors who attend at least seventy-five percent (75%) of all meetings of the Board and Committees on which they serve will receive 4,139 shares of common stock at the end of the service year, based on an award value of $120,000, divided by the average of the high and low prices of the common stock as reported on the NASDAQ Global Select Market on the first day of the 2018 to 2019 service year, as approved by our shareholders at our 2018 annual meeting of shareholders. If elected, our Director nominee's award for the 2018 to 2019 service year will be pro-rated based on his election date.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In addition, in line with our philosophy that the interests of our Directors should be aligned with those of our shareholders, new non-management Directors are granted a one-time award of 500 shares of common stock, which are scheduled to vest in four equal installments, with the initial portion vesting on the date of the annual meeting following the award and vesting continuing on the dates of the next three (3) annual meetings. Accordingly, on the date of our 2017 annual meeting, Mr. Morettini received a one-time award of 500 shares of common stock which will vest in four equal installments each year on the date of our annual meeting, subject to his continued service on the Board. If elected, our Director nominee will receive a one-time grant of 500 shares of common stock on the date of his initial election, which will vest in four (4) installments each year on the date of our annual meeting of shareholders.</w:t>
      </w:r>
    </w:p>
    <w:p>
      <w:pPr>
        <w:spacing w:after="0" w:line="178"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As approved by our shareholders at our 2016 annual meeting of shareholders, each non-management member of our Board of Directors also receives the following annual cash compensation, in quarterly installments:</w:t>
      </w:r>
    </w:p>
    <w:p>
      <w:pPr>
        <w:spacing w:after="0" w:line="171" w:lineRule="exact"/>
        <w:rPr>
          <w:sz w:val="20"/>
          <w:szCs w:val="20"/>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10" w:lineRule="exact"/>
        <w:rPr>
          <w:rFonts w:ascii="Arial" w:cs="Arial" w:eastAsia="Arial" w:hAnsi="Arial"/>
          <w:sz w:val="15"/>
          <w:szCs w:val="15"/>
          <w:color w:val="auto"/>
        </w:rPr>
      </w:pPr>
    </w:p>
    <w:p>
      <w:pPr>
        <w:ind w:left="900" w:hanging="451"/>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$100,000 to the Chairman of the Board of Directors;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5161915</wp:posOffset>
            </wp:positionH>
            <wp:positionV relativeFrom="paragraph">
              <wp:posOffset>114300</wp:posOffset>
            </wp:positionV>
            <wp:extent cx="2100580" cy="1377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0580"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additional $25,000 to the Audit Committee Chairman;</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additional $17,500 to the Compliance Committee Chairman;</w:t>
      </w: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additional $15,000 to the Compensation Committee Chairman;</w:t>
      </w: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additional $12,500 to the Nomination/Governance Committee Chairman;</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additional $10,000 to all Audit Committee members (other than the Audit Committee Chairman);</w:t>
      </w: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additional $10,000 to all Compliance Committee members (other than the Compliance Committee chairman);</w:t>
      </w: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additional $7,500 to all Compensation Committee members (other than the Compensation Committee Chairman); and</w:t>
      </w:r>
    </w:p>
    <w:p>
      <w:pPr>
        <w:spacing w:after="0" w:line="10" w:lineRule="exact"/>
        <w:rPr>
          <w:rFonts w:ascii="Arial" w:cs="Arial" w:eastAsia="Arial" w:hAnsi="Arial"/>
          <w:sz w:val="15"/>
          <w:szCs w:val="15"/>
          <w:color w:val="auto"/>
        </w:rPr>
      </w:pPr>
    </w:p>
    <w:p>
      <w:pPr>
        <w:ind w:left="900" w:hanging="451"/>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additional $5,000 to all Nomination/Governance Committee members (other than the Nomination/Governance Committee Chairman)</w:t>
      </w:r>
    </w:p>
    <w:p>
      <w:pPr>
        <w:spacing w:after="0" w:line="182" w:lineRule="exact"/>
        <w:rPr>
          <w:sz w:val="20"/>
          <w:szCs w:val="20"/>
          <w:color w:val="auto"/>
        </w:rPr>
      </w:pPr>
    </w:p>
    <w:p>
      <w:pPr>
        <w:ind w:right="340"/>
        <w:spacing w:after="0" w:line="247" w:lineRule="auto"/>
        <w:rPr>
          <w:sz w:val="20"/>
          <w:szCs w:val="20"/>
          <w:color w:val="auto"/>
        </w:rPr>
      </w:pPr>
      <w:r>
        <w:rPr>
          <w:rFonts w:ascii="Arial" w:cs="Arial" w:eastAsia="Arial" w:hAnsi="Arial"/>
          <w:sz w:val="15"/>
          <w:szCs w:val="15"/>
          <w:color w:val="auto"/>
        </w:rPr>
        <w:t>The Company also pays for, or reimburses our Directors for, their reasonable travel, lodging, food and other expenses related to their attendance at Board, Committee or shareholder meetings or other corporate functions.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Non-Management Director Compensation for 2017</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The following table summarizes (i) cash compensation earned by each non-management member of our Board of Directors who served as a Director during 2017, (ii) stock awards made to our non-management Directors in 2017 for their service in the 2016 to 2017 service year and (iii) any other compensation received in 2017. Our management Director does not receive an annual retainer or any other compensation for his service on the Board of Directors.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Fees Earned</w:t>
            </w:r>
          </w:p>
        </w:tc>
        <w:tc>
          <w:tcPr>
            <w:tcW w:w="200" w:type="dxa"/>
            <w:vAlign w:val="bottom"/>
          </w:tcPr>
          <w:p>
            <w:pPr>
              <w:spacing w:after="0"/>
              <w:rPr>
                <w:sz w:val="16"/>
                <w:szCs w:val="16"/>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w w:val="92"/>
              </w:rPr>
              <w:t>Stock Awards</w:t>
            </w:r>
            <w:r>
              <w:rPr>
                <w:rFonts w:ascii="Arial" w:cs="Arial" w:eastAsia="Arial" w:hAnsi="Arial"/>
                <w:sz w:val="24"/>
                <w:szCs w:val="24"/>
                <w:b w:val="1"/>
                <w:bCs w:val="1"/>
                <w:color w:val="auto"/>
                <w:w w:val="92"/>
                <w:vertAlign w:val="superscript"/>
              </w:rPr>
              <w:t>(2)</w:t>
            </w:r>
          </w:p>
        </w:tc>
        <w:tc>
          <w:tcPr>
            <w:tcW w:w="1240" w:type="dxa"/>
            <w:vAlign w:val="bottom"/>
            <w:gridSpan w:val="2"/>
          </w:tcPr>
          <w:p>
            <w:pPr>
              <w:ind w:left="220"/>
              <w:spacing w:after="0"/>
              <w:rPr>
                <w:sz w:val="20"/>
                <w:szCs w:val="20"/>
                <w:color w:val="auto"/>
              </w:rPr>
            </w:pPr>
            <w:r>
              <w:rPr>
                <w:rFonts w:ascii="Arial" w:cs="Arial" w:eastAsia="Arial" w:hAnsi="Arial"/>
                <w:sz w:val="15"/>
                <w:szCs w:val="15"/>
                <w:b w:val="1"/>
                <w:bCs w:val="1"/>
                <w:color w:val="auto"/>
              </w:rPr>
              <w:t>All Other</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40" w:type="dxa"/>
            <w:vAlign w:val="bottom"/>
          </w:tcPr>
          <w:p>
            <w:pPr>
              <w:ind w:left="620"/>
              <w:spacing w:after="0"/>
              <w:rPr>
                <w:sz w:val="20"/>
                <w:szCs w:val="20"/>
                <w:color w:val="auto"/>
              </w:rPr>
            </w:pPr>
            <w:r>
              <w:rPr>
                <w:rFonts w:ascii="Arial" w:cs="Arial" w:eastAsia="Arial" w:hAnsi="Arial"/>
                <w:sz w:val="15"/>
                <w:szCs w:val="15"/>
                <w:b w:val="1"/>
                <w:bCs w:val="1"/>
                <w:color w:val="auto"/>
              </w:rPr>
              <w:t>Name</w:t>
            </w:r>
          </w:p>
        </w:tc>
        <w:tc>
          <w:tcPr>
            <w:tcW w:w="2860" w:type="dxa"/>
            <w:vAlign w:val="bottom"/>
          </w:tcPr>
          <w:p>
            <w:pPr>
              <w:spacing w:after="0"/>
              <w:rPr>
                <w:sz w:val="17"/>
                <w:szCs w:val="17"/>
                <w:color w:val="auto"/>
              </w:rPr>
            </w:pPr>
          </w:p>
        </w:tc>
        <w:tc>
          <w:tcPr>
            <w:tcW w:w="1220" w:type="dxa"/>
            <w:vAlign w:val="bottom"/>
          </w:tcPr>
          <w:p>
            <w:pPr>
              <w:jc w:val="right"/>
              <w:spacing w:after="0" w:line="205" w:lineRule="exact"/>
              <w:rPr>
                <w:sz w:val="20"/>
                <w:szCs w:val="20"/>
                <w:color w:val="auto"/>
              </w:rPr>
            </w:pPr>
            <w:r>
              <w:rPr>
                <w:rFonts w:ascii="Arial" w:cs="Arial" w:eastAsia="Arial" w:hAnsi="Arial"/>
                <w:sz w:val="14"/>
                <w:szCs w:val="14"/>
                <w:b w:val="1"/>
                <w:bCs w:val="1"/>
                <w:color w:val="auto"/>
                <w:w w:val="99"/>
              </w:rPr>
              <w:t>or Paid in Cash</w:t>
            </w:r>
            <w:r>
              <w:rPr>
                <w:rFonts w:ascii="Arial" w:cs="Arial" w:eastAsia="Arial" w:hAnsi="Arial"/>
                <w:sz w:val="23"/>
                <w:szCs w:val="23"/>
                <w:b w:val="1"/>
                <w:bCs w:val="1"/>
                <w:color w:val="auto"/>
                <w:w w:val="99"/>
                <w:vertAlign w:val="superscript"/>
              </w:rPr>
              <w:t>(1)</w:t>
            </w:r>
          </w:p>
        </w:tc>
        <w:tc>
          <w:tcPr>
            <w:tcW w:w="2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w w:val="97"/>
              </w:rPr>
              <w:t>Compensation</w:t>
            </w:r>
          </w:p>
        </w:tc>
        <w:tc>
          <w:tcPr>
            <w:tcW w:w="800" w:type="dxa"/>
            <w:vAlign w:val="bottom"/>
            <w:gridSpan w:val="2"/>
          </w:tcPr>
          <w:p>
            <w:pPr>
              <w:ind w:left="1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164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4"/>
                <w:szCs w:val="14"/>
                <w:color w:val="auto"/>
              </w:rPr>
              <w:t>Timo Vättö</w:t>
            </w:r>
            <w:r>
              <w:rPr>
                <w:rFonts w:ascii="Arial" w:cs="Arial" w:eastAsia="Arial" w:hAnsi="Arial"/>
                <w:sz w:val="22"/>
                <w:szCs w:val="22"/>
                <w:color w:val="auto"/>
                <w:vertAlign w:val="superscript"/>
              </w:rPr>
              <w:t>(3)</w:t>
            </w:r>
          </w:p>
        </w:tc>
        <w:tc>
          <w:tcPr>
            <w:tcW w:w="286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$184,000</w:t>
            </w: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$81,179</w:t>
            </w:r>
          </w:p>
        </w:tc>
        <w:tc>
          <w:tcPr>
            <w:tcW w:w="1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$265,179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40" w:type="dxa"/>
            <w:vAlign w:val="bottom"/>
          </w:tcPr>
          <w:p>
            <w:pPr>
              <w:spacing w:after="0"/>
              <w:rPr>
                <w:sz w:val="20"/>
                <w:szCs w:val="20"/>
                <w:color w:val="auto"/>
              </w:rPr>
            </w:pPr>
            <w:r>
              <w:rPr>
                <w:rFonts w:ascii="Arial" w:cs="Arial" w:eastAsia="Arial" w:hAnsi="Arial"/>
                <w:sz w:val="15"/>
                <w:szCs w:val="15"/>
                <w:color w:val="auto"/>
              </w:rPr>
              <w:t>Orin S. Kramer</w:t>
            </w:r>
          </w:p>
        </w:tc>
        <w:tc>
          <w:tcPr>
            <w:tcW w:w="4080" w:type="dxa"/>
            <w:vAlign w:val="bottom"/>
            <w:gridSpan w:val="2"/>
          </w:tcPr>
          <w:p>
            <w:pPr>
              <w:jc w:val="right"/>
              <w:ind w:right="186"/>
              <w:spacing w:after="0"/>
              <w:rPr>
                <w:sz w:val="20"/>
                <w:szCs w:val="20"/>
                <w:color w:val="auto"/>
              </w:rPr>
            </w:pPr>
            <w:r>
              <w:rPr>
                <w:rFonts w:ascii="Arial" w:cs="Arial" w:eastAsia="Arial" w:hAnsi="Arial"/>
                <w:sz w:val="15"/>
                <w:szCs w:val="15"/>
                <w:color w:val="auto"/>
              </w:rPr>
              <w:t>$76,500</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$51,686</w:t>
            </w:r>
          </w:p>
        </w:tc>
        <w:tc>
          <w:tcPr>
            <w:tcW w:w="1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5"/>
              </w:rPr>
              <w:t>$128,186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40" w:type="dxa"/>
            <w:vAlign w:val="bottom"/>
            <w:shd w:val="clear" w:color="auto" w:fill="CCEEFF"/>
          </w:tcPr>
          <w:p>
            <w:pPr>
              <w:spacing w:after="0"/>
              <w:rPr>
                <w:sz w:val="20"/>
                <w:szCs w:val="20"/>
                <w:color w:val="auto"/>
              </w:rPr>
            </w:pPr>
            <w:r>
              <w:rPr>
                <w:rFonts w:ascii="Arial" w:cs="Arial" w:eastAsia="Arial" w:hAnsi="Arial"/>
                <w:sz w:val="15"/>
                <w:szCs w:val="15"/>
                <w:color w:val="auto"/>
              </w:rPr>
              <w:t>W. Michael Linn</w:t>
            </w:r>
          </w:p>
        </w:tc>
        <w:tc>
          <w:tcPr>
            <w:tcW w:w="4080" w:type="dxa"/>
            <w:vAlign w:val="bottom"/>
            <w:gridSpan w:val="2"/>
            <w:shd w:val="clear" w:color="auto" w:fill="CCEEFF"/>
          </w:tcPr>
          <w:p>
            <w:pPr>
              <w:jc w:val="right"/>
              <w:ind w:right="186"/>
              <w:spacing w:after="0"/>
              <w:rPr>
                <w:sz w:val="20"/>
                <w:szCs w:val="20"/>
                <w:color w:val="auto"/>
              </w:rPr>
            </w:pPr>
            <w:r>
              <w:rPr>
                <w:rFonts w:ascii="Arial" w:cs="Arial" w:eastAsia="Arial" w:hAnsi="Arial"/>
                <w:sz w:val="15"/>
                <w:szCs w:val="15"/>
                <w:color w:val="auto"/>
              </w:rPr>
              <w:t>$94,000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$81,179</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$175,179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40" w:type="dxa"/>
            <w:vAlign w:val="bottom"/>
          </w:tcPr>
          <w:p>
            <w:pPr>
              <w:spacing w:after="0" w:line="205" w:lineRule="exact"/>
              <w:rPr>
                <w:sz w:val="20"/>
                <w:szCs w:val="20"/>
                <w:color w:val="auto"/>
              </w:rPr>
            </w:pPr>
            <w:r>
              <w:rPr>
                <w:rFonts w:ascii="Arial" w:cs="Arial" w:eastAsia="Arial" w:hAnsi="Arial"/>
                <w:sz w:val="14"/>
                <w:szCs w:val="14"/>
                <w:color w:val="auto"/>
              </w:rPr>
              <w:t>Joseph L. Morettini</w:t>
            </w:r>
            <w:r>
              <w:rPr>
                <w:rFonts w:ascii="Arial" w:cs="Arial" w:eastAsia="Arial" w:hAnsi="Arial"/>
                <w:sz w:val="23"/>
                <w:szCs w:val="23"/>
                <w:color w:val="auto"/>
                <w:vertAlign w:val="superscript"/>
              </w:rPr>
              <w:t>(4)</w:t>
            </w:r>
          </w:p>
        </w:tc>
        <w:tc>
          <w:tcPr>
            <w:tcW w:w="4080" w:type="dxa"/>
            <w:vAlign w:val="bottom"/>
            <w:gridSpan w:val="2"/>
          </w:tcPr>
          <w:p>
            <w:pPr>
              <w:jc w:val="right"/>
              <w:ind w:right="186"/>
              <w:spacing w:after="0"/>
              <w:rPr>
                <w:sz w:val="20"/>
                <w:szCs w:val="20"/>
                <w:color w:val="auto"/>
              </w:rPr>
            </w:pPr>
            <w:r>
              <w:rPr>
                <w:rFonts w:ascii="Arial" w:cs="Arial" w:eastAsia="Arial" w:hAnsi="Arial"/>
                <w:sz w:val="15"/>
                <w:szCs w:val="15"/>
                <w:color w:val="auto"/>
              </w:rPr>
              <w:t>$45,945</w:t>
            </w:r>
          </w:p>
        </w:tc>
        <w:tc>
          <w:tcPr>
            <w:tcW w:w="1500" w:type="dxa"/>
            <w:vAlign w:val="bottom"/>
            <w:gridSpan w:val="3"/>
          </w:tcPr>
          <w:p>
            <w:pPr>
              <w:jc w:val="right"/>
              <w:ind w:right="20"/>
              <w:spacing w:after="0" w:line="205" w:lineRule="exact"/>
              <w:rPr>
                <w:sz w:val="20"/>
                <w:szCs w:val="20"/>
                <w:color w:val="auto"/>
              </w:rPr>
            </w:pPr>
            <w:r>
              <w:rPr>
                <w:rFonts w:ascii="Arial" w:cs="Arial" w:eastAsia="Arial" w:hAnsi="Arial"/>
                <w:sz w:val="14"/>
                <w:szCs w:val="14"/>
                <w:color w:val="auto"/>
              </w:rPr>
              <w:t>$9,838</w:t>
            </w:r>
            <w:r>
              <w:rPr>
                <w:rFonts w:ascii="Arial" w:cs="Arial" w:eastAsia="Arial" w:hAnsi="Arial"/>
                <w:sz w:val="23"/>
                <w:szCs w:val="23"/>
                <w:color w:val="auto"/>
                <w:vertAlign w:val="superscript"/>
              </w:rPr>
              <w:t>(5)</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$55,783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640" w:type="dxa"/>
            <w:vAlign w:val="bottom"/>
            <w:shd w:val="clear" w:color="auto" w:fill="CCEEFF"/>
          </w:tcPr>
          <w:p>
            <w:pPr>
              <w:spacing w:after="0"/>
              <w:rPr>
                <w:sz w:val="20"/>
                <w:szCs w:val="20"/>
                <w:color w:val="auto"/>
              </w:rPr>
            </w:pPr>
            <w:r>
              <w:rPr>
                <w:rFonts w:ascii="Arial" w:cs="Arial" w:eastAsia="Arial" w:hAnsi="Arial"/>
                <w:sz w:val="15"/>
                <w:szCs w:val="15"/>
                <w:color w:val="auto"/>
              </w:rPr>
              <w:t>Roland Müller-</w:t>
            </w:r>
          </w:p>
        </w:tc>
        <w:tc>
          <w:tcPr>
            <w:tcW w:w="28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40" w:type="dxa"/>
            <w:vAlign w:val="bottom"/>
            <w:shd w:val="clear" w:color="auto" w:fill="CCEEFF"/>
          </w:tcPr>
          <w:p>
            <w:pPr>
              <w:ind w:left="140"/>
              <w:spacing w:after="0" w:line="203" w:lineRule="exact"/>
              <w:rPr>
                <w:sz w:val="20"/>
                <w:szCs w:val="20"/>
                <w:color w:val="auto"/>
              </w:rPr>
            </w:pPr>
            <w:r>
              <w:rPr>
                <w:rFonts w:ascii="Arial" w:cs="Arial" w:eastAsia="Arial" w:hAnsi="Arial"/>
                <w:sz w:val="14"/>
                <w:szCs w:val="14"/>
                <w:color w:val="auto"/>
              </w:rPr>
              <w:t>Ineichen</w:t>
            </w:r>
            <w:r>
              <w:rPr>
                <w:rFonts w:ascii="Arial" w:cs="Arial" w:eastAsia="Arial" w:hAnsi="Arial"/>
                <w:sz w:val="23"/>
                <w:szCs w:val="23"/>
                <w:color w:val="auto"/>
                <w:vertAlign w:val="superscript"/>
              </w:rPr>
              <w:t>(6)</w:t>
            </w:r>
          </w:p>
        </w:tc>
        <w:tc>
          <w:tcPr>
            <w:tcW w:w="4080" w:type="dxa"/>
            <w:vAlign w:val="bottom"/>
            <w:gridSpan w:val="2"/>
            <w:shd w:val="clear" w:color="auto" w:fill="CCEEFF"/>
          </w:tcPr>
          <w:p>
            <w:pPr>
              <w:jc w:val="right"/>
              <w:ind w:right="186"/>
              <w:spacing w:after="0"/>
              <w:rPr>
                <w:sz w:val="20"/>
                <w:szCs w:val="20"/>
                <w:color w:val="auto"/>
              </w:rPr>
            </w:pPr>
            <w:r>
              <w:rPr>
                <w:rFonts w:ascii="Arial" w:cs="Arial" w:eastAsia="Arial" w:hAnsi="Arial"/>
                <w:sz w:val="15"/>
                <w:szCs w:val="15"/>
                <w:color w:val="auto"/>
              </w:rPr>
              <w:t>$96,500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$81,179</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$177,679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600" w:right="120" w:hanging="464"/>
        <w:spacing w:after="0" w:line="225" w:lineRule="auto"/>
        <w:tabs>
          <w:tab w:leader="none" w:pos="1600" w:val="left"/>
        </w:tabs>
        <w:numPr>
          <w:ilvl w:val="0"/>
          <w:numId w:val="22"/>
        </w:numPr>
        <w:rPr>
          <w:rFonts w:ascii="Arial" w:cs="Arial" w:eastAsia="Arial" w:hAnsi="Arial"/>
          <w:sz w:val="24"/>
          <w:szCs w:val="24"/>
          <w:color w:val="auto"/>
          <w:vertAlign w:val="superscript"/>
        </w:rPr>
      </w:pPr>
      <w:r>
        <w:rPr>
          <w:rFonts w:ascii="Arial" w:cs="Arial" w:eastAsia="Arial" w:hAnsi="Arial"/>
          <w:sz w:val="14"/>
          <w:szCs w:val="14"/>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2017, including amounts earned for service in the fourth quarter of 2017 and paid in the first quarter of 2018.</w:t>
      </w:r>
    </w:p>
    <w:p>
      <w:pPr>
        <w:spacing w:after="0" w:line="167" w:lineRule="exact"/>
        <w:rPr>
          <w:rFonts w:ascii="Arial" w:cs="Arial" w:eastAsia="Arial" w:hAnsi="Arial"/>
          <w:sz w:val="24"/>
          <w:szCs w:val="24"/>
          <w:color w:val="auto"/>
          <w:vertAlign w:val="superscript"/>
        </w:rPr>
      </w:pPr>
    </w:p>
    <w:p>
      <w:pPr>
        <w:ind w:left="1600" w:hanging="464"/>
        <w:spacing w:after="0" w:line="212" w:lineRule="auto"/>
        <w:tabs>
          <w:tab w:leader="none" w:pos="1600"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Non-management Directors who attended at least seventy-five percent (75%) of all meetings of the Board of Directors and Committees on which they served for the 2016 to 2017 service year were entitled to receive an award of Altisource common stock at the end of such service year. The number of shares of common stock was determined by dividing $110,000 by the average of the high and low prices of the common stock as reported on the NASDAQ Global Select Market on the first day of the service year. This table shows the aggregate award date fair value of such shares on the date received in May 2017.</w:t>
      </w:r>
    </w:p>
    <w:p>
      <w:pPr>
        <w:spacing w:after="0" w:line="178" w:lineRule="exact"/>
        <w:rPr>
          <w:rFonts w:ascii="Arial" w:cs="Arial" w:eastAsia="Arial" w:hAnsi="Arial"/>
          <w:sz w:val="25"/>
          <w:szCs w:val="25"/>
          <w:color w:val="auto"/>
          <w:vertAlign w:val="superscript"/>
        </w:rPr>
      </w:pPr>
    </w:p>
    <w:p>
      <w:pPr>
        <w:ind w:left="1600" w:right="400" w:hanging="464"/>
        <w:spacing w:after="0" w:line="182" w:lineRule="auto"/>
        <w:tabs>
          <w:tab w:leader="none" w:pos="1600" w:val="left"/>
        </w:tabs>
        <w:numPr>
          <w:ilvl w:val="0"/>
          <w:numId w:val="22"/>
        </w:numPr>
        <w:rPr>
          <w:rFonts w:ascii="Arial" w:cs="Arial" w:eastAsia="Arial" w:hAnsi="Arial"/>
          <w:sz w:val="25"/>
          <w:szCs w:val="25"/>
          <w:color w:val="auto"/>
          <w:vertAlign w:val="superscript"/>
        </w:rPr>
      </w:pPr>
      <w:r>
        <w:rPr>
          <w:rFonts w:ascii="Arial" w:cs="Arial" w:eastAsia="Arial" w:hAnsi="Arial"/>
          <w:sz w:val="15"/>
          <w:szCs w:val="15"/>
          <w:color w:val="auto"/>
        </w:rPr>
        <w:t>Mr. Vättö's cash compensation was paid in euros, using the following exchange rates that were in effect on the 15th day of the last month of the quarter for which payment was made: for the first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5161915</wp:posOffset>
            </wp:positionH>
            <wp:positionV relativeFrom="paragraph">
              <wp:posOffset>114300</wp:posOffset>
            </wp:positionV>
            <wp:extent cx="2100580"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00580"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600" w:right="240"/>
        <w:spacing w:after="0" w:line="243" w:lineRule="auto"/>
        <w:rPr>
          <w:sz w:val="20"/>
          <w:szCs w:val="20"/>
          <w:color w:val="auto"/>
        </w:rPr>
      </w:pPr>
      <w:r>
        <w:rPr>
          <w:rFonts w:ascii="Arial" w:cs="Arial" w:eastAsia="Arial" w:hAnsi="Arial"/>
          <w:sz w:val="15"/>
          <w:szCs w:val="15"/>
          <w:color w:val="auto"/>
        </w:rPr>
        <w:t>quarter, an exchange rate of 0.94050 euros to the U.S. dollar; for the second quarter, an exchange rate of 0.89415 euros to the U.S. dollar; for the third quarter, an exchange rate of 0.83761 euros to the U.S. dollar and for the fourth quarter, an exchange rate of 0.84894 euros to the U.S. dollar. The amounts reported in the table above are the U.S. dollar amounts prior to conversion to euros.</w:t>
      </w:r>
    </w:p>
    <w:p>
      <w:pPr>
        <w:spacing w:after="0" w:line="174" w:lineRule="exact"/>
        <w:rPr>
          <w:sz w:val="20"/>
          <w:szCs w:val="20"/>
          <w:color w:val="auto"/>
        </w:rPr>
      </w:pPr>
    </w:p>
    <w:p>
      <w:pPr>
        <w:ind w:left="1600" w:right="480" w:hanging="464"/>
        <w:spacing w:after="0" w:line="182" w:lineRule="auto"/>
        <w:tabs>
          <w:tab w:leader="none" w:pos="160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Mr. Morettini joined the Board of Directors effective May 18, 2017 and was appointed by the Board of Directors to the Audit Committee and the Compliance Committee, effective May 18, 2017. These amounts reflect compensation for service from those dates.</w:t>
      </w:r>
    </w:p>
    <w:p>
      <w:pPr>
        <w:spacing w:after="0" w:line="61" w:lineRule="exact"/>
        <w:rPr>
          <w:rFonts w:ascii="Arial" w:cs="Arial" w:eastAsia="Arial" w:hAnsi="Arial"/>
          <w:sz w:val="25"/>
          <w:szCs w:val="25"/>
          <w:color w:val="auto"/>
          <w:vertAlign w:val="superscript"/>
        </w:rPr>
      </w:pPr>
    </w:p>
    <w:p>
      <w:pPr>
        <w:ind w:left="1600" w:hanging="464"/>
        <w:spacing w:after="0"/>
        <w:tabs>
          <w:tab w:leader="none" w:pos="160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On the date of his initial election, Mr. Morettini received a one-time grant of 500 shares of common stock, with an aggregate fair market value of</w:t>
      </w:r>
    </w:p>
    <w:p>
      <w:pPr>
        <w:ind w:left="1600"/>
        <w:spacing w:after="0" w:line="247" w:lineRule="auto"/>
        <w:rPr>
          <w:rFonts w:ascii="Arial" w:cs="Arial" w:eastAsia="Arial" w:hAnsi="Arial"/>
          <w:sz w:val="25"/>
          <w:szCs w:val="25"/>
          <w:color w:val="auto"/>
          <w:vertAlign w:val="superscript"/>
        </w:rPr>
      </w:pPr>
      <w:r>
        <w:rPr>
          <w:rFonts w:ascii="Arial" w:cs="Arial" w:eastAsia="Arial" w:hAnsi="Arial"/>
          <w:sz w:val="15"/>
          <w:szCs w:val="15"/>
          <w:color w:val="auto"/>
        </w:rPr>
        <w:t>$9,838. This award vests in four (4) equal installments beginning on the date of the 2018 annual meeting of shareholders and continuing on the dates of the next three (3) annual meetings of shareholders, subject to his continued service on the Board.</w:t>
      </w:r>
    </w:p>
    <w:p>
      <w:pPr>
        <w:spacing w:after="0" w:line="159" w:lineRule="exact"/>
        <w:rPr>
          <w:rFonts w:ascii="Arial" w:cs="Arial" w:eastAsia="Arial" w:hAnsi="Arial"/>
          <w:sz w:val="25"/>
          <w:szCs w:val="25"/>
          <w:color w:val="auto"/>
          <w:vertAlign w:val="superscript"/>
        </w:rPr>
      </w:pPr>
    </w:p>
    <w:p>
      <w:pPr>
        <w:ind w:left="1600" w:right="80" w:hanging="464"/>
        <w:spacing w:after="0" w:line="212" w:lineRule="auto"/>
        <w:tabs>
          <w:tab w:leader="none" w:pos="160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Mr. Müller-Ineichen's cash compensation was paid in euros for the first and second quarters and in Swiss francs for the third and fourth quarters, using the following exchange rates that were in effect on the 15th day of the last month of the quarter for which payment was made: for the first quarter, an exchange rate of 0.94050 euros to the U.S. dollar; for the second quarter, an exchange rate of 0.89415 euros to the U.S. dollar; for the third quarter, an exchange rate of 0.96090 Swiss francs to the U.S. dollar and for the fourth quarter, an exchange rate of 0.98934 Swiss francs to the U.S. dollar. The amounts reported in the table above are the U.S. dollar amounts prior to conversion to euros or Swiss francs.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Minimum Stock Ownership Requirements</w:t>
      </w:r>
    </w:p>
    <w:p>
      <w:pPr>
        <w:spacing w:after="0" w:line="200"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 xml:space="preserve">To further align our non-management Directors' interests with those of our shareholders, in February 2018, the Board of Directors adopted minimum stock ownership requirements for non-management Directors. Pursuant to these ownership requirements, each non-management Director is required to attain and maintain stock ownership at a level equal to three times his or her annual cash retainer. Each non-management Director has two years from the effective date of his or her initial appointment or from the date on which he or she first becomes subject to the policy, whichever is later, to comply with these requirements. Each of our Directors either currently meets the applicable minimum stock ownership requirements or is expected to come into compliance with these requirements within the period noted above.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Chief Executive Officer are set forth in our Corporate Governance Guidelines, which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right="220"/>
        <w:spacing w:after="0" w:line="242" w:lineRule="auto"/>
        <w:rPr>
          <w:sz w:val="20"/>
          <w:szCs w:val="20"/>
          <w:color w:val="auto"/>
        </w:rPr>
      </w:pPr>
      <w:r>
        <w:rPr>
          <w:rFonts w:ascii="Arial" w:cs="Arial" w:eastAsia="Arial" w:hAnsi="Arial"/>
          <w:sz w:val="15"/>
          <w:szCs w:val="15"/>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w:t>
      </w:r>
    </w:p>
    <w:tbl>
      <w:tblPr>
        <w:tblLayout w:type="fixed"/>
        <w:tblInd w:w="1140" w:type="dxa"/>
        <w:tblCellMar>
          <w:top w:w="0" w:type="dxa"/>
          <w:left w:w="0" w:type="dxa"/>
          <w:bottom w:w="0" w:type="dxa"/>
          <w:right w:w="0" w:type="dxa"/>
        </w:tblCellMar>
      </w:tblPr>
      <w:tr>
        <w:trPr>
          <w:trHeight w:val="379"/>
        </w:trPr>
        <w:tc>
          <w:tcPr>
            <w:tcW w:w="3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ind w:left="246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29"/>
                <w:szCs w:val="29"/>
                <w:b w:val="1"/>
                <w:bCs w:val="1"/>
                <w:color w:val="auto"/>
                <w:w w:val="85"/>
                <w:vertAlign w:val="subscript"/>
              </w:rPr>
              <w:t>Age</w:t>
            </w:r>
            <w:r>
              <w:rPr>
                <w:rFonts w:ascii="Arial" w:cs="Arial" w:eastAsia="Arial" w:hAnsi="Arial"/>
                <w:sz w:val="12"/>
                <w:szCs w:val="12"/>
                <w:b w:val="1"/>
                <w:bCs w:val="1"/>
                <w:color w:val="auto"/>
                <w:w w:val="85"/>
              </w:rPr>
              <w:t>(1)</w:t>
            </w:r>
          </w:p>
        </w:tc>
        <w:tc>
          <w:tcPr>
            <w:tcW w:w="180" w:type="dxa"/>
            <w:vAlign w:val="bottom"/>
          </w:tcPr>
          <w:p>
            <w:pPr>
              <w:spacing w:after="0"/>
              <w:rPr>
                <w:sz w:val="24"/>
                <w:szCs w:val="24"/>
                <w:color w:val="auto"/>
              </w:rPr>
            </w:pPr>
          </w:p>
        </w:tc>
        <w:tc>
          <w:tcPr>
            <w:tcW w:w="2440" w:type="dxa"/>
            <w:vAlign w:val="bottom"/>
            <w:tcBorders>
              <w:bottom w:val="single" w:sz="8" w:color="auto"/>
            </w:tcBorders>
          </w:tcPr>
          <w:p>
            <w:pPr>
              <w:ind w:left="920"/>
              <w:spacing w:after="0"/>
              <w:rPr>
                <w:sz w:val="20"/>
                <w:szCs w:val="20"/>
                <w:color w:val="auto"/>
              </w:rPr>
            </w:pPr>
            <w:r>
              <w:rPr>
                <w:rFonts w:ascii="Arial" w:cs="Arial" w:eastAsia="Arial" w:hAnsi="Arial"/>
                <w:sz w:val="15"/>
                <w:szCs w:val="15"/>
                <w:b w:val="1"/>
                <w:bCs w:val="1"/>
                <w:color w:val="auto"/>
              </w:rPr>
              <w:t>Position</w:t>
            </w:r>
          </w:p>
        </w:tc>
      </w:tr>
      <w:tr>
        <w:trPr>
          <w:trHeight w:val="163"/>
        </w:trPr>
        <w:tc>
          <w:tcPr>
            <w:tcW w:w="592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Kevin J. Wilcox</w:t>
            </w:r>
          </w:p>
        </w:tc>
        <w:tc>
          <w:tcPr>
            <w:tcW w:w="620" w:type="dxa"/>
            <w:vAlign w:val="bottom"/>
            <w:gridSpan w:val="2"/>
            <w:shd w:val="clear" w:color="auto" w:fill="CCEEFF"/>
          </w:tcPr>
          <w:p>
            <w:pPr>
              <w:jc w:val="center"/>
              <w:ind w:left="106"/>
              <w:spacing w:after="0" w:line="163" w:lineRule="exact"/>
              <w:rPr>
                <w:sz w:val="20"/>
                <w:szCs w:val="20"/>
                <w:color w:val="auto"/>
              </w:rPr>
            </w:pPr>
            <w:r>
              <w:rPr>
                <w:rFonts w:ascii="Arial" w:cs="Arial" w:eastAsia="Arial" w:hAnsi="Arial"/>
                <w:sz w:val="15"/>
                <w:szCs w:val="15"/>
                <w:color w:val="auto"/>
                <w:w w:val="95"/>
              </w:rPr>
              <w:t>54</w:t>
            </w:r>
          </w:p>
        </w:tc>
        <w:tc>
          <w:tcPr>
            <w:tcW w:w="2620" w:type="dxa"/>
            <w:vAlign w:val="bottom"/>
            <w:gridSpan w:val="2"/>
            <w:shd w:val="clear" w:color="auto" w:fill="CCEEFF"/>
          </w:tcPr>
          <w:p>
            <w:pPr>
              <w:ind w:left="180"/>
              <w:spacing w:after="0" w:line="163" w:lineRule="exact"/>
              <w:rPr>
                <w:sz w:val="20"/>
                <w:szCs w:val="20"/>
                <w:color w:val="auto"/>
              </w:rPr>
            </w:pPr>
            <w:r>
              <w:rPr>
                <w:rFonts w:ascii="Arial" w:cs="Arial" w:eastAsia="Arial" w:hAnsi="Arial"/>
                <w:sz w:val="15"/>
                <w:szCs w:val="15"/>
                <w:color w:val="auto"/>
                <w:w w:val="98"/>
              </w:rPr>
              <w:t>Chief Administration and Risk Officer</w:t>
            </w:r>
          </w:p>
        </w:tc>
      </w:tr>
      <w:tr>
        <w:trPr>
          <w:trHeight w:val="172"/>
        </w:trPr>
        <w:tc>
          <w:tcPr>
            <w:tcW w:w="5920" w:type="dxa"/>
            <w:vAlign w:val="bottom"/>
            <w:gridSpan w:val="2"/>
          </w:tcPr>
          <w:p>
            <w:pPr>
              <w:spacing w:after="0"/>
              <w:rPr>
                <w:sz w:val="20"/>
                <w:szCs w:val="20"/>
                <w:color w:val="auto"/>
              </w:rPr>
            </w:pPr>
            <w:r>
              <w:rPr>
                <w:rFonts w:ascii="Arial" w:cs="Arial" w:eastAsia="Arial" w:hAnsi="Arial"/>
                <w:sz w:val="15"/>
                <w:szCs w:val="15"/>
                <w:color w:val="auto"/>
              </w:rPr>
              <w:t>Indroneel Chatterjee</w:t>
            </w:r>
          </w:p>
        </w:tc>
        <w:tc>
          <w:tcPr>
            <w:tcW w:w="620" w:type="dxa"/>
            <w:vAlign w:val="bottom"/>
            <w:gridSpan w:val="2"/>
          </w:tcPr>
          <w:p>
            <w:pPr>
              <w:jc w:val="center"/>
              <w:ind w:left="106"/>
              <w:spacing w:after="0"/>
              <w:rPr>
                <w:sz w:val="20"/>
                <w:szCs w:val="20"/>
                <w:color w:val="auto"/>
              </w:rPr>
            </w:pPr>
            <w:r>
              <w:rPr>
                <w:rFonts w:ascii="Arial" w:cs="Arial" w:eastAsia="Arial" w:hAnsi="Arial"/>
                <w:sz w:val="15"/>
                <w:szCs w:val="15"/>
                <w:color w:val="auto"/>
                <w:w w:val="95"/>
              </w:rPr>
              <w:t>37</w:t>
            </w:r>
          </w:p>
        </w:tc>
        <w:tc>
          <w:tcPr>
            <w:tcW w:w="2620" w:type="dxa"/>
            <w:vAlign w:val="bottom"/>
            <w:gridSpan w:val="2"/>
          </w:tcPr>
          <w:p>
            <w:pPr>
              <w:ind w:left="180"/>
              <w:spacing w:after="0"/>
              <w:rPr>
                <w:sz w:val="20"/>
                <w:szCs w:val="20"/>
                <w:color w:val="auto"/>
              </w:rPr>
            </w:pPr>
            <w:r>
              <w:rPr>
                <w:rFonts w:ascii="Arial" w:cs="Arial" w:eastAsia="Arial" w:hAnsi="Arial"/>
                <w:sz w:val="15"/>
                <w:szCs w:val="15"/>
                <w:color w:val="auto"/>
              </w:rPr>
              <w:t>Chief Financial Officer</w:t>
            </w:r>
          </w:p>
        </w:tc>
      </w:tr>
      <w:tr>
        <w:trPr>
          <w:trHeight w:val="172"/>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Joseph A. Davila</w:t>
            </w:r>
          </w:p>
        </w:tc>
        <w:tc>
          <w:tcPr>
            <w:tcW w:w="62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5"/>
              </w:rPr>
              <w:t>49</w:t>
            </w:r>
          </w:p>
        </w:tc>
        <w:tc>
          <w:tcPr>
            <w:tcW w:w="2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President, Servicer Solutions</w:t>
            </w:r>
          </w:p>
        </w:tc>
      </w:tr>
      <w:tr>
        <w:trPr>
          <w:trHeight w:val="181"/>
        </w:trPr>
        <w:tc>
          <w:tcPr>
            <w:tcW w:w="5920" w:type="dxa"/>
            <w:vAlign w:val="bottom"/>
            <w:gridSpan w:val="2"/>
          </w:tcPr>
          <w:p>
            <w:pPr>
              <w:spacing w:after="0"/>
              <w:rPr>
                <w:sz w:val="20"/>
                <w:szCs w:val="20"/>
                <w:color w:val="auto"/>
              </w:rPr>
            </w:pPr>
            <w:r>
              <w:rPr>
                <w:rFonts w:ascii="Arial" w:cs="Arial" w:eastAsia="Arial" w:hAnsi="Arial"/>
                <w:sz w:val="15"/>
                <w:szCs w:val="15"/>
                <w:color w:val="auto"/>
              </w:rPr>
              <w:t>Gregory J. Ritts</w:t>
            </w:r>
          </w:p>
        </w:tc>
        <w:tc>
          <w:tcPr>
            <w:tcW w:w="620" w:type="dxa"/>
            <w:vAlign w:val="bottom"/>
            <w:gridSpan w:val="2"/>
          </w:tcPr>
          <w:p>
            <w:pPr>
              <w:jc w:val="center"/>
              <w:ind w:left="106"/>
              <w:spacing w:after="0"/>
              <w:rPr>
                <w:sz w:val="20"/>
                <w:szCs w:val="20"/>
                <w:color w:val="auto"/>
              </w:rPr>
            </w:pPr>
            <w:r>
              <w:rPr>
                <w:rFonts w:ascii="Arial" w:cs="Arial" w:eastAsia="Arial" w:hAnsi="Arial"/>
                <w:sz w:val="15"/>
                <w:szCs w:val="15"/>
                <w:color w:val="auto"/>
                <w:w w:val="95"/>
              </w:rPr>
              <w:t>49</w:t>
            </w:r>
          </w:p>
        </w:tc>
        <w:tc>
          <w:tcPr>
            <w:tcW w:w="2620" w:type="dxa"/>
            <w:vAlign w:val="bottom"/>
            <w:gridSpan w:val="2"/>
          </w:tcPr>
          <w:p>
            <w:pPr>
              <w:ind w:left="180"/>
              <w:spacing w:after="0"/>
              <w:rPr>
                <w:sz w:val="20"/>
                <w:szCs w:val="20"/>
                <w:color w:val="auto"/>
              </w:rPr>
            </w:pPr>
            <w:r>
              <w:rPr>
                <w:rFonts w:ascii="Arial" w:cs="Arial" w:eastAsia="Arial" w:hAnsi="Arial"/>
                <w:sz w:val="15"/>
                <w:szCs w:val="15"/>
                <w:color w:val="auto"/>
              </w:rPr>
              <w:t>Chief Legal and Compliance Officer</w:t>
            </w:r>
          </w:p>
        </w:tc>
      </w:tr>
      <w:tr>
        <w:trPr>
          <w:trHeight w:val="355"/>
        </w:trPr>
        <w:tc>
          <w:tcPr>
            <w:tcW w:w="300" w:type="dxa"/>
            <w:vAlign w:val="bottom"/>
          </w:tcPr>
          <w:p>
            <w:pPr>
              <w:spacing w:after="0"/>
              <w:rPr>
                <w:sz w:val="20"/>
                <w:szCs w:val="20"/>
                <w:color w:val="auto"/>
              </w:rPr>
            </w:pPr>
            <w:r>
              <w:rPr>
                <w:rFonts w:ascii="Arial" w:cs="Arial" w:eastAsia="Arial" w:hAnsi="Arial"/>
                <w:sz w:val="12"/>
                <w:szCs w:val="12"/>
                <w:color w:val="auto"/>
              </w:rPr>
              <w:t>(1)</w:t>
            </w:r>
          </w:p>
        </w:tc>
        <w:tc>
          <w:tcPr>
            <w:tcW w:w="5620" w:type="dxa"/>
            <w:vAlign w:val="bottom"/>
          </w:tcPr>
          <w:p>
            <w:pPr>
              <w:ind w:left="160"/>
              <w:spacing w:after="0"/>
              <w:rPr>
                <w:sz w:val="20"/>
                <w:szCs w:val="20"/>
                <w:color w:val="auto"/>
              </w:rPr>
            </w:pPr>
            <w:r>
              <w:rPr>
                <w:rFonts w:ascii="Arial" w:cs="Arial" w:eastAsia="Arial" w:hAnsi="Arial"/>
                <w:sz w:val="15"/>
                <w:szCs w:val="15"/>
                <w:color w:val="auto"/>
              </w:rPr>
              <w:t>As of August 9, 2018</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principal occupation for the last five (5) years, as well as certain other biographical information, for each of our executive officers that is not a Director is set forth below.</w:t>
      </w:r>
    </w:p>
    <w:p>
      <w:pPr>
        <w:spacing w:after="0" w:line="164"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b w:val="1"/>
          <w:bCs w:val="1"/>
          <w:i w:val="1"/>
          <w:iCs w:val="1"/>
          <w:color w:val="auto"/>
        </w:rPr>
        <w:t xml:space="preserve">Kevin J. Wilcox. </w:t>
      </w:r>
      <w:r>
        <w:rPr>
          <w:rFonts w:ascii="Arial" w:cs="Arial" w:eastAsia="Arial" w:hAnsi="Arial"/>
          <w:sz w:val="15"/>
          <w:szCs w:val="15"/>
          <w:color w:val="auto"/>
        </w:rPr>
        <w:t>Mr. Wilcox serves as Chief Administration and Risk Officer of Altisource. Mr. Wilcox has served as Chief Administration Officer since August 2009 and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Counsel from August 2009 through October 2014.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5"/>
          <w:szCs w:val="15"/>
          <w:b w:val="1"/>
          <w:bCs w:val="1"/>
          <w:i w:val="1"/>
          <w:iCs w:val="1"/>
          <w:color w:val="auto"/>
        </w:rPr>
        <w:t xml:space="preserve">Indroneel Chatterjee. </w:t>
      </w:r>
      <w:r>
        <w:rPr>
          <w:rFonts w:ascii="Arial" w:cs="Arial" w:eastAsia="Arial" w:hAnsi="Arial"/>
          <w:sz w:val="15"/>
          <w:szCs w:val="15"/>
          <w:color w:val="auto"/>
        </w:rPr>
        <w:t>Mr. Chatterjee serves as Chief Financial Officer of Altisource. Before joining Altisource in October 2017, he served as Head of Credit Solutions,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Global Markets at Nomura Securities, an investment banking firm, from January 2017 to September 2017 and as Executive Director on the fixed income trading desk at Nomura from August 2014. Mr. Chatterjee also held the positions of Investment Analyst, Absolute Return Income Fund for Perry Capital from March 2013 to April 2014, Executive Director for UBS Securities LLC from November 2009 to March 2013 and Vice President, High Yield Research for AIG Global Investment Group from October 2006 to November 2009. He holds a Bachelor of Science in Economics from the Wharton School of Business at the University of Pennsylvania.</w:t>
      </w:r>
    </w:p>
    <w:p>
      <w:pPr>
        <w:spacing w:after="0" w:line="154" w:lineRule="exact"/>
        <w:rPr>
          <w:sz w:val="20"/>
          <w:szCs w:val="20"/>
          <w:color w:val="auto"/>
        </w:rPr>
      </w:pPr>
    </w:p>
    <w:p>
      <w:pPr>
        <w:ind w:right="240"/>
        <w:spacing w:after="0" w:line="250" w:lineRule="auto"/>
        <w:rPr>
          <w:sz w:val="20"/>
          <w:szCs w:val="20"/>
          <w:color w:val="auto"/>
        </w:rPr>
      </w:pPr>
      <w:r>
        <w:rPr>
          <w:rFonts w:ascii="Arial" w:cs="Arial" w:eastAsia="Arial" w:hAnsi="Arial"/>
          <w:sz w:val="15"/>
          <w:szCs w:val="15"/>
          <w:b w:val="1"/>
          <w:bCs w:val="1"/>
          <w:i w:val="1"/>
          <w:iCs w:val="1"/>
          <w:color w:val="auto"/>
        </w:rPr>
        <w:t xml:space="preserve">Joseph A. Davila. </w:t>
      </w:r>
      <w:r>
        <w:rPr>
          <w:rFonts w:ascii="Arial" w:cs="Arial" w:eastAsia="Arial" w:hAnsi="Arial"/>
          <w:sz w:val="15"/>
          <w:szCs w:val="15"/>
          <w:color w:val="auto"/>
        </w:rPr>
        <w:t>Mr. Davila serves as President, Servicer Solutions of Altisource. Mr. Davila previously served as President, Mortgage Services from February 2013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2016 and as Senior Vice President, Real Estate Services from July 2011 to February 2013. Before joining Altisource, he served as Vice President of Operations of Capital One Financial Corporation beginning in 2007. Mr. Davila began his career as a consultant with Price Waterhouse and, subsequently, Bain &amp; Company. He holds a Bachelor of Science from Southern Methodist University and a Master of Business Administration from the Kellogg School of Management at Northwestern University.</w:t>
      </w:r>
    </w:p>
    <w:p>
      <w:pPr>
        <w:spacing w:after="0" w:line="151"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b w:val="1"/>
          <w:bCs w:val="1"/>
          <w:i w:val="1"/>
          <w:iCs w:val="1"/>
          <w:color w:val="auto"/>
        </w:rPr>
        <w:t xml:space="preserve">Gregory J. Ritts. </w:t>
      </w:r>
      <w:r>
        <w:rPr>
          <w:rFonts w:ascii="Arial" w:cs="Arial" w:eastAsia="Arial" w:hAnsi="Arial"/>
          <w:sz w:val="15"/>
          <w:szCs w:val="15"/>
          <w:color w:val="auto"/>
        </w:rPr>
        <w:t>Mr. Ritts serves as Chief Legal and Compliance Officer of Altisource since February 2018 and has served as General Counsel since joining Altisource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 from the University of Michigan Law School.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Beneficial Ownership of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regarding the beneficial ownership of our common stock by:</w:t>
      </w:r>
    </w:p>
    <w:p>
      <w:pPr>
        <w:spacing w:after="0" w:line="182" w:lineRule="exact"/>
        <w:rPr>
          <w:sz w:val="20"/>
          <w:szCs w:val="20"/>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persons known by Altisource to beneficially own five percent (5%) or more of the outstanding common stock;</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each Director nominee, current Director and Named Executive Officer (as defined in "Compensation Discussion and Analysis") of Altisource; and</w:t>
      </w:r>
    </w:p>
    <w:p>
      <w:pPr>
        <w:ind w:left="900" w:hanging="451"/>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current Directors and executive officers of Altisource as a group.</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The table is based upon information supplied to us by the Director nominee, current Directors, executive officers and principal shareholders and filings under the Securities Exchange Act of 1934, as amended (the "Exchange Act") and is based on an aggregate of 17,040,916 shares issued and outstanding as of August 9, 2018. Unless otherwise indicated in the footnotes below, the information is provided as of the record date, August 9, 2018.</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noted, the address of all persons below is: Altisource Portfolio Solutions S.A., 40, avenue Monterey, L-2163 Luxembourg City, Grand Duchy of Luxembourg.</w:t>
      </w:r>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330"/>
        </w:trPr>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60" w:type="dxa"/>
            <w:vAlign w:val="bottom"/>
            <w:gridSpan w:val="2"/>
          </w:tcPr>
          <w:p>
            <w:pPr>
              <w:ind w:left="1640"/>
              <w:spacing w:after="0"/>
              <w:rPr>
                <w:sz w:val="20"/>
                <w:szCs w:val="20"/>
                <w:color w:val="auto"/>
              </w:rPr>
            </w:pPr>
            <w:r>
              <w:rPr>
                <w:rFonts w:ascii="Arial" w:cs="Arial" w:eastAsia="Arial" w:hAnsi="Arial"/>
                <w:sz w:val="15"/>
                <w:szCs w:val="15"/>
                <w:b w:val="1"/>
                <w:bCs w:val="1"/>
                <w:color w:val="auto"/>
              </w:rPr>
              <w:t>Shares Beneficially Owned</w:t>
            </w:r>
            <w:r>
              <w:rPr>
                <w:rFonts w:ascii="Arial" w:cs="Arial" w:eastAsia="Arial" w:hAnsi="Arial"/>
                <w:sz w:val="24"/>
                <w:szCs w:val="24"/>
                <w:b w:val="1"/>
                <w:bCs w:val="1"/>
                <w:color w:val="auto"/>
                <w:vertAlign w:val="superscript"/>
              </w:rPr>
              <w:t>(1)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2"/>
        </w:trPr>
        <w:tc>
          <w:tcPr>
            <w:tcW w:w="7540" w:type="dxa"/>
            <w:vAlign w:val="bottom"/>
            <w:gridSpan w:val="4"/>
          </w:tcPr>
          <w:p>
            <w:pPr>
              <w:spacing w:after="0"/>
              <w:rPr>
                <w:sz w:val="20"/>
                <w:szCs w:val="20"/>
                <w:color w:val="auto"/>
              </w:rPr>
            </w:pPr>
            <w:r>
              <w:rPr>
                <w:rFonts w:ascii="Arial" w:cs="Arial" w:eastAsia="Arial" w:hAnsi="Arial"/>
                <w:sz w:val="15"/>
                <w:szCs w:val="15"/>
                <w:b w:val="1"/>
                <w:bCs w:val="1"/>
                <w:color w:val="auto"/>
              </w:rPr>
              <w:t>Name of Beneficial Owner:</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18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Percent</w:t>
            </w:r>
          </w:p>
        </w:tc>
      </w:tr>
      <w:tr>
        <w:trPr>
          <w:trHeight w:val="197"/>
        </w:trPr>
        <w:tc>
          <w:tcPr>
            <w:tcW w:w="188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4"/>
                <w:szCs w:val="14"/>
                <w:color w:val="auto"/>
              </w:rPr>
              <w:t>William C. Erbey</w:t>
            </w:r>
            <w:r>
              <w:rPr>
                <w:rFonts w:ascii="Arial" w:cs="Arial" w:eastAsia="Arial" w:hAnsi="Arial"/>
                <w:sz w:val="22"/>
                <w:szCs w:val="22"/>
                <w:color w:val="auto"/>
                <w:vertAlign w:val="superscript"/>
              </w:rPr>
              <w:t>(2)</w:t>
            </w:r>
          </w:p>
        </w:tc>
        <w:tc>
          <w:tcPr>
            <w:tcW w:w="5660" w:type="dxa"/>
            <w:vAlign w:val="bottom"/>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6,000,709</w:t>
            </w: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35.21%</w:t>
            </w:r>
          </w:p>
        </w:tc>
        <w:tc>
          <w:tcPr>
            <w:tcW w:w="200" w:type="dxa"/>
            <w:vAlign w:val="bottom"/>
            <w:shd w:val="clear" w:color="auto" w:fill="CCEEFF"/>
          </w:tcPr>
          <w:p>
            <w:pPr>
              <w:spacing w:after="0"/>
              <w:rPr>
                <w:sz w:val="17"/>
                <w:szCs w:val="17"/>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Deer Park Road Management Company, LP</w:t>
            </w:r>
            <w:r>
              <w:rPr>
                <w:rFonts w:ascii="Arial" w:cs="Arial" w:eastAsia="Arial" w:hAnsi="Arial"/>
                <w:sz w:val="23"/>
                <w:szCs w:val="23"/>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3,076,210</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18.05%</w:t>
            </w:r>
          </w:p>
        </w:tc>
        <w:tc>
          <w:tcPr>
            <w:tcW w:w="200" w:type="dxa"/>
            <w:vAlign w:val="bottom"/>
          </w:tcPr>
          <w:p>
            <w:pPr>
              <w:spacing w:after="0"/>
              <w:rPr>
                <w:sz w:val="17"/>
                <w:szCs w:val="17"/>
                <w:color w:val="auto"/>
              </w:rPr>
            </w:pPr>
          </w:p>
        </w:tc>
      </w:tr>
      <w:tr>
        <w:trPr>
          <w:trHeight w:val="206"/>
        </w:trPr>
        <w:tc>
          <w:tcPr>
            <w:tcW w:w="7540" w:type="dxa"/>
            <w:vAlign w:val="bottom"/>
            <w:gridSpan w:val="4"/>
            <w:shd w:val="clear" w:color="auto" w:fill="CCEEFF"/>
          </w:tcPr>
          <w:p>
            <w:pPr>
              <w:spacing w:after="0" w:line="205" w:lineRule="exact"/>
              <w:rPr>
                <w:sz w:val="20"/>
                <w:szCs w:val="20"/>
                <w:color w:val="auto"/>
              </w:rPr>
            </w:pPr>
            <w:r>
              <w:rPr>
                <w:rFonts w:ascii="Arial" w:cs="Arial" w:eastAsia="Arial" w:hAnsi="Arial"/>
                <w:sz w:val="14"/>
                <w:szCs w:val="14"/>
                <w:color w:val="auto"/>
              </w:rPr>
              <w:t>Putnam Investments, LLC</w:t>
            </w:r>
            <w:r>
              <w:rPr>
                <w:rFonts w:ascii="Arial" w:cs="Arial" w:eastAsia="Arial" w:hAnsi="Arial"/>
                <w:sz w:val="23"/>
                <w:szCs w:val="23"/>
                <w:color w:val="auto"/>
                <w:vertAlign w:val="superscript"/>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2,867,507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16.83%</w:t>
            </w:r>
          </w:p>
        </w:tc>
        <w:tc>
          <w:tcPr>
            <w:tcW w:w="200" w:type="dxa"/>
            <w:vAlign w:val="bottom"/>
            <w:shd w:val="clear" w:color="auto" w:fill="CCEEFF"/>
          </w:tcPr>
          <w:p>
            <w:pPr>
              <w:spacing w:after="0"/>
              <w:rPr>
                <w:sz w:val="17"/>
                <w:szCs w:val="17"/>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Leon G. Cooperman</w:t>
            </w:r>
            <w:r>
              <w:rPr>
                <w:rFonts w:ascii="Arial" w:cs="Arial" w:eastAsia="Arial" w:hAnsi="Arial"/>
                <w:sz w:val="23"/>
                <w:szCs w:val="23"/>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1,279,540</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7.51%</w:t>
            </w:r>
          </w:p>
        </w:tc>
        <w:tc>
          <w:tcPr>
            <w:tcW w:w="200" w:type="dxa"/>
            <w:vAlign w:val="bottom"/>
          </w:tcPr>
          <w:p>
            <w:pPr>
              <w:spacing w:after="0"/>
              <w:rPr>
                <w:sz w:val="17"/>
                <w:szCs w:val="17"/>
                <w:color w:val="auto"/>
              </w:rPr>
            </w:pPr>
          </w:p>
        </w:tc>
      </w:tr>
      <w:tr>
        <w:trPr>
          <w:trHeight w:val="206"/>
        </w:trPr>
        <w:tc>
          <w:tcPr>
            <w:tcW w:w="7540" w:type="dxa"/>
            <w:vAlign w:val="bottom"/>
            <w:gridSpan w:val="4"/>
            <w:shd w:val="clear" w:color="auto" w:fill="CCEEFF"/>
          </w:tcPr>
          <w:p>
            <w:pPr>
              <w:spacing w:after="0" w:line="205" w:lineRule="exact"/>
              <w:rPr>
                <w:sz w:val="20"/>
                <w:szCs w:val="20"/>
                <w:color w:val="auto"/>
              </w:rPr>
            </w:pPr>
            <w:r>
              <w:rPr>
                <w:rFonts w:ascii="Arial" w:cs="Arial" w:eastAsia="Arial" w:hAnsi="Arial"/>
                <w:sz w:val="14"/>
                <w:szCs w:val="14"/>
                <w:color w:val="auto"/>
              </w:rPr>
              <w:t>The Vanguard Group, Inc.</w:t>
            </w:r>
            <w:r>
              <w:rPr>
                <w:rFonts w:ascii="Arial" w:cs="Arial" w:eastAsia="Arial" w:hAnsi="Arial"/>
                <w:sz w:val="23"/>
                <w:szCs w:val="23"/>
                <w:color w:val="auto"/>
                <w:vertAlign w:val="superscript"/>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916,846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200" w:type="dxa"/>
            <w:vAlign w:val="bottom"/>
            <w:shd w:val="clear" w:color="auto" w:fill="CCEEFF"/>
          </w:tcPr>
          <w:p>
            <w:pPr>
              <w:spacing w:after="0"/>
              <w:rPr>
                <w:sz w:val="17"/>
                <w:szCs w:val="17"/>
                <w:color w:val="auto"/>
              </w:rPr>
            </w:pPr>
          </w:p>
        </w:tc>
      </w:tr>
      <w:tr>
        <w:trPr>
          <w:trHeight w:val="335"/>
        </w:trPr>
        <w:tc>
          <w:tcPr>
            <w:tcW w:w="7540" w:type="dxa"/>
            <w:vAlign w:val="bottom"/>
            <w:gridSpan w:val="4"/>
          </w:tcPr>
          <w:p>
            <w:pPr>
              <w:spacing w:after="0"/>
              <w:rPr>
                <w:sz w:val="20"/>
                <w:szCs w:val="20"/>
                <w:color w:val="auto"/>
              </w:rPr>
            </w:pPr>
            <w:r>
              <w:rPr>
                <w:rFonts w:ascii="Arial" w:cs="Arial" w:eastAsia="Arial" w:hAnsi="Arial"/>
                <w:sz w:val="15"/>
                <w:szCs w:val="15"/>
                <w:b w:val="1"/>
                <w:bCs w:val="1"/>
                <w:color w:val="auto"/>
              </w:rPr>
              <w:t>Director Nominee, Current Directors and Named Executive Officers: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6"/>
        </w:trPr>
        <w:tc>
          <w:tcPr>
            <w:tcW w:w="4780" w:type="dxa"/>
            <w:vAlign w:val="bottom"/>
            <w:tcBorders>
              <w:top w:val="single" w:sz="8" w:color="auto"/>
            </w:tcBorders>
            <w:gridSpan w:val="3"/>
            <w:shd w:val="clear" w:color="auto" w:fill="CCEEFF"/>
          </w:tcPr>
          <w:p>
            <w:pPr>
              <w:spacing w:after="0" w:line="205" w:lineRule="exact"/>
              <w:rPr>
                <w:sz w:val="20"/>
                <w:szCs w:val="20"/>
                <w:color w:val="auto"/>
              </w:rPr>
            </w:pPr>
            <w:r>
              <w:rPr>
                <w:rFonts w:ascii="Arial" w:cs="Arial" w:eastAsia="Arial" w:hAnsi="Arial"/>
                <w:sz w:val="14"/>
                <w:szCs w:val="14"/>
                <w:color w:val="auto"/>
              </w:rPr>
              <w:t>Scott E. Burg</w:t>
            </w:r>
            <w:r>
              <w:rPr>
                <w:rFonts w:ascii="Arial" w:cs="Arial" w:eastAsia="Arial" w:hAnsi="Arial"/>
                <w:sz w:val="23"/>
                <w:szCs w:val="23"/>
                <w:color w:val="auto"/>
                <w:vertAlign w:val="superscript"/>
              </w:rPr>
              <w:t>(3)</w:t>
            </w:r>
          </w:p>
        </w:tc>
        <w:tc>
          <w:tcPr>
            <w:tcW w:w="27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3,076,210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18.05%</w:t>
            </w:r>
          </w:p>
        </w:tc>
        <w:tc>
          <w:tcPr>
            <w:tcW w:w="200" w:type="dxa"/>
            <w:vAlign w:val="bottom"/>
            <w:shd w:val="clear" w:color="auto" w:fill="CCEEFF"/>
          </w:tcPr>
          <w:p>
            <w:pPr>
              <w:spacing w:after="0"/>
              <w:rPr>
                <w:sz w:val="17"/>
                <w:szCs w:val="17"/>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William B. Shepro</w:t>
            </w:r>
            <w:r>
              <w:rPr>
                <w:rFonts w:ascii="Arial" w:cs="Arial" w:eastAsia="Arial" w:hAnsi="Arial"/>
                <w:sz w:val="23"/>
                <w:szCs w:val="23"/>
                <w:color w:val="auto"/>
                <w:vertAlign w:val="superscript"/>
              </w:rPr>
              <w:t>(7)</w:t>
            </w:r>
          </w:p>
        </w:tc>
        <w:tc>
          <w:tcPr>
            <w:tcW w:w="660" w:type="dxa"/>
            <w:vAlign w:val="bottom"/>
          </w:tcPr>
          <w:p>
            <w:pPr>
              <w:jc w:val="right"/>
              <w:spacing w:after="0"/>
              <w:rPr>
                <w:sz w:val="20"/>
                <w:szCs w:val="20"/>
                <w:color w:val="auto"/>
              </w:rPr>
            </w:pPr>
            <w:r>
              <w:rPr>
                <w:rFonts w:ascii="Arial" w:cs="Arial" w:eastAsia="Arial" w:hAnsi="Arial"/>
                <w:sz w:val="15"/>
                <w:szCs w:val="15"/>
                <w:color w:val="auto"/>
              </w:rPr>
              <w:t>690,894</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3.99%</w:t>
            </w:r>
          </w:p>
        </w:tc>
        <w:tc>
          <w:tcPr>
            <w:tcW w:w="200" w:type="dxa"/>
            <w:vAlign w:val="bottom"/>
          </w:tcPr>
          <w:p>
            <w:pPr>
              <w:spacing w:after="0"/>
              <w:rPr>
                <w:sz w:val="17"/>
                <w:szCs w:val="17"/>
                <w:color w:val="auto"/>
              </w:rPr>
            </w:pPr>
          </w:p>
        </w:tc>
      </w:tr>
      <w:tr>
        <w:trPr>
          <w:trHeight w:val="206"/>
        </w:trPr>
        <w:tc>
          <w:tcPr>
            <w:tcW w:w="7540" w:type="dxa"/>
            <w:vAlign w:val="bottom"/>
            <w:gridSpan w:val="4"/>
            <w:shd w:val="clear" w:color="auto" w:fill="CCEEFF"/>
          </w:tcPr>
          <w:p>
            <w:pPr>
              <w:spacing w:after="0" w:line="205" w:lineRule="exact"/>
              <w:rPr>
                <w:sz w:val="20"/>
                <w:szCs w:val="20"/>
                <w:color w:val="auto"/>
              </w:rPr>
            </w:pPr>
            <w:r>
              <w:rPr>
                <w:rFonts w:ascii="Arial" w:cs="Arial" w:eastAsia="Arial" w:hAnsi="Arial"/>
                <w:sz w:val="14"/>
                <w:szCs w:val="14"/>
                <w:color w:val="auto"/>
              </w:rPr>
              <w:t>Kevin J. Wilcox</w:t>
            </w:r>
            <w:r>
              <w:rPr>
                <w:rFonts w:ascii="Arial" w:cs="Arial" w:eastAsia="Arial" w:hAnsi="Arial"/>
                <w:sz w:val="23"/>
                <w:szCs w:val="23"/>
                <w:color w:val="auto"/>
                <w:vertAlign w:val="superscript"/>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200" w:type="dxa"/>
            <w:vAlign w:val="bottom"/>
            <w:shd w:val="clear" w:color="auto" w:fill="CCEEFF"/>
          </w:tcPr>
          <w:p>
            <w:pPr>
              <w:spacing w:after="0"/>
              <w:rPr>
                <w:sz w:val="17"/>
                <w:szCs w:val="17"/>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Orin S. Kramer</w:t>
            </w:r>
            <w:r>
              <w:rPr>
                <w:rFonts w:ascii="Arial" w:cs="Arial" w:eastAsia="Arial" w:hAnsi="Arial"/>
                <w:sz w:val="23"/>
                <w:szCs w:val="23"/>
                <w:color w:val="auto"/>
                <w:vertAlign w:val="superscript"/>
              </w:rPr>
              <w:t>(9)</w:t>
            </w:r>
          </w:p>
        </w:tc>
        <w:tc>
          <w:tcPr>
            <w:tcW w:w="660" w:type="dxa"/>
            <w:vAlign w:val="bottom"/>
          </w:tcPr>
          <w:p>
            <w:pPr>
              <w:jc w:val="right"/>
              <w:spacing w:after="0"/>
              <w:rPr>
                <w:sz w:val="20"/>
                <w:szCs w:val="20"/>
                <w:color w:val="auto"/>
              </w:rPr>
            </w:pPr>
            <w:r>
              <w:rPr>
                <w:rFonts w:ascii="Arial" w:cs="Arial" w:eastAsia="Arial" w:hAnsi="Arial"/>
                <w:sz w:val="15"/>
                <w:szCs w:val="15"/>
                <w:color w:val="auto"/>
              </w:rPr>
              <w:t>150,747</w:t>
            </w:r>
          </w:p>
        </w:tc>
        <w:tc>
          <w:tcPr>
            <w:tcW w:w="760" w:type="dxa"/>
            <w:vAlign w:val="bottom"/>
            <w:gridSpan w:val="2"/>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206"/>
        </w:trPr>
        <w:tc>
          <w:tcPr>
            <w:tcW w:w="7540" w:type="dxa"/>
            <w:vAlign w:val="bottom"/>
            <w:gridSpan w:val="4"/>
            <w:shd w:val="clear" w:color="auto" w:fill="CCEEFF"/>
          </w:tcPr>
          <w:p>
            <w:pPr>
              <w:spacing w:after="0" w:line="205" w:lineRule="exact"/>
              <w:rPr>
                <w:sz w:val="20"/>
                <w:szCs w:val="20"/>
                <w:color w:val="auto"/>
              </w:rPr>
            </w:pPr>
            <w:r>
              <w:rPr>
                <w:rFonts w:ascii="Arial" w:cs="Arial" w:eastAsia="Arial" w:hAnsi="Arial"/>
                <w:sz w:val="14"/>
                <w:szCs w:val="14"/>
                <w:color w:val="auto"/>
              </w:rPr>
              <w:t>Michelle D. Esterman</w:t>
            </w:r>
            <w:r>
              <w:rPr>
                <w:rFonts w:ascii="Arial" w:cs="Arial" w:eastAsia="Arial" w:hAnsi="Arial"/>
                <w:sz w:val="23"/>
                <w:szCs w:val="23"/>
                <w:color w:val="auto"/>
                <w:vertAlign w:val="superscript"/>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74,575</w:t>
            </w:r>
          </w:p>
        </w:tc>
        <w:tc>
          <w:tcPr>
            <w:tcW w:w="76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Joseph A. Davila</w:t>
            </w:r>
            <w:r>
              <w:rPr>
                <w:rFonts w:ascii="Arial" w:cs="Arial" w:eastAsia="Arial" w:hAnsi="Arial"/>
                <w:sz w:val="23"/>
                <w:szCs w:val="23"/>
                <w:color w:val="auto"/>
                <w:vertAlign w:val="superscript"/>
              </w:rPr>
              <w:t>(11)</w:t>
            </w:r>
          </w:p>
        </w:tc>
        <w:tc>
          <w:tcPr>
            <w:tcW w:w="660" w:type="dxa"/>
            <w:vAlign w:val="bottom"/>
          </w:tcPr>
          <w:p>
            <w:pPr>
              <w:jc w:val="right"/>
              <w:spacing w:after="0"/>
              <w:rPr>
                <w:sz w:val="20"/>
                <w:szCs w:val="20"/>
                <w:color w:val="auto"/>
              </w:rPr>
            </w:pPr>
            <w:r>
              <w:rPr>
                <w:rFonts w:ascii="Arial" w:cs="Arial" w:eastAsia="Arial" w:hAnsi="Arial"/>
                <w:sz w:val="15"/>
                <w:szCs w:val="15"/>
                <w:color w:val="auto"/>
              </w:rPr>
              <w:t>47,308</w:t>
            </w:r>
          </w:p>
        </w:tc>
        <w:tc>
          <w:tcPr>
            <w:tcW w:w="760" w:type="dxa"/>
            <w:vAlign w:val="bottom"/>
            <w:gridSpan w:val="2"/>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172"/>
        </w:trPr>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Roland Müller-Ineichen</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28,879</w:t>
            </w:r>
          </w:p>
        </w:tc>
        <w:tc>
          <w:tcPr>
            <w:tcW w:w="76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W. Michael Linn</w:t>
            </w:r>
            <w:r>
              <w:rPr>
                <w:rFonts w:ascii="Arial" w:cs="Arial" w:eastAsia="Arial" w:hAnsi="Arial"/>
                <w:sz w:val="23"/>
                <w:szCs w:val="23"/>
                <w:color w:val="auto"/>
                <w:vertAlign w:val="superscript"/>
              </w:rPr>
              <w:t>(12)</w:t>
            </w:r>
          </w:p>
        </w:tc>
        <w:tc>
          <w:tcPr>
            <w:tcW w:w="660" w:type="dxa"/>
            <w:vAlign w:val="bottom"/>
          </w:tcPr>
          <w:p>
            <w:pPr>
              <w:jc w:val="right"/>
              <w:spacing w:after="0"/>
              <w:rPr>
                <w:sz w:val="20"/>
                <w:szCs w:val="20"/>
                <w:color w:val="auto"/>
              </w:rPr>
            </w:pPr>
            <w:r>
              <w:rPr>
                <w:rFonts w:ascii="Arial" w:cs="Arial" w:eastAsia="Arial" w:hAnsi="Arial"/>
                <w:sz w:val="15"/>
                <w:szCs w:val="15"/>
                <w:color w:val="auto"/>
              </w:rPr>
              <w:t>28,530</w:t>
            </w:r>
          </w:p>
        </w:tc>
        <w:tc>
          <w:tcPr>
            <w:tcW w:w="760" w:type="dxa"/>
            <w:vAlign w:val="bottom"/>
            <w:gridSpan w:val="2"/>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172"/>
        </w:trPr>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Timo Vättö</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24,179</w:t>
            </w:r>
          </w:p>
        </w:tc>
        <w:tc>
          <w:tcPr>
            <w:tcW w:w="76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Gregory J. Ritts</w:t>
            </w:r>
            <w:r>
              <w:rPr>
                <w:rFonts w:ascii="Arial" w:cs="Arial" w:eastAsia="Arial" w:hAnsi="Arial"/>
                <w:sz w:val="23"/>
                <w:szCs w:val="23"/>
                <w:color w:val="auto"/>
                <w:vertAlign w:val="superscript"/>
              </w:rPr>
              <w:t>(13)</w:t>
            </w:r>
          </w:p>
        </w:tc>
        <w:tc>
          <w:tcPr>
            <w:tcW w:w="660" w:type="dxa"/>
            <w:vAlign w:val="bottom"/>
          </w:tcPr>
          <w:p>
            <w:pPr>
              <w:jc w:val="right"/>
              <w:spacing w:after="0"/>
              <w:rPr>
                <w:sz w:val="20"/>
                <w:szCs w:val="20"/>
                <w:color w:val="auto"/>
              </w:rPr>
            </w:pPr>
            <w:r>
              <w:rPr>
                <w:rFonts w:ascii="Arial" w:cs="Arial" w:eastAsia="Arial" w:hAnsi="Arial"/>
                <w:sz w:val="15"/>
                <w:szCs w:val="15"/>
                <w:color w:val="auto"/>
              </w:rPr>
              <w:t>22,255</w:t>
            </w:r>
          </w:p>
        </w:tc>
        <w:tc>
          <w:tcPr>
            <w:tcW w:w="760" w:type="dxa"/>
            <w:vAlign w:val="bottom"/>
            <w:gridSpan w:val="2"/>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172"/>
        </w:trPr>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Joseph L. Morettini</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5,887</w:t>
            </w:r>
          </w:p>
        </w:tc>
        <w:tc>
          <w:tcPr>
            <w:tcW w:w="76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r>
      <w:tr>
        <w:trPr>
          <w:trHeight w:val="206"/>
        </w:trPr>
        <w:tc>
          <w:tcPr>
            <w:tcW w:w="7540" w:type="dxa"/>
            <w:vAlign w:val="bottom"/>
            <w:gridSpan w:val="4"/>
          </w:tcPr>
          <w:p>
            <w:pPr>
              <w:spacing w:after="0" w:line="205" w:lineRule="exact"/>
              <w:rPr>
                <w:sz w:val="20"/>
                <w:szCs w:val="20"/>
                <w:color w:val="auto"/>
              </w:rPr>
            </w:pPr>
            <w:r>
              <w:rPr>
                <w:rFonts w:ascii="Arial" w:cs="Arial" w:eastAsia="Arial" w:hAnsi="Arial"/>
                <w:sz w:val="14"/>
                <w:szCs w:val="14"/>
                <w:color w:val="auto"/>
              </w:rPr>
              <w:t>Indroneel Chatterjee</w:t>
            </w:r>
            <w:r>
              <w:rPr>
                <w:rFonts w:ascii="Arial" w:cs="Arial" w:eastAsia="Arial" w:hAnsi="Arial"/>
                <w:sz w:val="23"/>
                <w:szCs w:val="23"/>
                <w:color w:val="auto"/>
                <w:vertAlign w:val="superscript"/>
              </w:rPr>
              <w:t>(14)</w:t>
            </w:r>
          </w:p>
        </w:tc>
        <w:tc>
          <w:tcPr>
            <w:tcW w:w="660" w:type="dxa"/>
            <w:vAlign w:val="bottom"/>
          </w:tcPr>
          <w:p>
            <w:pPr>
              <w:jc w:val="right"/>
              <w:spacing w:after="0"/>
              <w:rPr>
                <w:sz w:val="20"/>
                <w:szCs w:val="20"/>
                <w:color w:val="auto"/>
              </w:rPr>
            </w:pPr>
            <w:r>
              <w:rPr>
                <w:rFonts w:ascii="Arial" w:cs="Arial" w:eastAsia="Arial" w:hAnsi="Arial"/>
                <w:sz w:val="15"/>
                <w:szCs w:val="15"/>
                <w:color w:val="auto"/>
              </w:rPr>
              <w:t>1,200</w:t>
            </w:r>
          </w:p>
        </w:tc>
        <w:tc>
          <w:tcPr>
            <w:tcW w:w="760" w:type="dxa"/>
            <w:vAlign w:val="bottom"/>
            <w:gridSpan w:val="2"/>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r>
      <w:tr>
        <w:trPr>
          <w:trHeight w:val="172"/>
        </w:trPr>
        <w:tc>
          <w:tcPr>
            <w:tcW w:w="75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All Current Directors and Executive Officers as a Group (11 persons)</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1,439,080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200" w:type="dxa"/>
            <w:vAlign w:val="bottom"/>
            <w:shd w:val="clear" w:color="auto" w:fill="CCEEFF"/>
          </w:tcPr>
          <w:p>
            <w:pPr>
              <w:spacing w:after="0"/>
              <w:rPr>
                <w:sz w:val="14"/>
                <w:szCs w:val="14"/>
                <w:color w:val="auto"/>
              </w:rPr>
            </w:pPr>
          </w:p>
        </w:tc>
      </w:tr>
      <w:tr>
        <w:trPr>
          <w:trHeight w:val="364"/>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7280" w:type="dxa"/>
            <w:vAlign w:val="bottom"/>
            <w:gridSpan w:val="3"/>
          </w:tcPr>
          <w:p>
            <w:pPr>
              <w:ind w:left="200"/>
              <w:spacing w:after="0"/>
              <w:rPr>
                <w:sz w:val="20"/>
                <w:szCs w:val="20"/>
                <w:color w:val="auto"/>
              </w:rPr>
            </w:pPr>
            <w:r>
              <w:rPr>
                <w:rFonts w:ascii="Arial" w:cs="Arial" w:eastAsia="Arial" w:hAnsi="Arial"/>
                <w:sz w:val="15"/>
                <w:szCs w:val="15"/>
                <w:color w:val="auto"/>
              </w:rPr>
              <w:t>Less than one percent (1%)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76" w:lineRule="exact"/>
        <w:rPr>
          <w:sz w:val="20"/>
          <w:szCs w:val="20"/>
          <w:color w:val="auto"/>
        </w:rPr>
      </w:pPr>
    </w:p>
    <w:p>
      <w:pPr>
        <w:ind w:left="1600" w:hanging="464"/>
        <w:spacing w:after="0" w:line="212" w:lineRule="auto"/>
        <w:tabs>
          <w:tab w:leader="none" w:pos="1600" w:val="left"/>
        </w:tabs>
        <w:numPr>
          <w:ilvl w:val="0"/>
          <w:numId w:val="25"/>
        </w:numPr>
        <w:rPr>
          <w:rFonts w:ascii="Arial" w:cs="Arial" w:eastAsia="Arial" w:hAnsi="Arial"/>
          <w:sz w:val="25"/>
          <w:szCs w:val="25"/>
          <w:color w:val="auto"/>
          <w:vertAlign w:val="superscript"/>
        </w:rPr>
      </w:pPr>
      <w:r>
        <w:rPr>
          <w:rFonts w:ascii="Arial" w:cs="Arial" w:eastAsia="Arial" w:hAnsi="Arial"/>
          <w:sz w:val="15"/>
          <w:szCs w:val="15"/>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August 9, 2018. Therefore, the table includes options to acquire shares of our common stock that are currently exercisable or will become exercisable within such 60-day period and restricted shares that vest within 60 days. It does not include restricted shares that do not vest within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114300</wp:posOffset>
            </wp:positionV>
            <wp:extent cx="3866515" cy="152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6651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600" w:right="20"/>
        <w:spacing w:after="0" w:line="243" w:lineRule="auto"/>
        <w:rPr>
          <w:sz w:val="20"/>
          <w:szCs w:val="20"/>
          <w:color w:val="auto"/>
        </w:rPr>
      </w:pPr>
      <w:r>
        <w:rPr>
          <w:rFonts w:ascii="Arial" w:cs="Arial" w:eastAsia="Arial" w:hAnsi="Arial"/>
          <w:sz w:val="15"/>
          <w:szCs w:val="15"/>
          <w:color w:val="auto"/>
        </w:rPr>
        <w:t>such 60-day period and under which the holder has no voting rights until vested. With respect to shares, unless otherwise indicated, an individual has sole voting power and sole investment power with respect to the indicated shares. No shares have been pledged as security for indebtedness by the Named Executive Officers or Directors.</w:t>
      </w:r>
    </w:p>
    <w:p>
      <w:pPr>
        <w:spacing w:after="0" w:line="174" w:lineRule="exact"/>
        <w:rPr>
          <w:sz w:val="20"/>
          <w:szCs w:val="20"/>
          <w:color w:val="auto"/>
        </w:rPr>
      </w:pPr>
    </w:p>
    <w:p>
      <w:pPr>
        <w:ind w:left="1600" w:right="40" w:hanging="464"/>
        <w:spacing w:after="0" w:line="221" w:lineRule="auto"/>
        <w:tabs>
          <w:tab w:leader="none" w:pos="16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13D/A filed with the SEC on December 1, 2017. Consists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Erbey's business address is P.O. Box 25437, Christiansted, United States Virgin Islands 00824.</w:t>
      </w:r>
    </w:p>
    <w:p>
      <w:pPr>
        <w:spacing w:after="0" w:line="179" w:lineRule="exact"/>
        <w:rPr>
          <w:rFonts w:ascii="Arial" w:cs="Arial" w:eastAsia="Arial" w:hAnsi="Arial"/>
          <w:sz w:val="25"/>
          <w:szCs w:val="25"/>
          <w:color w:val="auto"/>
          <w:vertAlign w:val="superscript"/>
        </w:rPr>
      </w:pPr>
    </w:p>
    <w:p>
      <w:pPr>
        <w:ind w:left="1600" w:right="20" w:hanging="464"/>
        <w:spacing w:after="0" w:line="219" w:lineRule="auto"/>
        <w:tabs>
          <w:tab w:leader="none" w:pos="160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Form 4 filed with the SEC on April 30, 2018 by Deer Park Road Management Company, LP ("Deer Park"), a limited partnership, on behalf of itself and Deer Park Road Management GP, LLC, Deer Park Road Corporation, Michael David Craig-Scheckman, AgateCreek LLC and Scott Edward Burg (collectively, the "Deer Park Reporting Persons"). Consists of 3,076,210 shares held for the account of the STS Master Fund, Ltd. ("STS Master Fund"). Based on information set forth in a Schedule 13G/A filed with the SEC on March 8, 2018, the Deer Park Reporting Persons share voting and dispositive power. Deer Park serves as investment adviser to STS Master Fund, an exempted company organized under the laws of the Cayman Islands. The business address of the Deer Park Reporting Persons is 1195 Bangtail Way, Steamboat Springs, Colorado 80487.</w:t>
      </w:r>
    </w:p>
    <w:p>
      <w:pPr>
        <w:spacing w:after="0" w:line="166" w:lineRule="exact"/>
        <w:rPr>
          <w:rFonts w:ascii="Arial" w:cs="Arial" w:eastAsia="Arial" w:hAnsi="Arial"/>
          <w:sz w:val="25"/>
          <w:szCs w:val="25"/>
          <w:color w:val="auto"/>
          <w:vertAlign w:val="superscript"/>
        </w:rPr>
      </w:pPr>
    </w:p>
    <w:p>
      <w:pPr>
        <w:ind w:left="1600" w:right="40" w:hanging="464"/>
        <w:spacing w:after="0" w:line="230" w:lineRule="auto"/>
        <w:tabs>
          <w:tab w:leader="none" w:pos="1600" w:val="left"/>
        </w:tabs>
        <w:numPr>
          <w:ilvl w:val="0"/>
          <w:numId w:val="26"/>
        </w:numPr>
        <w:rPr>
          <w:rFonts w:ascii="Arial" w:cs="Arial" w:eastAsia="Arial" w:hAnsi="Arial"/>
          <w:sz w:val="24"/>
          <w:szCs w:val="24"/>
          <w:color w:val="auto"/>
          <w:vertAlign w:val="superscript"/>
        </w:rPr>
      </w:pPr>
      <w:r>
        <w:rPr>
          <w:rFonts w:ascii="Arial" w:cs="Arial" w:eastAsia="Arial" w:hAnsi="Arial"/>
          <w:sz w:val="14"/>
          <w:szCs w:val="14"/>
          <w:color w:val="auto"/>
        </w:rPr>
        <w:t>Based on information contained in a Schedule 13G/A filed with the SEC on February 7, 2018, jointly by Putnam Investments, LLC d/b/a Putnam Investments ("PI"); two of its wholly-owned subsidiaries, Putnam Investment Management, LLC ("PIM") and The Putnam Advisory Company, LLC ("PAC"); and Putnam Equity Spectrum Fund and Putnam Capital Spectrum Fund. Consists of 2,867,507 shares held by PIM, as to which sole dispositive power is claimed. The shares held by PIM consist of 1,926,606 shares held by Putnam Equity Spectrum Fund as to which sole dispositive power is claimed, and 940,901 shares held by Putnam Capital Spectrum Fund, as to which sole dispositive power is claimed. The business address of PI, PIM, PAC, Putnam Equity Spectrum Fund and Putnam Capital Spectrum Fund is One Post Office Square, Boston, Massachusetts 02109.</w:t>
      </w:r>
    </w:p>
    <w:p>
      <w:pPr>
        <w:spacing w:after="0" w:line="165" w:lineRule="exact"/>
        <w:rPr>
          <w:rFonts w:ascii="Arial" w:cs="Arial" w:eastAsia="Arial" w:hAnsi="Arial"/>
          <w:sz w:val="24"/>
          <w:szCs w:val="24"/>
          <w:color w:val="auto"/>
          <w:vertAlign w:val="superscript"/>
        </w:rPr>
      </w:pPr>
    </w:p>
    <w:p>
      <w:pPr>
        <w:ind w:left="1600" w:right="200" w:hanging="464"/>
        <w:spacing w:after="0" w:line="188" w:lineRule="auto"/>
        <w:tabs>
          <w:tab w:leader="none" w:pos="1600" w:val="left"/>
        </w:tabs>
        <w:numPr>
          <w:ilvl w:val="0"/>
          <w:numId w:val="26"/>
        </w:numPr>
        <w:rPr>
          <w:rFonts w:ascii="Arial" w:cs="Arial" w:eastAsia="Arial" w:hAnsi="Arial"/>
          <w:sz w:val="24"/>
          <w:szCs w:val="24"/>
          <w:color w:val="auto"/>
          <w:vertAlign w:val="superscript"/>
        </w:rPr>
      </w:pPr>
      <w:r>
        <w:rPr>
          <w:rFonts w:ascii="Arial" w:cs="Arial" w:eastAsia="Arial" w:hAnsi="Arial"/>
          <w:sz w:val="14"/>
          <w:szCs w:val="14"/>
          <w:color w:val="auto"/>
        </w:rPr>
        <w:t>Based on information contained in a Schedule 13G/A filed with the SEC on February 14, 2018. Mr. Cooperman is the ultimate controlling person of Associates, Capital LP, Investors LP, Equity LP, Overseas and Advisors (each as defined below and, collectively, the "Omega Entities").</w:t>
      </w:r>
    </w:p>
    <w:p>
      <w:pPr>
        <w:spacing w:after="0" w:line="1" w:lineRule="exact"/>
        <w:rPr>
          <w:rFonts w:ascii="Arial" w:cs="Arial" w:eastAsia="Arial" w:hAnsi="Arial"/>
          <w:sz w:val="24"/>
          <w:szCs w:val="24"/>
          <w:color w:val="auto"/>
          <w:vertAlign w:val="superscript"/>
        </w:rPr>
      </w:pPr>
    </w:p>
    <w:p>
      <w:pPr>
        <w:ind w:left="1600"/>
        <w:spacing w:after="0"/>
        <w:rPr>
          <w:rFonts w:ascii="Arial" w:cs="Arial" w:eastAsia="Arial" w:hAnsi="Arial"/>
          <w:sz w:val="24"/>
          <w:szCs w:val="24"/>
          <w:color w:val="auto"/>
          <w:vertAlign w:val="superscript"/>
        </w:rPr>
      </w:pPr>
      <w:r>
        <w:rPr>
          <w:rFonts w:ascii="Arial" w:cs="Arial" w:eastAsia="Arial" w:hAnsi="Arial"/>
          <w:sz w:val="15"/>
          <w:szCs w:val="15"/>
          <w:color w:val="auto"/>
        </w:rPr>
        <w:t>Mr. Cooperman is the managing member of Omega Associates, L.L.C. ("Associates"), a private investment firm formed to invest in and act as general partner of investment partnerships or similar investment vehicles. Associates is the general partner of limited partnerships known as Omega Capital Partners, L.P. ("Capital LP"), Omega Capital Investors, L.P. ("Investors LP") and Omega Equity Investors, L.P. ("Equity LP"). Mr. Cooperman is the President, Chief Executive Officer and sole stockholder of Omega Advisors, Inc. ("Advisors"), a corporation engaged in providing investment management services, and Mr. Cooperman controls said entity. Advisors serves as the investment manager to Omega Overseas Partners, Ltd. ("Overseas"), a Cayman Island exempted company, and as a discretionary investment advisor to a limited number of institutional clients (the "Managed Accounts"). Consists of 50,000 shares owned by Mr. Cooperman; 504,101 shares owned by Capital LP as to which sole dispositive and voting power is claimed; 131,385 shares owned by Investors LP as to which sole dispositive and voting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114300</wp:posOffset>
            </wp:positionV>
            <wp:extent cx="3866515" cy="152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6651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0" w:right="60"/>
        <w:spacing w:after="0" w:line="241" w:lineRule="auto"/>
        <w:rPr>
          <w:sz w:val="20"/>
          <w:szCs w:val="20"/>
          <w:color w:val="auto"/>
        </w:rPr>
      </w:pPr>
      <w:r>
        <w:rPr>
          <w:rFonts w:ascii="Arial" w:cs="Arial" w:eastAsia="Arial" w:hAnsi="Arial"/>
          <w:sz w:val="15"/>
          <w:szCs w:val="15"/>
          <w:color w:val="auto"/>
        </w:rPr>
        <w:t>power is claimed; 294,489 shares owned by Equity LP as to which sole dispositive and voting power is claimed; 256,700 shares owned by Overseas as to which sole dispositive and voting power is claimed; and 42,865 shares owned by Managed Accounts as to which shared dispositive and voting power is claimed. Mr. Cooperman's address is St. Andrew's Country Club, 7118 Melrose Castle Lane, Boca Raton, Florida 33496. The business address of the Omega Entities is 810 Seventh Avenue, 33rd Floor, New York, New York 10019.</w:t>
      </w:r>
    </w:p>
    <w:p>
      <w:pPr>
        <w:spacing w:after="0" w:line="177" w:lineRule="exact"/>
        <w:rPr>
          <w:sz w:val="20"/>
          <w:szCs w:val="20"/>
          <w:color w:val="auto"/>
        </w:rPr>
      </w:pPr>
    </w:p>
    <w:p>
      <w:pPr>
        <w:ind w:left="1600" w:right="140" w:hanging="464"/>
        <w:spacing w:after="0" w:line="216"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13G/A filed with the SEC on February 8, 2018 by The Vanguard Group, Inc. on behalf of itself and of Vanguard Fiduciary Trust Company and Vanguard Investments Australia, Ltd. (the "Vanguard Entities"). Includes 21,397 shares as to which sole voting power is claimed; 900 shares as to which shared voting power is claimed; 895,249 shares as to which sole dispositive power is claimed; and 21,597 shares as to which shared dispositive power is claimed. 20,697 shares are beneficially owned by Vanguard Fiduciary Trust Company, and 1,600 shares are beneficially owned by Vanguard Investments Australia, Ltd., each of which is a wholly-owned subsidiary of The Vanguard Group, Inc. The business address of The Vanguard Group, Inc. is 100 Vanguard Blvd, Malvern, Pennsylvania 19355.</w:t>
      </w:r>
    </w:p>
    <w:p>
      <w:pPr>
        <w:spacing w:after="0" w:line="178" w:lineRule="exact"/>
        <w:rPr>
          <w:rFonts w:ascii="Arial" w:cs="Arial" w:eastAsia="Arial" w:hAnsi="Arial"/>
          <w:sz w:val="25"/>
          <w:szCs w:val="25"/>
          <w:color w:val="auto"/>
          <w:vertAlign w:val="superscript"/>
        </w:rPr>
      </w:pPr>
    </w:p>
    <w:p>
      <w:pPr>
        <w:ind w:left="1600" w:hanging="464"/>
        <w:spacing w:after="0" w:line="223"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292,400 shares exercisable on or within 60 days after August 9, 2018 and 398,494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acquired as a result of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 April 15, 2017, 56,250 were acquired by the exercise of options on September 1, 2017, 168,751 were acquired by the exercise of options on February 9, 2018, 4,309 were acquired pursuant to the vesting of a restricted share award on April 7, 2018 and 18,866 were acquired pursuant to the vesting of a restricted share award on April 15, 2018.</w:t>
      </w:r>
    </w:p>
    <w:p>
      <w:pPr>
        <w:spacing w:after="0" w:line="167" w:lineRule="exact"/>
        <w:rPr>
          <w:rFonts w:ascii="Arial" w:cs="Arial" w:eastAsia="Arial" w:hAnsi="Arial"/>
          <w:sz w:val="25"/>
          <w:szCs w:val="25"/>
          <w:color w:val="auto"/>
          <w:vertAlign w:val="superscript"/>
        </w:rPr>
      </w:pPr>
    </w:p>
    <w:p>
      <w:pPr>
        <w:ind w:left="1600" w:right="40" w:hanging="464"/>
        <w:spacing w:after="0" w:line="216"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139,000 shares exercisable on or within 60 days after August 9, 2018 and 225,626 shares, of which 18,000 were purchased in the open market on April 29, 2015, 8,130 were purchased as a result of a stock option exercise on March 30, 2016, 1,700 were purchased in the open market on May 2, 2016, 22,999 were acquired as a result of a stock option exercise on August 19, 2016, 3,610 were acquired pursuant to the vesting of a restricted share award on April 15, 2017, 39,167 were acquired by the exercise of options on September 1, 2017, 117,501 were acquired by the exercise of options on February 9, 2018, 1,005 were acquired pursuant to the vesting of a restricted share award on April 7, 2018 and 6,834 were acquired pursuant to the vesting of a restricted share award on April 15, 2018.</w:t>
      </w:r>
    </w:p>
    <w:p>
      <w:pPr>
        <w:spacing w:after="0" w:line="166" w:lineRule="exact"/>
        <w:rPr>
          <w:rFonts w:ascii="Arial" w:cs="Arial" w:eastAsia="Arial" w:hAnsi="Arial"/>
          <w:sz w:val="25"/>
          <w:szCs w:val="25"/>
          <w:color w:val="auto"/>
          <w:vertAlign w:val="superscript"/>
        </w:rPr>
      </w:pPr>
    </w:p>
    <w:p>
      <w:pPr>
        <w:ind w:left="1600" w:right="180" w:hanging="464"/>
        <w:spacing w:after="0" w:line="198"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Includes 142,108 shares held by Boston Provident Partners, L.P., a private investment fund managed by Mr. Kramer, of which 25,000 were purchased in the open market on February 24, 2017, 20,000 were purchased in the open market on August 30, 2017 and 5,000 were purchased in the open market on August 31, 2017.</w:t>
      </w:r>
    </w:p>
    <w:p>
      <w:pPr>
        <w:spacing w:after="0" w:line="176" w:lineRule="exact"/>
        <w:rPr>
          <w:rFonts w:ascii="Arial" w:cs="Arial" w:eastAsia="Arial" w:hAnsi="Arial"/>
          <w:sz w:val="25"/>
          <w:szCs w:val="25"/>
          <w:color w:val="auto"/>
          <w:vertAlign w:val="superscript"/>
        </w:rPr>
      </w:pPr>
    </w:p>
    <w:p>
      <w:pPr>
        <w:ind w:left="1600" w:right="100" w:hanging="464"/>
        <w:spacing w:after="0" w:line="206" w:lineRule="auto"/>
        <w:tabs>
          <w:tab w:leader="none" w:pos="160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68,213 shares exercisable on or within 60 days after August 9, 2018 and 6,362 shares held jointly by Ms. Esterman and her spouse, Gregory F. Esterman, of which 2,553 were acquired pursuant to the vesting of a restricted share award on April 15, 2017, 603 were acquired pursuant to the vesting of a restricted share award on April 7, 2018 and 3,206 were acquired pursuant to the vesting of a restricted share award on April 15, 2018.</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114300</wp:posOffset>
            </wp:positionV>
            <wp:extent cx="3866515" cy="152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66515" cy="15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0" w:right="20" w:hanging="464"/>
        <w:spacing w:after="0" w:line="212" w:lineRule="auto"/>
        <w:tabs>
          <w:tab w:leader="none" w:pos="1600"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40,138 shares exercisable on or within 60 days after August 9, 2018 and 7,170 shares, of which 1,100 were acquired as a result of a stock option exercise on September 6, 2017, 2,950 were purchased in the open market on May 11, 2015, 987 were acquired pursuant to the vesting of a restricted share award on April 15, 2017, 266 were acquired pursuant to the vesting of a restricted share award on April 7, 2018, 986 were acquired pursuant to the vesting of a restricted share award on April 15, 2018 and 881 were acquired pursuant to the vesting of a restricted share award on July 27, 2018.</w:t>
      </w:r>
    </w:p>
    <w:p>
      <w:pPr>
        <w:spacing w:after="0" w:line="178" w:lineRule="exact"/>
        <w:rPr>
          <w:rFonts w:ascii="Arial" w:cs="Arial" w:eastAsia="Arial" w:hAnsi="Arial"/>
          <w:sz w:val="25"/>
          <w:szCs w:val="25"/>
          <w:color w:val="auto"/>
          <w:vertAlign w:val="superscript"/>
        </w:rPr>
      </w:pPr>
    </w:p>
    <w:p>
      <w:pPr>
        <w:ind w:left="1600" w:right="320" w:hanging="464"/>
        <w:spacing w:after="0" w:line="192" w:lineRule="auto"/>
        <w:tabs>
          <w:tab w:leader="none" w:pos="160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Includes 2,070 shares held by the W. M. Linn Trust, 580 shares held by S &amp; S Agriculture &amp; Oil, LP, a limited partnership in which Mr. Linn shares voting and dispositive power, 1,500 shares held by the William Michael Linn, Roth IRA and 233 shares held by William M. Linn, Simple IRA.</w:t>
      </w:r>
    </w:p>
    <w:p>
      <w:pPr>
        <w:spacing w:after="0" w:line="165" w:lineRule="exact"/>
        <w:rPr>
          <w:rFonts w:ascii="Arial" w:cs="Arial" w:eastAsia="Arial" w:hAnsi="Arial"/>
          <w:sz w:val="24"/>
          <w:szCs w:val="24"/>
          <w:color w:val="auto"/>
          <w:vertAlign w:val="superscript"/>
        </w:rPr>
      </w:pPr>
    </w:p>
    <w:p>
      <w:pPr>
        <w:ind w:left="1600" w:hanging="464"/>
        <w:spacing w:after="0" w:line="206" w:lineRule="auto"/>
        <w:tabs>
          <w:tab w:leader="none" w:pos="1600"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acquire 18,633 shares exercisable on or within 60 days after August 9, 2018 and 3,622 shares, of which 500 were purchased in the open market on March 21, 2016, 987 were acquired pursuant to the vesting of a restricted share award on April 15, 2017, 266 were acquired pursuant to the vesting of a restricted share award on April 7, 2018, 987 were acquired pursuant to the vesting of a restricted share award on April 15, 2018 and 882 were acquired pursuant to the vesting of a restricted share award on July 27, 2018.</w:t>
      </w:r>
    </w:p>
    <w:p>
      <w:pPr>
        <w:spacing w:after="0" w:line="58" w:lineRule="exact"/>
        <w:rPr>
          <w:rFonts w:ascii="Arial" w:cs="Arial" w:eastAsia="Arial" w:hAnsi="Arial"/>
          <w:sz w:val="25"/>
          <w:szCs w:val="25"/>
          <w:color w:val="auto"/>
          <w:vertAlign w:val="superscript"/>
        </w:rPr>
      </w:pPr>
    </w:p>
    <w:p>
      <w:pPr>
        <w:ind w:left="1600" w:hanging="464"/>
        <w:spacing w:after="0"/>
        <w:tabs>
          <w:tab w:leader="none" w:pos="1600"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Consists of 1,200 shares purchased in the open market by Mr. Chatterjee's spouse, Valeriya Chatterjee, on October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00" w:lineRule="exact"/>
        <w:rPr>
          <w:sz w:val="20"/>
          <w:szCs w:val="20"/>
          <w:color w:val="auto"/>
        </w:rPr>
      </w:pPr>
    </w:p>
    <w:p>
      <w:pPr>
        <w:ind w:right="260"/>
        <w:spacing w:after="0" w:line="247" w:lineRule="auto"/>
        <w:rPr>
          <w:sz w:val="20"/>
          <w:szCs w:val="20"/>
          <w:color w:val="auto"/>
        </w:rPr>
      </w:pPr>
      <w:r>
        <w:rPr>
          <w:rFonts w:ascii="Arial" w:cs="Arial" w:eastAsia="Arial" w:hAnsi="Arial"/>
          <w:sz w:val="15"/>
          <w:szCs w:val="15"/>
          <w:color w:val="auto"/>
        </w:rPr>
        <w:t>The following table sets forth information as of the end of the most recently completed fiscal year with respect to compensation plans under which our equity securities are authorized for issuance.</w:t>
      </w:r>
    </w:p>
    <w:p>
      <w:pPr>
        <w:sectPr>
          <w:pgSz w:w="11900" w:h="16838" w:orient="portrait"/>
          <w:cols w:equalWidth="0" w:num="1">
            <w:col w:w="11440"/>
          </w:cols>
          <w:pgMar w:left="240" w:top="14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1660"/>
        <w:spacing w:after="0"/>
        <w:rPr>
          <w:sz w:val="20"/>
          <w:szCs w:val="20"/>
          <w:color w:val="auto"/>
        </w:rPr>
      </w:pPr>
      <w:r>
        <w:rPr>
          <w:rFonts w:ascii="Arial" w:cs="Arial" w:eastAsia="Arial" w:hAnsi="Arial"/>
          <w:sz w:val="15"/>
          <w:szCs w:val="15"/>
          <w:b w:val="1"/>
          <w:bCs w:val="1"/>
          <w:color w:val="auto"/>
        </w:rPr>
        <w:t>Plan</w:t>
      </w:r>
    </w:p>
    <w:p>
      <w:pPr>
        <w:spacing w:after="0" w:line="17" w:lineRule="exact"/>
        <w:rPr>
          <w:sz w:val="20"/>
          <w:szCs w:val="20"/>
          <w:color w:val="auto"/>
        </w:rPr>
      </w:pPr>
    </w:p>
    <w:p>
      <w:pPr>
        <w:jc w:val="center"/>
        <w:ind w:left="1660"/>
        <w:spacing w:after="0"/>
        <w:rPr>
          <w:sz w:val="20"/>
          <w:szCs w:val="20"/>
          <w:color w:val="auto"/>
        </w:rPr>
      </w:pPr>
      <w:r>
        <w:rPr>
          <w:rFonts w:ascii="Arial" w:cs="Arial" w:eastAsia="Arial" w:hAnsi="Arial"/>
          <w:sz w:val="15"/>
          <w:szCs w:val="15"/>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-1270</wp:posOffset>
            </wp:positionV>
            <wp:extent cx="235458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54580" cy="6985"/>
                    </a:xfrm>
                    <a:prstGeom prst="rect">
                      <a:avLst/>
                    </a:prstGeom>
                    <a:noFill/>
                  </pic:spPr>
                </pic:pic>
              </a:graphicData>
            </a:graphic>
          </wp:anchor>
        </w:drawing>
      </w:r>
    </w:p>
    <w:p>
      <w:pPr>
        <w:ind w:left="1140"/>
        <w:spacing w:after="0" w:line="247" w:lineRule="auto"/>
        <w:rPr>
          <w:sz w:val="20"/>
          <w:szCs w:val="20"/>
          <w:color w:val="auto"/>
        </w:rPr>
      </w:pPr>
      <w:r>
        <w:rPr>
          <w:rFonts w:ascii="Arial" w:cs="Arial" w:eastAsia="Arial" w:hAnsi="Arial"/>
          <w:sz w:val="15"/>
          <w:szCs w:val="15"/>
          <w:color w:val="auto"/>
        </w:rPr>
        <w:t>Equity compensation plans approved by security holders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9"/>
              </w:rPr>
              <w:t>Number of securities</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2"/>
        </w:trPr>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9"/>
              </w:rPr>
              <w:t>to be issued upon</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8"/>
              </w:rPr>
              <w:t>Weighted average</w:t>
            </w: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2"/>
        </w:trPr>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9"/>
              </w:rPr>
              <w:t>exercise</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9"/>
              </w:rPr>
              <w:t>exercise price of</w:t>
            </w:r>
          </w:p>
        </w:tc>
        <w:tc>
          <w:tcPr>
            <w:tcW w:w="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5"/>
                <w:szCs w:val="15"/>
                <w:b w:val="1"/>
                <w:bCs w:val="1"/>
                <w:color w:val="auto"/>
                <w:w w:val="99"/>
              </w:rPr>
              <w:t>Number of securities</w:t>
            </w:r>
          </w:p>
        </w:tc>
      </w:tr>
      <w:tr>
        <w:trPr>
          <w:trHeight w:val="172"/>
        </w:trPr>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9"/>
              </w:rPr>
              <w:t>of outstanding</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8"/>
              </w:rPr>
              <w:t>outstanding options,</w:t>
            </w:r>
          </w:p>
        </w:tc>
        <w:tc>
          <w:tcPr>
            <w:tcW w:w="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5"/>
                <w:szCs w:val="15"/>
                <w:b w:val="1"/>
                <w:bCs w:val="1"/>
                <w:color w:val="auto"/>
                <w:w w:val="99"/>
              </w:rPr>
              <w:t>remaining available for</w:t>
            </w:r>
          </w:p>
        </w:tc>
      </w:tr>
      <w:tr>
        <w:trPr>
          <w:trHeight w:val="172"/>
        </w:trPr>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5"/>
              </w:rPr>
              <w:t>options,</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5"/>
                <w:szCs w:val="15"/>
                <w:b w:val="1"/>
                <w:bCs w:val="1"/>
                <w:color w:val="auto"/>
                <w:w w:val="98"/>
              </w:rPr>
              <w:t>warrants and</w:t>
            </w:r>
          </w:p>
        </w:tc>
        <w:tc>
          <w:tcPr>
            <w:tcW w:w="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5"/>
                <w:szCs w:val="15"/>
                <w:b w:val="1"/>
                <w:bCs w:val="1"/>
                <w:color w:val="auto"/>
                <w:w w:val="99"/>
              </w:rPr>
              <w:t>future issuance under</w:t>
            </w:r>
          </w:p>
        </w:tc>
      </w:tr>
      <w:tr>
        <w:trPr>
          <w:trHeight w:val="187"/>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warrants and rights</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rights</w:t>
            </w:r>
          </w:p>
        </w:tc>
        <w:tc>
          <w:tcPr>
            <w:tcW w:w="8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equity compensation plans</w:t>
            </w:r>
          </w:p>
        </w:tc>
      </w:tr>
      <w:tr>
        <w:trPr>
          <w:trHeight w:val="253"/>
        </w:trPr>
        <w:tc>
          <w:tcPr>
            <w:tcW w:w="1480" w:type="dxa"/>
            <w:vAlign w:val="bottom"/>
          </w:tcPr>
          <w:p>
            <w:pPr>
              <w:jc w:val="center"/>
              <w:spacing w:after="0"/>
              <w:rPr>
                <w:sz w:val="20"/>
                <w:szCs w:val="20"/>
                <w:color w:val="auto"/>
              </w:rPr>
            </w:pPr>
            <w:r>
              <w:rPr>
                <w:rFonts w:ascii="Arial" w:cs="Arial" w:eastAsia="Arial" w:hAnsi="Arial"/>
                <w:sz w:val="15"/>
                <w:szCs w:val="15"/>
                <w:color w:val="auto"/>
                <w:w w:val="98"/>
              </w:rPr>
              <w:t>1,745,906</w:t>
            </w:r>
          </w:p>
        </w:tc>
        <w:tc>
          <w:tcPr>
            <w:tcW w:w="1660" w:type="dxa"/>
            <w:vAlign w:val="bottom"/>
            <w:gridSpan w:val="2"/>
          </w:tcPr>
          <w:p>
            <w:pPr>
              <w:jc w:val="center"/>
              <w:ind w:left="6"/>
              <w:spacing w:after="0"/>
              <w:rPr>
                <w:sz w:val="20"/>
                <w:szCs w:val="20"/>
                <w:color w:val="auto"/>
              </w:rPr>
            </w:pPr>
            <w:r>
              <w:rPr>
                <w:rFonts w:ascii="Arial" w:cs="Arial" w:eastAsia="Arial" w:hAnsi="Arial"/>
                <w:sz w:val="15"/>
                <w:szCs w:val="15"/>
                <w:color w:val="auto"/>
              </w:rPr>
              <w:t>$28.20</w:t>
            </w:r>
          </w:p>
        </w:tc>
        <w:tc>
          <w:tcPr>
            <w:tcW w:w="2000" w:type="dxa"/>
            <w:vAlign w:val="bottom"/>
            <w:gridSpan w:val="2"/>
          </w:tcPr>
          <w:p>
            <w:pPr>
              <w:jc w:val="center"/>
              <w:spacing w:after="0"/>
              <w:rPr>
                <w:sz w:val="20"/>
                <w:szCs w:val="20"/>
                <w:color w:val="auto"/>
              </w:rPr>
            </w:pPr>
            <w:r>
              <w:rPr>
                <w:rFonts w:ascii="Arial" w:cs="Arial" w:eastAsia="Arial" w:hAnsi="Arial"/>
                <w:sz w:val="15"/>
                <w:szCs w:val="15"/>
                <w:color w:val="auto"/>
                <w:w w:val="98"/>
              </w:rPr>
              <w:t>1,450,799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-165100</wp:posOffset>
            </wp:positionV>
            <wp:extent cx="5799455" cy="217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9455" cy="217805"/>
                    </a:xfrm>
                    <a:prstGeom prst="rect">
                      <a:avLst/>
                    </a:prstGeom>
                    <a:noFill/>
                  </pic:spPr>
                </pic:pic>
              </a:graphicData>
            </a:graphic>
          </wp:anchor>
        </w:drawing>
      </w:r>
    </w:p>
    <w:p>
      <w:pPr>
        <w:spacing w:after="0" w:line="622" w:lineRule="exact"/>
        <w:rPr>
          <w:sz w:val="20"/>
          <w:szCs w:val="20"/>
          <w:color w:val="auto"/>
        </w:rPr>
      </w:pPr>
    </w:p>
    <w:p>
      <w:pPr>
        <w:sectPr>
          <w:pgSz w:w="11900" w:h="16838" w:orient="portrait"/>
          <w:cols w:equalWidth="0" w:num="2">
            <w:col w:w="4320" w:space="620"/>
            <w:col w:w="6500"/>
          </w:cols>
          <w:pgMar w:left="240" w:top="142" w:right="219" w:bottom="1440" w:gutter="0" w:footer="0" w:header="0"/>
          <w:type w:val="continuous"/>
        </w:sectPr>
      </w:pPr>
    </w:p>
    <w:p>
      <w:pPr>
        <w:ind w:right="80"/>
        <w:spacing w:after="0" w:line="241" w:lineRule="auto"/>
        <w:rPr>
          <w:sz w:val="20"/>
          <w:szCs w:val="20"/>
          <w:color w:val="auto"/>
        </w:rPr>
      </w:pPr>
      <w:r>
        <w:rPr>
          <w:rFonts w:ascii="Arial" w:cs="Arial" w:eastAsia="Arial" w:hAnsi="Arial"/>
          <w:sz w:val="15"/>
          <w:szCs w:val="15"/>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2017.</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type w:val="continuous"/>
        </w:sectPr>
      </w:pPr>
    </w:p>
    <w:bookmarkStart w:id="29" w:name="page30"/>
    <w:bookmarkEnd w:id="2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This Compensation Discussion and Analysis provides information regarding each of the following:</w:t>
      </w:r>
    </w:p>
    <w:p>
      <w:pPr>
        <w:spacing w:after="0" w:line="182" w:lineRule="exact"/>
        <w:rPr>
          <w:sz w:val="20"/>
          <w:szCs w:val="20"/>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compensation philosophy and the overall objectives of our executive compensation program;</w:t>
      </w:r>
    </w:p>
    <w:p>
      <w:pPr>
        <w:spacing w:after="0" w:line="182"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compensation governance practices;</w:t>
      </w:r>
    </w:p>
    <w:p>
      <w:pPr>
        <w:spacing w:after="0" w:line="170"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executive compensation review process;</w:t>
      </w:r>
    </w:p>
    <w:p>
      <w:pPr>
        <w:spacing w:after="0" w:line="170"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elements of our executive compensation program; and</w:t>
      </w:r>
    </w:p>
    <w:p>
      <w:pPr>
        <w:spacing w:after="0" w:line="182" w:lineRule="exact"/>
        <w:rPr>
          <w:rFonts w:ascii="Arial" w:cs="Arial" w:eastAsia="Arial" w:hAnsi="Arial"/>
          <w:sz w:val="15"/>
          <w:szCs w:val="15"/>
          <w:color w:val="auto"/>
        </w:rPr>
      </w:pPr>
    </w:p>
    <w:p>
      <w:pPr>
        <w:ind w:left="900" w:right="220" w:hanging="451"/>
        <w:spacing w:after="0" w:line="24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decisions made in 2017 and the first half of 2018 with respect to the compensation of each of the named executive officers identified below (the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gridSpan w:val="2"/>
          </w:tcPr>
          <w:p>
            <w:pPr>
              <w:spacing w:after="0"/>
              <w:rPr>
                <w:sz w:val="20"/>
                <w:szCs w:val="20"/>
                <w:color w:val="auto"/>
              </w:rPr>
            </w:pPr>
            <w:r>
              <w:rPr>
                <w:rFonts w:ascii="Arial" w:cs="Arial" w:eastAsia="Arial" w:hAnsi="Arial"/>
                <w:sz w:val="15"/>
                <w:szCs w:val="15"/>
                <w:color w:val="auto"/>
              </w:rPr>
              <w:t>Our Named Executive Officers for 2017 are:</w:t>
            </w:r>
          </w:p>
        </w:tc>
        <w:tc>
          <w:tcPr>
            <w:tcW w:w="180" w:type="dxa"/>
            <w:vAlign w:val="bottom"/>
          </w:tcPr>
          <w:p>
            <w:pPr>
              <w:spacing w:after="0"/>
              <w:rPr>
                <w:sz w:val="15"/>
                <w:szCs w:val="15"/>
                <w:color w:val="auto"/>
              </w:rPr>
            </w:pPr>
          </w:p>
        </w:tc>
        <w:tc>
          <w:tcPr>
            <w:tcW w:w="6780" w:type="dxa"/>
            <w:vAlign w:val="bottom"/>
          </w:tcPr>
          <w:p>
            <w:pPr>
              <w:spacing w:after="0"/>
              <w:rPr>
                <w:sz w:val="15"/>
                <w:szCs w:val="15"/>
                <w:color w:val="auto"/>
              </w:rPr>
            </w:pPr>
          </w:p>
        </w:tc>
      </w:tr>
      <w:tr>
        <w:trPr>
          <w:trHeight w:val="345"/>
        </w:trPr>
        <w:tc>
          <w:tcPr>
            <w:tcW w:w="1140" w:type="dxa"/>
            <w:vAlign w:val="bottom"/>
          </w:tcPr>
          <w:p>
            <w:pPr>
              <w:spacing w:after="0"/>
              <w:rPr>
                <w:sz w:val="24"/>
                <w:szCs w:val="24"/>
                <w:color w:val="auto"/>
              </w:rPr>
            </w:pPr>
          </w:p>
        </w:tc>
        <w:tc>
          <w:tcPr>
            <w:tcW w:w="2200" w:type="dxa"/>
            <w:vAlign w:val="bottom"/>
            <w:tcBorders>
              <w:bottom w:val="single" w:sz="8" w:color="auto"/>
            </w:tcBorders>
          </w:tcPr>
          <w:p>
            <w:pPr>
              <w:ind w:left="90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24"/>
                <w:szCs w:val="24"/>
                <w:color w:val="auto"/>
              </w:rPr>
            </w:pPr>
          </w:p>
        </w:tc>
        <w:tc>
          <w:tcPr>
            <w:tcW w:w="6780" w:type="dxa"/>
            <w:vAlign w:val="bottom"/>
            <w:tcBorders>
              <w:bottom w:val="single" w:sz="8" w:color="auto"/>
            </w:tcBorders>
          </w:tcPr>
          <w:p>
            <w:pPr>
              <w:ind w:left="3100"/>
              <w:spacing w:after="0"/>
              <w:rPr>
                <w:sz w:val="20"/>
                <w:szCs w:val="20"/>
                <w:color w:val="auto"/>
              </w:rPr>
            </w:pPr>
            <w:r>
              <w:rPr>
                <w:rFonts w:ascii="Arial" w:cs="Arial" w:eastAsia="Arial" w:hAnsi="Arial"/>
                <w:sz w:val="15"/>
                <w:szCs w:val="15"/>
                <w:b w:val="1"/>
                <w:bCs w:val="1"/>
                <w:color w:val="auto"/>
              </w:rPr>
              <w:t>Position</w:t>
            </w:r>
          </w:p>
        </w:tc>
      </w:tr>
      <w:tr>
        <w:trPr>
          <w:trHeight w:val="163"/>
        </w:trPr>
        <w:tc>
          <w:tcPr>
            <w:tcW w:w="1140" w:type="dxa"/>
            <w:vAlign w:val="bottom"/>
          </w:tcPr>
          <w:p>
            <w:pPr>
              <w:spacing w:after="0"/>
              <w:rPr>
                <w:sz w:val="14"/>
                <w:szCs w:val="14"/>
                <w:color w:val="auto"/>
              </w:rPr>
            </w:pPr>
          </w:p>
        </w:tc>
        <w:tc>
          <w:tcPr>
            <w:tcW w:w="22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180" w:type="dxa"/>
            <w:vAlign w:val="bottom"/>
            <w:shd w:val="clear" w:color="auto" w:fill="CCEEFF"/>
          </w:tcPr>
          <w:p>
            <w:pPr>
              <w:spacing w:after="0"/>
              <w:rPr>
                <w:sz w:val="14"/>
                <w:szCs w:val="14"/>
                <w:color w:val="auto"/>
              </w:rPr>
            </w:pPr>
          </w:p>
        </w:tc>
        <w:tc>
          <w:tcPr>
            <w:tcW w:w="67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Chief Executive Officer</w:t>
            </w:r>
          </w:p>
        </w:tc>
      </w:tr>
      <w:tr>
        <w:trPr>
          <w:trHeight w:val="172"/>
        </w:trPr>
        <w:tc>
          <w:tcPr>
            <w:tcW w:w="3340" w:type="dxa"/>
            <w:vAlign w:val="bottom"/>
            <w:gridSpan w:val="2"/>
          </w:tcPr>
          <w:p>
            <w:pPr>
              <w:ind w:left="1140"/>
              <w:spacing w:after="0"/>
              <w:rPr>
                <w:sz w:val="20"/>
                <w:szCs w:val="20"/>
                <w:color w:val="auto"/>
              </w:rPr>
            </w:pPr>
            <w:r>
              <w:rPr>
                <w:rFonts w:ascii="Arial" w:cs="Arial" w:eastAsia="Arial" w:hAnsi="Arial"/>
                <w:sz w:val="15"/>
                <w:szCs w:val="15"/>
                <w:color w:val="auto"/>
              </w:rPr>
              <w:t>Kevin J. Wilcox</w:t>
            </w:r>
          </w:p>
        </w:tc>
        <w:tc>
          <w:tcPr>
            <w:tcW w:w="18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Arial" w:cs="Arial" w:eastAsia="Arial" w:hAnsi="Arial"/>
                <w:sz w:val="15"/>
                <w:szCs w:val="15"/>
                <w:color w:val="auto"/>
              </w:rPr>
              <w:t>Chief Administration and Risk Officer</w:t>
            </w:r>
          </w:p>
        </w:tc>
      </w:tr>
      <w:tr>
        <w:trPr>
          <w:trHeight w:val="206"/>
        </w:trPr>
        <w:tc>
          <w:tcPr>
            <w:tcW w:w="114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5"/>
                <w:szCs w:val="15"/>
                <w:color w:val="auto"/>
              </w:rPr>
              <w:t>Indroneel Chatterjee</w:t>
            </w:r>
          </w:p>
        </w:tc>
        <w:tc>
          <w:tcPr>
            <w:tcW w:w="180" w:type="dxa"/>
            <w:vAlign w:val="bottom"/>
            <w:shd w:val="clear" w:color="auto" w:fill="CCEEFF"/>
          </w:tcPr>
          <w:p>
            <w:pPr>
              <w:spacing w:after="0"/>
              <w:rPr>
                <w:sz w:val="17"/>
                <w:szCs w:val="17"/>
                <w:color w:val="auto"/>
              </w:rPr>
            </w:pPr>
          </w:p>
        </w:tc>
        <w:tc>
          <w:tcPr>
            <w:tcW w:w="678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Chief Financial Officer</w:t>
            </w:r>
            <w:r>
              <w:rPr>
                <w:rFonts w:ascii="Arial" w:cs="Arial" w:eastAsia="Arial" w:hAnsi="Arial"/>
                <w:sz w:val="23"/>
                <w:szCs w:val="23"/>
                <w:color w:val="auto"/>
                <w:vertAlign w:val="superscript"/>
              </w:rPr>
              <w:t>(1)</w:t>
            </w:r>
          </w:p>
        </w:tc>
      </w:tr>
      <w:tr>
        <w:trPr>
          <w:trHeight w:val="206"/>
        </w:trPr>
        <w:tc>
          <w:tcPr>
            <w:tcW w:w="3340" w:type="dxa"/>
            <w:vAlign w:val="bottom"/>
            <w:gridSpan w:val="2"/>
          </w:tcPr>
          <w:p>
            <w:pPr>
              <w:ind w:left="1140"/>
              <w:spacing w:after="0"/>
              <w:rPr>
                <w:sz w:val="20"/>
                <w:szCs w:val="20"/>
                <w:color w:val="auto"/>
              </w:rPr>
            </w:pPr>
            <w:r>
              <w:rPr>
                <w:rFonts w:ascii="Arial" w:cs="Arial" w:eastAsia="Arial" w:hAnsi="Arial"/>
                <w:sz w:val="15"/>
                <w:szCs w:val="15"/>
                <w:color w:val="auto"/>
              </w:rPr>
              <w:t>Michelle D. Esterman</w:t>
            </w:r>
          </w:p>
        </w:tc>
        <w:tc>
          <w:tcPr>
            <w:tcW w:w="180" w:type="dxa"/>
            <w:vAlign w:val="bottom"/>
          </w:tcPr>
          <w:p>
            <w:pPr>
              <w:spacing w:after="0"/>
              <w:rPr>
                <w:sz w:val="17"/>
                <w:szCs w:val="17"/>
                <w:color w:val="auto"/>
              </w:rPr>
            </w:pPr>
          </w:p>
        </w:tc>
        <w:tc>
          <w:tcPr>
            <w:tcW w:w="6780" w:type="dxa"/>
            <w:vAlign w:val="bottom"/>
          </w:tcPr>
          <w:p>
            <w:pPr>
              <w:spacing w:after="0" w:line="205" w:lineRule="exact"/>
              <w:rPr>
                <w:sz w:val="20"/>
                <w:szCs w:val="20"/>
                <w:color w:val="auto"/>
              </w:rPr>
            </w:pPr>
            <w:r>
              <w:rPr>
                <w:rFonts w:ascii="Arial" w:cs="Arial" w:eastAsia="Arial" w:hAnsi="Arial"/>
                <w:sz w:val="14"/>
                <w:szCs w:val="14"/>
                <w:color w:val="auto"/>
              </w:rPr>
              <w:t>Executive Vice President, Finance (former Chief Financial Officer)</w:t>
            </w:r>
            <w:r>
              <w:rPr>
                <w:rFonts w:ascii="Arial" w:cs="Arial" w:eastAsia="Arial" w:hAnsi="Arial"/>
                <w:sz w:val="23"/>
                <w:szCs w:val="23"/>
                <w:color w:val="auto"/>
                <w:vertAlign w:val="superscript"/>
              </w:rPr>
              <w:t>(2)</w:t>
            </w:r>
          </w:p>
        </w:tc>
      </w:tr>
      <w:tr>
        <w:trPr>
          <w:trHeight w:val="172"/>
        </w:trPr>
        <w:tc>
          <w:tcPr>
            <w:tcW w:w="11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5"/>
                <w:szCs w:val="15"/>
                <w:color w:val="auto"/>
              </w:rPr>
              <w:t>Joseph A. Davila</w:t>
            </w:r>
          </w:p>
        </w:tc>
        <w:tc>
          <w:tcPr>
            <w:tcW w:w="180" w:type="dxa"/>
            <w:vAlign w:val="bottom"/>
            <w:shd w:val="clear" w:color="auto" w:fill="CCEEFF"/>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5"/>
                <w:szCs w:val="15"/>
                <w:color w:val="auto"/>
              </w:rPr>
              <w:t>President, Servicer Solutions</w:t>
            </w:r>
          </w:p>
        </w:tc>
      </w:tr>
      <w:tr>
        <w:trPr>
          <w:trHeight w:val="181"/>
        </w:trPr>
        <w:tc>
          <w:tcPr>
            <w:tcW w:w="3340" w:type="dxa"/>
            <w:vAlign w:val="bottom"/>
            <w:gridSpan w:val="2"/>
          </w:tcPr>
          <w:p>
            <w:pPr>
              <w:ind w:left="1140"/>
              <w:spacing w:after="0"/>
              <w:rPr>
                <w:sz w:val="20"/>
                <w:szCs w:val="20"/>
                <w:color w:val="auto"/>
              </w:rPr>
            </w:pPr>
            <w:r>
              <w:rPr>
                <w:rFonts w:ascii="Arial" w:cs="Arial" w:eastAsia="Arial" w:hAnsi="Arial"/>
                <w:sz w:val="15"/>
                <w:szCs w:val="15"/>
                <w:color w:val="auto"/>
              </w:rPr>
              <w:t>Gregory J. Ritts</w:t>
            </w:r>
          </w:p>
        </w:tc>
        <w:tc>
          <w:tcPr>
            <w:tcW w:w="180" w:type="dxa"/>
            <w:vAlign w:val="bottom"/>
          </w:tcPr>
          <w:p>
            <w:pPr>
              <w:spacing w:after="0"/>
              <w:rPr>
                <w:sz w:val="15"/>
                <w:szCs w:val="15"/>
                <w:color w:val="auto"/>
              </w:rPr>
            </w:pPr>
          </w:p>
        </w:tc>
        <w:tc>
          <w:tcPr>
            <w:tcW w:w="6780" w:type="dxa"/>
            <w:vAlign w:val="bottom"/>
          </w:tcPr>
          <w:p>
            <w:pPr>
              <w:spacing w:after="0"/>
              <w:rPr>
                <w:sz w:val="20"/>
                <w:szCs w:val="20"/>
                <w:color w:val="auto"/>
              </w:rPr>
            </w:pPr>
            <w:r>
              <w:rPr>
                <w:rFonts w:ascii="Arial" w:cs="Arial" w:eastAsia="Arial" w:hAnsi="Arial"/>
                <w:sz w:val="15"/>
                <w:szCs w:val="15"/>
                <w:color w:val="auto"/>
              </w:rPr>
              <w:t>Chief Legal and Compliance Officer</w:t>
            </w:r>
          </w:p>
        </w:tc>
      </w:tr>
    </w:tbl>
    <w:p>
      <w:pPr>
        <w:spacing w:after="0" w:line="67" w:lineRule="exact"/>
        <w:rPr>
          <w:sz w:val="20"/>
          <w:szCs w:val="20"/>
          <w:color w:val="auto"/>
        </w:rPr>
      </w:pPr>
    </w:p>
    <w:p>
      <w:pPr>
        <w:ind w:left="1600" w:hanging="464"/>
        <w:spacing w:after="0"/>
        <w:tabs>
          <w:tab w:leader="none" w:pos="1600" w:val="left"/>
        </w:tabs>
        <w:numPr>
          <w:ilvl w:val="0"/>
          <w:numId w:val="30"/>
        </w:numPr>
        <w:rPr>
          <w:rFonts w:ascii="Arial" w:cs="Arial" w:eastAsia="Arial" w:hAnsi="Arial"/>
          <w:sz w:val="25"/>
          <w:szCs w:val="25"/>
          <w:color w:val="auto"/>
          <w:vertAlign w:val="superscript"/>
        </w:rPr>
      </w:pPr>
      <w:r>
        <w:rPr>
          <w:rFonts w:ascii="Arial" w:cs="Arial" w:eastAsia="Arial" w:hAnsi="Arial"/>
          <w:sz w:val="15"/>
          <w:szCs w:val="15"/>
          <w:color w:val="auto"/>
        </w:rPr>
        <w:t>Mr. Chatterjee joined the Company as Chief Financial Officer effective October 5, 2017</w:t>
      </w:r>
    </w:p>
    <w:p>
      <w:pPr>
        <w:spacing w:after="0" w:line="164" w:lineRule="exact"/>
        <w:rPr>
          <w:rFonts w:ascii="Arial" w:cs="Arial" w:eastAsia="Arial" w:hAnsi="Arial"/>
          <w:sz w:val="25"/>
          <w:szCs w:val="25"/>
          <w:color w:val="auto"/>
          <w:vertAlign w:val="superscript"/>
        </w:rPr>
      </w:pPr>
    </w:p>
    <w:p>
      <w:pPr>
        <w:ind w:left="1600" w:right="200" w:hanging="464"/>
        <w:spacing w:after="0" w:line="182" w:lineRule="auto"/>
        <w:tabs>
          <w:tab w:leader="none" w:pos="1600" w:val="left"/>
        </w:tabs>
        <w:numPr>
          <w:ilvl w:val="0"/>
          <w:numId w:val="30"/>
        </w:numPr>
        <w:rPr>
          <w:rFonts w:ascii="Arial" w:cs="Arial" w:eastAsia="Arial" w:hAnsi="Arial"/>
          <w:sz w:val="25"/>
          <w:szCs w:val="25"/>
          <w:color w:val="auto"/>
          <w:vertAlign w:val="superscript"/>
        </w:rPr>
      </w:pPr>
      <w:r>
        <w:rPr>
          <w:rFonts w:ascii="Arial" w:cs="Arial" w:eastAsia="Arial" w:hAnsi="Arial"/>
          <w:sz w:val="15"/>
          <w:szCs w:val="15"/>
          <w:color w:val="auto"/>
        </w:rPr>
        <w:t>Ms. Esterman held the position of Chief Financial Officer through October 4, 2017 and assumed the position of Executive Vice President, Finance effective October 5, 2017</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 Philosophy and Objectives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executives remains competitive relative to the compensation paid to similarly situated executives of our peer companies.</w:t>
      </w:r>
    </w:p>
    <w:p>
      <w:pPr>
        <w:spacing w:after="0" w:line="175" w:lineRule="exact"/>
        <w:rPr>
          <w:sz w:val="20"/>
          <w:szCs w:val="20"/>
          <w:color w:val="auto"/>
        </w:rPr>
      </w:pPr>
    </w:p>
    <w:p>
      <w:pPr>
        <w:ind w:right="240"/>
        <w:spacing w:after="0" w:line="247" w:lineRule="auto"/>
        <w:rPr>
          <w:sz w:val="20"/>
          <w:szCs w:val="20"/>
          <w:color w:val="auto"/>
        </w:rPr>
      </w:pPr>
      <w:r>
        <w:rPr>
          <w:rFonts w:ascii="Arial" w:cs="Arial" w:eastAsia="Arial" w:hAnsi="Arial"/>
          <w:sz w:val="15"/>
          <w:szCs w:val="15"/>
          <w:color w:val="auto"/>
        </w:rPr>
        <w:t>To achieve these objectives, we generally believe executive compensation packages should include both cash and equity-based compensation that rewards performance measured against established goals.</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5"/>
          <w:szCs w:val="15"/>
          <w:color w:val="auto"/>
        </w:rPr>
        <w:t>In determining executive compensation for fiscal year 2017, our Compensation Committee considered the overwhelming shareholder support that the "Say-on-Pay" proposal received at our annual meeting of shareholders in 2017, with approximately ninety-two percent (92%) of voted shares supporting the Company's executive compensation structure in 2017, and continued to apply the same effective principles and philosophy it has used in previous years, including pay-for-performance and the use of compensation programs designed to motivate the creation of shareholder value. In furtherance of these principles, our Compensation Committee has approved certain compensation changes, including (i) moving toward a more regular annual equity grant practice for our executive officers, (ii) changing the payout methodology of our annual incentive plan beginning in 2018 to reduce the cash component and replace it with an equity</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component and (iii) granting equity more broadly across our organization to motivate and align employees with the success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Governance Practices</w:t>
      </w:r>
    </w:p>
    <w:p>
      <w:pPr>
        <w:spacing w:after="0" w:line="200" w:lineRule="exact"/>
        <w:rPr>
          <w:sz w:val="20"/>
          <w:szCs w:val="20"/>
          <w:color w:val="auto"/>
        </w:rPr>
      </w:pPr>
    </w:p>
    <w:p>
      <w:pPr>
        <w:ind w:right="460"/>
        <w:spacing w:after="0" w:line="247" w:lineRule="auto"/>
        <w:rPr>
          <w:sz w:val="20"/>
          <w:szCs w:val="20"/>
          <w:color w:val="auto"/>
        </w:rPr>
      </w:pPr>
      <w:r>
        <w:rPr>
          <w:rFonts w:ascii="Arial" w:cs="Arial" w:eastAsia="Arial" w:hAnsi="Arial"/>
          <w:sz w:val="15"/>
          <w:szCs w:val="15"/>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Key features of our compensation program and practices include:</w:t>
      </w:r>
    </w:p>
    <w:p>
      <w:pPr>
        <w:spacing w:after="0" w:line="166" w:lineRule="exact"/>
        <w:rPr>
          <w:sz w:val="20"/>
          <w:szCs w:val="20"/>
          <w:color w:val="auto"/>
        </w:rPr>
      </w:pPr>
    </w:p>
    <w:p>
      <w:pPr>
        <w:ind w:left="900" w:right="180" w:hanging="451"/>
        <w:spacing w:after="0" w:line="249"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Performance-based Compensation. </w:t>
      </w:r>
      <w:r>
        <w:rPr>
          <w:rFonts w:ascii="Arial" w:cs="Arial" w:eastAsia="Arial" w:hAnsi="Arial"/>
          <w:sz w:val="15"/>
          <w:szCs w:val="15"/>
          <w:color w:val="auto"/>
        </w:rPr>
        <w:t>Pay is highly linked to performance. Our 2017 incentive cash compensation awards make up an important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cash compensation for each of our Named Executive Officers, including the majority of the compensation for our Chief Executive Officer, and are based on financial goals (e.g., service revenue, pre-tax income and/or earnings per share ("EPS") targets), strategic initiatives and individual performance goals. In addition, the 2017 and 2018 awards issued pursuant to our Long Term Incentive Plan have a significant performance component.</w:t>
      </w:r>
    </w:p>
    <w:p>
      <w:pPr>
        <w:spacing w:after="0" w:line="154" w:lineRule="exact"/>
        <w:rPr>
          <w:rFonts w:ascii="Arial" w:cs="Arial" w:eastAsia="Arial" w:hAnsi="Arial"/>
          <w:sz w:val="15"/>
          <w:szCs w:val="15"/>
          <w:color w:val="auto"/>
        </w:rPr>
      </w:pPr>
    </w:p>
    <w:p>
      <w:pPr>
        <w:ind w:left="900" w:right="600" w:hanging="451"/>
        <w:spacing w:after="0" w:line="269"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Independent Compensation Consultant. </w:t>
      </w:r>
      <w:r>
        <w:rPr>
          <w:rFonts w:ascii="Arial" w:cs="Arial" w:eastAsia="Arial" w:hAnsi="Arial"/>
          <w:sz w:val="15"/>
          <w:szCs w:val="15"/>
          <w:color w:val="auto"/>
        </w:rPr>
        <w:t>We use an independent compensation consultant to review, analyze and provide recommendations regarding</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compensation.</w:t>
      </w:r>
    </w:p>
    <w:p>
      <w:pPr>
        <w:spacing w:after="0" w:line="128" w:lineRule="exact"/>
        <w:rPr>
          <w:rFonts w:ascii="Arial" w:cs="Arial" w:eastAsia="Arial" w:hAnsi="Arial"/>
          <w:sz w:val="15"/>
          <w:szCs w:val="15"/>
          <w:color w:val="auto"/>
        </w:rPr>
      </w:pPr>
    </w:p>
    <w:p>
      <w:pPr>
        <w:ind w:left="900" w:right="520" w:hanging="451"/>
        <w:spacing w:after="0" w:line="269"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Minimum Stock Ownership Requirement for the Chief Executive Officer. </w:t>
      </w:r>
      <w:r>
        <w:rPr>
          <w:rFonts w:ascii="Arial" w:cs="Arial" w:eastAsia="Arial" w:hAnsi="Arial"/>
          <w:sz w:val="15"/>
          <w:szCs w:val="15"/>
          <w:color w:val="auto"/>
        </w:rPr>
        <w:t>In February 2018, the Board of Directors instituted a minimum stock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 for our Chief Executive Officer requiring that he beneficially own Altisource stock equal to at least three times his base salary.</w:t>
      </w:r>
    </w:p>
    <w:p>
      <w:pPr>
        <w:spacing w:after="0" w:line="128" w:lineRule="exact"/>
        <w:rPr>
          <w:rFonts w:ascii="Arial" w:cs="Arial" w:eastAsia="Arial" w:hAnsi="Arial"/>
          <w:sz w:val="15"/>
          <w:szCs w:val="15"/>
          <w:color w:val="auto"/>
        </w:rPr>
      </w:pPr>
    </w:p>
    <w:p>
      <w:pPr>
        <w:ind w:left="900" w:hanging="451"/>
        <w:spacing w:after="0" w:line="306" w:lineRule="auto"/>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Claw-Back Policy. </w:t>
      </w:r>
      <w:r>
        <w:rPr>
          <w:rFonts w:ascii="Arial" w:cs="Arial" w:eastAsia="Arial" w:hAnsi="Arial"/>
          <w:sz w:val="14"/>
          <w:szCs w:val="14"/>
          <w:color w:val="auto"/>
        </w:rPr>
        <w:t>In February 2018, we voluntarily adopted a claw-back policy that provides that, in the event of an accounting restatement, the Company may</w:t>
      </w:r>
      <w:r>
        <w:rPr>
          <w:rFonts w:ascii="Arial" w:cs="Arial" w:eastAsia="Arial" w:hAnsi="Arial"/>
          <w:sz w:val="14"/>
          <w:szCs w:val="14"/>
          <w:i w:val="1"/>
          <w:iCs w:val="1"/>
          <w:color w:val="auto"/>
        </w:rPr>
        <w:t xml:space="preserve"> </w:t>
      </w:r>
      <w:r>
        <w:rPr>
          <w:rFonts w:ascii="Arial" w:cs="Arial" w:eastAsia="Arial" w:hAnsi="Arial"/>
          <w:sz w:val="14"/>
          <w:szCs w:val="14"/>
          <w:color w:val="auto"/>
        </w:rPr>
        <w:t>seek to recoup incentive compensation paid to one or more executive officers to the extent that their fraud or intentional misconduct caused the restatement.</w:t>
      </w:r>
    </w:p>
    <w:p>
      <w:pPr>
        <w:spacing w:after="0" w:line="115" w:lineRule="exact"/>
        <w:rPr>
          <w:rFonts w:ascii="Arial" w:cs="Arial" w:eastAsia="Arial" w:hAnsi="Arial"/>
          <w:sz w:val="14"/>
          <w:szCs w:val="14"/>
          <w:color w:val="auto"/>
        </w:rPr>
      </w:pPr>
    </w:p>
    <w:p>
      <w:pPr>
        <w:ind w:left="900" w:right="160" w:hanging="451"/>
        <w:spacing w:after="0" w:line="269"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Restrictive Covenants. </w:t>
      </w:r>
      <w:r>
        <w:rPr>
          <w:rFonts w:ascii="Arial" w:cs="Arial" w:eastAsia="Arial" w:hAnsi="Arial"/>
          <w:sz w:val="15"/>
          <w:szCs w:val="15"/>
          <w:color w:val="auto"/>
        </w:rPr>
        <w:t>With respect to equity grants made after January 1, 2013, we have the right to cancel outstanding equity awards and recover realized</w:t>
      </w:r>
      <w:r>
        <w:rPr>
          <w:rFonts w:ascii="Arial" w:cs="Arial" w:eastAsia="Arial" w:hAnsi="Arial"/>
          <w:sz w:val="15"/>
          <w:szCs w:val="15"/>
          <w:i w:val="1"/>
          <w:iCs w:val="1"/>
          <w:color w:val="auto"/>
        </w:rPr>
        <w:t xml:space="preserve"> </w:t>
      </w:r>
      <w:r>
        <w:rPr>
          <w:rFonts w:ascii="Arial" w:cs="Arial" w:eastAsia="Arial" w:hAnsi="Arial"/>
          <w:sz w:val="15"/>
          <w:szCs w:val="15"/>
          <w:color w:val="auto"/>
        </w:rPr>
        <w:t>gains if an executive breaches certain restrictive covenants within two years following his or her departure from the Company.</w:t>
      </w:r>
    </w:p>
    <w:p>
      <w:pPr>
        <w:spacing w:after="0" w:line="128" w:lineRule="exact"/>
        <w:rPr>
          <w:rFonts w:ascii="Arial" w:cs="Arial" w:eastAsia="Arial" w:hAnsi="Arial"/>
          <w:sz w:val="15"/>
          <w:szCs w:val="15"/>
          <w:color w:val="auto"/>
        </w:rPr>
      </w:pPr>
    </w:p>
    <w:p>
      <w:pPr>
        <w:ind w:left="900" w:hanging="451"/>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Golden Parachute Excise Tax Protection. </w:t>
      </w:r>
      <w:r>
        <w:rPr>
          <w:rFonts w:ascii="Arial" w:cs="Arial" w:eastAsia="Arial" w:hAnsi="Arial"/>
          <w:sz w:val="15"/>
          <w:szCs w:val="15"/>
          <w:color w:val="auto"/>
        </w:rPr>
        <w:t>We do not provide golden parachute excise tax gross-up protection for our executives.</w:t>
      </w:r>
    </w:p>
    <w:p>
      <w:pPr>
        <w:spacing w:after="0" w:line="170" w:lineRule="exact"/>
        <w:rPr>
          <w:rFonts w:ascii="Arial" w:cs="Arial" w:eastAsia="Arial" w:hAnsi="Arial"/>
          <w:sz w:val="15"/>
          <w:szCs w:val="15"/>
          <w:color w:val="auto"/>
        </w:rPr>
      </w:pPr>
    </w:p>
    <w:p>
      <w:pPr>
        <w:ind w:left="900" w:right="160" w:hanging="451"/>
        <w:spacing w:after="0" w:line="249"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Anti-Hedging and Anti-Pledging Policies. </w:t>
      </w:r>
      <w:r>
        <w:rPr>
          <w:rFonts w:ascii="Arial" w:cs="Arial" w:eastAsia="Arial" w:hAnsi="Arial"/>
          <w:sz w:val="15"/>
          <w:szCs w:val="15"/>
          <w:color w:val="auto"/>
        </w:rPr>
        <w:t>Our Corporate Governance Guidelines prohibit our executive officers and directors from pledging or otherwise</w:t>
      </w:r>
      <w:r>
        <w:rPr>
          <w:rFonts w:ascii="Arial" w:cs="Arial" w:eastAsia="Arial" w:hAnsi="Arial"/>
          <w:sz w:val="15"/>
          <w:szCs w:val="15"/>
          <w:i w:val="1"/>
          <w:iCs w:val="1"/>
          <w:color w:val="auto"/>
        </w:rPr>
        <w:t xml:space="preserve"> </w:t>
      </w:r>
      <w:r>
        <w:rPr>
          <w:rFonts w:ascii="Arial" w:cs="Arial" w:eastAsia="Arial" w:hAnsi="Arial"/>
          <w:sz w:val="15"/>
          <w:szCs w:val="15"/>
          <w:color w:val="auto"/>
        </w:rPr>
        <w:t>encumbering shares of the Company's common stock as collateral for indebtedness and from entering into any transaction that is designed to hedge or offset any decrease in the market value of the Company's common stock. We also maintain a management directive detailing our trading window period policy and our insider trading policy, which contains similar prohibitions.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Executive Compensation Review Process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Our Compensation Committee</w:t>
      </w:r>
    </w:p>
    <w:p>
      <w:pPr>
        <w:spacing w:after="0" w:line="200" w:lineRule="exact"/>
        <w:rPr>
          <w:sz w:val="20"/>
          <w:szCs w:val="20"/>
          <w:color w:val="auto"/>
        </w:rPr>
      </w:pPr>
    </w:p>
    <w:p>
      <w:pPr>
        <w:ind w:right="200"/>
        <w:spacing w:after="0" w:line="243" w:lineRule="auto"/>
        <w:rPr>
          <w:sz w:val="20"/>
          <w:szCs w:val="20"/>
          <w:color w:val="auto"/>
        </w:rPr>
      </w:pPr>
      <w:r>
        <w:rPr>
          <w:rFonts w:ascii="Arial" w:cs="Arial" w:eastAsia="Arial" w:hAnsi="Arial"/>
          <w:sz w:val="15"/>
          <w:szCs w:val="15"/>
          <w:color w:val="auto"/>
        </w:rPr>
        <w:t>The Compensation Committee is responsible for overseeing our executive compensation programs, including base salaries, annual non-equity incentive compensation, equity awards and executive benefits. The Compensation Committee determines the compensation of our Chief Executive Officer and approves the compensation of other executive officers.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
        <w:spacing w:after="0"/>
        <w:rPr>
          <w:sz w:val="20"/>
          <w:szCs w:val="20"/>
          <w:color w:val="auto"/>
        </w:rPr>
      </w:pPr>
      <w:r>
        <w:rPr>
          <w:rFonts w:ascii="Arial" w:cs="Arial" w:eastAsia="Arial" w:hAnsi="Arial"/>
          <w:sz w:val="15"/>
          <w:szCs w:val="15"/>
          <w:color w:val="auto"/>
        </w:rPr>
        <w:t>The Compensation Committee reviews the compensation of our Chief Executive Officer and other executive officers periodically to determine whether compensation changes are appropriate and may make changes to target total compensation opportunities from time to time. To make decisions that are informed by marketplace practices, the Compensation Committee, in consultation with its independent compensation consultant, conducts benchmarking analysis among peer companies of comparable size, industry and similar attributes that may compete with Altisource for qualified management talent. The Compensation Committee also considers additional factors, such as the executive's performance against pre-set targets for the year, the Company's overall performance against its pre-set targets in the environment in which the Company is operating, the executive's experience and expertise, the executive's scope of responsibility and other factors such as retention.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Executive Officers in Compensation Decisions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Certain executives are involved in the design and implementation of our executive compensation programs. Our Chief Executive Officer and Chief Administration and Risk Officer generally attend Compensation Committee meetings, except that they are not present during any voting or deliberations on their own compensation. These executives actively participate in performance reviews and compensation discussions for other executive officers, including making recommendations to the Compensation Committee as to the amount and form of compensation (other than their own). The Compensation Committee exercises its discretion in accepting, rejecting and/or modifying any such executive compensation recommendations. The Compensation Committee generally delegates executive compensation matters to the Chief Executive Officer and the Chief Administration and Risk Officer for further development and execution following approval by the Committee.</w:t>
      </w:r>
    </w:p>
    <w:p>
      <w:pPr>
        <w:spacing w:after="0" w:line="178" w:lineRule="exact"/>
        <w:rPr>
          <w:sz w:val="20"/>
          <w:szCs w:val="20"/>
          <w:color w:val="auto"/>
        </w:rPr>
      </w:pPr>
    </w:p>
    <w:p>
      <w:pPr>
        <w:jc w:val="both"/>
        <w:ind w:right="80"/>
        <w:spacing w:after="0" w:line="241" w:lineRule="auto"/>
        <w:rPr>
          <w:sz w:val="20"/>
          <w:szCs w:val="20"/>
          <w:color w:val="auto"/>
        </w:rPr>
      </w:pPr>
      <w:r>
        <w:rPr>
          <w:rFonts w:ascii="Arial" w:cs="Arial" w:eastAsia="Arial" w:hAnsi="Arial"/>
          <w:sz w:val="15"/>
          <w:szCs w:val="15"/>
          <w:color w:val="auto"/>
        </w:rPr>
        <w:t>In addition, the Compensation Committee has delegated authority to the Chief Executive Officer and the Chief Administration and Risk Officer to approve equity awards of up to 5,000 stock options or 5,000 restricted shares (or similar equity instrument) per employee (other than executive officers), with an exercise price of up to $50 per share and in an aggregate amount of up to 75,000 stock options or restricted shares (or similar equity instrument) per calendar year. Awards approved by these executives pursuant to this delegation are reported to the Compensation Committee.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Compensation Consultant</w:t>
      </w:r>
    </w:p>
    <w:p>
      <w:pPr>
        <w:spacing w:after="0" w:line="200" w:lineRule="exact"/>
        <w:rPr>
          <w:sz w:val="20"/>
          <w:szCs w:val="20"/>
          <w:color w:val="auto"/>
        </w:rPr>
      </w:pPr>
    </w:p>
    <w:p>
      <w:pPr>
        <w:ind w:right="200"/>
        <w:spacing w:after="0" w:line="243" w:lineRule="auto"/>
        <w:rPr>
          <w:sz w:val="20"/>
          <w:szCs w:val="20"/>
          <w:color w:val="auto"/>
        </w:rPr>
      </w:pPr>
      <w:r>
        <w:rPr>
          <w:rFonts w:ascii="Arial" w:cs="Arial" w:eastAsia="Arial" w:hAnsi="Arial"/>
          <w:sz w:val="15"/>
          <w:szCs w:val="15"/>
          <w:color w:val="auto"/>
        </w:rPr>
        <w:t>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w:t>
      </w:r>
    </w:p>
    <w:p>
      <w:pPr>
        <w:spacing w:after="0" w:line="174" w:lineRule="exact"/>
        <w:rPr>
          <w:sz w:val="20"/>
          <w:szCs w:val="20"/>
          <w:color w:val="auto"/>
        </w:rPr>
      </w:pPr>
    </w:p>
    <w:p>
      <w:pPr>
        <w:ind w:right="200"/>
        <w:spacing w:after="0" w:line="243" w:lineRule="auto"/>
        <w:rPr>
          <w:sz w:val="20"/>
          <w:szCs w:val="20"/>
          <w:color w:val="auto"/>
        </w:rPr>
      </w:pPr>
      <w:r>
        <w:rPr>
          <w:rFonts w:ascii="Arial" w:cs="Arial" w:eastAsia="Arial" w:hAnsi="Arial"/>
          <w:sz w:val="15"/>
          <w:szCs w:val="15"/>
          <w:color w:val="auto"/>
        </w:rPr>
        <w:t>Among other services, from time to time the Compensation Committee engages its compensation consultant to review the peer group used to benchmark executive and director pay to ensure the comparisons remain meaningful and relevant. Consistent with this practice and considering the evolution of Altisource's business model, in 2017, the Committee engaged its compensation consultant, Exequity, to conduct an in-depth review of the companies in its peer group.</w:t>
      </w:r>
    </w:p>
    <w:p>
      <w:pPr>
        <w:spacing w:after="0" w:line="174" w:lineRule="exact"/>
        <w:rPr>
          <w:sz w:val="20"/>
          <w:szCs w:val="20"/>
          <w:color w:val="auto"/>
        </w:rPr>
      </w:pPr>
    </w:p>
    <w:p>
      <w:pPr>
        <w:ind w:right="640"/>
        <w:spacing w:after="0" w:line="241" w:lineRule="auto"/>
        <w:rPr>
          <w:sz w:val="20"/>
          <w:szCs w:val="20"/>
          <w:color w:val="auto"/>
        </w:rPr>
      </w:pPr>
      <w:r>
        <w:rPr>
          <w:rFonts w:ascii="Arial" w:cs="Arial" w:eastAsia="Arial" w:hAnsi="Arial"/>
          <w:sz w:val="15"/>
          <w:szCs w:val="15"/>
          <w:color w:val="auto"/>
        </w:rPr>
        <w:t>As part of this review, Exequity provided research related to potential peer group companies for Altisource, taking into consideration many factors, including known competitors for executive talent, participants within Altisource's industry sectors, as well as companies in adjacent industries, comparability of business models and organizational complexity, geographic footprint and comparability of business scale (primarily focused on revenues and market capitalizations). Exequity worked with Altisource's management and human resources function to identify companies that compete with the Company for executive talent in each of 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four strategic businesses, Servicer Solutions, Origination Solutions, Consumer Real Estate Solutions and Real Estate Investor Solutions. Exequity also provided research to identify which existing peer group companies were no longer appropriate benchmarking peers due to tenuous business comparability and/or company scale.</w:t>
      </w:r>
    </w:p>
    <w:p>
      <w:pPr>
        <w:spacing w:after="0" w:line="171" w:lineRule="exact"/>
        <w:rPr>
          <w:sz w:val="20"/>
          <w:szCs w:val="20"/>
          <w:color w:val="auto"/>
        </w:rPr>
      </w:pPr>
    </w:p>
    <w:p>
      <w:pPr>
        <w:ind w:right="140"/>
        <w:spacing w:after="0" w:line="243" w:lineRule="auto"/>
        <w:rPr>
          <w:sz w:val="20"/>
          <w:szCs w:val="20"/>
          <w:color w:val="auto"/>
        </w:rPr>
      </w:pPr>
      <w:r>
        <w:rPr>
          <w:rFonts w:ascii="Arial" w:cs="Arial" w:eastAsia="Arial" w:hAnsi="Arial"/>
          <w:sz w:val="15"/>
          <w:szCs w:val="15"/>
          <w:color w:val="auto"/>
        </w:rPr>
        <w:t>Pursuant to Exequity's recommendations, and to better align our peer group with our current business model, the Compensation Committee determined to remove five companies (Equifax, Inc., PRGX Global, Inc., Sykes Enterprises Incorporated, Syntel, Inc. and Walter Investment Management Corp.) and to add seven companies (CoStar Group, Inc., Ellie Mae, Inc., Marcus &amp; Millichap, Inc., Radian Group, RealPage, Inc., Redfin Corporation and Zillow Group, Inc.) to its peer group.</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resulting group of 19 peer companies consists of:</w:t>
      </w:r>
    </w:p>
    <w:p>
      <w:pPr>
        <w:spacing w:after="0" w:line="182" w:lineRule="exact"/>
        <w:rPr>
          <w:sz w:val="20"/>
          <w:szCs w:val="20"/>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Black Knight Financial Services,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CoreLogic, Inc.</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CoStar Group, Inc.</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Ellie Mae,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Everi Holdings, Inc.</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ExlService Holdings, Inc.</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FleetCor Technologies,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Genpact Ltd.</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Jack Henry &amp; Associates Inc.</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Marcus &amp; Millichap,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Nationstar Mortgage Holdings, Inc.</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PennyMac Financial Services, Inc.</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Radian Group Inc.</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RealPage, Inc.</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Redfin Corporation</w:t>
      </w:r>
    </w:p>
    <w:p>
      <w:pPr>
        <w:spacing w:after="0" w:line="9"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Stewart Information Services Corp.</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Virtusa Corp.</w:t>
      </w: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WEX, Inc.</w:t>
      </w:r>
    </w:p>
    <w:p>
      <w:pPr>
        <w:spacing w:after="0" w:line="10" w:lineRule="exact"/>
        <w:rPr>
          <w:rFonts w:ascii="Arial" w:cs="Arial" w:eastAsia="Arial" w:hAnsi="Arial"/>
          <w:sz w:val="15"/>
          <w:szCs w:val="15"/>
          <w:color w:val="auto"/>
        </w:rPr>
      </w:pPr>
    </w:p>
    <w:p>
      <w:pPr>
        <w:ind w:left="900" w:hanging="451"/>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Zillow Group, Inc.</w:t>
      </w:r>
    </w:p>
    <w:p>
      <w:pPr>
        <w:spacing w:after="0" w:line="182"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Based on the research provided by Exequity, and the factors noted above, the Compensation Committee determined that the revised peer group is appropriate for use in future director and executive pay studies. This revised peer group was used to conduct benchmarking analyses for the director and executive pay studies described below.</w:t>
      </w:r>
    </w:p>
    <w:p>
      <w:pPr>
        <w:spacing w:after="0" w:line="14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Compensation Committee also engaged Exequity to conduct a director pay benchmarking study relative to the above-listed companies. The pay study concluded that the total compensation (cash and equity) for our non-management Directors is below the peer group median. Based on these findings and other factors, the Compensation Committee recommended submitting a proposal to our shareholders to increase the value of the annual equity award made to our non-management Directors from $110,000 to $120,000, and our shareholders approved this proposal at our 2018 annual meeting of shareholders.</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Utilizing a similar analysis, in the first quarter of 2018, Exequity conducted a pay study to analyze the competitiveness of Altisource's executive pay levels relative to the pay levels for the companies in its peer group. In conducting its analysis, Exequity compared Altisource's positions to peer benchmarks in terms of base salary, target annual cash incentive opportunity, total target cash compensation, long-term incentive compensation and total direct compensation (target total cash compensation plus long-term incentives). Following its pay study, Exequity concluded that the total direct compensation for each of Altisource's top five executive officers was below the peer group's median level for comparable roles at peer-group</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20"/>
        <w:spacing w:after="0" w:line="243" w:lineRule="auto"/>
        <w:rPr>
          <w:sz w:val="20"/>
          <w:szCs w:val="20"/>
          <w:color w:val="auto"/>
        </w:rPr>
      </w:pPr>
      <w:r>
        <w:rPr>
          <w:rFonts w:ascii="Arial" w:cs="Arial" w:eastAsia="Arial" w:hAnsi="Arial"/>
          <w:sz w:val="15"/>
          <w:szCs w:val="15"/>
          <w:color w:val="auto"/>
        </w:rPr>
        <w:t>companies, primarily as a result of lower equity compensation. The Compensation Committee considered the results of this pay study in determining the size of the 2018 equity grants awarded to these executives under the Company's 2017 Long-Term Incentive Plan. Please see "2018 Long-Term Incentive Plan Awards" in the "Equity Compensation" section below for further information regarding these grants.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In 2017, the Company also sought input from Exequity with regard to the design of the 2017 and 2018 awards issued under our Long-Term Incentive Plan and the September 2017 compensation increase for the Chief Administration and Risk Officer, which are described further in subsequent sections of this Compensation Discussion and Analysis.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Elements of Executive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current annual compensation package for our Named Executive Officers primarily consists of three elements:</w:t>
      </w:r>
    </w:p>
    <w:p>
      <w:pPr>
        <w:spacing w:after="0" w:line="166" w:lineRule="exact"/>
        <w:rPr>
          <w:sz w:val="20"/>
          <w:szCs w:val="20"/>
          <w:color w:val="auto"/>
        </w:rPr>
      </w:pPr>
    </w:p>
    <w:p>
      <w:pPr>
        <w:ind w:left="900" w:right="100" w:hanging="451"/>
        <w:spacing w:after="0" w:line="269"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Base salary is intended to attract executives and to provide fixed compensation that is commensurate with the executive's scope of responsibility</w:t>
      </w:r>
      <w:r>
        <w:rPr>
          <w:rFonts w:ascii="Arial" w:cs="Arial" w:eastAsia="Arial" w:hAnsi="Arial"/>
          <w:sz w:val="15"/>
          <w:szCs w:val="15"/>
          <w:i w:val="1"/>
          <w:iCs w:val="1"/>
          <w:color w:val="auto"/>
        </w:rPr>
        <w:t xml:space="preserve"> </w:t>
      </w:r>
      <w:r>
        <w:rPr>
          <w:rFonts w:ascii="Arial" w:cs="Arial" w:eastAsia="Arial" w:hAnsi="Arial"/>
          <w:sz w:val="15"/>
          <w:szCs w:val="15"/>
          <w:color w:val="auto"/>
        </w:rPr>
        <w:t>and effectiveness.</w:t>
      </w:r>
    </w:p>
    <w:p>
      <w:pPr>
        <w:spacing w:after="0" w:line="139" w:lineRule="exact"/>
        <w:rPr>
          <w:rFonts w:ascii="Arial" w:cs="Arial" w:eastAsia="Arial" w:hAnsi="Arial"/>
          <w:sz w:val="15"/>
          <w:szCs w:val="15"/>
          <w:color w:val="auto"/>
        </w:rPr>
      </w:pPr>
    </w:p>
    <w:p>
      <w:pPr>
        <w:ind w:left="900" w:right="80" w:hanging="451"/>
        <w:spacing w:after="0" w:line="254"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Annual cash incentive compensation. </w:t>
      </w:r>
      <w:r>
        <w:rPr>
          <w:rFonts w:ascii="Arial" w:cs="Arial" w:eastAsia="Arial" w:hAnsi="Arial"/>
          <w:sz w:val="15"/>
          <w:szCs w:val="15"/>
          <w:color w:val="auto"/>
        </w:rPr>
        <w:t>Altisource's annual cash incentive is based on the achievement of Company performance targets and an assessment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executive's individual performance, and is designed to align the executive's compensation with the Company's business goals and increase shareholder value.</w:t>
      </w:r>
    </w:p>
    <w:p>
      <w:pPr>
        <w:spacing w:after="0" w:line="139" w:lineRule="exact"/>
        <w:rPr>
          <w:rFonts w:ascii="Arial" w:cs="Arial" w:eastAsia="Arial" w:hAnsi="Arial"/>
          <w:sz w:val="15"/>
          <w:szCs w:val="15"/>
          <w:color w:val="auto"/>
        </w:rPr>
      </w:pPr>
    </w:p>
    <w:p>
      <w:pPr>
        <w:ind w:left="900" w:right="360" w:hanging="451"/>
        <w:spacing w:after="0" w:line="269"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Long-term equity compensation. </w:t>
      </w:r>
      <w:r>
        <w:rPr>
          <w:rFonts w:ascii="Arial" w:cs="Arial" w:eastAsia="Arial" w:hAnsi="Arial"/>
          <w:sz w:val="15"/>
          <w:szCs w:val="15"/>
          <w:color w:val="auto"/>
        </w:rPr>
        <w:t>Long-term equity compensation focuses on the retention of high-performing executives and incenting the achievement of</w:t>
      </w:r>
      <w:r>
        <w:rPr>
          <w:rFonts w:ascii="Arial" w:cs="Arial" w:eastAsia="Arial" w:hAnsi="Arial"/>
          <w:sz w:val="15"/>
          <w:szCs w:val="15"/>
          <w:i w:val="1"/>
          <w:iCs w:val="1"/>
          <w:color w:val="auto"/>
        </w:rPr>
        <w:t xml:space="preserve"> </w:t>
      </w:r>
      <w:r>
        <w:rPr>
          <w:rFonts w:ascii="Arial" w:cs="Arial" w:eastAsia="Arial" w:hAnsi="Arial"/>
          <w:sz w:val="15"/>
          <w:szCs w:val="15"/>
          <w:color w:val="auto"/>
        </w:rPr>
        <w:t>strategic business objectives designed to increase shareholder value.</w:t>
      </w:r>
    </w:p>
    <w:p>
      <w:pPr>
        <w:spacing w:after="0" w:line="156"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We believe that this compensation mix supports our objective of having a large portion of compensation that is "at risk" based on Company performance. These elements of compensation are also designed to be consistent with competitive market practices and to attract and retain highly talented executives. Going forward, we expect to further emphasize the long-term equity compensation element because of (i) the direct link that equity compensation provides between shareholder interests and the interests of our executives, and (ii) the retention characteristics that equity compensation provides considering our industry and business environment.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Base Salary</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Base salaries for our Named Executive Officers are established based on individual qualifications and job responsibilities while using a market-based approach that takes into account compensation levels at companies in our peer group for similar positions. The Compensation Committee sets the base salary for the Chief Executive Officer and approves the base salaries for all other Named Executive Officers.</w:t>
      </w:r>
    </w:p>
    <w:p>
      <w:pPr>
        <w:spacing w:after="0" w:line="17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Base salaries for our Named Executive Officers are reviewed periodically with adjustments made based on market information, internal review of the Named Executive Officer's compensation in relation to other executives, individual performance and corporate performance. Salary levels are also considered upon a relocation, a promotion or other change in job responsibility. Please refer to "Other Compensation Decisions for our Named Executive Officers" below for additional information relating to base salary changes approved by the Compensation Committee for our Named Executive Officers in 2017.</w:t>
      </w:r>
    </w:p>
    <w:p>
      <w:pPr>
        <w:spacing w:after="0" w:line="177" w:lineRule="exact"/>
        <w:rPr>
          <w:sz w:val="20"/>
          <w:szCs w:val="20"/>
          <w:color w:val="auto"/>
        </w:rPr>
      </w:pPr>
    </w:p>
    <w:p>
      <w:pPr>
        <w:jc w:val="both"/>
        <w:ind w:right="220"/>
        <w:spacing w:after="0" w:line="243" w:lineRule="auto"/>
        <w:rPr>
          <w:sz w:val="20"/>
          <w:szCs w:val="20"/>
          <w:color w:val="auto"/>
        </w:rPr>
      </w:pPr>
      <w:r>
        <w:rPr>
          <w:rFonts w:ascii="Arial" w:cs="Arial" w:eastAsia="Arial" w:hAnsi="Arial"/>
          <w:sz w:val="15"/>
          <w:szCs w:val="15"/>
          <w:color w:val="auto"/>
        </w:rPr>
        <w:t>In addition, under article L.223-1 of the Luxembourg Labor Code, all compensation owed pursuant to an employment agreement is required to be adapted based upon the cost of living index in the Grand Duchy of Luxembourg. As previously disclosed, effective January 1, 2017, there was a required two and a half percent (2.5%) increase in compensation pursuant to this law. Effective August 1, 2018, there was another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4" w:name="page35"/>
    <w:bookmarkEnd w:id="3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right="220"/>
        <w:spacing w:after="0" w:line="243" w:lineRule="auto"/>
        <w:rPr>
          <w:sz w:val="20"/>
          <w:szCs w:val="20"/>
          <w:color w:val="auto"/>
        </w:rPr>
      </w:pPr>
      <w:r>
        <w:rPr>
          <w:rFonts w:ascii="Arial" w:cs="Arial" w:eastAsia="Arial" w:hAnsi="Arial"/>
          <w:sz w:val="15"/>
          <w:szCs w:val="15"/>
          <w:color w:val="auto"/>
        </w:rPr>
        <w:t>required two and a half percent (2.5%) increase in compensation pursuant to this law. On these dates, the base salaries for our Named Executive Officers (other than Ms. Esterman who no longer resides in Luxembourg) and the incentive compensation targets for the Chief Executive Officer and the Chief Administration and Risk Officer were adjusted accordingly.</w:t>
      </w:r>
    </w:p>
    <w:p>
      <w:pPr>
        <w:spacing w:after="0" w:line="174" w:lineRule="exact"/>
        <w:rPr>
          <w:sz w:val="20"/>
          <w:szCs w:val="20"/>
          <w:color w:val="auto"/>
        </w:rPr>
      </w:pPr>
    </w:p>
    <w:p>
      <w:pPr>
        <w:ind w:left="8" w:right="20"/>
        <w:spacing w:after="0" w:line="247" w:lineRule="auto"/>
        <w:rPr>
          <w:sz w:val="20"/>
          <w:szCs w:val="20"/>
          <w:color w:val="auto"/>
        </w:rPr>
      </w:pPr>
      <w:r>
        <w:rPr>
          <w:rFonts w:ascii="Arial" w:cs="Arial" w:eastAsia="Arial" w:hAnsi="Arial"/>
          <w:sz w:val="15"/>
          <w:szCs w:val="15"/>
          <w:color w:val="auto"/>
        </w:rPr>
        <w:t>Base salaries for our Named Executive Officers are set in U.S. dollars and paid in euros. Please see the Summary Compensation Table under "Executive Compensation" for additional information regarding the base salaries of our Named Executive Officers.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Annual Incentive Compensation</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u w:val="single" w:color="auto"/>
          <w:color w:val="auto"/>
        </w:rPr>
        <w:t>Overview</w:t>
      </w:r>
    </w:p>
    <w:p>
      <w:pPr>
        <w:spacing w:after="0" w:line="182"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Pursuant to an annual incentive plan, a participant earns cash incentive compensation as determined by the Compensation Committee. The plan provides the Compensation Committee and our management with the authority to establish incentive award guidelines, which are further discussed below.</w:t>
      </w:r>
    </w:p>
    <w:p>
      <w:pPr>
        <w:spacing w:after="0" w:line="171" w:lineRule="exact"/>
        <w:rPr>
          <w:sz w:val="20"/>
          <w:szCs w:val="20"/>
          <w:color w:val="auto"/>
        </w:rPr>
      </w:pPr>
    </w:p>
    <w:p>
      <w:pPr>
        <w:ind w:left="8"/>
        <w:spacing w:after="0" w:line="223" w:lineRule="auto"/>
        <w:rPr>
          <w:sz w:val="20"/>
          <w:szCs w:val="20"/>
          <w:color w:val="auto"/>
        </w:rPr>
      </w:pPr>
      <w:r>
        <w:rPr>
          <w:rFonts w:ascii="Arial" w:cs="Arial" w:eastAsia="Arial" w:hAnsi="Arial"/>
          <w:sz w:val="15"/>
          <w:szCs w:val="15"/>
          <w:color w:val="auto"/>
        </w:rPr>
        <w:t>In 2017, consistent with prior years, each Named Executive Officer (other than Mr. Chatterjee</w:t>
      </w:r>
      <w:r>
        <w:rPr>
          <w:rFonts w:ascii="Arial" w:cs="Arial" w:eastAsia="Arial" w:hAnsi="Arial"/>
          <w:sz w:val="24"/>
          <w:szCs w:val="24"/>
          <w:color w:val="auto"/>
          <w:vertAlign w:val="superscript"/>
        </w:rPr>
        <w:t>(1)</w:t>
      </w:r>
      <w:r>
        <w:rPr>
          <w:rFonts w:ascii="Arial" w:cs="Arial" w:eastAsia="Arial" w:hAnsi="Arial"/>
          <w:sz w:val="15"/>
          <w:szCs w:val="15"/>
          <w:color w:val="auto"/>
        </w:rPr>
        <w:t>) had a targeted annual cash incentive award that is expressed as a percentage of his or her annual cash total target compensation. Incentive compensation awards made up a significant portion of the annual cash compensation for each of our Named Executive Officers, including the majority of the compensation for our Chief Executive Officer. In 2017, thirty-four percent (34%) to sixty percent (60%) of total annual cash target compensation of our Named Executive Officers was payable only upon achievement of certain minimum Company and individual performance levels. The appropriate targeted percentage is assigned to our Named Executive Officers based upon the nature and scope of their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190436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48" w:right="180" w:hanging="448"/>
        <w:spacing w:after="0" w:line="216" w:lineRule="auto"/>
        <w:tabs>
          <w:tab w:leader="none" w:pos="448" w:val="left"/>
        </w:tabs>
        <w:numPr>
          <w:ilvl w:val="0"/>
          <w:numId w:val="34"/>
        </w:numPr>
        <w:rPr>
          <w:rFonts w:ascii="Arial" w:cs="Arial" w:eastAsia="Arial" w:hAnsi="Arial"/>
          <w:sz w:val="25"/>
          <w:szCs w:val="25"/>
          <w:color w:val="auto"/>
          <w:vertAlign w:val="superscript"/>
        </w:rPr>
      </w:pPr>
      <w:r>
        <w:rPr>
          <w:rFonts w:ascii="Arial" w:cs="Arial" w:eastAsia="Arial" w:hAnsi="Arial"/>
          <w:sz w:val="15"/>
          <w:szCs w:val="15"/>
          <w:color w:val="auto"/>
        </w:rPr>
        <w:t>Mr. Chatterjee joined the Company in October 2017 and did not participate in the 2017 annual incentive plan. However, pursuant to the terms of his employment agreement, to compensate for the lost incentive opportunity from his prior employer, Mr. Chatterjee was provided the opportunity to earn an incentive compensation award of $485,000, subject to meeting performance criteria. In November 2017, the Compensation Committee approved the performance criteria for Mr. Chatterjee which pertained to (i) amending our Senior Secured Term Loan ("SSTL"), (ii) continuing to develop shareholder communications and (iii) supporting other corporate initiatives. In the first quarter of 2018, the Committee determined that Mr. Chatterjee met these performance expectations and Mr. Chatterjee received an award of $485,000.</w:t>
      </w:r>
    </w:p>
    <w:p>
      <w:pPr>
        <w:spacing w:after="0" w:line="178"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8"/>
          </w:cols>
          <w:pgMar w:left="232" w:top="142" w:right="29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520"/>
        <w:spacing w:after="0" w:line="243" w:lineRule="auto"/>
        <w:rPr>
          <w:sz w:val="20"/>
          <w:szCs w:val="20"/>
          <w:color w:val="auto"/>
        </w:rPr>
      </w:pPr>
      <w:r>
        <w:rPr>
          <w:rFonts w:ascii="Arial" w:cs="Arial" w:eastAsia="Arial" w:hAnsi="Arial"/>
          <w:sz w:val="15"/>
          <w:szCs w:val="15"/>
          <w:color w:val="auto"/>
        </w:rPr>
        <w:t>The table below reflects the percentage of each executive's target total annual cash compensation that was allocated to each of base salary and annual incentive compensation in 2017 and the percentage of actual total annual cash compensation for each executive that was allocated to each of base salary and annual incentive compensation in 2017:</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8"/>
              </w:rPr>
              <w:t>Annual</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8"/>
              </w:rPr>
              <w:t>Annual</w:t>
            </w:r>
          </w:p>
        </w:tc>
      </w:tr>
      <w:tr>
        <w:trPr>
          <w:trHeight w:val="172"/>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8"/>
              </w:rPr>
              <w:t>Incentive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Incentive</w:t>
            </w:r>
          </w:p>
        </w:tc>
      </w:tr>
      <w:tr>
        <w:trPr>
          <w:trHeight w:val="172"/>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Base Salary %</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8"/>
              </w:rPr>
              <w:t>Compensation %</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Base Salary %</w:t>
            </w: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Compensation %</w:t>
            </w:r>
          </w:p>
        </w:tc>
      </w:tr>
      <w:tr>
        <w:trPr>
          <w:trHeight w:val="172"/>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7"/>
              </w:rPr>
              <w:t>of Target Total</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5"/>
              </w:rPr>
              <w:t>of Target Total</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7"/>
              </w:rPr>
              <w:t>of Actual Total</w:t>
            </w: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7"/>
              </w:rPr>
              <w:t>of Actual Total</w:t>
            </w:r>
          </w:p>
        </w:tc>
      </w:tr>
      <w:tr>
        <w:trPr>
          <w:trHeight w:val="172"/>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8"/>
              </w:rPr>
              <w:t>Annual Cash</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rPr>
              <w:t>Annual Cash</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8"/>
              </w:rPr>
              <w:t>Annual Cash</w:t>
            </w: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Annual Cash</w:t>
            </w:r>
          </w:p>
        </w:tc>
      </w:tr>
      <w:tr>
        <w:trPr>
          <w:trHeight w:val="172"/>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9"/>
              </w:rPr>
              <w:t>Compensation</w:t>
            </w:r>
          </w:p>
        </w:tc>
      </w:tr>
      <w:tr>
        <w:trPr>
          <w:trHeight w:val="187"/>
        </w:trPr>
        <w:tc>
          <w:tcPr>
            <w:tcW w:w="152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2017</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2017</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2017</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 2017</w:t>
            </w:r>
          </w:p>
        </w:tc>
        <w:tc>
          <w:tcPr>
            <w:tcW w:w="180" w:type="dxa"/>
            <w:vAlign w:val="bottom"/>
          </w:tcPr>
          <w:p>
            <w:pPr>
              <w:spacing w:after="0"/>
              <w:rPr>
                <w:sz w:val="16"/>
                <w:szCs w:val="16"/>
                <w:color w:val="auto"/>
              </w:rPr>
            </w:pPr>
          </w:p>
        </w:tc>
      </w:tr>
      <w:tr>
        <w:trPr>
          <w:trHeight w:val="163"/>
        </w:trPr>
        <w:tc>
          <w:tcPr>
            <w:tcW w:w="15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3540" w:type="dxa"/>
            <w:vAlign w:val="bottom"/>
            <w:gridSpan w:val="3"/>
            <w:shd w:val="clear" w:color="auto" w:fill="CCEEFF"/>
          </w:tcPr>
          <w:p>
            <w:pPr>
              <w:jc w:val="center"/>
              <w:ind w:left="2446"/>
              <w:spacing w:after="0" w:line="163" w:lineRule="exact"/>
              <w:rPr>
                <w:sz w:val="20"/>
                <w:szCs w:val="20"/>
                <w:color w:val="auto"/>
              </w:rPr>
            </w:pPr>
            <w:r>
              <w:rPr>
                <w:rFonts w:ascii="Arial" w:cs="Arial" w:eastAsia="Arial" w:hAnsi="Arial"/>
                <w:sz w:val="15"/>
                <w:szCs w:val="15"/>
                <w:color w:val="auto"/>
                <w:w w:val="99"/>
              </w:rPr>
              <w:t>40%</w:t>
            </w:r>
          </w:p>
        </w:tc>
        <w:tc>
          <w:tcPr>
            <w:tcW w:w="1400" w:type="dxa"/>
            <w:vAlign w:val="bottom"/>
            <w:gridSpan w:val="2"/>
            <w:shd w:val="clear" w:color="auto" w:fill="CCEEFF"/>
          </w:tcPr>
          <w:p>
            <w:pPr>
              <w:jc w:val="center"/>
              <w:ind w:left="106"/>
              <w:spacing w:after="0" w:line="163" w:lineRule="exact"/>
              <w:rPr>
                <w:sz w:val="20"/>
                <w:szCs w:val="20"/>
                <w:color w:val="auto"/>
              </w:rPr>
            </w:pPr>
            <w:r>
              <w:rPr>
                <w:rFonts w:ascii="Arial" w:cs="Arial" w:eastAsia="Arial" w:hAnsi="Arial"/>
                <w:sz w:val="15"/>
                <w:szCs w:val="15"/>
                <w:color w:val="auto"/>
                <w:w w:val="99"/>
              </w:rPr>
              <w:t>60%</w:t>
            </w:r>
          </w:p>
        </w:tc>
        <w:tc>
          <w:tcPr>
            <w:tcW w:w="1220" w:type="dxa"/>
            <w:vAlign w:val="bottom"/>
            <w:gridSpan w:val="2"/>
            <w:shd w:val="clear" w:color="auto" w:fill="CCEEFF"/>
          </w:tcPr>
          <w:p>
            <w:pPr>
              <w:jc w:val="center"/>
              <w:ind w:left="126"/>
              <w:spacing w:after="0" w:line="163" w:lineRule="exact"/>
              <w:rPr>
                <w:sz w:val="20"/>
                <w:szCs w:val="20"/>
                <w:color w:val="auto"/>
              </w:rPr>
            </w:pPr>
            <w:r>
              <w:rPr>
                <w:rFonts w:ascii="Arial" w:cs="Arial" w:eastAsia="Arial" w:hAnsi="Arial"/>
                <w:sz w:val="15"/>
                <w:szCs w:val="15"/>
                <w:color w:val="auto"/>
                <w:w w:val="99"/>
              </w:rPr>
              <w:t>33%</w:t>
            </w:r>
          </w:p>
        </w:tc>
        <w:tc>
          <w:tcPr>
            <w:tcW w:w="1400" w:type="dxa"/>
            <w:vAlign w:val="bottom"/>
            <w:gridSpan w:val="2"/>
            <w:shd w:val="clear" w:color="auto" w:fill="CCEEFF"/>
          </w:tcPr>
          <w:p>
            <w:pPr>
              <w:jc w:val="center"/>
              <w:ind w:left="111"/>
              <w:spacing w:after="0" w:line="163" w:lineRule="exact"/>
              <w:rPr>
                <w:sz w:val="20"/>
                <w:szCs w:val="20"/>
                <w:color w:val="auto"/>
              </w:rPr>
            </w:pPr>
            <w:r>
              <w:rPr>
                <w:rFonts w:ascii="Arial" w:cs="Arial" w:eastAsia="Arial" w:hAnsi="Arial"/>
                <w:sz w:val="15"/>
                <w:szCs w:val="15"/>
                <w:color w:val="auto"/>
                <w:w w:val="99"/>
              </w:rPr>
              <w:t>67%</w:t>
            </w:r>
          </w:p>
        </w:tc>
        <w:tc>
          <w:tcPr>
            <w:tcW w:w="180" w:type="dxa"/>
            <w:vAlign w:val="bottom"/>
            <w:shd w:val="clear" w:color="auto" w:fill="CCEEFF"/>
          </w:tcPr>
          <w:p>
            <w:pPr>
              <w:spacing w:after="0"/>
              <w:rPr>
                <w:sz w:val="14"/>
                <w:szCs w:val="14"/>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5"/>
                <w:szCs w:val="15"/>
                <w:color w:val="auto"/>
              </w:rPr>
              <w:t>Kevin J. Wilcox</w:t>
            </w:r>
          </w:p>
        </w:tc>
        <w:tc>
          <w:tcPr>
            <w:tcW w:w="3540" w:type="dxa"/>
            <w:vAlign w:val="bottom"/>
            <w:gridSpan w:val="3"/>
          </w:tcPr>
          <w:p>
            <w:pPr>
              <w:jc w:val="center"/>
              <w:ind w:left="2446"/>
              <w:spacing w:after="0"/>
              <w:rPr>
                <w:sz w:val="20"/>
                <w:szCs w:val="20"/>
                <w:color w:val="auto"/>
              </w:rPr>
            </w:pPr>
            <w:r>
              <w:rPr>
                <w:rFonts w:ascii="Arial" w:cs="Arial" w:eastAsia="Arial" w:hAnsi="Arial"/>
                <w:sz w:val="15"/>
                <w:szCs w:val="15"/>
                <w:color w:val="auto"/>
                <w:w w:val="99"/>
              </w:rPr>
              <w:t>50%</w:t>
            </w:r>
          </w:p>
        </w:tc>
        <w:tc>
          <w:tcPr>
            <w:tcW w:w="1400" w:type="dxa"/>
            <w:vAlign w:val="bottom"/>
            <w:gridSpan w:val="2"/>
          </w:tcPr>
          <w:p>
            <w:pPr>
              <w:jc w:val="center"/>
              <w:ind w:left="106"/>
              <w:spacing w:after="0"/>
              <w:rPr>
                <w:sz w:val="20"/>
                <w:szCs w:val="20"/>
                <w:color w:val="auto"/>
              </w:rPr>
            </w:pPr>
            <w:r>
              <w:rPr>
                <w:rFonts w:ascii="Arial" w:cs="Arial" w:eastAsia="Arial" w:hAnsi="Arial"/>
                <w:sz w:val="15"/>
                <w:szCs w:val="15"/>
                <w:color w:val="auto"/>
                <w:w w:val="99"/>
              </w:rPr>
              <w:t>50%</w:t>
            </w:r>
          </w:p>
        </w:tc>
        <w:tc>
          <w:tcPr>
            <w:tcW w:w="1220" w:type="dxa"/>
            <w:vAlign w:val="bottom"/>
            <w:gridSpan w:val="2"/>
          </w:tcPr>
          <w:p>
            <w:pPr>
              <w:jc w:val="center"/>
              <w:ind w:left="126"/>
              <w:spacing w:after="0"/>
              <w:rPr>
                <w:sz w:val="20"/>
                <w:szCs w:val="20"/>
                <w:color w:val="auto"/>
              </w:rPr>
            </w:pPr>
            <w:r>
              <w:rPr>
                <w:rFonts w:ascii="Arial" w:cs="Arial" w:eastAsia="Arial" w:hAnsi="Arial"/>
                <w:sz w:val="15"/>
                <w:szCs w:val="15"/>
                <w:color w:val="auto"/>
                <w:w w:val="99"/>
              </w:rPr>
              <w:t>42%</w:t>
            </w:r>
          </w:p>
        </w:tc>
        <w:tc>
          <w:tcPr>
            <w:tcW w:w="1400" w:type="dxa"/>
            <w:vAlign w:val="bottom"/>
            <w:gridSpan w:val="2"/>
          </w:tcPr>
          <w:p>
            <w:pPr>
              <w:jc w:val="center"/>
              <w:ind w:left="111"/>
              <w:spacing w:after="0"/>
              <w:rPr>
                <w:sz w:val="20"/>
                <w:szCs w:val="20"/>
                <w:color w:val="auto"/>
              </w:rPr>
            </w:pPr>
            <w:r>
              <w:rPr>
                <w:rFonts w:ascii="Arial" w:cs="Arial" w:eastAsia="Arial" w:hAnsi="Arial"/>
                <w:sz w:val="15"/>
                <w:szCs w:val="15"/>
                <w:color w:val="auto"/>
                <w:w w:val="99"/>
              </w:rPr>
              <w:t>58%</w:t>
            </w:r>
          </w:p>
        </w:tc>
        <w:tc>
          <w:tcPr>
            <w:tcW w:w="180" w:type="dxa"/>
            <w:vAlign w:val="bottom"/>
          </w:tcPr>
          <w:p>
            <w:pPr>
              <w:spacing w:after="0"/>
              <w:rPr>
                <w:sz w:val="14"/>
                <w:szCs w:val="14"/>
                <w:color w:val="auto"/>
              </w:rPr>
            </w:pPr>
          </w:p>
        </w:tc>
      </w:tr>
      <w:tr>
        <w:trPr>
          <w:trHeight w:val="172"/>
        </w:trPr>
        <w:tc>
          <w:tcPr>
            <w:tcW w:w="1520" w:type="dxa"/>
            <w:vAlign w:val="bottom"/>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3540" w:type="dxa"/>
            <w:vAlign w:val="bottom"/>
            <w:gridSpan w:val="3"/>
            <w:shd w:val="clear" w:color="auto" w:fill="CCEEFF"/>
          </w:tcPr>
          <w:p>
            <w:pPr>
              <w:jc w:val="center"/>
              <w:ind w:left="2446"/>
              <w:spacing w:after="0"/>
              <w:rPr>
                <w:sz w:val="20"/>
                <w:szCs w:val="20"/>
                <w:color w:val="auto"/>
              </w:rPr>
            </w:pPr>
            <w:r>
              <w:rPr>
                <w:rFonts w:ascii="Arial" w:cs="Arial" w:eastAsia="Arial" w:hAnsi="Arial"/>
                <w:sz w:val="15"/>
                <w:szCs w:val="15"/>
                <w:color w:val="auto"/>
                <w:w w:val="99"/>
              </w:rPr>
              <w:t>61%</w:t>
            </w:r>
          </w:p>
        </w:tc>
        <w:tc>
          <w:tcPr>
            <w:tcW w:w="140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9"/>
              </w:rPr>
              <w:t>39%</w:t>
            </w:r>
          </w:p>
        </w:tc>
        <w:tc>
          <w:tcPr>
            <w:tcW w:w="12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9"/>
              </w:rPr>
              <w:t>53%</w:t>
            </w:r>
          </w:p>
        </w:tc>
        <w:tc>
          <w:tcPr>
            <w:tcW w:w="1400" w:type="dxa"/>
            <w:vAlign w:val="bottom"/>
            <w:gridSpan w:val="2"/>
            <w:shd w:val="clear" w:color="auto" w:fill="CCEEFF"/>
          </w:tcPr>
          <w:p>
            <w:pPr>
              <w:jc w:val="center"/>
              <w:ind w:left="111"/>
              <w:spacing w:after="0"/>
              <w:rPr>
                <w:sz w:val="20"/>
                <w:szCs w:val="20"/>
                <w:color w:val="auto"/>
              </w:rPr>
            </w:pPr>
            <w:r>
              <w:rPr>
                <w:rFonts w:ascii="Arial" w:cs="Arial" w:eastAsia="Arial" w:hAnsi="Arial"/>
                <w:sz w:val="15"/>
                <w:szCs w:val="15"/>
                <w:color w:val="auto"/>
                <w:w w:val="99"/>
              </w:rPr>
              <w:t>47%</w:t>
            </w:r>
          </w:p>
        </w:tc>
        <w:tc>
          <w:tcPr>
            <w:tcW w:w="180" w:type="dxa"/>
            <w:vAlign w:val="bottom"/>
            <w:shd w:val="clear" w:color="auto" w:fill="CCEEFF"/>
          </w:tcPr>
          <w:p>
            <w:pPr>
              <w:spacing w:after="0"/>
              <w:rPr>
                <w:sz w:val="14"/>
                <w:szCs w:val="14"/>
                <w:color w:val="auto"/>
              </w:rPr>
            </w:pPr>
          </w:p>
        </w:tc>
      </w:tr>
      <w:tr>
        <w:trPr>
          <w:trHeight w:val="172"/>
        </w:trPr>
        <w:tc>
          <w:tcPr>
            <w:tcW w:w="1520" w:type="dxa"/>
            <w:vAlign w:val="bottom"/>
          </w:tcPr>
          <w:p>
            <w:pPr>
              <w:spacing w:after="0"/>
              <w:rPr>
                <w:sz w:val="20"/>
                <w:szCs w:val="20"/>
                <w:color w:val="auto"/>
              </w:rPr>
            </w:pPr>
            <w:r>
              <w:rPr>
                <w:rFonts w:ascii="Arial" w:cs="Arial" w:eastAsia="Arial" w:hAnsi="Arial"/>
                <w:sz w:val="15"/>
                <w:szCs w:val="15"/>
                <w:color w:val="auto"/>
              </w:rPr>
              <w:t>Joseph A. Davila</w:t>
            </w:r>
          </w:p>
        </w:tc>
        <w:tc>
          <w:tcPr>
            <w:tcW w:w="3540" w:type="dxa"/>
            <w:vAlign w:val="bottom"/>
            <w:gridSpan w:val="3"/>
          </w:tcPr>
          <w:p>
            <w:pPr>
              <w:jc w:val="center"/>
              <w:ind w:left="2446"/>
              <w:spacing w:after="0"/>
              <w:rPr>
                <w:sz w:val="20"/>
                <w:szCs w:val="20"/>
                <w:color w:val="auto"/>
              </w:rPr>
            </w:pPr>
            <w:r>
              <w:rPr>
                <w:rFonts w:ascii="Arial" w:cs="Arial" w:eastAsia="Arial" w:hAnsi="Arial"/>
                <w:sz w:val="15"/>
                <w:szCs w:val="15"/>
                <w:color w:val="auto"/>
                <w:w w:val="99"/>
              </w:rPr>
              <w:t>57%</w:t>
            </w:r>
          </w:p>
        </w:tc>
        <w:tc>
          <w:tcPr>
            <w:tcW w:w="1400" w:type="dxa"/>
            <w:vAlign w:val="bottom"/>
            <w:gridSpan w:val="2"/>
          </w:tcPr>
          <w:p>
            <w:pPr>
              <w:jc w:val="center"/>
              <w:ind w:left="106"/>
              <w:spacing w:after="0"/>
              <w:rPr>
                <w:sz w:val="20"/>
                <w:szCs w:val="20"/>
                <w:color w:val="auto"/>
              </w:rPr>
            </w:pPr>
            <w:r>
              <w:rPr>
                <w:rFonts w:ascii="Arial" w:cs="Arial" w:eastAsia="Arial" w:hAnsi="Arial"/>
                <w:sz w:val="15"/>
                <w:szCs w:val="15"/>
                <w:color w:val="auto"/>
                <w:w w:val="99"/>
              </w:rPr>
              <w:t>43%</w:t>
            </w:r>
          </w:p>
        </w:tc>
        <w:tc>
          <w:tcPr>
            <w:tcW w:w="1220" w:type="dxa"/>
            <w:vAlign w:val="bottom"/>
            <w:gridSpan w:val="2"/>
          </w:tcPr>
          <w:p>
            <w:pPr>
              <w:jc w:val="center"/>
              <w:ind w:left="126"/>
              <w:spacing w:after="0"/>
              <w:rPr>
                <w:sz w:val="20"/>
                <w:szCs w:val="20"/>
                <w:color w:val="auto"/>
              </w:rPr>
            </w:pPr>
            <w:r>
              <w:rPr>
                <w:rFonts w:ascii="Arial" w:cs="Arial" w:eastAsia="Arial" w:hAnsi="Arial"/>
                <w:sz w:val="15"/>
                <w:szCs w:val="15"/>
                <w:color w:val="auto"/>
                <w:w w:val="99"/>
              </w:rPr>
              <w:t>54%</w:t>
            </w:r>
          </w:p>
        </w:tc>
        <w:tc>
          <w:tcPr>
            <w:tcW w:w="1400" w:type="dxa"/>
            <w:vAlign w:val="bottom"/>
            <w:gridSpan w:val="2"/>
          </w:tcPr>
          <w:p>
            <w:pPr>
              <w:jc w:val="right"/>
              <w:ind w:right="226"/>
              <w:spacing w:after="0" w:line="172" w:lineRule="exact"/>
              <w:rPr>
                <w:sz w:val="20"/>
                <w:szCs w:val="20"/>
                <w:color w:val="auto"/>
              </w:rPr>
            </w:pPr>
            <w:r>
              <w:rPr>
                <w:rFonts w:ascii="Arial" w:cs="Arial" w:eastAsia="Arial" w:hAnsi="Arial"/>
                <w:sz w:val="12"/>
                <w:szCs w:val="12"/>
                <w:color w:val="auto"/>
              </w:rPr>
              <w:t>46%</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r>
      <w:tr>
        <w:trPr>
          <w:trHeight w:val="172"/>
        </w:trPr>
        <w:tc>
          <w:tcPr>
            <w:tcW w:w="152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3540" w:type="dxa"/>
            <w:vAlign w:val="bottom"/>
            <w:gridSpan w:val="3"/>
            <w:shd w:val="clear" w:color="auto" w:fill="CCEEFF"/>
          </w:tcPr>
          <w:p>
            <w:pPr>
              <w:jc w:val="center"/>
              <w:ind w:left="2446"/>
              <w:spacing w:after="0"/>
              <w:rPr>
                <w:sz w:val="20"/>
                <w:szCs w:val="20"/>
                <w:color w:val="auto"/>
              </w:rPr>
            </w:pPr>
            <w:r>
              <w:rPr>
                <w:rFonts w:ascii="Arial" w:cs="Arial" w:eastAsia="Arial" w:hAnsi="Arial"/>
                <w:sz w:val="15"/>
                <w:szCs w:val="15"/>
                <w:color w:val="auto"/>
                <w:w w:val="99"/>
              </w:rPr>
              <w:t>66%</w:t>
            </w:r>
          </w:p>
        </w:tc>
        <w:tc>
          <w:tcPr>
            <w:tcW w:w="140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9"/>
              </w:rPr>
              <w:t>34%</w:t>
            </w:r>
          </w:p>
        </w:tc>
        <w:tc>
          <w:tcPr>
            <w:tcW w:w="122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w w:val="99"/>
              </w:rPr>
              <w:t>63%</w:t>
            </w:r>
          </w:p>
        </w:tc>
        <w:tc>
          <w:tcPr>
            <w:tcW w:w="1400" w:type="dxa"/>
            <w:vAlign w:val="bottom"/>
            <w:gridSpan w:val="2"/>
            <w:shd w:val="clear" w:color="auto" w:fill="CCEEFF"/>
          </w:tcPr>
          <w:p>
            <w:pPr>
              <w:jc w:val="right"/>
              <w:ind w:right="226"/>
              <w:spacing w:after="0" w:line="172" w:lineRule="exact"/>
              <w:rPr>
                <w:sz w:val="20"/>
                <w:szCs w:val="20"/>
                <w:color w:val="auto"/>
              </w:rPr>
            </w:pPr>
            <w:r>
              <w:rPr>
                <w:rFonts w:ascii="Arial" w:cs="Arial" w:eastAsia="Arial" w:hAnsi="Arial"/>
                <w:sz w:val="12"/>
                <w:szCs w:val="12"/>
                <w:color w:val="auto"/>
              </w:rPr>
              <w:t>37%</w:t>
            </w:r>
            <w:r>
              <w:rPr>
                <w:rFonts w:ascii="Arial" w:cs="Arial" w:eastAsia="Arial" w:hAnsi="Arial"/>
                <w:sz w:val="19"/>
                <w:szCs w:val="19"/>
                <w:color w:val="auto"/>
                <w:vertAlign w:val="superscript"/>
              </w:rPr>
              <w:t>(2)</w:t>
            </w:r>
          </w:p>
        </w:tc>
        <w:tc>
          <w:tcPr>
            <w:tcW w:w="180" w:type="dxa"/>
            <w:vAlign w:val="bottom"/>
            <w:shd w:val="clear" w:color="auto" w:fill="CCEEFF"/>
          </w:tcPr>
          <w:p>
            <w:pPr>
              <w:spacing w:after="0"/>
              <w:rPr>
                <w:sz w:val="14"/>
                <w:szCs w:val="14"/>
                <w:color w:val="auto"/>
              </w:rPr>
            </w:pPr>
          </w:p>
        </w:tc>
      </w:tr>
      <w:tr>
        <w:trPr>
          <w:trHeight w:val="92"/>
        </w:trPr>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86" w:lineRule="exact"/>
        <w:rPr>
          <w:sz w:val="20"/>
          <w:szCs w:val="20"/>
          <w:color w:val="auto"/>
        </w:rPr>
      </w:pPr>
    </w:p>
    <w:p>
      <w:pPr>
        <w:ind w:left="1600" w:hanging="464"/>
        <w:spacing w:after="0" w:line="198" w:lineRule="auto"/>
        <w:tabs>
          <w:tab w:leader="none" w:pos="1600" w:val="left"/>
        </w:tabs>
        <w:numPr>
          <w:ilvl w:val="0"/>
          <w:numId w:val="35"/>
        </w:numPr>
        <w:rPr>
          <w:rFonts w:ascii="Arial" w:cs="Arial" w:eastAsia="Arial" w:hAnsi="Arial"/>
          <w:sz w:val="25"/>
          <w:szCs w:val="25"/>
          <w:color w:val="auto"/>
          <w:vertAlign w:val="superscript"/>
        </w:rPr>
      </w:pPr>
      <w:r>
        <w:rPr>
          <w:rFonts w:ascii="Arial" w:cs="Arial" w:eastAsia="Arial" w:hAnsi="Arial"/>
          <w:sz w:val="15"/>
          <w:szCs w:val="15"/>
          <w:color w:val="auto"/>
        </w:rPr>
        <w:t>The executive's Incentive Compensation includes a one-time discretionary award of $31,486 to reflect the executive's efforts and accomplishments leading our Servicer Solutions business and revenue diversification efforts to position it for continued growth, and contribution to the completion of our Cooperative Brokerage Agreement with New Residential Investment Corp. ("NRZ").</w:t>
      </w:r>
    </w:p>
    <w:p>
      <w:pPr>
        <w:spacing w:after="0" w:line="176" w:lineRule="exact"/>
        <w:rPr>
          <w:rFonts w:ascii="Arial" w:cs="Arial" w:eastAsia="Arial" w:hAnsi="Arial"/>
          <w:sz w:val="25"/>
          <w:szCs w:val="25"/>
          <w:color w:val="auto"/>
          <w:vertAlign w:val="superscript"/>
        </w:rPr>
      </w:pPr>
    </w:p>
    <w:p>
      <w:pPr>
        <w:jc w:val="both"/>
        <w:ind w:left="1600" w:right="60" w:hanging="464"/>
        <w:spacing w:after="0" w:line="198" w:lineRule="auto"/>
        <w:tabs>
          <w:tab w:leader="none" w:pos="1600" w:val="left"/>
        </w:tabs>
        <w:numPr>
          <w:ilvl w:val="0"/>
          <w:numId w:val="35"/>
        </w:numPr>
        <w:rPr>
          <w:rFonts w:ascii="Arial" w:cs="Arial" w:eastAsia="Arial" w:hAnsi="Arial"/>
          <w:sz w:val="25"/>
          <w:szCs w:val="25"/>
          <w:color w:val="auto"/>
          <w:vertAlign w:val="superscript"/>
        </w:rPr>
      </w:pPr>
      <w:r>
        <w:rPr>
          <w:rFonts w:ascii="Arial" w:cs="Arial" w:eastAsia="Arial" w:hAnsi="Arial"/>
          <w:sz w:val="15"/>
          <w:szCs w:val="15"/>
          <w:color w:val="auto"/>
        </w:rPr>
        <w:t>The executive's Incentive Compensation includes a one-time discretionary award of $23,125 to reflect the executive's significant contributions to our corporate initiatives, including the amendment of our SSTL and the completion of the Luxembourg subsidiary restructuring, as well as the completion of our Cooperative Brokerage Agreement with NRZ.</w:t>
      </w:r>
    </w:p>
    <w:p>
      <w:pPr>
        <w:spacing w:after="0" w:line="176"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Our annual incentive compensation is structured in a manner that is intended to motivate executives to achieve pre-established key performance indicators by rewarding executives for such achievement. As in prior years, this was accomplished in 2017 by utilizing a scorecard methodology which incorporates multiple financial and non-financial performance indicators (with a majority being financial performance indicators) developed through our annual strategic planning process and designed to enhance Company performance and long-term shareholder value. Typically, thirty-five percent (35%) to fifty-five percent (55%) of the total incentive award opportunity for our Named Executive Officers is tied to the achievement of financial objectives.</w:t>
      </w:r>
    </w:p>
    <w:p>
      <w:pPr>
        <w:spacing w:after="0" w:line="175" w:lineRule="exact"/>
        <w:rPr>
          <w:sz w:val="20"/>
          <w:szCs w:val="20"/>
          <w:color w:val="auto"/>
        </w:rPr>
      </w:pPr>
    </w:p>
    <w:p>
      <w:pPr>
        <w:ind w:right="300"/>
        <w:spacing w:after="0" w:line="247" w:lineRule="auto"/>
        <w:rPr>
          <w:sz w:val="20"/>
          <w:szCs w:val="20"/>
          <w:color w:val="auto"/>
        </w:rPr>
      </w:pPr>
      <w:r>
        <w:rPr>
          <w:rFonts w:ascii="Arial" w:cs="Arial" w:eastAsia="Arial" w:hAnsi="Arial"/>
          <w:sz w:val="15"/>
          <w:szCs w:val="15"/>
          <w:color w:val="auto"/>
        </w:rPr>
        <w:t>Consistent with prior years, in 2017, the annual cash incentive award for our Chief Executive Officer and other Named Executive Officers was based on (i) the executive's performance against goals established per their scorecards (eighty percent (80%)) and (ii) a performance appraisal (twenty percent (20%)).</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Personal Scorecards of our Named Executive Officers</w:t>
      </w:r>
    </w:p>
    <w:p>
      <w:pPr>
        <w:spacing w:after="0" w:line="182"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 corporate scorecard is approved annually by the Board of Directors and is utilized by the Compensation Committee to determine the personal scorecards of our Chief Executive Officer and other Named Executive Officers and, following the end of the performance period, the appropriate amount of incentive compensation awarded to these executives. During the development of the corporate scorecard each year, the Board considers the level of difficulty associated with the attainment of each goal in the corporate scorecard. The intent of the Board is to establish target levels in the scorecard that are ambitious but achievable. Certain amendments/exceptions to the corporate scorecard may be approved at subsequent Board of Directors meetings. Typically, these amendments/exceptions to the corporate scorecard reflect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Arial" w:cs="Arial" w:eastAsia="Arial" w:hAnsi="Arial"/>
          <w:sz w:val="15"/>
          <w:szCs w:val="15"/>
          <w:color w:val="auto"/>
        </w:rPr>
        <w:t>adjustments deemed by the Board of Directors to be appropriate in light of changes to the business or other relevant factors during the year.</w:t>
      </w:r>
    </w:p>
    <w:p>
      <w:pPr>
        <w:spacing w:after="0" w:line="182" w:lineRule="exact"/>
        <w:rPr>
          <w:sz w:val="20"/>
          <w:szCs w:val="20"/>
          <w:color w:val="auto"/>
        </w:rPr>
      </w:pPr>
    </w:p>
    <w:p>
      <w:pPr>
        <w:jc w:val="both"/>
        <w:ind w:left="8" w:right="400"/>
        <w:spacing w:after="0" w:line="282" w:lineRule="auto"/>
        <w:rPr>
          <w:sz w:val="20"/>
          <w:szCs w:val="20"/>
          <w:color w:val="auto"/>
        </w:rPr>
      </w:pPr>
      <w:r>
        <w:rPr>
          <w:rFonts w:ascii="Arial" w:cs="Arial" w:eastAsia="Arial" w:hAnsi="Arial"/>
          <w:sz w:val="14"/>
          <w:szCs w:val="14"/>
          <w:color w:val="auto"/>
        </w:rPr>
        <w:t>The Chief Executive Officer's personal scorecard is based on corporate level goals (comprising financial objectives and strategic initiatives) established in the corporate scorecard, while the scorecards for other Named Executive Officers are generally based on performance within their respective corporate, business unit or support unit.</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2017, the components in each scorecard of our Named Executive Officers were weighted individually based on relevance to the ultimate financial performance of the Company and the importance of their achievement to the success of our corporate strategy. Within each component of the scorecard, there were three (3) established levels of achievement: threshold, target and outstanding. Each level of achievement was typically tied to a relative point on a percentage scale which indicates the level of goal achievement within each component of the scorecard. Generally, achieving the threshold level of achievement earned the executive fifty percent (50%) of the target incentive compensation tied to such goal; the target level of achievement earned the executive one hundred percent (100%) of the target incentive compensation tied to such goal; and the outstanding level of achievement earned the executive one hundred fifty (150%) of the target incentive compensation tied to such goal. An achievement below the threshold level would generally not entitle the executive to compensation for the associated goal.</w:t>
      </w:r>
    </w:p>
    <w:p>
      <w:pPr>
        <w:spacing w:after="0" w:line="177" w:lineRule="exact"/>
        <w:rPr>
          <w:sz w:val="20"/>
          <w:szCs w:val="20"/>
          <w:color w:val="auto"/>
        </w:rPr>
      </w:pPr>
    </w:p>
    <w:p>
      <w:pPr>
        <w:ind w:left="8" w:right="220"/>
        <w:spacing w:after="0" w:line="241" w:lineRule="auto"/>
        <w:rPr>
          <w:sz w:val="20"/>
          <w:szCs w:val="20"/>
          <w:color w:val="auto"/>
        </w:rPr>
      </w:pPr>
      <w:r>
        <w:rPr>
          <w:rFonts w:ascii="Arial" w:cs="Arial" w:eastAsia="Arial" w:hAnsi="Arial"/>
          <w:sz w:val="15"/>
          <w:szCs w:val="15"/>
          <w:color w:val="auto"/>
        </w:rPr>
        <w:t>In 2017, the corporate scorecard goals were cascaded down through the organization to incentive-eligible employees in their personal scorecards, which are also linked to corporate profitability and the achievement of our strategic initiatives. The scorecards were communicated to all incentive-eligible employees and were made available to them. Performance against such scorecards is generally reviewed with management periodically through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75"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The 2017 corporate scorecard was approved by the Board of Directors at its meeting on November 15, 2016. Certain amendments to the corporate scorecard were approved at subsequent Board of Directors meetings. These amendments to the corporate scorecard reflected adjustments deemed by the Board of Directors to be appropriate in light of changes to the business or other relevant factors during the year. Such factors included, by way of illustration, (i) 2017 industry-wide loan origination volumes, which were significantly lower than anticipated and (ii) a change in the business strategy of one of our large clients. In evaluating whether to approve an amendment to the corporate scorecard, the Board of Directors considered the effect that such amendment would have on our Named Executive Officers' personal scorecards, and whether the rationale for the amendment was due to factor(s) beyond their control.</w:t>
      </w:r>
    </w:p>
    <w:p>
      <w:pPr>
        <w:spacing w:after="0" w:line="178" w:lineRule="exact"/>
        <w:rPr>
          <w:sz w:val="20"/>
          <w:szCs w:val="20"/>
          <w:color w:val="auto"/>
        </w:rPr>
      </w:pPr>
    </w:p>
    <w:p>
      <w:pPr>
        <w:ind w:left="8"/>
        <w:spacing w:after="0" w:line="195" w:lineRule="auto"/>
        <w:rPr>
          <w:sz w:val="20"/>
          <w:szCs w:val="20"/>
          <w:color w:val="auto"/>
        </w:rPr>
      </w:pPr>
      <w:r>
        <w:rPr>
          <w:rFonts w:ascii="Arial" w:cs="Arial" w:eastAsia="Arial" w:hAnsi="Arial"/>
          <w:sz w:val="15"/>
          <w:szCs w:val="15"/>
          <w:color w:val="auto"/>
        </w:rPr>
        <w:t>Consistent with prior years, the Company's corporate scorecard for 2017 included achieving consolidated service revenue and adjusted diluted EPS</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targets and achieving growth initiatives or business segment specific service revenue and adjusted pre-tax income</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targets. In addition, the corporate scorecard provided for execution against our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190436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48" w:right="20" w:hanging="448"/>
        <w:spacing w:after="0" w:line="198" w:lineRule="auto"/>
        <w:tabs>
          <w:tab w:leader="none" w:pos="448"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Adjusted diluted EPS (a non-GAAP measure) is calculated by dividing net income attributable to Altisource plus intangible asset amortization expense (net of tax), and adding or deducting certain income tax related items relating to the Luxembourg subsidiary merger, other income tax rate changes in Luxembourg and the United States and an increase in foreign income tax reserves (and related interest), by the weighted average number of diluted shares.</w:t>
      </w:r>
    </w:p>
    <w:p>
      <w:pPr>
        <w:spacing w:after="0" w:line="176" w:lineRule="exact"/>
        <w:rPr>
          <w:rFonts w:ascii="Arial" w:cs="Arial" w:eastAsia="Arial" w:hAnsi="Arial"/>
          <w:sz w:val="25"/>
          <w:szCs w:val="25"/>
          <w:color w:val="auto"/>
          <w:vertAlign w:val="superscript"/>
        </w:rPr>
      </w:pPr>
    </w:p>
    <w:p>
      <w:pPr>
        <w:ind w:left="448" w:right="300" w:hanging="448"/>
        <w:spacing w:after="0" w:line="182" w:lineRule="auto"/>
        <w:tabs>
          <w:tab w:leader="none" w:pos="448"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Adjusted pre-tax income is calculated by adding intangible assets amortization expense to, and deducting net income attributable to non-controlling interests from, income before income taxes and non-controlling interests.</w:t>
      </w:r>
    </w:p>
    <w:p>
      <w:pPr>
        <w:spacing w:after="0" w:line="178"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37" w:name="page38"/>
    <w:bookmarkEnd w:id="3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Overall, the Company achieved a majority of its 2017 corporate scorecard goals including those tied to consolidated service revenue, adjusted diluted EPS, compliance, customer experience and other strategic initiatives. With respect to the other strategic initiatives, the Company successfully (i) established a direct relationship with NRZ by entering into a Cooperative Brokerage Agreement and related letter agreement and a non-binding Letter of Intent to enter into a Services Agreement, (ii) completed a restructuring of its Luxembourg subsidiaries to simplify the Company's corporate structure and allow it to operate more efficiently, resulting in a net operating loss carryforward of $300.9 million and (iii) amended its SSTL to allow the Company to make open market share purchases and complete the Luxembourg restructuring. The Company also won several new large customer mandates, expanded key existing relationships and continued to develop the sales pipeline, positioning Altisource to grow non-Ocwen revenue in 2018 and beyond and further diversifying its revenue base.</w:t>
      </w:r>
    </w:p>
    <w:p>
      <w:pPr>
        <w:spacing w:after="0" w:line="177" w:lineRule="exact"/>
        <w:rPr>
          <w:sz w:val="20"/>
          <w:szCs w:val="20"/>
          <w:color w:val="auto"/>
        </w:rPr>
      </w:pPr>
    </w:p>
    <w:p>
      <w:pPr>
        <w:ind w:left="8" w:right="380"/>
        <w:spacing w:after="0" w:line="247" w:lineRule="auto"/>
        <w:rPr>
          <w:sz w:val="20"/>
          <w:szCs w:val="20"/>
          <w:color w:val="auto"/>
        </w:rPr>
      </w:pPr>
      <w:r>
        <w:rPr>
          <w:rFonts w:ascii="Arial" w:cs="Arial" w:eastAsia="Arial" w:hAnsi="Arial"/>
          <w:sz w:val="15"/>
          <w:szCs w:val="15"/>
          <w:color w:val="auto"/>
        </w:rPr>
        <w:t>The Company also made significant progress positioning its Consumer Real Estate Solutions business for long-term success by achieving goals related to improving the conversion of Owners.com leads to showings. Further, the Company achieved its goal related to the advancement of its marketplace strategy.</w:t>
      </w:r>
    </w:p>
    <w:p>
      <w:pPr>
        <w:spacing w:after="0" w:line="171" w:lineRule="exact"/>
        <w:rPr>
          <w:sz w:val="20"/>
          <w:szCs w:val="20"/>
          <w:color w:val="auto"/>
        </w:rPr>
      </w:pPr>
    </w:p>
    <w:p>
      <w:pPr>
        <w:ind w:left="8" w:right="40"/>
        <w:spacing w:after="0" w:line="225" w:lineRule="auto"/>
        <w:rPr>
          <w:sz w:val="20"/>
          <w:szCs w:val="20"/>
          <w:color w:val="auto"/>
        </w:rPr>
      </w:pPr>
      <w:r>
        <w:rPr>
          <w:rFonts w:ascii="Arial" w:cs="Arial" w:eastAsia="Arial" w:hAnsi="Arial"/>
          <w:sz w:val="15"/>
          <w:szCs w:val="15"/>
          <w:color w:val="auto"/>
        </w:rPr>
        <w:t>Among the goals applicable to our Named Executive Officers, the Company did not achieve (i) the company-wide diversified service revenue goal and (ii) the adjusted pretax income goal for certain Servicer Solutions businesses</w:t>
      </w:r>
      <w:r>
        <w:rPr>
          <w:rFonts w:ascii="Arial" w:cs="Arial" w:eastAsia="Arial" w:hAnsi="Arial"/>
          <w:sz w:val="24"/>
          <w:szCs w:val="24"/>
          <w:color w:val="auto"/>
          <w:vertAlign w:val="superscript"/>
        </w:rPr>
        <w:t>(3)</w:t>
      </w:r>
      <w:r>
        <w:rPr>
          <w:rFonts w:ascii="Arial" w:cs="Arial" w:eastAsia="Arial" w:hAnsi="Arial"/>
          <w:sz w:val="15"/>
          <w:szCs w:val="15"/>
          <w:color w:val="auto"/>
        </w:rPr>
        <w:t>. With respect to our diversified service revenue goal, we believe that there was a slowing of our growth primarily due to the decision of some of our current and prospective clients to perform additional due diligence on Altisource following the April 2017 announcements of regulatory actions against Ocwen and the uncertainty associated with NRZ's May 2017 announcement of its agreement in principal to acquire certain mortgage servicing rights from Ocwen. We believe this additional diligence largely affected timing, not wins of new business, as evidenced by our recent successes at winning new business and expanding business with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190436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48" w:hanging="448"/>
        <w:spacing w:after="0" w:line="182" w:lineRule="auto"/>
        <w:tabs>
          <w:tab w:leader="none" w:pos="448" w:val="left"/>
        </w:tabs>
        <w:numPr>
          <w:ilvl w:val="0"/>
          <w:numId w:val="37"/>
        </w:numPr>
        <w:rPr>
          <w:rFonts w:ascii="Arial" w:cs="Arial" w:eastAsia="Arial" w:hAnsi="Arial"/>
          <w:sz w:val="25"/>
          <w:szCs w:val="25"/>
          <w:color w:val="auto"/>
          <w:vertAlign w:val="superscript"/>
        </w:rPr>
      </w:pPr>
      <w:r>
        <w:rPr>
          <w:rFonts w:ascii="Arial" w:cs="Arial" w:eastAsia="Arial" w:hAnsi="Arial"/>
          <w:sz w:val="15"/>
          <w:szCs w:val="15"/>
          <w:color w:val="auto"/>
        </w:rPr>
        <w:t>For purposes of this section, references to the "Servicer Solutions" business(es) exclude certain servicer technology businesses and the mortgage charge-off collection business.</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38" w:name="page39"/>
    <w:bookmarkEnd w:id="3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right="80"/>
        <w:spacing w:after="0" w:line="247" w:lineRule="auto"/>
        <w:rPr>
          <w:sz w:val="20"/>
          <w:szCs w:val="20"/>
          <w:color w:val="auto"/>
        </w:rPr>
      </w:pPr>
      <w:r>
        <w:rPr>
          <w:rFonts w:ascii="Arial" w:cs="Arial" w:eastAsia="Arial" w:hAnsi="Arial"/>
          <w:sz w:val="15"/>
          <w:szCs w:val="15"/>
          <w:color w:val="auto"/>
        </w:rPr>
        <w:t>Our corporate scorecard for 2017, as amended, and corresponding achievement levels for our Named Executive Officers (other than Mr. Chatterjee who did not participate in the 2017 annual incentive plan) are detailed below:</w:t>
      </w:r>
    </w:p>
    <w:p>
      <w:pPr>
        <w:spacing w:after="0" w:line="153"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2017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6757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98"/>
              </w:rPr>
              <w:t>Levels of Achievement</w:t>
            </w:r>
          </w:p>
        </w:tc>
        <w:tc>
          <w:tcPr>
            <w:tcW w:w="80" w:type="dxa"/>
            <w:vAlign w:val="bottom"/>
          </w:tcPr>
          <w:p>
            <w:pPr>
              <w:spacing w:after="0"/>
              <w:rPr>
                <w:sz w:val="16"/>
                <w:szCs w:val="16"/>
                <w:color w:val="auto"/>
              </w:rPr>
            </w:pPr>
          </w:p>
        </w:tc>
        <w:tc>
          <w:tcPr>
            <w:tcW w:w="1140" w:type="dxa"/>
            <w:vAlign w:val="bottom"/>
          </w:tcPr>
          <w:p>
            <w:pPr>
              <w:ind w:left="40"/>
              <w:spacing w:after="0"/>
              <w:rPr>
                <w:sz w:val="20"/>
                <w:szCs w:val="20"/>
                <w:color w:val="auto"/>
              </w:rPr>
            </w:pPr>
            <w:r>
              <w:rPr>
                <w:rFonts w:ascii="Arial" w:cs="Arial" w:eastAsia="Arial" w:hAnsi="Arial"/>
                <w:sz w:val="15"/>
                <w:szCs w:val="15"/>
                <w:b w:val="1"/>
                <w:bCs w:val="1"/>
                <w:color w:val="auto"/>
              </w:rPr>
              <w:t>Actual Level of</w:t>
            </w:r>
          </w:p>
        </w:tc>
      </w:tr>
      <w:tr>
        <w:trPr>
          <w:trHeight w:val="163"/>
        </w:trPr>
        <w:tc>
          <w:tcPr>
            <w:tcW w:w="6580" w:type="dxa"/>
            <w:vAlign w:val="bottom"/>
            <w:tcBorders>
              <w:bottom w:val="single" w:sz="8" w:color="auto"/>
            </w:tcBorders>
          </w:tcPr>
          <w:p>
            <w:pPr>
              <w:ind w:left="3000"/>
              <w:spacing w:after="0" w:line="163" w:lineRule="exact"/>
              <w:rPr>
                <w:sz w:val="20"/>
                <w:szCs w:val="20"/>
                <w:color w:val="auto"/>
              </w:rPr>
            </w:pPr>
            <w:r>
              <w:rPr>
                <w:rFonts w:ascii="Arial" w:cs="Arial" w:eastAsia="Arial" w:hAnsi="Arial"/>
                <w:sz w:val="15"/>
                <w:szCs w:val="15"/>
                <w:b w:val="1"/>
                <w:bCs w:val="1"/>
                <w:color w:val="auto"/>
              </w:rPr>
              <w:t>Element</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146"/>
              <w:spacing w:after="0" w:line="163" w:lineRule="exact"/>
              <w:rPr>
                <w:sz w:val="20"/>
                <w:szCs w:val="20"/>
                <w:color w:val="auto"/>
              </w:rPr>
            </w:pPr>
            <w:r>
              <w:rPr>
                <w:rFonts w:ascii="Arial" w:cs="Arial" w:eastAsia="Arial" w:hAnsi="Arial"/>
                <w:sz w:val="15"/>
                <w:szCs w:val="15"/>
                <w:b w:val="1"/>
                <w:bCs w:val="1"/>
                <w:color w:val="auto"/>
              </w:rPr>
              <w:t>Threshold</w:t>
            </w:r>
          </w:p>
        </w:tc>
        <w:tc>
          <w:tcPr>
            <w:tcW w:w="60" w:type="dxa"/>
            <w:vAlign w:val="bottom"/>
          </w:tcPr>
          <w:p>
            <w:pPr>
              <w:spacing w:after="0"/>
              <w:rPr>
                <w:sz w:val="14"/>
                <w:szCs w:val="14"/>
                <w:color w:val="auto"/>
              </w:rPr>
            </w:pPr>
          </w:p>
        </w:tc>
        <w:tc>
          <w:tcPr>
            <w:tcW w:w="1160" w:type="dxa"/>
            <w:vAlign w:val="bottom"/>
            <w:tcBorders>
              <w:bottom w:val="single" w:sz="8" w:color="auto"/>
            </w:tcBorders>
          </w:tcPr>
          <w:p>
            <w:pPr>
              <w:jc w:val="center"/>
              <w:spacing w:after="0" w:line="163" w:lineRule="exact"/>
              <w:rPr>
                <w:sz w:val="20"/>
                <w:szCs w:val="20"/>
                <w:color w:val="auto"/>
              </w:rPr>
            </w:pPr>
            <w:r>
              <w:rPr>
                <w:rFonts w:ascii="Arial" w:cs="Arial" w:eastAsia="Arial" w:hAnsi="Arial"/>
                <w:sz w:val="15"/>
                <w:szCs w:val="15"/>
                <w:b w:val="1"/>
                <w:bCs w:val="1"/>
                <w:color w:val="auto"/>
                <w:w w:val="95"/>
              </w:rPr>
              <w:t>Target</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right"/>
              <w:ind w:right="66"/>
              <w:spacing w:after="0" w:line="163" w:lineRule="exact"/>
              <w:rPr>
                <w:sz w:val="20"/>
                <w:szCs w:val="20"/>
                <w:color w:val="auto"/>
              </w:rPr>
            </w:pPr>
            <w:r>
              <w:rPr>
                <w:rFonts w:ascii="Arial" w:cs="Arial" w:eastAsia="Arial" w:hAnsi="Arial"/>
                <w:sz w:val="15"/>
                <w:szCs w:val="15"/>
                <w:b w:val="1"/>
                <w:bCs w:val="1"/>
                <w:color w:val="auto"/>
              </w:rPr>
              <w:t>Outstanding</w:t>
            </w:r>
          </w:p>
        </w:tc>
        <w:tc>
          <w:tcPr>
            <w:tcW w:w="80" w:type="dxa"/>
            <w:vAlign w:val="bottom"/>
          </w:tcPr>
          <w:p>
            <w:pPr>
              <w:spacing w:after="0"/>
              <w:rPr>
                <w:sz w:val="14"/>
                <w:szCs w:val="14"/>
                <w:color w:val="auto"/>
              </w:rPr>
            </w:pPr>
          </w:p>
        </w:tc>
        <w:tc>
          <w:tcPr>
            <w:tcW w:w="114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Achievement</w:t>
            </w:r>
          </w:p>
        </w:tc>
      </w:tr>
      <w:tr>
        <w:trPr>
          <w:trHeight w:val="197"/>
        </w:trPr>
        <w:tc>
          <w:tcPr>
            <w:tcW w:w="66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Achieve Service Revenue Targets</w:t>
            </w:r>
            <w:r>
              <w:rPr>
                <w:rFonts w:ascii="Arial" w:cs="Arial" w:eastAsia="Arial" w:hAnsi="Arial"/>
                <w:sz w:val="22"/>
                <w:szCs w:val="22"/>
                <w:color w:val="auto"/>
                <w:vertAlign w:val="superscript"/>
              </w:rPr>
              <w:t>(1)</w:t>
            </w:r>
            <w:r>
              <w:rPr>
                <w:rFonts w:ascii="Arial" w:cs="Arial" w:eastAsia="Arial" w:hAnsi="Arial"/>
                <w:sz w:val="14"/>
                <w:szCs w:val="14"/>
                <w:color w:val="auto"/>
              </w:rPr>
              <w:t>:</w:t>
            </w: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380"/>
        </w:trPr>
        <w:tc>
          <w:tcPr>
            <w:tcW w:w="6660" w:type="dxa"/>
            <w:vAlign w:val="bottom"/>
            <w:gridSpan w:val="2"/>
          </w:tcPr>
          <w:p>
            <w:pPr>
              <w:ind w:left="60"/>
              <w:spacing w:after="0"/>
              <w:rPr>
                <w:sz w:val="20"/>
                <w:szCs w:val="20"/>
                <w:color w:val="auto"/>
              </w:rPr>
            </w:pPr>
            <w:r>
              <w:rPr>
                <w:rFonts w:ascii="Arial" w:cs="Arial" w:eastAsia="Arial" w:hAnsi="Arial"/>
                <w:sz w:val="15"/>
                <w:szCs w:val="15"/>
                <w:color w:val="auto"/>
              </w:rPr>
              <w:t>i. Altisource Consolidated (applicable to the Chief Executive Officer ("CEO"), the Chief</w:t>
            </w:r>
          </w:p>
        </w:tc>
        <w:tc>
          <w:tcPr>
            <w:tcW w:w="1140" w:type="dxa"/>
            <w:vAlign w:val="bottom"/>
          </w:tcPr>
          <w:p>
            <w:pPr>
              <w:jc w:val="right"/>
              <w:spacing w:after="0"/>
              <w:rPr>
                <w:sz w:val="20"/>
                <w:szCs w:val="20"/>
                <w:color w:val="auto"/>
              </w:rPr>
            </w:pPr>
            <w:r>
              <w:rPr>
                <w:rFonts w:ascii="Arial" w:cs="Arial" w:eastAsia="Arial" w:hAnsi="Arial"/>
                <w:sz w:val="15"/>
                <w:szCs w:val="15"/>
                <w:color w:val="auto"/>
              </w:rPr>
              <w:t>i. $820.4 million</w:t>
            </w:r>
          </w:p>
        </w:tc>
        <w:tc>
          <w:tcPr>
            <w:tcW w:w="6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Arial" w:cs="Arial" w:eastAsia="Arial" w:hAnsi="Arial"/>
                <w:sz w:val="15"/>
                <w:szCs w:val="15"/>
                <w:color w:val="auto"/>
              </w:rPr>
              <w:t>i. $866.0 million</w:t>
            </w:r>
          </w:p>
        </w:tc>
        <w:tc>
          <w:tcPr>
            <w:tcW w:w="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i. $957.2 million</w:t>
            </w:r>
          </w:p>
        </w:tc>
        <w:tc>
          <w:tcPr>
            <w:tcW w:w="8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5"/>
                <w:szCs w:val="15"/>
                <w:color w:val="auto"/>
              </w:rPr>
              <w:t>i. $899.6 million</w:t>
            </w:r>
          </w:p>
        </w:tc>
      </w:tr>
      <w:tr>
        <w:trPr>
          <w:trHeight w:val="172"/>
        </w:trPr>
        <w:tc>
          <w:tcPr>
            <w:tcW w:w="6660" w:type="dxa"/>
            <w:vAlign w:val="bottom"/>
            <w:gridSpan w:val="2"/>
          </w:tcPr>
          <w:p>
            <w:pPr>
              <w:ind w:left="200"/>
              <w:spacing w:after="0"/>
              <w:rPr>
                <w:sz w:val="20"/>
                <w:szCs w:val="20"/>
                <w:color w:val="auto"/>
              </w:rPr>
            </w:pPr>
            <w:r>
              <w:rPr>
                <w:rFonts w:ascii="Arial" w:cs="Arial" w:eastAsia="Arial" w:hAnsi="Arial"/>
                <w:sz w:val="15"/>
                <w:szCs w:val="15"/>
                <w:color w:val="auto"/>
              </w:rPr>
              <w:t>Administration and Risk Officer ("CARO") and the Executive Vice President, Finance ("EVP</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ind w:left="200"/>
              <w:spacing w:after="0"/>
              <w:rPr>
                <w:sz w:val="20"/>
                <w:szCs w:val="20"/>
                <w:color w:val="auto"/>
              </w:rPr>
            </w:pPr>
            <w:r>
              <w:rPr>
                <w:rFonts w:ascii="Arial" w:cs="Arial" w:eastAsia="Arial" w:hAnsi="Arial"/>
                <w:sz w:val="15"/>
                <w:szCs w:val="15"/>
                <w:color w:val="auto"/>
              </w:rPr>
              <w:t>Target</w:t>
            </w:r>
          </w:p>
        </w:tc>
      </w:tr>
      <w:tr>
        <w:trPr>
          <w:trHeight w:val="169"/>
        </w:trPr>
        <w:tc>
          <w:tcPr>
            <w:tcW w:w="6660" w:type="dxa"/>
            <w:vAlign w:val="bottom"/>
            <w:gridSpan w:val="2"/>
          </w:tcPr>
          <w:p>
            <w:pPr>
              <w:ind w:left="200"/>
              <w:spacing w:after="0" w:line="169" w:lineRule="exact"/>
              <w:rPr>
                <w:sz w:val="20"/>
                <w:szCs w:val="20"/>
                <w:color w:val="auto"/>
              </w:rPr>
            </w:pPr>
            <w:r>
              <w:rPr>
                <w:rFonts w:ascii="Arial" w:cs="Arial" w:eastAsia="Arial" w:hAnsi="Arial"/>
                <w:sz w:val="15"/>
                <w:szCs w:val="15"/>
                <w:color w:val="auto"/>
              </w:rPr>
              <w:t>Finance"))</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8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ii. Servicer Solutions business (applicable to the President, Servicer Solutions and the Chief Legal</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ii. $550.3 million</w:t>
            </w:r>
          </w:p>
        </w:tc>
        <w:tc>
          <w:tcPr>
            <w:tcW w:w="6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ii. $647.4 million</w:t>
            </w:r>
          </w:p>
        </w:tc>
        <w:tc>
          <w:tcPr>
            <w:tcW w:w="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ii. $744.5 million</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ii. $649.8 million</w:t>
            </w:r>
          </w:p>
        </w:tc>
      </w:tr>
      <w:tr>
        <w:trPr>
          <w:trHeight w:val="169"/>
        </w:trPr>
        <w:tc>
          <w:tcPr>
            <w:tcW w:w="666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rPr>
              <w:t>and Compliance Officer ("CLCO"))</w:t>
            </w: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ind w:left="200"/>
              <w:spacing w:after="0" w:line="169" w:lineRule="exact"/>
              <w:rPr>
                <w:sz w:val="20"/>
                <w:szCs w:val="20"/>
                <w:color w:val="auto"/>
              </w:rPr>
            </w:pPr>
            <w:r>
              <w:rPr>
                <w:rFonts w:ascii="Arial" w:cs="Arial" w:eastAsia="Arial" w:hAnsi="Arial"/>
                <w:sz w:val="15"/>
                <w:szCs w:val="15"/>
                <w:color w:val="auto"/>
              </w:rPr>
              <w:t>Target</w:t>
            </w:r>
          </w:p>
        </w:tc>
      </w:tr>
      <w:tr>
        <w:trPr>
          <w:trHeight w:val="380"/>
        </w:trPr>
        <w:tc>
          <w:tcPr>
            <w:tcW w:w="6660" w:type="dxa"/>
            <w:vAlign w:val="bottom"/>
            <w:gridSpan w:val="2"/>
          </w:tcPr>
          <w:p>
            <w:pPr>
              <w:spacing w:after="0"/>
              <w:rPr>
                <w:sz w:val="20"/>
                <w:szCs w:val="20"/>
                <w:color w:val="auto"/>
              </w:rPr>
            </w:pPr>
            <w:r>
              <w:rPr>
                <w:rFonts w:ascii="Arial" w:cs="Arial" w:eastAsia="Arial" w:hAnsi="Arial"/>
                <w:sz w:val="15"/>
                <w:szCs w:val="15"/>
                <w:color w:val="auto"/>
              </w:rPr>
              <w:t>iii. Origination Solutions business (applicable to the CLCO)</w:t>
            </w:r>
          </w:p>
        </w:tc>
        <w:tc>
          <w:tcPr>
            <w:tcW w:w="1140" w:type="dxa"/>
            <w:vAlign w:val="bottom"/>
          </w:tcPr>
          <w:p>
            <w:pPr>
              <w:jc w:val="right"/>
              <w:ind w:right="26"/>
              <w:spacing w:after="0"/>
              <w:rPr>
                <w:sz w:val="20"/>
                <w:szCs w:val="20"/>
                <w:color w:val="auto"/>
              </w:rPr>
            </w:pPr>
            <w:r>
              <w:rPr>
                <w:rFonts w:ascii="Arial" w:cs="Arial" w:eastAsia="Arial" w:hAnsi="Arial"/>
                <w:sz w:val="15"/>
                <w:szCs w:val="15"/>
                <w:color w:val="auto"/>
                <w:w w:val="99"/>
              </w:rPr>
              <w:t>iii. $45.4 million</w:t>
            </w:r>
          </w:p>
        </w:tc>
        <w:tc>
          <w:tcPr>
            <w:tcW w:w="6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iii. $53.5 million</w:t>
            </w:r>
          </w:p>
        </w:tc>
        <w:tc>
          <w:tcPr>
            <w:tcW w:w="6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iii. $61.5 million</w:t>
            </w:r>
          </w:p>
        </w:tc>
        <w:tc>
          <w:tcPr>
            <w:tcW w:w="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iii. $49.2 million</w:t>
            </w:r>
          </w:p>
        </w:tc>
      </w:tr>
      <w:tr>
        <w:trPr>
          <w:trHeight w:val="169"/>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ind w:left="200"/>
              <w:spacing w:after="0" w:line="169" w:lineRule="exact"/>
              <w:rPr>
                <w:sz w:val="20"/>
                <w:szCs w:val="20"/>
                <w:color w:val="auto"/>
              </w:rPr>
            </w:pPr>
            <w:r>
              <w:rPr>
                <w:rFonts w:ascii="Arial" w:cs="Arial" w:eastAsia="Arial" w:hAnsi="Arial"/>
                <w:sz w:val="15"/>
                <w:szCs w:val="15"/>
                <w:color w:val="auto"/>
              </w:rPr>
              <w:t>Threshold</w:t>
            </w:r>
          </w:p>
        </w:tc>
      </w:tr>
      <w:tr>
        <w:trPr>
          <w:trHeight w:val="380"/>
        </w:trPr>
        <w:tc>
          <w:tcPr>
            <w:tcW w:w="6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iv. Consumer Real Estate Solutions business (applicable to the CLCO)</w:t>
            </w: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8"/>
              </w:rPr>
              <w:t>iv. $4.0 million</w:t>
            </w:r>
          </w:p>
        </w:tc>
        <w:tc>
          <w:tcPr>
            <w:tcW w:w="60" w:type="dxa"/>
            <w:vAlign w:val="bottom"/>
            <w:shd w:val="clear" w:color="auto" w:fill="CCEEFF"/>
          </w:tcPr>
          <w:p>
            <w:pPr>
              <w:spacing w:after="0"/>
              <w:rPr>
                <w:sz w:val="24"/>
                <w:szCs w:val="24"/>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iv. $4.7 million</w:t>
            </w:r>
          </w:p>
        </w:tc>
        <w:tc>
          <w:tcPr>
            <w:tcW w:w="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8"/>
              </w:rPr>
              <w:t>iv. $5.3 million</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5"/>
                <w:szCs w:val="15"/>
                <w:color w:val="auto"/>
              </w:rPr>
              <w:t>iv. $4.7 million</w:t>
            </w:r>
          </w:p>
        </w:tc>
      </w:tr>
      <w:tr>
        <w:trPr>
          <w:trHeight w:val="169"/>
        </w:trPr>
        <w:tc>
          <w:tcPr>
            <w:tcW w:w="6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ind w:left="200"/>
              <w:spacing w:after="0" w:line="169" w:lineRule="exact"/>
              <w:rPr>
                <w:sz w:val="20"/>
                <w:szCs w:val="20"/>
                <w:color w:val="auto"/>
              </w:rPr>
            </w:pPr>
            <w:r>
              <w:rPr>
                <w:rFonts w:ascii="Arial" w:cs="Arial" w:eastAsia="Arial" w:hAnsi="Arial"/>
                <w:sz w:val="15"/>
                <w:szCs w:val="15"/>
                <w:color w:val="auto"/>
              </w:rPr>
              <w:t>Target</w:t>
            </w:r>
          </w:p>
        </w:tc>
      </w:tr>
      <w:tr>
        <w:trPr>
          <w:trHeight w:val="380"/>
        </w:trPr>
        <w:tc>
          <w:tcPr>
            <w:tcW w:w="6660" w:type="dxa"/>
            <w:vAlign w:val="bottom"/>
            <w:gridSpan w:val="2"/>
          </w:tcPr>
          <w:p>
            <w:pPr>
              <w:ind w:left="40"/>
              <w:spacing w:after="0"/>
              <w:rPr>
                <w:sz w:val="20"/>
                <w:szCs w:val="20"/>
                <w:color w:val="auto"/>
              </w:rPr>
            </w:pPr>
            <w:r>
              <w:rPr>
                <w:rFonts w:ascii="Arial" w:cs="Arial" w:eastAsia="Arial" w:hAnsi="Arial"/>
                <w:sz w:val="15"/>
                <w:szCs w:val="15"/>
                <w:color w:val="auto"/>
              </w:rPr>
              <w:t>v. Real Estate Investor Solutions business (applicable to the CLCO)</w:t>
            </w: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v. $77.7 million</w:t>
            </w:r>
          </w:p>
        </w:tc>
        <w:tc>
          <w:tcPr>
            <w:tcW w:w="6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15"/>
                <w:szCs w:val="15"/>
                <w:color w:val="auto"/>
              </w:rPr>
              <w:t>v. $86.6 million</w:t>
            </w:r>
          </w:p>
        </w:tc>
        <w:tc>
          <w:tcPr>
            <w:tcW w:w="6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v. $95.5 million</w:t>
            </w:r>
          </w:p>
        </w:tc>
        <w:tc>
          <w:tcPr>
            <w:tcW w:w="8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5"/>
                <w:szCs w:val="15"/>
                <w:color w:val="auto"/>
              </w:rPr>
              <w:t>v. $82.1 million</w:t>
            </w:r>
          </w:p>
        </w:tc>
      </w:tr>
      <w:tr>
        <w:trPr>
          <w:trHeight w:val="179"/>
        </w:trPr>
        <w:tc>
          <w:tcPr>
            <w:tcW w:w="6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ind w:left="200"/>
              <w:spacing w:after="0"/>
              <w:rPr>
                <w:sz w:val="20"/>
                <w:szCs w:val="20"/>
                <w:color w:val="auto"/>
              </w:rPr>
            </w:pPr>
            <w:r>
              <w:rPr>
                <w:rFonts w:ascii="Arial" w:cs="Arial" w:eastAsia="Arial" w:hAnsi="Arial"/>
                <w:sz w:val="15"/>
                <w:szCs w:val="15"/>
                <w:color w:val="auto"/>
              </w:rPr>
              <w:t>Threshold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67575"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40030"/>
                    </a:xfrm>
                    <a:prstGeom prst="rect">
                      <a:avLst/>
                    </a:prstGeom>
                    <a:noFill/>
                  </pic:spPr>
                </pic:pic>
              </a:graphicData>
            </a:graphic>
          </wp:anchor>
        </w:drawing>
      </w:r>
    </w:p>
    <w:p>
      <w:pPr>
        <w:spacing w:after="0" w:line="144" w:lineRule="exact"/>
        <w:rPr>
          <w:sz w:val="20"/>
          <w:szCs w:val="20"/>
          <w:color w:val="auto"/>
        </w:rPr>
      </w:pPr>
    </w:p>
    <w:p>
      <w:pPr>
        <w:ind w:left="8"/>
        <w:spacing w:after="0"/>
        <w:rPr>
          <w:sz w:val="20"/>
          <w:szCs w:val="20"/>
          <w:color w:val="auto"/>
        </w:rPr>
      </w:pPr>
      <w:r>
        <w:rPr>
          <w:rFonts w:ascii="Arial" w:cs="Arial" w:eastAsia="Arial" w:hAnsi="Arial"/>
          <w:sz w:val="15"/>
          <w:szCs w:val="15"/>
          <w:color w:val="auto"/>
        </w:rPr>
        <w:t>Achieve Income Targets</w:t>
      </w:r>
      <w:r>
        <w:rPr>
          <w:rFonts w:ascii="Arial" w:cs="Arial" w:eastAsia="Arial" w:hAnsi="Arial"/>
          <w:sz w:val="24"/>
          <w:szCs w:val="24"/>
          <w:color w:val="auto"/>
          <w:vertAlign w:val="superscript"/>
        </w:rPr>
        <w:t>(1)</w:t>
      </w:r>
      <w:r>
        <w:rPr>
          <w:rFonts w:ascii="Arial" w:cs="Arial" w:eastAsia="Arial" w:hAnsi="Arial"/>
          <w:sz w:val="15"/>
          <w:szCs w:val="15"/>
          <w:color w:val="auto"/>
        </w:rPr>
        <w:t>:</w:t>
      </w:r>
    </w:p>
    <w:p>
      <w:pPr>
        <w:sectPr>
          <w:pgSz w:w="11900" w:h="16838" w:orient="portrait"/>
          <w:cols w:equalWidth="0" w:num="1">
            <w:col w:w="11448"/>
          </w:cols>
          <w:pgMar w:left="232" w:top="142" w:right="219" w:bottom="1440" w:gutter="0" w:footer="0" w:header="0"/>
        </w:sectPr>
      </w:pPr>
    </w:p>
    <w:p>
      <w:pPr>
        <w:spacing w:after="0" w:line="136" w:lineRule="exact"/>
        <w:rPr>
          <w:sz w:val="20"/>
          <w:szCs w:val="20"/>
          <w:color w:val="auto"/>
        </w:rPr>
      </w:pPr>
    </w:p>
    <w:p>
      <w:pPr>
        <w:ind w:left="208" w:hanging="134"/>
        <w:spacing w:after="0" w:line="247" w:lineRule="auto"/>
        <w:tabs>
          <w:tab w:leader="none" w:pos="208"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Altisource Consolidated: Adjusted Diluted Earnings Per Share ("Adjusted EPS") (applicable to the CEO, the CARO and the EVP Finance)</w:t>
      </w:r>
    </w:p>
    <w:p>
      <w:pPr>
        <w:spacing w:after="0" w:line="194" w:lineRule="exact"/>
        <w:rPr>
          <w:rFonts w:ascii="Arial" w:cs="Arial" w:eastAsia="Arial" w:hAnsi="Arial"/>
          <w:sz w:val="15"/>
          <w:szCs w:val="15"/>
          <w:color w:val="auto"/>
        </w:rPr>
      </w:pPr>
    </w:p>
    <w:p>
      <w:pPr>
        <w:ind w:left="208" w:right="180" w:hanging="167"/>
        <w:spacing w:after="0" w:line="247" w:lineRule="auto"/>
        <w:tabs>
          <w:tab w:leader="none" w:pos="208" w:val="left"/>
        </w:tabs>
        <w:numPr>
          <w:ilvl w:val="0"/>
          <w:numId w:val="38"/>
        </w:numPr>
        <w:rPr>
          <w:rFonts w:ascii="Arial" w:cs="Arial" w:eastAsia="Arial" w:hAnsi="Arial"/>
          <w:sz w:val="15"/>
          <w:szCs w:val="15"/>
          <w:color w:val="auto"/>
        </w:rPr>
      </w:pPr>
      <w:r>
        <w:rPr>
          <w:rFonts w:ascii="Arial" w:cs="Arial" w:eastAsia="Arial" w:hAnsi="Arial"/>
          <w:sz w:val="15"/>
          <w:szCs w:val="15"/>
          <w:color w:val="auto"/>
        </w:rPr>
        <w:t>Servicer Solutions business: Adjusted Pretax Income (applicable to the President, Servicer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267575" cy="348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486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5"/>
          <w:szCs w:val="15"/>
          <w:color w:val="auto"/>
        </w:rPr>
        <w:t>Successfully complete the key</w:t>
      </w:r>
    </w:p>
    <w:p>
      <w:pPr>
        <w:ind w:left="8"/>
        <w:spacing w:after="0"/>
        <w:rPr>
          <w:sz w:val="20"/>
          <w:szCs w:val="20"/>
          <w:color w:val="auto"/>
        </w:rPr>
      </w:pPr>
      <w:r>
        <w:rPr>
          <w:rFonts w:ascii="Arial" w:cs="Arial" w:eastAsia="Arial" w:hAnsi="Arial"/>
          <w:sz w:val="15"/>
          <w:szCs w:val="15"/>
          <w:color w:val="auto"/>
        </w:rPr>
        <w:t>Strategic Initiatives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90436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246" w:right="120" w:hanging="3782"/>
        <w:spacing w:after="0" w:line="243" w:lineRule="auto"/>
        <w:tabs>
          <w:tab w:leader="none" w:pos="1225" w:val="left"/>
        </w:tabs>
        <w:rPr>
          <w:sz w:val="20"/>
          <w:szCs w:val="20"/>
          <w:color w:val="auto"/>
        </w:rPr>
      </w:pPr>
      <w:r>
        <w:rPr>
          <w:rFonts w:ascii="Arial" w:cs="Arial" w:eastAsia="Arial" w:hAnsi="Arial"/>
          <w:sz w:val="15"/>
          <w:szCs w:val="15"/>
          <w:color w:val="auto"/>
        </w:rPr>
        <w:t>i. $2.38</w:t>
      </w:r>
      <w:r>
        <w:rPr>
          <w:sz w:val="20"/>
          <w:szCs w:val="20"/>
          <w:color w:val="auto"/>
        </w:rPr>
        <w:tab/>
      </w:r>
      <w:r>
        <w:rPr>
          <w:rFonts w:ascii="Arial" w:cs="Arial" w:eastAsia="Arial" w:hAnsi="Arial"/>
          <w:sz w:val="15"/>
          <w:szCs w:val="15"/>
          <w:color w:val="auto"/>
        </w:rPr>
        <w:t>i. $2.51 i. $2.78 i. $2.80 Outstanding</w:t>
      </w:r>
    </w:p>
    <w:p>
      <w:pPr>
        <w:spacing w:after="0" w:line="371" w:lineRule="exact"/>
        <w:rPr>
          <w:sz w:val="20"/>
          <w:szCs w:val="20"/>
          <w:color w:val="auto"/>
        </w:rPr>
      </w:pPr>
    </w:p>
    <w:p>
      <w:pPr>
        <w:ind w:left="3806" w:right="20" w:hanging="3806"/>
        <w:spacing w:after="0" w:line="247" w:lineRule="auto"/>
        <w:tabs>
          <w:tab w:leader="none" w:pos="1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$188.7 million ii. $222.0 million ii. $255.3 million ii. $205.9 million Threshold</w:t>
      </w:r>
    </w:p>
    <w:p>
      <w:pPr>
        <w:spacing w:after="0" w:line="194" w:lineRule="exact"/>
        <w:rPr>
          <w:sz w:val="20"/>
          <w:szCs w:val="20"/>
          <w:color w:val="auto"/>
        </w:rPr>
      </w:pPr>
    </w:p>
    <w:p>
      <w:pPr>
        <w:ind w:left="86"/>
        <w:spacing w:after="0"/>
        <w:tabs>
          <w:tab w:leader="none" w:pos="1285" w:val="left"/>
          <w:tab w:leader="none" w:pos="2485" w:val="left"/>
          <w:tab w:leader="none" w:pos="3705" w:val="left"/>
        </w:tabs>
        <w:rPr>
          <w:sz w:val="20"/>
          <w:szCs w:val="20"/>
          <w:color w:val="auto"/>
        </w:rPr>
      </w:pPr>
      <w:r>
        <w:rPr>
          <w:rFonts w:ascii="Arial" w:cs="Arial" w:eastAsia="Arial" w:hAnsi="Arial"/>
          <w:sz w:val="15"/>
          <w:szCs w:val="15"/>
          <w:color w:val="auto"/>
        </w:rPr>
        <w:t>See Strategic</w:t>
      </w:r>
      <w:r>
        <w:rPr>
          <w:sz w:val="20"/>
          <w:szCs w:val="20"/>
          <w:color w:val="auto"/>
        </w:rPr>
        <w:tab/>
      </w:r>
      <w:r>
        <w:rPr>
          <w:rFonts w:ascii="Arial" w:cs="Arial" w:eastAsia="Arial" w:hAnsi="Arial"/>
          <w:sz w:val="15"/>
          <w:szCs w:val="15"/>
          <w:color w:val="auto"/>
        </w:rPr>
        <w:t>See Strategic</w:t>
      </w:r>
      <w:r>
        <w:rPr>
          <w:sz w:val="20"/>
          <w:szCs w:val="20"/>
          <w:color w:val="auto"/>
        </w:rPr>
        <w:tab/>
      </w:r>
      <w:r>
        <w:rPr>
          <w:rFonts w:ascii="Arial" w:cs="Arial" w:eastAsia="Arial" w:hAnsi="Arial"/>
          <w:sz w:val="15"/>
          <w:szCs w:val="15"/>
          <w:color w:val="auto"/>
        </w:rPr>
        <w:t>See Strategic</w:t>
      </w:r>
      <w:r>
        <w:rPr>
          <w:sz w:val="20"/>
          <w:szCs w:val="20"/>
          <w:color w:val="auto"/>
        </w:rPr>
        <w:tab/>
      </w:r>
      <w:r>
        <w:rPr>
          <w:rFonts w:ascii="Arial" w:cs="Arial" w:eastAsia="Arial" w:hAnsi="Arial"/>
          <w:sz w:val="14"/>
          <w:szCs w:val="14"/>
          <w:color w:val="auto"/>
        </w:rPr>
        <w:t>See Strategic</w:t>
      </w:r>
    </w:p>
    <w:p>
      <w:pPr>
        <w:ind w:left="6"/>
        <w:spacing w:after="0"/>
        <w:tabs>
          <w:tab w:leader="none" w:pos="1205" w:val="left"/>
          <w:tab w:leader="none" w:pos="2405" w:val="left"/>
          <w:tab w:leader="none" w:pos="3625" w:val="left"/>
        </w:tabs>
        <w:rPr>
          <w:sz w:val="20"/>
          <w:szCs w:val="20"/>
          <w:color w:val="auto"/>
        </w:rPr>
      </w:pPr>
      <w:r>
        <w:rPr>
          <w:rFonts w:ascii="Arial" w:cs="Arial" w:eastAsia="Arial" w:hAnsi="Arial"/>
          <w:sz w:val="15"/>
          <w:szCs w:val="15"/>
          <w:color w:val="auto"/>
        </w:rPr>
        <w:t>Initiatives below</w:t>
        <w:tab/>
        <w:t>Initiatives below</w:t>
        <w:tab/>
        <w:t>Initiatives below</w:t>
      </w:r>
      <w:r>
        <w:rPr>
          <w:sz w:val="20"/>
          <w:szCs w:val="20"/>
          <w:color w:val="auto"/>
        </w:rPr>
        <w:tab/>
      </w:r>
      <w:r>
        <w:rPr>
          <w:rFonts w:ascii="Arial" w:cs="Arial" w:eastAsia="Arial" w:hAnsi="Arial"/>
          <w:sz w:val="14"/>
          <w:szCs w:val="14"/>
          <w:color w:val="auto"/>
        </w:rPr>
        <w:t>Initiatives below</w:t>
      </w:r>
    </w:p>
    <w:p>
      <w:pPr>
        <w:spacing w:after="0" w:line="200" w:lineRule="exact"/>
        <w:rPr>
          <w:sz w:val="20"/>
          <w:szCs w:val="20"/>
          <w:color w:val="auto"/>
        </w:rPr>
      </w:pPr>
    </w:p>
    <w:p>
      <w:pPr>
        <w:sectPr>
          <w:pgSz w:w="11900" w:h="16838" w:orient="portrait"/>
          <w:cols w:equalWidth="0" w:num="2">
            <w:col w:w="6368" w:space="334"/>
            <w:col w:w="4746"/>
          </w:cols>
          <w:pgMar w:left="232" w:top="142" w:right="219" w:bottom="1440" w:gutter="0" w:footer="0" w:header="0"/>
          <w:type w:val="continuous"/>
        </w:sectPr>
      </w:pPr>
    </w:p>
    <w:p>
      <w:pPr>
        <w:spacing w:after="0" w:line="85" w:lineRule="exact"/>
        <w:rPr>
          <w:sz w:val="20"/>
          <w:szCs w:val="20"/>
          <w:color w:val="auto"/>
        </w:rPr>
      </w:pPr>
    </w:p>
    <w:p>
      <w:pPr>
        <w:ind w:left="448" w:right="560" w:hanging="448"/>
        <w:spacing w:after="0" w:line="182" w:lineRule="auto"/>
        <w:tabs>
          <w:tab w:leader="none" w:pos="448"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The business segment goals are generally established such that the sum of all business goals is equal to the corresponding goal at the Altisource consolidated corporate level.</w:t>
      </w:r>
    </w:p>
    <w:p>
      <w:pPr>
        <w:spacing w:after="0" w:line="178"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type w:val="continuous"/>
        </w:sectPr>
      </w:pPr>
    </w:p>
    <w:bookmarkStart w:id="39" w:name="page40"/>
    <w:bookmarkEnd w:id="3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right="100"/>
        <w:spacing w:after="0" w:line="243" w:lineRule="auto"/>
        <w:rPr>
          <w:sz w:val="20"/>
          <w:szCs w:val="20"/>
          <w:color w:val="auto"/>
        </w:rPr>
      </w:pPr>
      <w:r>
        <w:rPr>
          <w:rFonts w:ascii="Arial" w:cs="Arial" w:eastAsia="Arial" w:hAnsi="Arial"/>
          <w:sz w:val="15"/>
          <w:szCs w:val="15"/>
          <w:color w:val="auto"/>
        </w:rPr>
        <w:t>The elements of our strategic initiatives and actual levels of achievements of our Named Executive Officers against such initiatives are set forth below. We do not disclose all of our specific performance measures and targets for these initiatives as they contain highly sensitive data related to our business operations and strategy. We believe that the disclosure of such performance measures and targets would result in competitive harm.</w:t>
      </w:r>
    </w:p>
    <w:p>
      <w:pPr>
        <w:spacing w:after="0" w:line="15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2017 Strategic Initiatives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200" w:type="dxa"/>
            <w:vAlign w:val="bottom"/>
            <w:tcBorders>
              <w:top w:val="single" w:sz="8" w:color="auto"/>
            </w:tcBorders>
          </w:tcPr>
          <w:p>
            <w:pPr>
              <w:spacing w:after="0"/>
              <w:rPr>
                <w:sz w:val="13"/>
                <w:szCs w:val="13"/>
                <w:color w:val="auto"/>
              </w:rPr>
            </w:pPr>
          </w:p>
        </w:tc>
        <w:tc>
          <w:tcPr>
            <w:tcW w:w="89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9"/>
              </w:rPr>
              <w:t>Actual Level of</w:t>
            </w:r>
          </w:p>
        </w:tc>
      </w:tr>
      <w:tr>
        <w:trPr>
          <w:trHeight w:val="218"/>
        </w:trPr>
        <w:tc>
          <w:tcPr>
            <w:tcW w:w="20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4060"/>
              <w:spacing w:after="0"/>
              <w:rPr>
                <w:sz w:val="20"/>
                <w:szCs w:val="20"/>
                <w:color w:val="auto"/>
              </w:rPr>
            </w:pPr>
            <w:r>
              <w:rPr>
                <w:rFonts w:ascii="Arial" w:cs="Arial" w:eastAsia="Arial" w:hAnsi="Arial"/>
                <w:sz w:val="15"/>
                <w:szCs w:val="15"/>
                <w:b w:val="1"/>
                <w:bCs w:val="1"/>
                <w:color w:val="auto"/>
              </w:rPr>
              <w:t>Elements</w:t>
            </w:r>
          </w:p>
        </w:tc>
        <w:tc>
          <w:tcPr>
            <w:tcW w:w="180" w:type="dxa"/>
            <w:vAlign w:val="bottom"/>
          </w:tcPr>
          <w:p>
            <w:pPr>
              <w:spacing w:after="0"/>
              <w:rPr>
                <w:sz w:val="18"/>
                <w:szCs w:val="18"/>
                <w:color w:val="auto"/>
              </w:rPr>
            </w:pPr>
          </w:p>
        </w:tc>
        <w:tc>
          <w:tcPr>
            <w:tcW w:w="2080" w:type="dxa"/>
            <w:vAlign w:val="bottom"/>
            <w:tcBorders>
              <w:bottom w:val="single" w:sz="8" w:color="auto"/>
            </w:tcBorders>
          </w:tcPr>
          <w:p>
            <w:pPr>
              <w:jc w:val="center"/>
              <w:spacing w:after="0" w:line="218" w:lineRule="exact"/>
              <w:rPr>
                <w:sz w:val="20"/>
                <w:szCs w:val="20"/>
                <w:color w:val="auto"/>
              </w:rPr>
            </w:pPr>
            <w:r>
              <w:rPr>
                <w:rFonts w:ascii="Arial" w:cs="Arial" w:eastAsia="Arial" w:hAnsi="Arial"/>
                <w:sz w:val="15"/>
                <w:szCs w:val="15"/>
                <w:b w:val="1"/>
                <w:bCs w:val="1"/>
                <w:color w:val="auto"/>
                <w:w w:val="91"/>
              </w:rPr>
              <w:t>Achievement</w:t>
            </w:r>
            <w:r>
              <w:rPr>
                <w:rFonts w:ascii="Arial" w:cs="Arial" w:eastAsia="Arial" w:hAnsi="Arial"/>
                <w:sz w:val="24"/>
                <w:szCs w:val="24"/>
                <w:b w:val="1"/>
                <w:bCs w:val="1"/>
                <w:color w:val="auto"/>
                <w:w w:val="91"/>
                <w:vertAlign w:val="superscript"/>
              </w:rPr>
              <w:t>(1),(2)</w:t>
            </w:r>
          </w:p>
        </w:tc>
      </w:tr>
      <w:tr>
        <w:trPr>
          <w:trHeight w:val="163"/>
        </w:trPr>
        <w:tc>
          <w:tcPr>
            <w:tcW w:w="20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w w:val="79"/>
              </w:rPr>
              <w:t>1.</w:t>
            </w:r>
          </w:p>
        </w:tc>
        <w:tc>
          <w:tcPr>
            <w:tcW w:w="8980" w:type="dxa"/>
            <w:vAlign w:val="bottom"/>
            <w:shd w:val="clear" w:color="auto" w:fill="CCEEFF"/>
          </w:tcPr>
          <w:p>
            <w:pPr>
              <w:ind w:left="40"/>
              <w:spacing w:after="0" w:line="163" w:lineRule="exact"/>
              <w:rPr>
                <w:sz w:val="20"/>
                <w:szCs w:val="20"/>
                <w:color w:val="auto"/>
              </w:rPr>
            </w:pPr>
            <w:r>
              <w:rPr>
                <w:rFonts w:ascii="Arial" w:cs="Arial" w:eastAsia="Arial" w:hAnsi="Arial"/>
                <w:sz w:val="15"/>
                <w:szCs w:val="15"/>
                <w:color w:val="auto"/>
              </w:rPr>
              <w:t>Grow Servicer Solutions business</w:t>
            </w:r>
          </w:p>
        </w:tc>
        <w:tc>
          <w:tcPr>
            <w:tcW w:w="2260" w:type="dxa"/>
            <w:vAlign w:val="bottom"/>
            <w:gridSpan w:val="2"/>
            <w:shd w:val="clear" w:color="auto" w:fill="CCEEFF"/>
          </w:tcPr>
          <w:p>
            <w:pPr>
              <w:ind w:left="180"/>
              <w:spacing w:after="0" w:line="163" w:lineRule="exact"/>
              <w:rPr>
                <w:sz w:val="20"/>
                <w:szCs w:val="20"/>
                <w:color w:val="auto"/>
              </w:rPr>
            </w:pPr>
            <w:r>
              <w:rPr>
                <w:rFonts w:ascii="Arial" w:cs="Arial" w:eastAsia="Arial" w:hAnsi="Arial"/>
                <w:sz w:val="15"/>
                <w:szCs w:val="15"/>
                <w:color w:val="auto"/>
                <w:w w:val="99"/>
              </w:rPr>
              <w:t>President, Servicer Solutions—</w:t>
            </w:r>
          </w:p>
        </w:tc>
      </w:tr>
      <w:tr>
        <w:trPr>
          <w:trHeight w:val="206"/>
        </w:trPr>
        <w:tc>
          <w:tcPr>
            <w:tcW w:w="200" w:type="dxa"/>
            <w:vAlign w:val="bottom"/>
            <w:shd w:val="clear" w:color="auto" w:fill="CCEEFF"/>
          </w:tcPr>
          <w:p>
            <w:pPr>
              <w:spacing w:after="0"/>
              <w:rPr>
                <w:sz w:val="17"/>
                <w:szCs w:val="17"/>
                <w:color w:val="auto"/>
              </w:rPr>
            </w:pPr>
          </w:p>
        </w:tc>
        <w:tc>
          <w:tcPr>
            <w:tcW w:w="89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  Achieve REO liquidation rate Targets</w:t>
            </w:r>
          </w:p>
        </w:tc>
        <w:tc>
          <w:tcPr>
            <w:tcW w:w="2260" w:type="dxa"/>
            <w:vAlign w:val="bottom"/>
            <w:gridSpan w:val="2"/>
            <w:shd w:val="clear" w:color="auto" w:fill="CCEEFF"/>
          </w:tcPr>
          <w:p>
            <w:pPr>
              <w:ind w:left="180"/>
              <w:spacing w:after="0" w:line="205" w:lineRule="exact"/>
              <w:rPr>
                <w:sz w:val="20"/>
                <w:szCs w:val="20"/>
                <w:color w:val="auto"/>
              </w:rPr>
            </w:pPr>
            <w:r>
              <w:rPr>
                <w:rFonts w:ascii="Arial" w:cs="Arial" w:eastAsia="Arial" w:hAnsi="Arial"/>
                <w:sz w:val="14"/>
                <w:szCs w:val="14"/>
                <w:color w:val="auto"/>
              </w:rPr>
              <w:t>Threshold at 55.0%</w:t>
            </w:r>
            <w:r>
              <w:rPr>
                <w:rFonts w:ascii="Arial" w:cs="Arial" w:eastAsia="Arial" w:hAnsi="Arial"/>
                <w:sz w:val="23"/>
                <w:szCs w:val="23"/>
                <w:color w:val="auto"/>
                <w:vertAlign w:val="superscript"/>
              </w:rPr>
              <w:t>(3)</w:t>
            </w:r>
            <w:r>
              <w:rPr>
                <w:rFonts w:ascii="Arial" w:cs="Arial" w:eastAsia="Arial" w:hAnsi="Arial"/>
                <w:sz w:val="14"/>
                <w:szCs w:val="14"/>
                <w:color w:val="auto"/>
              </w:rPr>
              <w:t>,</w:t>
            </w:r>
          </w:p>
        </w:tc>
      </w:tr>
      <w:tr>
        <w:trPr>
          <w:trHeight w:val="172"/>
        </w:trPr>
        <w:tc>
          <w:tcPr>
            <w:tcW w:w="200" w:type="dxa"/>
            <w:vAlign w:val="bottom"/>
            <w:shd w:val="clear" w:color="auto" w:fill="CCEEFF"/>
          </w:tcPr>
          <w:p>
            <w:pPr>
              <w:spacing w:after="0"/>
              <w:rPr>
                <w:sz w:val="14"/>
                <w:szCs w:val="14"/>
                <w:color w:val="auto"/>
              </w:rPr>
            </w:pPr>
          </w:p>
        </w:tc>
        <w:tc>
          <w:tcPr>
            <w:tcW w:w="89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  Achieve diversified Service Revenue Target</w:t>
            </w: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CLCO—Below Threshold</w:t>
            </w:r>
          </w:p>
        </w:tc>
      </w:tr>
      <w:tr>
        <w:trPr>
          <w:trHeight w:val="172"/>
        </w:trPr>
        <w:tc>
          <w:tcPr>
            <w:tcW w:w="200" w:type="dxa"/>
            <w:vAlign w:val="bottom"/>
            <w:shd w:val="clear" w:color="auto" w:fill="CCEEFF"/>
          </w:tcPr>
          <w:p>
            <w:pPr>
              <w:spacing w:after="0"/>
              <w:rPr>
                <w:sz w:val="14"/>
                <w:szCs w:val="14"/>
                <w:color w:val="auto"/>
              </w:rPr>
            </w:pPr>
          </w:p>
        </w:tc>
        <w:tc>
          <w:tcPr>
            <w:tcW w:w="8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  Achieve Q4'17 diversified Service Revenue Target</w:t>
            </w:r>
          </w:p>
        </w:tc>
        <w:tc>
          <w:tcPr>
            <w:tcW w:w="1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r>
      <w:tr>
        <w:trPr>
          <w:trHeight w:val="378"/>
        </w:trPr>
        <w:tc>
          <w:tcPr>
            <w:tcW w:w="200" w:type="dxa"/>
            <w:vAlign w:val="bottom"/>
          </w:tcPr>
          <w:p>
            <w:pPr>
              <w:jc w:val="right"/>
              <w:ind w:right="6"/>
              <w:spacing w:after="0"/>
              <w:rPr>
                <w:sz w:val="20"/>
                <w:szCs w:val="20"/>
                <w:color w:val="auto"/>
              </w:rPr>
            </w:pPr>
            <w:r>
              <w:rPr>
                <w:rFonts w:ascii="Arial" w:cs="Arial" w:eastAsia="Arial" w:hAnsi="Arial"/>
                <w:sz w:val="15"/>
                <w:szCs w:val="15"/>
                <w:color w:val="auto"/>
                <w:w w:val="79"/>
              </w:rPr>
              <w:t>2.</w:t>
            </w:r>
          </w:p>
        </w:tc>
        <w:tc>
          <w:tcPr>
            <w:tcW w:w="8980" w:type="dxa"/>
            <w:vAlign w:val="bottom"/>
          </w:tcPr>
          <w:p>
            <w:pPr>
              <w:ind w:left="40"/>
              <w:spacing w:after="0"/>
              <w:rPr>
                <w:sz w:val="20"/>
                <w:szCs w:val="20"/>
                <w:color w:val="auto"/>
              </w:rPr>
            </w:pPr>
            <w:r>
              <w:rPr>
                <w:rFonts w:ascii="Arial" w:cs="Arial" w:eastAsia="Arial" w:hAnsi="Arial"/>
                <w:sz w:val="15"/>
                <w:szCs w:val="15"/>
                <w:color w:val="auto"/>
              </w:rPr>
              <w:t>Grow Origination Solutions business—Achieve Q4'17 Service Revenue Target</w:t>
            </w:r>
          </w:p>
        </w:tc>
        <w:tc>
          <w:tcPr>
            <w:tcW w:w="2260" w:type="dxa"/>
            <w:vAlign w:val="bottom"/>
            <w:gridSpan w:val="2"/>
          </w:tcPr>
          <w:p>
            <w:pPr>
              <w:ind w:left="180"/>
              <w:spacing w:after="0"/>
              <w:rPr>
                <w:sz w:val="20"/>
                <w:szCs w:val="20"/>
                <w:color w:val="auto"/>
              </w:rPr>
            </w:pPr>
            <w:r>
              <w:rPr>
                <w:rFonts w:ascii="Arial" w:cs="Arial" w:eastAsia="Arial" w:hAnsi="Arial"/>
                <w:sz w:val="15"/>
                <w:szCs w:val="15"/>
                <w:color w:val="auto"/>
              </w:rPr>
              <w:t>CLCO—Below Threshold</w:t>
            </w:r>
          </w:p>
        </w:tc>
      </w:tr>
      <w:tr>
        <w:trPr>
          <w:trHeight w:val="380"/>
        </w:trPr>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9"/>
              </w:rPr>
              <w:t>3.</w:t>
            </w:r>
          </w:p>
        </w:tc>
        <w:tc>
          <w:tcPr>
            <w:tcW w:w="8980" w:type="dxa"/>
            <w:vAlign w:val="bottom"/>
            <w:shd w:val="clear" w:color="auto" w:fill="CCEEFF"/>
          </w:tcPr>
          <w:p>
            <w:pPr>
              <w:ind w:left="40"/>
              <w:spacing w:after="0"/>
              <w:rPr>
                <w:sz w:val="20"/>
                <w:szCs w:val="20"/>
                <w:color w:val="auto"/>
              </w:rPr>
            </w:pPr>
            <w:r>
              <w:rPr>
                <w:rFonts w:ascii="Arial" w:cs="Arial" w:eastAsia="Arial" w:hAnsi="Arial"/>
                <w:sz w:val="15"/>
                <w:szCs w:val="15"/>
                <w:color w:val="auto"/>
              </w:rPr>
              <w:t>Grow Consumer Real Estate Solutions business</w:t>
            </w: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8"/>
              </w:rPr>
              <w:t>CLCO—Outstanding at 130.0%</w:t>
            </w:r>
          </w:p>
        </w:tc>
      </w:tr>
      <w:tr>
        <w:trPr>
          <w:trHeight w:val="148"/>
        </w:trPr>
        <w:tc>
          <w:tcPr>
            <w:tcW w:w="200" w:type="dxa"/>
            <w:vAlign w:val="bottom"/>
            <w:shd w:val="clear" w:color="auto" w:fill="CCEEFF"/>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(4)</w:t>
            </w:r>
          </w:p>
        </w:tc>
      </w:tr>
      <w:tr>
        <w:trPr>
          <w:trHeight w:val="21"/>
        </w:trPr>
        <w:tc>
          <w:tcPr>
            <w:tcW w:w="200" w:type="dxa"/>
            <w:vAlign w:val="bottom"/>
            <w:shd w:val="clear" w:color="auto" w:fill="CCEEFF"/>
          </w:tcPr>
          <w:p>
            <w:pPr>
              <w:spacing w:after="0" w:line="20" w:lineRule="exact"/>
              <w:rPr>
                <w:sz w:val="1"/>
                <w:szCs w:val="1"/>
                <w:color w:val="auto"/>
              </w:rPr>
            </w:pPr>
          </w:p>
        </w:tc>
        <w:tc>
          <w:tcPr>
            <w:tcW w:w="8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-347980</wp:posOffset>
            </wp:positionV>
            <wp:extent cx="7267575" cy="675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675640"/>
                    </a:xfrm>
                    <a:prstGeom prst="rect">
                      <a:avLst/>
                    </a:prstGeom>
                    <a:noFill/>
                  </pic:spPr>
                </pic:pic>
              </a:graphicData>
            </a:graphic>
          </wp:anchor>
        </w:drawing>
      </w:r>
    </w:p>
    <w:p>
      <w:pPr>
        <w:ind w:left="808" w:hanging="314"/>
        <w:spacing w:after="0"/>
        <w:tabs>
          <w:tab w:leader="none" w:pos="808"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Achieve Lead to Face to Face ("F2F") Conversion Rate Target</w:t>
      </w:r>
    </w:p>
    <w:p>
      <w:pPr>
        <w:ind w:left="808" w:hanging="314"/>
        <w:spacing w:after="0"/>
        <w:tabs>
          <w:tab w:leader="none" w:pos="808"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Achieve F2F to Closing Conversion Rate Target</w:t>
      </w:r>
    </w:p>
    <w:p>
      <w:pPr>
        <w:ind w:left="808" w:hanging="306"/>
        <w:spacing w:after="0"/>
        <w:tabs>
          <w:tab w:leader="none" w:pos="808"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Achieve Take Rate Target</w:t>
      </w:r>
    </w:p>
    <w:p>
      <w:pPr>
        <w:spacing w:after="0" w:line="20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00" w:type="dxa"/>
            <w:vAlign w:val="bottom"/>
          </w:tcPr>
          <w:p>
            <w:pPr>
              <w:jc w:val="right"/>
              <w:ind w:right="6"/>
              <w:spacing w:after="0"/>
              <w:rPr>
                <w:sz w:val="20"/>
                <w:szCs w:val="20"/>
                <w:color w:val="auto"/>
              </w:rPr>
            </w:pPr>
            <w:r>
              <w:rPr>
                <w:rFonts w:ascii="Arial" w:cs="Arial" w:eastAsia="Arial" w:hAnsi="Arial"/>
                <w:sz w:val="15"/>
                <w:szCs w:val="15"/>
                <w:color w:val="auto"/>
                <w:w w:val="79"/>
              </w:rPr>
              <w:t>4.</w:t>
            </w:r>
          </w:p>
        </w:tc>
        <w:tc>
          <w:tcPr>
            <w:tcW w:w="7480" w:type="dxa"/>
            <w:vAlign w:val="bottom"/>
          </w:tcPr>
          <w:p>
            <w:pPr>
              <w:ind w:left="40"/>
              <w:spacing w:after="0"/>
              <w:rPr>
                <w:sz w:val="20"/>
                <w:szCs w:val="20"/>
                <w:color w:val="auto"/>
              </w:rPr>
            </w:pPr>
            <w:r>
              <w:rPr>
                <w:rFonts w:ascii="Arial" w:cs="Arial" w:eastAsia="Arial" w:hAnsi="Arial"/>
                <w:sz w:val="15"/>
                <w:szCs w:val="15"/>
                <w:color w:val="auto"/>
              </w:rPr>
              <w:t>Grow Real Estate Investor Solutions business—Achieve Q4'17 Service Revenue Target</w:t>
            </w:r>
          </w:p>
        </w:tc>
        <w:tc>
          <w:tcPr>
            <w:tcW w:w="3760" w:type="dxa"/>
            <w:vAlign w:val="bottom"/>
          </w:tcPr>
          <w:p>
            <w:pPr>
              <w:ind w:left="1680"/>
              <w:spacing w:after="0"/>
              <w:rPr>
                <w:sz w:val="20"/>
                <w:szCs w:val="20"/>
                <w:color w:val="auto"/>
              </w:rPr>
            </w:pPr>
            <w:r>
              <w:rPr>
                <w:rFonts w:ascii="Arial" w:cs="Arial" w:eastAsia="Arial" w:hAnsi="Arial"/>
                <w:sz w:val="15"/>
                <w:szCs w:val="15"/>
                <w:color w:val="auto"/>
              </w:rPr>
              <w:t>CLCO—Below Threshold</w:t>
            </w:r>
          </w:p>
        </w:tc>
      </w:tr>
      <w:tr>
        <w:trPr>
          <w:trHeight w:val="378"/>
        </w:trPr>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9"/>
              </w:rPr>
              <w:t>5.</w:t>
            </w:r>
          </w:p>
        </w:tc>
        <w:tc>
          <w:tcPr>
            <w:tcW w:w="7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Achieve Marketplace-related objectives</w:t>
            </w:r>
          </w:p>
        </w:tc>
        <w:tc>
          <w:tcPr>
            <w:tcW w:w="3760" w:type="dxa"/>
            <w:vAlign w:val="bottom"/>
            <w:shd w:val="clear" w:color="auto" w:fill="CCEEFF"/>
          </w:tcPr>
          <w:p>
            <w:pPr>
              <w:ind w:left="1680"/>
              <w:spacing w:after="0"/>
              <w:rPr>
                <w:sz w:val="20"/>
                <w:szCs w:val="20"/>
                <w:color w:val="auto"/>
              </w:rPr>
            </w:pPr>
            <w:r>
              <w:rPr>
                <w:rFonts w:ascii="Arial" w:cs="Arial" w:eastAsia="Arial" w:hAnsi="Arial"/>
                <w:sz w:val="15"/>
                <w:szCs w:val="15"/>
                <w:color w:val="auto"/>
              </w:rPr>
              <w:t>CLCO—Target</w:t>
            </w:r>
          </w:p>
        </w:tc>
      </w:tr>
      <w:tr>
        <w:trPr>
          <w:trHeight w:val="380"/>
        </w:trPr>
        <w:tc>
          <w:tcPr>
            <w:tcW w:w="200" w:type="dxa"/>
            <w:vAlign w:val="bottom"/>
          </w:tcPr>
          <w:p>
            <w:pPr>
              <w:jc w:val="right"/>
              <w:ind w:right="6"/>
              <w:spacing w:after="0"/>
              <w:rPr>
                <w:sz w:val="20"/>
                <w:szCs w:val="20"/>
                <w:color w:val="auto"/>
              </w:rPr>
            </w:pPr>
            <w:r>
              <w:rPr>
                <w:rFonts w:ascii="Arial" w:cs="Arial" w:eastAsia="Arial" w:hAnsi="Arial"/>
                <w:sz w:val="15"/>
                <w:szCs w:val="15"/>
                <w:color w:val="auto"/>
                <w:w w:val="79"/>
              </w:rPr>
              <w:t>6.</w:t>
            </w:r>
          </w:p>
        </w:tc>
        <w:tc>
          <w:tcPr>
            <w:tcW w:w="7480" w:type="dxa"/>
            <w:vAlign w:val="bottom"/>
          </w:tcPr>
          <w:p>
            <w:pPr>
              <w:ind w:left="40"/>
              <w:spacing w:after="0"/>
              <w:rPr>
                <w:sz w:val="20"/>
                <w:szCs w:val="20"/>
                <w:color w:val="auto"/>
              </w:rPr>
            </w:pPr>
            <w:r>
              <w:rPr>
                <w:rFonts w:ascii="Arial" w:cs="Arial" w:eastAsia="Arial" w:hAnsi="Arial"/>
                <w:sz w:val="15"/>
                <w:szCs w:val="15"/>
                <w:color w:val="auto"/>
              </w:rPr>
              <w:t>Performance against corporate-level Strategic Initiatives</w:t>
            </w:r>
          </w:p>
        </w:tc>
        <w:tc>
          <w:tcPr>
            <w:tcW w:w="3760" w:type="dxa"/>
            <w:vAlign w:val="bottom"/>
          </w:tcPr>
          <w:p>
            <w:pPr>
              <w:ind w:left="1680"/>
              <w:spacing w:after="0"/>
              <w:rPr>
                <w:sz w:val="20"/>
                <w:szCs w:val="20"/>
                <w:color w:val="auto"/>
              </w:rPr>
            </w:pPr>
            <w:r>
              <w:rPr>
                <w:rFonts w:ascii="Arial" w:cs="Arial" w:eastAsia="Arial" w:hAnsi="Arial"/>
                <w:sz w:val="15"/>
                <w:szCs w:val="15"/>
                <w:color w:val="auto"/>
              </w:rPr>
              <w:t>CEO, CARO, EVP Finance,</w:t>
            </w:r>
          </w:p>
        </w:tc>
      </w:tr>
      <w:tr>
        <w:trPr>
          <w:trHeight w:val="172"/>
        </w:trPr>
        <w:tc>
          <w:tcPr>
            <w:tcW w:w="2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760" w:type="dxa"/>
            <w:vAlign w:val="bottom"/>
          </w:tcPr>
          <w:p>
            <w:pPr>
              <w:ind w:left="1680"/>
              <w:spacing w:after="0"/>
              <w:rPr>
                <w:sz w:val="20"/>
                <w:szCs w:val="20"/>
                <w:color w:val="auto"/>
              </w:rPr>
            </w:pPr>
            <w:r>
              <w:rPr>
                <w:rFonts w:ascii="Arial" w:cs="Arial" w:eastAsia="Arial" w:hAnsi="Arial"/>
                <w:sz w:val="15"/>
                <w:szCs w:val="15"/>
                <w:color w:val="auto"/>
              </w:rPr>
              <w:t>CLCO,</w:t>
            </w:r>
          </w:p>
        </w:tc>
      </w:tr>
      <w:tr>
        <w:trPr>
          <w:trHeight w:val="172"/>
        </w:trPr>
        <w:tc>
          <w:tcPr>
            <w:tcW w:w="2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760" w:type="dxa"/>
            <w:vAlign w:val="bottom"/>
          </w:tcPr>
          <w:p>
            <w:pPr>
              <w:ind w:left="1680"/>
              <w:spacing w:after="0"/>
              <w:rPr>
                <w:sz w:val="20"/>
                <w:szCs w:val="20"/>
                <w:color w:val="auto"/>
              </w:rPr>
            </w:pPr>
            <w:r>
              <w:rPr>
                <w:rFonts w:ascii="Arial" w:cs="Arial" w:eastAsia="Arial" w:hAnsi="Arial"/>
                <w:sz w:val="15"/>
                <w:szCs w:val="15"/>
                <w:color w:val="auto"/>
                <w:w w:val="99"/>
              </w:rPr>
              <w:t>President, Servicer Solutions—</w:t>
            </w:r>
          </w:p>
        </w:tc>
      </w:tr>
      <w:tr>
        <w:trPr>
          <w:trHeight w:val="169"/>
        </w:trPr>
        <w:tc>
          <w:tcPr>
            <w:tcW w:w="2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760" w:type="dxa"/>
            <w:vAlign w:val="bottom"/>
          </w:tcPr>
          <w:p>
            <w:pPr>
              <w:ind w:left="1680"/>
              <w:spacing w:after="0" w:line="169" w:lineRule="exact"/>
              <w:rPr>
                <w:sz w:val="20"/>
                <w:szCs w:val="20"/>
                <w:color w:val="auto"/>
              </w:rPr>
            </w:pPr>
            <w:r>
              <w:rPr>
                <w:rFonts w:ascii="Arial" w:cs="Arial" w:eastAsia="Arial" w:hAnsi="Arial"/>
                <w:sz w:val="15"/>
                <w:szCs w:val="15"/>
                <w:color w:val="auto"/>
              </w:rPr>
              <w:t>Outstanding</w:t>
            </w:r>
          </w:p>
        </w:tc>
      </w:tr>
      <w:tr>
        <w:trPr>
          <w:trHeight w:val="378"/>
        </w:trPr>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9"/>
              </w:rPr>
              <w:t>7.</w:t>
            </w:r>
          </w:p>
        </w:tc>
        <w:tc>
          <w:tcPr>
            <w:tcW w:w="7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Achieve operations and cost savings initiatives</w:t>
            </w:r>
          </w:p>
        </w:tc>
        <w:tc>
          <w:tcPr>
            <w:tcW w:w="3760" w:type="dxa"/>
            <w:vAlign w:val="bottom"/>
            <w:shd w:val="clear" w:color="auto" w:fill="CCEEFF"/>
          </w:tcPr>
          <w:p>
            <w:pPr>
              <w:spacing w:after="0"/>
              <w:rPr>
                <w:sz w:val="24"/>
                <w:szCs w:val="24"/>
                <w:color w:val="auto"/>
              </w:rPr>
            </w:pPr>
          </w:p>
        </w:tc>
      </w:tr>
      <w:tr>
        <w:trPr>
          <w:trHeight w:val="172"/>
        </w:trPr>
        <w:tc>
          <w:tcPr>
            <w:tcW w:w="200" w:type="dxa"/>
            <w:vAlign w:val="bottom"/>
            <w:shd w:val="clear" w:color="auto" w:fill="CCEEFF"/>
          </w:tcPr>
          <w:p>
            <w:pPr>
              <w:spacing w:after="0"/>
              <w:rPr>
                <w:sz w:val="14"/>
                <w:szCs w:val="14"/>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  Achieve Administration department expense Target</w:t>
            </w:r>
          </w:p>
        </w:tc>
        <w:tc>
          <w:tcPr>
            <w:tcW w:w="3760" w:type="dxa"/>
            <w:vAlign w:val="bottom"/>
            <w:shd w:val="clear" w:color="auto" w:fill="CCEEFF"/>
          </w:tcPr>
          <w:p>
            <w:pPr>
              <w:ind w:left="1680"/>
              <w:spacing w:after="0"/>
              <w:rPr>
                <w:sz w:val="20"/>
                <w:szCs w:val="20"/>
                <w:color w:val="auto"/>
              </w:rPr>
            </w:pPr>
            <w:r>
              <w:rPr>
                <w:rFonts w:ascii="Arial" w:cs="Arial" w:eastAsia="Arial" w:hAnsi="Arial"/>
                <w:sz w:val="15"/>
                <w:szCs w:val="15"/>
                <w:color w:val="auto"/>
              </w:rPr>
              <w:t>CARO—Outstanding,</w:t>
            </w:r>
          </w:p>
        </w:tc>
      </w:tr>
      <w:tr>
        <w:trPr>
          <w:trHeight w:val="172"/>
        </w:trPr>
        <w:tc>
          <w:tcPr>
            <w:tcW w:w="200" w:type="dxa"/>
            <w:vAlign w:val="bottom"/>
            <w:shd w:val="clear" w:color="auto" w:fill="CCEEFF"/>
          </w:tcPr>
          <w:p>
            <w:pPr>
              <w:spacing w:after="0"/>
              <w:rPr>
                <w:sz w:val="14"/>
                <w:szCs w:val="14"/>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  Achieve Finance department expense Target</w:t>
            </w:r>
          </w:p>
        </w:tc>
        <w:tc>
          <w:tcPr>
            <w:tcW w:w="3760" w:type="dxa"/>
            <w:vAlign w:val="bottom"/>
            <w:shd w:val="clear" w:color="auto" w:fill="CCEEFF"/>
          </w:tcPr>
          <w:p>
            <w:pPr>
              <w:ind w:left="1680"/>
              <w:spacing w:after="0"/>
              <w:rPr>
                <w:sz w:val="20"/>
                <w:szCs w:val="20"/>
                <w:color w:val="auto"/>
              </w:rPr>
            </w:pPr>
            <w:r>
              <w:rPr>
                <w:rFonts w:ascii="Arial" w:cs="Arial" w:eastAsia="Arial" w:hAnsi="Arial"/>
                <w:sz w:val="15"/>
                <w:szCs w:val="15"/>
                <w:color w:val="auto"/>
              </w:rPr>
              <w:t>EVP Finance, CLCO—Target</w:t>
            </w:r>
          </w:p>
        </w:tc>
      </w:tr>
      <w:tr>
        <w:trPr>
          <w:trHeight w:val="172"/>
        </w:trPr>
        <w:tc>
          <w:tcPr>
            <w:tcW w:w="200" w:type="dxa"/>
            <w:vAlign w:val="bottom"/>
            <w:shd w:val="clear" w:color="auto" w:fill="CCEEFF"/>
          </w:tcPr>
          <w:p>
            <w:pPr>
              <w:spacing w:after="0"/>
              <w:rPr>
                <w:sz w:val="14"/>
                <w:szCs w:val="14"/>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  Achieve Law department expense Target</w:t>
            </w:r>
          </w:p>
        </w:tc>
        <w:tc>
          <w:tcPr>
            <w:tcW w:w="3760" w:type="dxa"/>
            <w:vAlign w:val="bottom"/>
            <w:shd w:val="clear" w:color="auto" w:fill="CCEEFF"/>
          </w:tcPr>
          <w:p>
            <w:pPr>
              <w:spacing w:after="0"/>
              <w:rPr>
                <w:sz w:val="14"/>
                <w:szCs w:val="14"/>
                <w:color w:val="auto"/>
              </w:rPr>
            </w:pPr>
          </w:p>
        </w:tc>
      </w:tr>
      <w:tr>
        <w:trPr>
          <w:trHeight w:val="380"/>
        </w:trPr>
        <w:tc>
          <w:tcPr>
            <w:tcW w:w="200" w:type="dxa"/>
            <w:vAlign w:val="bottom"/>
          </w:tcPr>
          <w:p>
            <w:pPr>
              <w:jc w:val="right"/>
              <w:ind w:right="6"/>
              <w:spacing w:after="0"/>
              <w:rPr>
                <w:sz w:val="20"/>
                <w:szCs w:val="20"/>
                <w:color w:val="auto"/>
              </w:rPr>
            </w:pPr>
            <w:r>
              <w:rPr>
                <w:rFonts w:ascii="Arial" w:cs="Arial" w:eastAsia="Arial" w:hAnsi="Arial"/>
                <w:sz w:val="15"/>
                <w:szCs w:val="15"/>
                <w:color w:val="auto"/>
                <w:w w:val="79"/>
              </w:rPr>
              <w:t>8.</w:t>
            </w:r>
          </w:p>
        </w:tc>
        <w:tc>
          <w:tcPr>
            <w:tcW w:w="7480" w:type="dxa"/>
            <w:vAlign w:val="bottom"/>
          </w:tcPr>
          <w:p>
            <w:pPr>
              <w:ind w:left="40"/>
              <w:spacing w:after="0"/>
              <w:rPr>
                <w:sz w:val="20"/>
                <w:szCs w:val="20"/>
                <w:color w:val="auto"/>
              </w:rPr>
            </w:pPr>
            <w:r>
              <w:rPr>
                <w:rFonts w:ascii="Arial" w:cs="Arial" w:eastAsia="Arial" w:hAnsi="Arial"/>
                <w:sz w:val="15"/>
                <w:szCs w:val="15"/>
                <w:color w:val="auto"/>
              </w:rPr>
              <w:t>Continue to enhance our Compliance Management System</w:t>
            </w:r>
          </w:p>
        </w:tc>
        <w:tc>
          <w:tcPr>
            <w:tcW w:w="3760" w:type="dxa"/>
            <w:vAlign w:val="bottom"/>
          </w:tcPr>
          <w:p>
            <w:pPr>
              <w:ind w:left="1680"/>
              <w:spacing w:after="0"/>
              <w:rPr>
                <w:sz w:val="20"/>
                <w:szCs w:val="20"/>
                <w:color w:val="auto"/>
              </w:rPr>
            </w:pPr>
            <w:r>
              <w:rPr>
                <w:rFonts w:ascii="Arial" w:cs="Arial" w:eastAsia="Arial" w:hAnsi="Arial"/>
                <w:sz w:val="15"/>
                <w:szCs w:val="15"/>
                <w:color w:val="auto"/>
              </w:rPr>
              <w:t>CEO, CARO, EVP Finance,</w:t>
            </w:r>
          </w:p>
        </w:tc>
      </w:tr>
      <w:tr>
        <w:trPr>
          <w:trHeight w:val="172"/>
        </w:trPr>
        <w:tc>
          <w:tcPr>
            <w:tcW w:w="2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760" w:type="dxa"/>
            <w:vAlign w:val="bottom"/>
          </w:tcPr>
          <w:p>
            <w:pPr>
              <w:ind w:left="1680"/>
              <w:spacing w:after="0"/>
              <w:rPr>
                <w:sz w:val="20"/>
                <w:szCs w:val="20"/>
                <w:color w:val="auto"/>
              </w:rPr>
            </w:pPr>
            <w:r>
              <w:rPr>
                <w:rFonts w:ascii="Arial" w:cs="Arial" w:eastAsia="Arial" w:hAnsi="Arial"/>
                <w:sz w:val="15"/>
                <w:szCs w:val="15"/>
                <w:color w:val="auto"/>
              </w:rPr>
              <w:t>CLCO—Outstanding,</w:t>
            </w:r>
          </w:p>
        </w:tc>
      </w:tr>
      <w:tr>
        <w:trPr>
          <w:trHeight w:val="172"/>
        </w:trPr>
        <w:tc>
          <w:tcPr>
            <w:tcW w:w="2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760" w:type="dxa"/>
            <w:vAlign w:val="bottom"/>
          </w:tcPr>
          <w:p>
            <w:pPr>
              <w:ind w:left="1680"/>
              <w:spacing w:after="0"/>
              <w:rPr>
                <w:sz w:val="20"/>
                <w:szCs w:val="20"/>
                <w:color w:val="auto"/>
              </w:rPr>
            </w:pPr>
            <w:r>
              <w:rPr>
                <w:rFonts w:ascii="Arial" w:cs="Arial" w:eastAsia="Arial" w:hAnsi="Arial"/>
                <w:sz w:val="15"/>
                <w:szCs w:val="15"/>
                <w:color w:val="auto"/>
              </w:rPr>
              <w:t>President,</w:t>
            </w:r>
          </w:p>
        </w:tc>
      </w:tr>
      <w:tr>
        <w:trPr>
          <w:trHeight w:val="172"/>
        </w:trPr>
        <w:tc>
          <w:tcPr>
            <w:tcW w:w="2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760" w:type="dxa"/>
            <w:vAlign w:val="bottom"/>
          </w:tcPr>
          <w:p>
            <w:pPr>
              <w:ind w:left="1680"/>
              <w:spacing w:after="0"/>
              <w:rPr>
                <w:sz w:val="20"/>
                <w:szCs w:val="20"/>
                <w:color w:val="auto"/>
              </w:rPr>
            </w:pPr>
            <w:r>
              <w:rPr>
                <w:rFonts w:ascii="Arial" w:cs="Arial" w:eastAsia="Arial" w:hAnsi="Arial"/>
                <w:sz w:val="15"/>
                <w:szCs w:val="15"/>
                <w:color w:val="auto"/>
              </w:rPr>
              <w:t>Servicer Solutions—</w:t>
            </w:r>
          </w:p>
        </w:tc>
      </w:tr>
      <w:tr>
        <w:trPr>
          <w:trHeight w:val="179"/>
        </w:trPr>
        <w:tc>
          <w:tcPr>
            <w:tcW w:w="20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760" w:type="dxa"/>
            <w:vAlign w:val="bottom"/>
          </w:tcPr>
          <w:p>
            <w:pPr>
              <w:ind w:left="1680"/>
              <w:spacing w:after="0"/>
              <w:rPr>
                <w:sz w:val="20"/>
                <w:szCs w:val="20"/>
                <w:color w:val="auto"/>
              </w:rPr>
            </w:pPr>
            <w:r>
              <w:rPr>
                <w:rFonts w:ascii="Arial" w:cs="Arial" w:eastAsia="Arial" w:hAnsi="Arial"/>
                <w:sz w:val="15"/>
                <w:szCs w:val="15"/>
                <w:color w:val="auto"/>
              </w:rPr>
              <w:t>Outstanding at 125.0%</w:t>
            </w:r>
          </w:p>
        </w:tc>
      </w:tr>
      <w:tr>
        <w:trPr>
          <w:trHeight w:val="371"/>
        </w:trPr>
        <w:tc>
          <w:tcPr>
            <w:tcW w:w="200" w:type="dxa"/>
            <w:vAlign w:val="bottom"/>
          </w:tcPr>
          <w:p>
            <w:pPr>
              <w:jc w:val="right"/>
              <w:ind w:right="6"/>
              <w:spacing w:after="0"/>
              <w:rPr>
                <w:sz w:val="20"/>
                <w:szCs w:val="20"/>
                <w:color w:val="auto"/>
              </w:rPr>
            </w:pPr>
            <w:r>
              <w:rPr>
                <w:rFonts w:ascii="Arial" w:cs="Arial" w:eastAsia="Arial" w:hAnsi="Arial"/>
                <w:sz w:val="15"/>
                <w:szCs w:val="15"/>
                <w:color w:val="auto"/>
                <w:w w:val="79"/>
              </w:rPr>
              <w:t>9.</w:t>
            </w:r>
          </w:p>
        </w:tc>
        <w:tc>
          <w:tcPr>
            <w:tcW w:w="7480" w:type="dxa"/>
            <w:vAlign w:val="bottom"/>
          </w:tcPr>
          <w:p>
            <w:pPr>
              <w:ind w:left="40"/>
              <w:spacing w:after="0"/>
              <w:rPr>
                <w:sz w:val="20"/>
                <w:szCs w:val="20"/>
                <w:color w:val="auto"/>
              </w:rPr>
            </w:pPr>
            <w:r>
              <w:rPr>
                <w:rFonts w:ascii="Arial" w:cs="Arial" w:eastAsia="Arial" w:hAnsi="Arial"/>
                <w:sz w:val="15"/>
                <w:szCs w:val="15"/>
                <w:color w:val="auto"/>
              </w:rPr>
              <w:t>Improve customer experience</w:t>
            </w:r>
          </w:p>
        </w:tc>
        <w:tc>
          <w:tcPr>
            <w:tcW w:w="3760" w:type="dxa"/>
            <w:vAlign w:val="bottom"/>
          </w:tcPr>
          <w:p>
            <w:pPr>
              <w:ind w:left="1680"/>
              <w:spacing w:after="0"/>
              <w:rPr>
                <w:sz w:val="20"/>
                <w:szCs w:val="20"/>
                <w:color w:val="auto"/>
              </w:rPr>
            </w:pPr>
            <w:r>
              <w:rPr>
                <w:rFonts w:ascii="Arial" w:cs="Arial" w:eastAsia="Arial" w:hAnsi="Arial"/>
                <w:sz w:val="15"/>
                <w:szCs w:val="15"/>
                <w:color w:val="auto"/>
              </w:rPr>
              <w:t>CEO, CARO, President,</w:t>
            </w:r>
          </w:p>
        </w:tc>
      </w:tr>
      <w:tr>
        <w:trPr>
          <w:trHeight w:val="172"/>
        </w:trPr>
        <w:tc>
          <w:tcPr>
            <w:tcW w:w="2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760" w:type="dxa"/>
            <w:vAlign w:val="bottom"/>
          </w:tcPr>
          <w:p>
            <w:pPr>
              <w:ind w:left="1680"/>
              <w:spacing w:after="0"/>
              <w:rPr>
                <w:sz w:val="20"/>
                <w:szCs w:val="20"/>
                <w:color w:val="auto"/>
              </w:rPr>
            </w:pPr>
            <w:r>
              <w:rPr>
                <w:rFonts w:ascii="Arial" w:cs="Arial" w:eastAsia="Arial" w:hAnsi="Arial"/>
                <w:sz w:val="15"/>
                <w:szCs w:val="15"/>
                <w:color w:val="auto"/>
              </w:rPr>
              <w:t>Servicer Solutions—Target at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67575" cy="5670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567055"/>
                    </a:xfrm>
                    <a:prstGeom prst="rect">
                      <a:avLst/>
                    </a:prstGeom>
                    <a:noFill/>
                  </pic:spPr>
                </pic:pic>
              </a:graphicData>
            </a:graphic>
          </wp:anchor>
        </w:drawing>
      </w:r>
    </w:p>
    <w:p>
      <w:pPr>
        <w:ind w:left="9368"/>
        <w:spacing w:after="0"/>
        <w:rPr>
          <w:sz w:val="20"/>
          <w:szCs w:val="20"/>
          <w:color w:val="auto"/>
        </w:rPr>
      </w:pPr>
      <w:r>
        <w:rPr>
          <w:rFonts w:ascii="Arial" w:cs="Arial" w:eastAsia="Arial" w:hAnsi="Arial"/>
          <w:sz w:val="15"/>
          <w:szCs w:val="15"/>
          <w:color w:val="auto"/>
        </w:rPr>
        <w:t>116.7%,</w:t>
      </w:r>
    </w:p>
    <w:p>
      <w:pPr>
        <w:ind w:left="9368"/>
        <w:spacing w:after="0"/>
        <w:rPr>
          <w:sz w:val="20"/>
          <w:szCs w:val="20"/>
          <w:color w:val="auto"/>
        </w:rPr>
      </w:pPr>
      <w:r>
        <w:rPr>
          <w:rFonts w:ascii="Arial" w:cs="Arial" w:eastAsia="Arial" w:hAnsi="Arial"/>
          <w:sz w:val="15"/>
          <w:szCs w:val="15"/>
          <w:color w:val="auto"/>
        </w:rPr>
        <w:t>CLCO—Target at 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19043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65" w:lineRule="exact"/>
        <w:rPr>
          <w:sz w:val="20"/>
          <w:szCs w:val="20"/>
          <w:color w:val="auto"/>
        </w:rPr>
      </w:pPr>
    </w:p>
    <w:p>
      <w:pPr>
        <w:ind w:left="448" w:right="40" w:hanging="448"/>
        <w:spacing w:after="0" w:line="206"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Unless otherwise noted, achieving below the threshold level of achievement did not earn the executive any incentive compensation; the threshold level of achievement earned the executive fifty percent (50%) of the target incentive compensation tied to such goal; the target level of achievement earned the executive one hundred percent (100%) of the target incentive compensation tied to such goal; and the outstanding level of achievement earned the executive one hundred fifty (150%) of the target incentive compensation tied to such goal.</w:t>
      </w:r>
    </w:p>
    <w:p>
      <w:pPr>
        <w:spacing w:after="0" w:line="178" w:lineRule="exact"/>
        <w:rPr>
          <w:rFonts w:ascii="Arial" w:cs="Arial" w:eastAsia="Arial" w:hAnsi="Arial"/>
          <w:sz w:val="25"/>
          <w:szCs w:val="25"/>
          <w:color w:val="auto"/>
          <w:vertAlign w:val="superscript"/>
        </w:rPr>
      </w:pPr>
    </w:p>
    <w:p>
      <w:pPr>
        <w:ind w:left="448" w:right="100" w:hanging="448"/>
        <w:spacing w:after="0" w:line="18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Certain strategic initiatives are comprised of multiple sub-goals. In such case, the executives assigned to such initiative may be tied to one or more of these sub-goals as detailed in their personal scorecards below.</w:t>
      </w:r>
    </w:p>
    <w:p>
      <w:pPr>
        <w:spacing w:after="0" w:line="166" w:lineRule="exact"/>
        <w:rPr>
          <w:rFonts w:ascii="Arial" w:cs="Arial" w:eastAsia="Arial" w:hAnsi="Arial"/>
          <w:sz w:val="25"/>
          <w:szCs w:val="25"/>
          <w:color w:val="auto"/>
          <w:vertAlign w:val="superscript"/>
        </w:rPr>
      </w:pPr>
    </w:p>
    <w:p>
      <w:pPr>
        <w:ind w:left="448" w:right="80" w:hanging="448"/>
        <w:spacing w:after="0" w:line="18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Goal 1.a, with a weight of five percent (5%), was achieved at Outstanding; goal 1.b, with a weight of ten percent (10%), was achieved at thirty-five percent (35%); goal 1.c, with a weight of five percent (5%), was achieved at Below Threshold.</w:t>
      </w:r>
    </w:p>
    <w:p>
      <w:pPr>
        <w:spacing w:after="0" w:line="166" w:lineRule="exact"/>
        <w:rPr>
          <w:rFonts w:ascii="Arial" w:cs="Arial" w:eastAsia="Arial" w:hAnsi="Arial"/>
          <w:sz w:val="25"/>
          <w:szCs w:val="25"/>
          <w:color w:val="auto"/>
          <w:vertAlign w:val="superscript"/>
        </w:rPr>
      </w:pPr>
    </w:p>
    <w:p>
      <w:pPr>
        <w:ind w:left="448" w:right="220" w:hanging="448"/>
        <w:spacing w:after="0" w:line="182" w:lineRule="auto"/>
        <w:tabs>
          <w:tab w:leader="none" w:pos="448"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Goal 3.a, with a weight of three percent (3%), was achieved at Outstanding; goal 3.b, with a weight of one percent (1%), was achieved at Threshold; goal 3.c, with a weight of one percent (1%), was achieved at Outstanding.</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40" w:name="page41"/>
    <w:bookmarkEnd w:id="4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right="460"/>
        <w:spacing w:after="0" w:line="247" w:lineRule="auto"/>
        <w:rPr>
          <w:sz w:val="20"/>
          <w:szCs w:val="20"/>
          <w:color w:val="auto"/>
        </w:rPr>
      </w:pPr>
      <w:r>
        <w:rPr>
          <w:rFonts w:ascii="Arial" w:cs="Arial" w:eastAsia="Arial" w:hAnsi="Arial"/>
          <w:sz w:val="15"/>
          <w:szCs w:val="15"/>
          <w:color w:val="auto"/>
        </w:rPr>
        <w:t>The 2017 personal scorecards for our Chief Executive Officer and other Named Executive Officers (other than Mr. Chatterjee who did not participate in the 2017 annual incentive plan) and their corresponding levels of achievement are as follows:</w:t>
      </w:r>
    </w:p>
    <w:p>
      <w:pPr>
        <w:spacing w:after="0" w:line="15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2017 Personal Scorecards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675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60" w:type="dxa"/>
            <w:vAlign w:val="bottom"/>
            <w:gridSpan w:val="3"/>
            <w:vMerge w:val="restart"/>
          </w:tcPr>
          <w:p>
            <w:pPr>
              <w:ind w:left="1100"/>
              <w:spacing w:after="0"/>
              <w:rPr>
                <w:sz w:val="20"/>
                <w:szCs w:val="20"/>
                <w:color w:val="auto"/>
              </w:rPr>
            </w:pPr>
            <w:r>
              <w:rPr>
                <w:rFonts w:ascii="Arial" w:cs="Arial" w:eastAsia="Arial" w:hAnsi="Arial"/>
                <w:sz w:val="12"/>
                <w:szCs w:val="12"/>
                <w:b w:val="1"/>
                <w:bCs w:val="1"/>
                <w:color w:val="auto"/>
              </w:rPr>
              <w:t>Levels of Achievement</w:t>
            </w: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Actual</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2017 Scorecard</w:t>
            </w:r>
          </w:p>
        </w:tc>
        <w:tc>
          <w:tcPr>
            <w:tcW w:w="9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gridSpan w:val="3"/>
            <w:vMerge w:val="continue"/>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Level of</w:t>
            </w:r>
          </w:p>
        </w:tc>
        <w:tc>
          <w:tcPr>
            <w:tcW w:w="0" w:type="dxa"/>
            <w:vAlign w:val="bottom"/>
          </w:tcPr>
          <w:p>
            <w:pPr>
              <w:spacing w:after="0"/>
              <w:rPr>
                <w:sz w:val="1"/>
                <w:szCs w:val="1"/>
                <w:color w:val="auto"/>
              </w:rPr>
            </w:pPr>
          </w:p>
        </w:tc>
      </w:tr>
      <w:tr>
        <w:trPr>
          <w:trHeight w:val="60"/>
        </w:trPr>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w:t>
            </w:r>
          </w:p>
        </w:tc>
        <w:tc>
          <w:tcPr>
            <w:tcW w:w="80" w:type="dxa"/>
            <w:vAlign w:val="bottom"/>
          </w:tcPr>
          <w:p>
            <w:pPr>
              <w:spacing w:after="0"/>
              <w:rPr>
                <w:sz w:val="13"/>
                <w:szCs w:val="13"/>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Elements</w:t>
            </w:r>
          </w:p>
        </w:tc>
        <w:tc>
          <w:tcPr>
            <w:tcW w:w="12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Threshold</w:t>
            </w:r>
          </w:p>
        </w:tc>
        <w:tc>
          <w:tcPr>
            <w:tcW w:w="12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Target</w:t>
            </w:r>
          </w:p>
        </w:tc>
        <w:tc>
          <w:tcPr>
            <w:tcW w:w="124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Outstanding</w:t>
            </w:r>
          </w:p>
        </w:tc>
        <w:tc>
          <w:tcPr>
            <w:tcW w:w="12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6"/>
              </w:rPr>
              <w:t>Achievement</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William B. Shepro,</w:t>
            </w:r>
          </w:p>
        </w:tc>
        <w:tc>
          <w:tcPr>
            <w:tcW w:w="520" w:type="dxa"/>
            <w:vAlign w:val="bottom"/>
            <w:gridSpan w:val="2"/>
            <w:shd w:val="clear" w:color="auto" w:fill="CCEEFF"/>
          </w:tcPr>
          <w:p>
            <w:pPr>
              <w:jc w:val="center"/>
              <w:ind w:left="119"/>
              <w:spacing w:after="0" w:line="133" w:lineRule="exact"/>
              <w:rPr>
                <w:sz w:val="20"/>
                <w:szCs w:val="20"/>
                <w:color w:val="auto"/>
              </w:rPr>
            </w:pPr>
            <w:r>
              <w:rPr>
                <w:rFonts w:ascii="Arial" w:cs="Arial" w:eastAsia="Arial" w:hAnsi="Arial"/>
                <w:sz w:val="12"/>
                <w:szCs w:val="12"/>
                <w:color w:val="auto"/>
                <w:w w:val="99"/>
              </w:rPr>
              <w:t>25.0%</w:t>
            </w: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Achieve</w:t>
            </w:r>
          </w:p>
        </w:tc>
        <w:tc>
          <w:tcPr>
            <w:tcW w:w="9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$820.4 million</w:t>
            </w:r>
          </w:p>
        </w:tc>
        <w:tc>
          <w:tcPr>
            <w:tcW w:w="124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jc w:val="center"/>
              <w:ind w:right="1240"/>
              <w:spacing w:after="0" w:line="133" w:lineRule="exact"/>
              <w:rPr>
                <w:sz w:val="20"/>
                <w:szCs w:val="20"/>
                <w:color w:val="auto"/>
              </w:rPr>
            </w:pPr>
            <w:r>
              <w:rPr>
                <w:rFonts w:ascii="Arial" w:cs="Arial" w:eastAsia="Arial" w:hAnsi="Arial"/>
                <w:sz w:val="12"/>
                <w:szCs w:val="12"/>
                <w:color w:val="auto"/>
                <w:w w:val="99"/>
              </w:rPr>
              <w:t>$866.0 million</w:t>
            </w:r>
          </w:p>
        </w:tc>
        <w:tc>
          <w:tcPr>
            <w:tcW w:w="10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$957.2 million</w:t>
            </w: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9"/>
              </w:rPr>
              <w:t>$899.6 million</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Chief Executive</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Altisource</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Officer</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Consolidated</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Revenue Target</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30.0%</w:t>
            </w:r>
          </w:p>
        </w:tc>
        <w:tc>
          <w:tcPr>
            <w:tcW w:w="8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Achieve</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$2.38</w:t>
            </w:r>
          </w:p>
        </w:tc>
        <w:tc>
          <w:tcPr>
            <w:tcW w:w="222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w w:val="99"/>
              </w:rPr>
              <w:t>$2.51</w:t>
            </w:r>
          </w:p>
        </w:tc>
        <w:tc>
          <w:tcPr>
            <w:tcW w:w="124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$2.78</w:t>
            </w:r>
          </w:p>
        </w:tc>
        <w:tc>
          <w:tcPr>
            <w:tcW w:w="222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w w:val="99"/>
              </w:rPr>
              <w:t>$2.80</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Adjusted EPS</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Outstanding</w:t>
            </w: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Target</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25.0%</w:t>
            </w:r>
          </w:p>
        </w:tc>
        <w:tc>
          <w:tcPr>
            <w:tcW w:w="8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Successfully</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1240" w:type="dxa"/>
            <w:vAlign w:val="bottom"/>
            <w:shd w:val="clear" w:color="auto" w:fill="CCEEFF"/>
          </w:tcPr>
          <w:p>
            <w:pPr>
              <w:spacing w:after="0"/>
              <w:rPr>
                <w:sz w:val="24"/>
                <w:szCs w:val="24"/>
                <w:color w:val="auto"/>
              </w:rPr>
            </w:pPr>
          </w:p>
        </w:tc>
        <w:tc>
          <w:tcPr>
            <w:tcW w:w="222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See Strategic</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222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rPr>
              <w:t>143.3%</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complete the</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 6,8,9</w:t>
            </w:r>
          </w:p>
        </w:tc>
        <w:tc>
          <w:tcPr>
            <w:tcW w:w="124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Initiatives 6,8,9</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Initiatives 6,8,9</w:t>
            </w: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key strategic</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initiatives of the</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Company</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20"/>
                <w:szCs w:val="20"/>
                <w:color w:val="auto"/>
              </w:rPr>
            </w:pPr>
            <w:r>
              <w:rPr>
                <w:rFonts w:ascii="Arial" w:cs="Arial" w:eastAsia="Arial" w:hAnsi="Arial"/>
                <w:sz w:val="12"/>
                <w:szCs w:val="12"/>
                <w:color w:val="auto"/>
              </w:rPr>
              <w:t>Kevin J. Wilcox,</w:t>
            </w: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25.0%</w:t>
            </w:r>
          </w:p>
        </w:tc>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Achieve</w:t>
            </w:r>
          </w:p>
        </w:tc>
        <w:tc>
          <w:tcPr>
            <w:tcW w:w="960" w:type="dxa"/>
            <w:vAlign w:val="bottom"/>
          </w:tcPr>
          <w:p>
            <w:pPr>
              <w:jc w:val="center"/>
              <w:spacing w:after="0"/>
              <w:rPr>
                <w:sz w:val="20"/>
                <w:szCs w:val="20"/>
                <w:color w:val="auto"/>
              </w:rPr>
            </w:pPr>
            <w:r>
              <w:rPr>
                <w:rFonts w:ascii="Arial" w:cs="Arial" w:eastAsia="Arial" w:hAnsi="Arial"/>
                <w:sz w:val="12"/>
                <w:szCs w:val="12"/>
                <w:color w:val="auto"/>
              </w:rPr>
              <w:t>$820.4 million</w:t>
            </w:r>
          </w:p>
        </w:tc>
        <w:tc>
          <w:tcPr>
            <w:tcW w:w="1240" w:type="dxa"/>
            <w:vAlign w:val="bottom"/>
          </w:tcPr>
          <w:p>
            <w:pPr>
              <w:spacing w:after="0"/>
              <w:rPr>
                <w:sz w:val="12"/>
                <w:szCs w:val="12"/>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$866.0 million</w:t>
            </w:r>
          </w:p>
        </w:tc>
        <w:tc>
          <w:tcPr>
            <w:tcW w:w="1040" w:type="dxa"/>
            <w:vAlign w:val="bottom"/>
          </w:tcPr>
          <w:p>
            <w:pPr>
              <w:jc w:val="center"/>
              <w:spacing w:after="0"/>
              <w:rPr>
                <w:sz w:val="20"/>
                <w:szCs w:val="20"/>
                <w:color w:val="auto"/>
              </w:rPr>
            </w:pPr>
            <w:r>
              <w:rPr>
                <w:rFonts w:ascii="Arial" w:cs="Arial" w:eastAsia="Arial" w:hAnsi="Arial"/>
                <w:sz w:val="12"/>
                <w:szCs w:val="12"/>
                <w:color w:val="auto"/>
              </w:rPr>
              <w:t>$957.2 million</w:t>
            </w:r>
          </w:p>
        </w:tc>
        <w:tc>
          <w:tcPr>
            <w:tcW w:w="124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$899.6 million</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20"/>
                <w:szCs w:val="20"/>
                <w:color w:val="auto"/>
              </w:rPr>
            </w:pPr>
            <w:r>
              <w:rPr>
                <w:rFonts w:ascii="Arial" w:cs="Arial" w:eastAsia="Arial" w:hAnsi="Arial"/>
                <w:sz w:val="12"/>
                <w:szCs w:val="12"/>
                <w:color w:val="auto"/>
              </w:rPr>
              <w:t>Chief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Altisource</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20"/>
                <w:szCs w:val="20"/>
                <w:color w:val="auto"/>
              </w:rPr>
            </w:pPr>
            <w:r>
              <w:rPr>
                <w:rFonts w:ascii="Arial" w:cs="Arial" w:eastAsia="Arial" w:hAnsi="Arial"/>
                <w:sz w:val="12"/>
                <w:szCs w:val="12"/>
                <w:color w:val="auto"/>
              </w:rPr>
              <w:t>Administration</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Consolidated</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20"/>
                <w:szCs w:val="20"/>
                <w:color w:val="auto"/>
              </w:rPr>
            </w:pPr>
            <w:r>
              <w:rPr>
                <w:rFonts w:ascii="Arial" w:cs="Arial" w:eastAsia="Arial" w:hAnsi="Arial"/>
                <w:sz w:val="12"/>
                <w:szCs w:val="12"/>
                <w:color w:val="auto"/>
              </w:rPr>
              <w:t>and Risk Officer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Service</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Revenue Target</w:t>
            </w: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020" w:type="dxa"/>
            <w:vAlign w:val="bottom"/>
          </w:tcPr>
          <w:p>
            <w:pPr>
              <w:spacing w:after="0"/>
              <w:rPr>
                <w:sz w:val="24"/>
                <w:szCs w:val="24"/>
                <w:color w:val="auto"/>
              </w:rPr>
            </w:pP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30.0%</w:t>
            </w:r>
          </w:p>
        </w:tc>
        <w:tc>
          <w:tcPr>
            <w:tcW w:w="8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Achieve</w:t>
            </w:r>
          </w:p>
        </w:tc>
        <w:tc>
          <w:tcPr>
            <w:tcW w:w="960" w:type="dxa"/>
            <w:vAlign w:val="bottom"/>
          </w:tcPr>
          <w:p>
            <w:pPr>
              <w:jc w:val="center"/>
              <w:spacing w:after="0"/>
              <w:rPr>
                <w:sz w:val="20"/>
                <w:szCs w:val="20"/>
                <w:color w:val="auto"/>
              </w:rPr>
            </w:pPr>
            <w:r>
              <w:rPr>
                <w:rFonts w:ascii="Arial" w:cs="Arial" w:eastAsia="Arial" w:hAnsi="Arial"/>
                <w:sz w:val="12"/>
                <w:szCs w:val="12"/>
                <w:color w:val="auto"/>
                <w:w w:val="99"/>
              </w:rPr>
              <w:t>$2.38</w:t>
            </w:r>
          </w:p>
        </w:tc>
        <w:tc>
          <w:tcPr>
            <w:tcW w:w="2220" w:type="dxa"/>
            <w:vAlign w:val="bottom"/>
            <w:gridSpan w:val="2"/>
          </w:tcPr>
          <w:p>
            <w:pPr>
              <w:jc w:val="center"/>
              <w:ind w:left="1179"/>
              <w:spacing w:after="0"/>
              <w:rPr>
                <w:sz w:val="20"/>
                <w:szCs w:val="20"/>
                <w:color w:val="auto"/>
              </w:rPr>
            </w:pPr>
            <w:r>
              <w:rPr>
                <w:rFonts w:ascii="Arial" w:cs="Arial" w:eastAsia="Arial" w:hAnsi="Arial"/>
                <w:sz w:val="12"/>
                <w:szCs w:val="12"/>
                <w:color w:val="auto"/>
                <w:w w:val="99"/>
              </w:rPr>
              <w:t>$2.51</w:t>
            </w:r>
          </w:p>
        </w:tc>
        <w:tc>
          <w:tcPr>
            <w:tcW w:w="12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rPr>
              <w:t>$2.78</w:t>
            </w:r>
          </w:p>
        </w:tc>
        <w:tc>
          <w:tcPr>
            <w:tcW w:w="2220" w:type="dxa"/>
            <w:vAlign w:val="bottom"/>
            <w:gridSpan w:val="2"/>
          </w:tcPr>
          <w:p>
            <w:pPr>
              <w:jc w:val="center"/>
              <w:ind w:left="1179"/>
              <w:spacing w:after="0"/>
              <w:rPr>
                <w:sz w:val="20"/>
                <w:szCs w:val="20"/>
                <w:color w:val="auto"/>
              </w:rPr>
            </w:pPr>
            <w:r>
              <w:rPr>
                <w:rFonts w:ascii="Arial" w:cs="Arial" w:eastAsia="Arial" w:hAnsi="Arial"/>
                <w:sz w:val="12"/>
                <w:szCs w:val="12"/>
                <w:color w:val="auto"/>
                <w:w w:val="99"/>
              </w:rPr>
              <w:t>$2.80</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Adjusted EPS</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rPr>
              <w:t>Outstanding</w:t>
            </w: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Target</w:t>
            </w: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020" w:type="dxa"/>
            <w:vAlign w:val="bottom"/>
          </w:tcPr>
          <w:p>
            <w:pPr>
              <w:spacing w:after="0"/>
              <w:rPr>
                <w:sz w:val="24"/>
                <w:szCs w:val="24"/>
                <w:color w:val="auto"/>
              </w:rPr>
            </w:pP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25.0%</w:t>
            </w:r>
          </w:p>
        </w:tc>
        <w:tc>
          <w:tcPr>
            <w:tcW w:w="8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Successfully</w:t>
            </w:r>
          </w:p>
        </w:tc>
        <w:tc>
          <w:tcPr>
            <w:tcW w:w="96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1240" w:type="dxa"/>
            <w:vAlign w:val="bottom"/>
          </w:tcPr>
          <w:p>
            <w:pPr>
              <w:spacing w:after="0"/>
              <w:rPr>
                <w:sz w:val="24"/>
                <w:szCs w:val="24"/>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rPr>
              <w:t>See Strategic</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2220" w:type="dxa"/>
            <w:vAlign w:val="bottom"/>
            <w:gridSpan w:val="2"/>
          </w:tcPr>
          <w:p>
            <w:pPr>
              <w:jc w:val="center"/>
              <w:ind w:left="1179"/>
              <w:spacing w:after="0"/>
              <w:rPr>
                <w:sz w:val="20"/>
                <w:szCs w:val="20"/>
                <w:color w:val="auto"/>
              </w:rPr>
            </w:pPr>
            <w:r>
              <w:rPr>
                <w:rFonts w:ascii="Arial" w:cs="Arial" w:eastAsia="Arial" w:hAnsi="Arial"/>
                <w:sz w:val="12"/>
                <w:szCs w:val="12"/>
                <w:color w:val="auto"/>
              </w:rPr>
              <w:t>143.3%</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complete the</w:t>
            </w:r>
          </w:p>
        </w:tc>
        <w:tc>
          <w:tcPr>
            <w:tcW w:w="960" w:type="dxa"/>
            <w:vAlign w:val="bottom"/>
          </w:tcPr>
          <w:p>
            <w:pPr>
              <w:jc w:val="center"/>
              <w:spacing w:after="0"/>
              <w:rPr>
                <w:sz w:val="20"/>
                <w:szCs w:val="20"/>
                <w:color w:val="auto"/>
              </w:rPr>
            </w:pPr>
            <w:r>
              <w:rPr>
                <w:rFonts w:ascii="Arial" w:cs="Arial" w:eastAsia="Arial" w:hAnsi="Arial"/>
                <w:sz w:val="12"/>
                <w:szCs w:val="12"/>
                <w:color w:val="auto"/>
              </w:rPr>
              <w:t>Initiatives</w:t>
            </w:r>
          </w:p>
        </w:tc>
        <w:tc>
          <w:tcPr>
            <w:tcW w:w="1240" w:type="dxa"/>
            <w:vAlign w:val="bottom"/>
          </w:tcPr>
          <w:p>
            <w:pPr>
              <w:spacing w:after="0"/>
              <w:rPr>
                <w:sz w:val="11"/>
                <w:szCs w:val="11"/>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Initiatives</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Initiatives 6,7.a,8,9</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key strategic</w:t>
            </w:r>
          </w:p>
        </w:tc>
        <w:tc>
          <w:tcPr>
            <w:tcW w:w="960" w:type="dxa"/>
            <w:vAlign w:val="bottom"/>
          </w:tcPr>
          <w:p>
            <w:pPr>
              <w:jc w:val="center"/>
              <w:spacing w:after="0"/>
              <w:rPr>
                <w:sz w:val="20"/>
                <w:szCs w:val="20"/>
                <w:color w:val="auto"/>
              </w:rPr>
            </w:pPr>
            <w:r>
              <w:rPr>
                <w:rFonts w:ascii="Arial" w:cs="Arial" w:eastAsia="Arial" w:hAnsi="Arial"/>
                <w:sz w:val="12"/>
                <w:szCs w:val="12"/>
                <w:color w:val="auto"/>
              </w:rPr>
              <w:t>6,7.a,8,9</w:t>
            </w:r>
          </w:p>
        </w:tc>
        <w:tc>
          <w:tcPr>
            <w:tcW w:w="1240" w:type="dxa"/>
            <w:vAlign w:val="bottom"/>
          </w:tcPr>
          <w:p>
            <w:pPr>
              <w:spacing w:after="0"/>
              <w:rPr>
                <w:sz w:val="11"/>
                <w:szCs w:val="11"/>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w w:val="98"/>
              </w:rPr>
              <w:t>6,7.a,8,9</w:t>
            </w: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initiatives of the</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line="133" w:lineRule="exact"/>
              <w:rPr>
                <w:sz w:val="20"/>
                <w:szCs w:val="20"/>
                <w:color w:val="auto"/>
              </w:rPr>
            </w:pPr>
            <w:r>
              <w:rPr>
                <w:rFonts w:ascii="Arial" w:cs="Arial" w:eastAsia="Arial" w:hAnsi="Arial"/>
                <w:sz w:val="12"/>
                <w:szCs w:val="12"/>
                <w:color w:val="auto"/>
              </w:rPr>
              <w:t>Company</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Michelle D.</w:t>
            </w:r>
          </w:p>
        </w:tc>
        <w:tc>
          <w:tcPr>
            <w:tcW w:w="520" w:type="dxa"/>
            <w:vAlign w:val="bottom"/>
            <w:gridSpan w:val="2"/>
            <w:shd w:val="clear" w:color="auto" w:fill="CCEEFF"/>
          </w:tcPr>
          <w:p>
            <w:pPr>
              <w:jc w:val="center"/>
              <w:ind w:left="119"/>
              <w:spacing w:after="0"/>
              <w:rPr>
                <w:sz w:val="20"/>
                <w:szCs w:val="20"/>
                <w:color w:val="auto"/>
              </w:rPr>
            </w:pPr>
            <w:r>
              <w:rPr>
                <w:rFonts w:ascii="Arial" w:cs="Arial" w:eastAsia="Arial" w:hAnsi="Arial"/>
                <w:sz w:val="12"/>
                <w:szCs w:val="12"/>
                <w:color w:val="auto"/>
                <w:w w:val="99"/>
              </w:rPr>
              <w:t>25.0%</w:t>
            </w:r>
          </w:p>
        </w:tc>
        <w:tc>
          <w:tcPr>
            <w:tcW w:w="8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Achieve</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$820.4 million</w:t>
            </w:r>
          </w:p>
        </w:tc>
        <w:tc>
          <w:tcPr>
            <w:tcW w:w="124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w w:val="99"/>
              </w:rPr>
              <w:t>$866.0 million</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$957.2 million</w:t>
            </w: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$899.6 million</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Esterman,</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Altisource</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Executive Vice</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Consolidated</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w w:val="99"/>
              </w:rPr>
              <w:t>President, Finance</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Revenue Target</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30.0%</w:t>
            </w:r>
          </w:p>
        </w:tc>
        <w:tc>
          <w:tcPr>
            <w:tcW w:w="8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Achieve</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$2.38</w:t>
            </w:r>
          </w:p>
        </w:tc>
        <w:tc>
          <w:tcPr>
            <w:tcW w:w="222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w w:val="99"/>
              </w:rPr>
              <w:t>$2.51</w:t>
            </w:r>
          </w:p>
        </w:tc>
        <w:tc>
          <w:tcPr>
            <w:tcW w:w="124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$2.78</w:t>
            </w:r>
          </w:p>
        </w:tc>
        <w:tc>
          <w:tcPr>
            <w:tcW w:w="222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w w:val="99"/>
              </w:rPr>
              <w:t>$2.80</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Adjusted EPS</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Outstanding</w:t>
            </w: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Target</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25.0%</w:t>
            </w:r>
          </w:p>
        </w:tc>
        <w:tc>
          <w:tcPr>
            <w:tcW w:w="8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Successfully</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1240" w:type="dxa"/>
            <w:vAlign w:val="bottom"/>
            <w:shd w:val="clear" w:color="auto" w:fill="CCEEFF"/>
          </w:tcPr>
          <w:p>
            <w:pPr>
              <w:spacing w:after="0"/>
              <w:rPr>
                <w:sz w:val="24"/>
                <w:szCs w:val="24"/>
                <w:color w:val="auto"/>
              </w:rPr>
            </w:pPr>
          </w:p>
        </w:tc>
        <w:tc>
          <w:tcPr>
            <w:tcW w:w="222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rPr>
              <w:t>See Strategic</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2220" w:type="dxa"/>
            <w:vAlign w:val="bottom"/>
            <w:gridSpan w:val="2"/>
            <w:shd w:val="clear" w:color="auto" w:fill="CCEEFF"/>
          </w:tcPr>
          <w:p>
            <w:pPr>
              <w:jc w:val="center"/>
              <w:ind w:left="1179"/>
              <w:spacing w:after="0"/>
              <w:rPr>
                <w:sz w:val="20"/>
                <w:szCs w:val="20"/>
                <w:color w:val="auto"/>
              </w:rPr>
            </w:pPr>
            <w:r>
              <w:rPr>
                <w:rFonts w:ascii="Arial" w:cs="Arial" w:eastAsia="Arial" w:hAnsi="Arial"/>
                <w:sz w:val="12"/>
                <w:szCs w:val="12"/>
                <w:color w:val="auto"/>
              </w:rPr>
              <w:t>135.0%</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complete the</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 6,7.b,8</w:t>
            </w:r>
          </w:p>
        </w:tc>
        <w:tc>
          <w:tcPr>
            <w:tcW w:w="124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jc w:val="center"/>
              <w:ind w:right="1240"/>
              <w:spacing w:after="0"/>
              <w:rPr>
                <w:sz w:val="20"/>
                <w:szCs w:val="20"/>
                <w:color w:val="auto"/>
              </w:rPr>
            </w:pPr>
            <w:r>
              <w:rPr>
                <w:rFonts w:ascii="Arial" w:cs="Arial" w:eastAsia="Arial" w:hAnsi="Arial"/>
                <w:sz w:val="12"/>
                <w:szCs w:val="12"/>
                <w:color w:val="auto"/>
                <w:w w:val="99"/>
              </w:rPr>
              <w:t>Initiatives 6,7.b,8</w:t>
            </w:r>
          </w:p>
        </w:tc>
        <w:tc>
          <w:tcPr>
            <w:tcW w:w="10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 6,7.b,8</w:t>
            </w: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key strategic</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initiatives of the</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Company</w:t>
            </w: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tcPr>
          <w:p>
            <w:pPr>
              <w:spacing w:after="0"/>
              <w:rPr>
                <w:sz w:val="20"/>
                <w:szCs w:val="20"/>
                <w:color w:val="auto"/>
              </w:rPr>
            </w:pPr>
            <w:r>
              <w:rPr>
                <w:rFonts w:ascii="Arial" w:cs="Arial" w:eastAsia="Arial" w:hAnsi="Arial"/>
                <w:sz w:val="12"/>
                <w:szCs w:val="12"/>
                <w:color w:val="auto"/>
              </w:rPr>
              <w:t>Joseph A. Davila,</w:t>
            </w: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15.0%</w:t>
            </w:r>
          </w:p>
        </w:tc>
        <w:tc>
          <w:tcPr>
            <w:tcW w:w="8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Achieve Service</w:t>
            </w:r>
          </w:p>
        </w:tc>
        <w:tc>
          <w:tcPr>
            <w:tcW w:w="960" w:type="dxa"/>
            <w:vAlign w:val="bottom"/>
          </w:tcPr>
          <w:p>
            <w:pPr>
              <w:jc w:val="center"/>
              <w:spacing w:after="0"/>
              <w:rPr>
                <w:sz w:val="20"/>
                <w:szCs w:val="20"/>
                <w:color w:val="auto"/>
              </w:rPr>
            </w:pPr>
            <w:r>
              <w:rPr>
                <w:rFonts w:ascii="Arial" w:cs="Arial" w:eastAsia="Arial" w:hAnsi="Arial"/>
                <w:sz w:val="12"/>
                <w:szCs w:val="12"/>
                <w:color w:val="auto"/>
              </w:rPr>
              <w:t>$550.3 million</w:t>
            </w:r>
          </w:p>
        </w:tc>
        <w:tc>
          <w:tcPr>
            <w:tcW w:w="1240" w:type="dxa"/>
            <w:vAlign w:val="bottom"/>
          </w:tcPr>
          <w:p>
            <w:pPr>
              <w:spacing w:after="0"/>
              <w:rPr>
                <w:sz w:val="24"/>
                <w:szCs w:val="24"/>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$647.4 million</w:t>
            </w:r>
          </w:p>
        </w:tc>
        <w:tc>
          <w:tcPr>
            <w:tcW w:w="1040" w:type="dxa"/>
            <w:vAlign w:val="bottom"/>
          </w:tcPr>
          <w:p>
            <w:pPr>
              <w:jc w:val="center"/>
              <w:spacing w:after="0"/>
              <w:rPr>
                <w:sz w:val="20"/>
                <w:szCs w:val="20"/>
                <w:color w:val="auto"/>
              </w:rPr>
            </w:pPr>
            <w:r>
              <w:rPr>
                <w:rFonts w:ascii="Arial" w:cs="Arial" w:eastAsia="Arial" w:hAnsi="Arial"/>
                <w:sz w:val="12"/>
                <w:szCs w:val="12"/>
                <w:color w:val="auto"/>
              </w:rPr>
              <w:t>$744.5 million</w:t>
            </w:r>
          </w:p>
        </w:tc>
        <w:tc>
          <w:tcPr>
            <w:tcW w:w="12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$649.8 million</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20"/>
                <w:szCs w:val="20"/>
                <w:color w:val="auto"/>
              </w:rPr>
            </w:pPr>
            <w:r>
              <w:rPr>
                <w:rFonts w:ascii="Arial" w:cs="Arial" w:eastAsia="Arial" w:hAnsi="Arial"/>
                <w:sz w:val="12"/>
                <w:szCs w:val="12"/>
                <w:color w:val="auto"/>
              </w:rPr>
              <w:t>President,</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Revenue Target</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20"/>
                <w:szCs w:val="20"/>
                <w:color w:val="auto"/>
              </w:rPr>
            </w:pPr>
            <w:r>
              <w:rPr>
                <w:rFonts w:ascii="Arial" w:cs="Arial" w:eastAsia="Arial" w:hAnsi="Arial"/>
                <w:sz w:val="12"/>
                <w:szCs w:val="12"/>
                <w:color w:val="auto"/>
              </w:rPr>
              <w:t>Servicer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for Servicer</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20"/>
                <w:szCs w:val="20"/>
                <w:color w:val="auto"/>
              </w:rPr>
            </w:pPr>
            <w:r>
              <w:rPr>
                <w:rFonts w:ascii="Arial" w:cs="Arial" w:eastAsia="Arial" w:hAnsi="Arial"/>
                <w:sz w:val="12"/>
                <w:szCs w:val="12"/>
                <w:color w:val="auto"/>
              </w:rPr>
              <w:t>Solutions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Solutions</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business</w:t>
            </w: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020" w:type="dxa"/>
            <w:vAlign w:val="bottom"/>
          </w:tcPr>
          <w:p>
            <w:pPr>
              <w:spacing w:after="0"/>
              <w:rPr>
                <w:sz w:val="24"/>
                <w:szCs w:val="24"/>
                <w:color w:val="auto"/>
              </w:rPr>
            </w:pP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20.0%</w:t>
            </w:r>
          </w:p>
        </w:tc>
        <w:tc>
          <w:tcPr>
            <w:tcW w:w="8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Achieve</w:t>
            </w:r>
          </w:p>
        </w:tc>
        <w:tc>
          <w:tcPr>
            <w:tcW w:w="960" w:type="dxa"/>
            <w:vAlign w:val="bottom"/>
          </w:tcPr>
          <w:p>
            <w:pPr>
              <w:jc w:val="center"/>
              <w:spacing w:after="0"/>
              <w:rPr>
                <w:sz w:val="20"/>
                <w:szCs w:val="20"/>
                <w:color w:val="auto"/>
              </w:rPr>
            </w:pPr>
            <w:r>
              <w:rPr>
                <w:rFonts w:ascii="Arial" w:cs="Arial" w:eastAsia="Arial" w:hAnsi="Arial"/>
                <w:sz w:val="12"/>
                <w:szCs w:val="12"/>
                <w:color w:val="auto"/>
              </w:rPr>
              <w:t>$188.7 million</w:t>
            </w:r>
          </w:p>
        </w:tc>
        <w:tc>
          <w:tcPr>
            <w:tcW w:w="1240" w:type="dxa"/>
            <w:vAlign w:val="bottom"/>
          </w:tcPr>
          <w:p>
            <w:pPr>
              <w:spacing w:after="0"/>
              <w:rPr>
                <w:sz w:val="24"/>
                <w:szCs w:val="24"/>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$222.0 million</w:t>
            </w:r>
          </w:p>
        </w:tc>
        <w:tc>
          <w:tcPr>
            <w:tcW w:w="1040" w:type="dxa"/>
            <w:vAlign w:val="bottom"/>
          </w:tcPr>
          <w:p>
            <w:pPr>
              <w:jc w:val="center"/>
              <w:spacing w:after="0"/>
              <w:rPr>
                <w:sz w:val="20"/>
                <w:szCs w:val="20"/>
                <w:color w:val="auto"/>
              </w:rPr>
            </w:pPr>
            <w:r>
              <w:rPr>
                <w:rFonts w:ascii="Arial" w:cs="Arial" w:eastAsia="Arial" w:hAnsi="Arial"/>
                <w:sz w:val="12"/>
                <w:szCs w:val="12"/>
                <w:color w:val="auto"/>
              </w:rPr>
              <w:t>$255.3 million</w:t>
            </w:r>
          </w:p>
        </w:tc>
        <w:tc>
          <w:tcPr>
            <w:tcW w:w="12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$205.9 million</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Adjusted Pretax</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2"/>
                <w:szCs w:val="12"/>
                <w:color w:val="auto"/>
              </w:rPr>
              <w:t>Threshold</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Income Target</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for Servicer</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Solutions</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business</w:t>
            </w: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020" w:type="dxa"/>
            <w:vAlign w:val="bottom"/>
          </w:tcPr>
          <w:p>
            <w:pPr>
              <w:spacing w:after="0"/>
              <w:rPr>
                <w:sz w:val="24"/>
                <w:szCs w:val="24"/>
                <w:color w:val="auto"/>
              </w:rPr>
            </w:pPr>
          </w:p>
        </w:tc>
        <w:tc>
          <w:tcPr>
            <w:tcW w:w="520" w:type="dxa"/>
            <w:vAlign w:val="bottom"/>
            <w:gridSpan w:val="2"/>
          </w:tcPr>
          <w:p>
            <w:pPr>
              <w:jc w:val="center"/>
              <w:ind w:left="119"/>
              <w:spacing w:after="0"/>
              <w:rPr>
                <w:sz w:val="20"/>
                <w:szCs w:val="20"/>
                <w:color w:val="auto"/>
              </w:rPr>
            </w:pPr>
            <w:r>
              <w:rPr>
                <w:rFonts w:ascii="Arial" w:cs="Arial" w:eastAsia="Arial" w:hAnsi="Arial"/>
                <w:sz w:val="12"/>
                <w:szCs w:val="12"/>
                <w:color w:val="auto"/>
                <w:w w:val="99"/>
              </w:rPr>
              <w:t>45.0%</w:t>
            </w:r>
          </w:p>
        </w:tc>
        <w:tc>
          <w:tcPr>
            <w:tcW w:w="8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Successfully</w:t>
            </w:r>
          </w:p>
        </w:tc>
        <w:tc>
          <w:tcPr>
            <w:tcW w:w="96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1240" w:type="dxa"/>
            <w:vAlign w:val="bottom"/>
          </w:tcPr>
          <w:p>
            <w:pPr>
              <w:spacing w:after="0"/>
              <w:rPr>
                <w:sz w:val="24"/>
                <w:szCs w:val="24"/>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rPr>
              <w:t>See Strategic</w:t>
            </w: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See Strategic</w:t>
            </w:r>
          </w:p>
        </w:tc>
        <w:tc>
          <w:tcPr>
            <w:tcW w:w="2220" w:type="dxa"/>
            <w:vAlign w:val="bottom"/>
            <w:gridSpan w:val="2"/>
          </w:tcPr>
          <w:p>
            <w:pPr>
              <w:jc w:val="center"/>
              <w:ind w:left="1179"/>
              <w:spacing w:after="0"/>
              <w:rPr>
                <w:sz w:val="20"/>
                <w:szCs w:val="20"/>
                <w:color w:val="auto"/>
              </w:rPr>
            </w:pPr>
            <w:r>
              <w:rPr>
                <w:rFonts w:ascii="Arial" w:cs="Arial" w:eastAsia="Arial" w:hAnsi="Arial"/>
                <w:sz w:val="12"/>
                <w:szCs w:val="12"/>
                <w:color w:val="auto"/>
              </w:rPr>
              <w:t>101.3%</w:t>
            </w: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complete the</w:t>
            </w:r>
          </w:p>
        </w:tc>
        <w:tc>
          <w:tcPr>
            <w:tcW w:w="960" w:type="dxa"/>
            <w:vAlign w:val="bottom"/>
          </w:tcPr>
          <w:p>
            <w:pPr>
              <w:jc w:val="center"/>
              <w:spacing w:after="0"/>
              <w:rPr>
                <w:sz w:val="20"/>
                <w:szCs w:val="20"/>
                <w:color w:val="auto"/>
              </w:rPr>
            </w:pPr>
            <w:r>
              <w:rPr>
                <w:rFonts w:ascii="Arial" w:cs="Arial" w:eastAsia="Arial" w:hAnsi="Arial"/>
                <w:sz w:val="12"/>
                <w:szCs w:val="12"/>
                <w:color w:val="auto"/>
              </w:rPr>
              <w:t>Initiatives</w:t>
            </w:r>
          </w:p>
        </w:tc>
        <w:tc>
          <w:tcPr>
            <w:tcW w:w="1240" w:type="dxa"/>
            <w:vAlign w:val="bottom"/>
          </w:tcPr>
          <w:p>
            <w:pPr>
              <w:spacing w:after="0"/>
              <w:rPr>
                <w:sz w:val="11"/>
                <w:szCs w:val="11"/>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Initiatives</w:t>
            </w:r>
          </w:p>
        </w:tc>
        <w:tc>
          <w:tcPr>
            <w:tcW w:w="1040" w:type="dxa"/>
            <w:vAlign w:val="bottom"/>
          </w:tcPr>
          <w:p>
            <w:pPr>
              <w:jc w:val="center"/>
              <w:spacing w:after="0"/>
              <w:rPr>
                <w:sz w:val="20"/>
                <w:szCs w:val="20"/>
                <w:color w:val="auto"/>
              </w:rPr>
            </w:pPr>
            <w:r>
              <w:rPr>
                <w:rFonts w:ascii="Arial" w:cs="Arial" w:eastAsia="Arial" w:hAnsi="Arial"/>
                <w:sz w:val="12"/>
                <w:szCs w:val="12"/>
                <w:color w:val="auto"/>
              </w:rPr>
              <w:t>Initiatives</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key strategic</w:t>
            </w:r>
          </w:p>
        </w:tc>
        <w:tc>
          <w:tcPr>
            <w:tcW w:w="960" w:type="dxa"/>
            <w:vAlign w:val="bottom"/>
          </w:tcPr>
          <w:p>
            <w:pPr>
              <w:jc w:val="center"/>
              <w:spacing w:after="0"/>
              <w:rPr>
                <w:sz w:val="20"/>
                <w:szCs w:val="20"/>
                <w:color w:val="auto"/>
              </w:rPr>
            </w:pPr>
            <w:r>
              <w:rPr>
                <w:rFonts w:ascii="Arial" w:cs="Arial" w:eastAsia="Arial" w:hAnsi="Arial"/>
                <w:sz w:val="12"/>
                <w:szCs w:val="12"/>
                <w:color w:val="auto"/>
              </w:rPr>
              <w:t>1.a,1.b,1.c,6,8,9</w:t>
            </w:r>
          </w:p>
        </w:tc>
        <w:tc>
          <w:tcPr>
            <w:tcW w:w="1240" w:type="dxa"/>
            <w:vAlign w:val="bottom"/>
          </w:tcPr>
          <w:p>
            <w:pPr>
              <w:spacing w:after="0"/>
              <w:rPr>
                <w:sz w:val="11"/>
                <w:szCs w:val="11"/>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1.a,1.b,1.c,6,8,9</w:t>
            </w:r>
          </w:p>
        </w:tc>
        <w:tc>
          <w:tcPr>
            <w:tcW w:w="1040" w:type="dxa"/>
            <w:vAlign w:val="bottom"/>
          </w:tcPr>
          <w:p>
            <w:pPr>
              <w:jc w:val="center"/>
              <w:spacing w:after="0"/>
              <w:rPr>
                <w:sz w:val="20"/>
                <w:szCs w:val="20"/>
                <w:color w:val="auto"/>
              </w:rPr>
            </w:pPr>
            <w:r>
              <w:rPr>
                <w:rFonts w:ascii="Arial" w:cs="Arial" w:eastAsia="Arial" w:hAnsi="Arial"/>
                <w:sz w:val="12"/>
                <w:szCs w:val="12"/>
                <w:color w:val="auto"/>
              </w:rPr>
              <w:t>1.a,1.b,1.c,6,8,9</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initiatives of the</w:t>
            </w: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Company</w:t>
            </w: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48" w:hanging="448"/>
        <w:spacing w:after="0"/>
        <w:tabs>
          <w:tab w:leader="none" w:pos="448" w:val="left"/>
        </w:tabs>
        <w:numPr>
          <w:ilvl w:val="0"/>
          <w:numId w:val="43"/>
        </w:numPr>
        <w:rPr>
          <w:rFonts w:ascii="Arial" w:cs="Arial" w:eastAsia="Arial" w:hAnsi="Arial"/>
          <w:sz w:val="18"/>
          <w:szCs w:val="18"/>
          <w:color w:val="auto"/>
          <w:vertAlign w:val="superscript"/>
        </w:rPr>
      </w:pPr>
      <w:r>
        <w:rPr>
          <w:rFonts w:ascii="Arial" w:cs="Arial" w:eastAsia="Arial" w:hAnsi="Arial"/>
          <w:sz w:val="12"/>
          <w:szCs w:val="12"/>
          <w:color w:val="auto"/>
        </w:rPr>
        <w:t>The achievements against the strategic initiatives were determined based on the weighted average achievement of the initiatives applicable to each executive.</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41" w:name="page42"/>
    <w:bookmarkEnd w:id="4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gridSpan w:val="3"/>
            <w:vMerge w:val="restart"/>
          </w:tcPr>
          <w:p>
            <w:pPr>
              <w:jc w:val="center"/>
              <w:ind w:right="20"/>
              <w:spacing w:after="0"/>
              <w:rPr>
                <w:sz w:val="20"/>
                <w:szCs w:val="20"/>
                <w:color w:val="auto"/>
              </w:rPr>
            </w:pPr>
            <w:r>
              <w:rPr>
                <w:rFonts w:ascii="Arial" w:cs="Arial" w:eastAsia="Arial" w:hAnsi="Arial"/>
                <w:sz w:val="12"/>
                <w:szCs w:val="12"/>
                <w:b w:val="1"/>
                <w:bCs w:val="1"/>
                <w:color w:val="auto"/>
              </w:rPr>
              <w:t>Levels of Achievement</w:t>
            </w: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Actual</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2017 Scorecard</w:t>
            </w:r>
          </w:p>
        </w:tc>
        <w:tc>
          <w:tcPr>
            <w:tcW w:w="980" w:type="dxa"/>
            <w:vAlign w:val="bottom"/>
            <w:tcBorders>
              <w:bottom w:val="single" w:sz="8" w:color="auto"/>
            </w:tcBorders>
          </w:tcPr>
          <w:p>
            <w:pPr>
              <w:spacing w:after="0"/>
              <w:rPr>
                <w:sz w:val="5"/>
                <w:szCs w:val="5"/>
                <w:color w:val="auto"/>
              </w:rPr>
            </w:pPr>
          </w:p>
        </w:tc>
        <w:tc>
          <w:tcPr>
            <w:tcW w:w="3500" w:type="dxa"/>
            <w:vAlign w:val="bottom"/>
            <w:tcBorders>
              <w:bottom w:val="single" w:sz="8" w:color="auto"/>
            </w:tcBorders>
            <w:gridSpan w:val="3"/>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Level of</w:t>
            </w:r>
          </w:p>
        </w:tc>
        <w:tc>
          <w:tcPr>
            <w:tcW w:w="0" w:type="dxa"/>
            <w:vAlign w:val="bottom"/>
          </w:tcPr>
          <w:p>
            <w:pPr>
              <w:spacing w:after="0"/>
              <w:rPr>
                <w:sz w:val="1"/>
                <w:szCs w:val="1"/>
                <w:color w:val="auto"/>
              </w:rPr>
            </w:pPr>
          </w:p>
        </w:tc>
      </w:tr>
      <w:tr>
        <w:trPr>
          <w:trHeight w:val="60"/>
        </w:trPr>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w:t>
            </w:r>
          </w:p>
        </w:tc>
        <w:tc>
          <w:tcPr>
            <w:tcW w:w="80" w:type="dxa"/>
            <w:vAlign w:val="bottom"/>
          </w:tcPr>
          <w:p>
            <w:pPr>
              <w:spacing w:after="0"/>
              <w:rPr>
                <w:sz w:val="13"/>
                <w:szCs w:val="13"/>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Elements</w:t>
            </w:r>
          </w:p>
        </w:tc>
        <w:tc>
          <w:tcPr>
            <w:tcW w:w="12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Threshold</w:t>
            </w:r>
          </w:p>
        </w:tc>
        <w:tc>
          <w:tcPr>
            <w:tcW w:w="12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Target</w:t>
            </w:r>
          </w:p>
        </w:tc>
        <w:tc>
          <w:tcPr>
            <w:tcW w:w="12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Outstanding</w:t>
            </w:r>
          </w:p>
        </w:tc>
        <w:tc>
          <w:tcPr>
            <w:tcW w:w="126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6"/>
              </w:rPr>
              <w:t>Achievement</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Gregory J. Ritts,</w:t>
            </w:r>
          </w:p>
        </w:tc>
        <w:tc>
          <w:tcPr>
            <w:tcW w:w="520" w:type="dxa"/>
            <w:vAlign w:val="bottom"/>
            <w:gridSpan w:val="2"/>
            <w:shd w:val="clear" w:color="auto" w:fill="CCEEFF"/>
          </w:tcPr>
          <w:p>
            <w:pPr>
              <w:jc w:val="center"/>
              <w:ind w:left="119"/>
              <w:spacing w:after="0" w:line="133" w:lineRule="exact"/>
              <w:rPr>
                <w:sz w:val="20"/>
                <w:szCs w:val="20"/>
                <w:color w:val="auto"/>
              </w:rPr>
            </w:pPr>
            <w:r>
              <w:rPr>
                <w:rFonts w:ascii="Arial" w:cs="Arial" w:eastAsia="Arial" w:hAnsi="Arial"/>
                <w:sz w:val="12"/>
                <w:szCs w:val="12"/>
                <w:color w:val="auto"/>
                <w:w w:val="94"/>
              </w:rPr>
              <w:t>4.0%</w:t>
            </w: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Achieve Service</w:t>
            </w:r>
          </w:p>
        </w:tc>
        <w:tc>
          <w:tcPr>
            <w:tcW w:w="98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$550.3 million</w:t>
            </w:r>
          </w:p>
        </w:tc>
        <w:tc>
          <w:tcPr>
            <w:tcW w:w="126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jc w:val="center"/>
              <w:ind w:right="1260"/>
              <w:spacing w:after="0" w:line="133" w:lineRule="exact"/>
              <w:rPr>
                <w:sz w:val="20"/>
                <w:szCs w:val="20"/>
                <w:color w:val="auto"/>
              </w:rPr>
            </w:pPr>
            <w:r>
              <w:rPr>
                <w:rFonts w:ascii="Arial" w:cs="Arial" w:eastAsia="Arial" w:hAnsi="Arial"/>
                <w:sz w:val="12"/>
                <w:szCs w:val="12"/>
                <w:color w:val="auto"/>
                <w:w w:val="99"/>
              </w:rPr>
              <w:t>$647.4 million</w:t>
            </w:r>
          </w:p>
        </w:tc>
        <w:tc>
          <w:tcPr>
            <w:tcW w:w="9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$744.5 million</w:t>
            </w: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9"/>
              </w:rPr>
              <w:t>$649.8 million</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Chief Legal and</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 Target</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Compliance</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 Servicer</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Officer</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Solutions</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business</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4.0%</w:t>
            </w:r>
          </w:p>
        </w:tc>
        <w:tc>
          <w:tcPr>
            <w:tcW w:w="8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Achieve Service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$45.4 million</w:t>
            </w:r>
          </w:p>
        </w:tc>
        <w:tc>
          <w:tcPr>
            <w:tcW w:w="1260" w:type="dxa"/>
            <w:vAlign w:val="bottom"/>
            <w:shd w:val="clear" w:color="auto" w:fill="CCEEFF"/>
          </w:tcPr>
          <w:p>
            <w:pPr>
              <w:spacing w:after="0"/>
              <w:rPr>
                <w:sz w:val="24"/>
                <w:szCs w:val="24"/>
                <w:color w:val="auto"/>
              </w:rPr>
            </w:pPr>
          </w:p>
        </w:tc>
        <w:tc>
          <w:tcPr>
            <w:tcW w:w="2240" w:type="dxa"/>
            <w:vAlign w:val="bottom"/>
            <w:gridSpan w:val="2"/>
            <w:shd w:val="clear" w:color="auto" w:fill="CCEEFF"/>
          </w:tcPr>
          <w:p>
            <w:pPr>
              <w:jc w:val="center"/>
              <w:ind w:right="1280"/>
              <w:spacing w:after="0"/>
              <w:rPr>
                <w:sz w:val="20"/>
                <w:szCs w:val="20"/>
                <w:color w:val="auto"/>
              </w:rPr>
            </w:pPr>
            <w:r>
              <w:rPr>
                <w:rFonts w:ascii="Arial" w:cs="Arial" w:eastAsia="Arial" w:hAnsi="Arial"/>
                <w:sz w:val="12"/>
                <w:szCs w:val="12"/>
                <w:color w:val="auto"/>
              </w:rPr>
              <w:t>$53.5 million</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$61.5 million</w:t>
            </w:r>
          </w:p>
        </w:tc>
        <w:tc>
          <w:tcPr>
            <w:tcW w:w="12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$49.2 million</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 Target</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Threshold</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 Origination</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Solutions</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business</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4.0%</w:t>
            </w:r>
          </w:p>
        </w:tc>
        <w:tc>
          <w:tcPr>
            <w:tcW w:w="8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Achieve Service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$77.7 million</w:t>
            </w:r>
          </w:p>
        </w:tc>
        <w:tc>
          <w:tcPr>
            <w:tcW w:w="1260" w:type="dxa"/>
            <w:vAlign w:val="bottom"/>
            <w:shd w:val="clear" w:color="auto" w:fill="CCEEFF"/>
          </w:tcPr>
          <w:p>
            <w:pPr>
              <w:spacing w:after="0"/>
              <w:rPr>
                <w:sz w:val="24"/>
                <w:szCs w:val="24"/>
                <w:color w:val="auto"/>
              </w:rPr>
            </w:pPr>
          </w:p>
        </w:tc>
        <w:tc>
          <w:tcPr>
            <w:tcW w:w="2240" w:type="dxa"/>
            <w:vAlign w:val="bottom"/>
            <w:gridSpan w:val="2"/>
            <w:shd w:val="clear" w:color="auto" w:fill="CCEEFF"/>
          </w:tcPr>
          <w:p>
            <w:pPr>
              <w:jc w:val="center"/>
              <w:ind w:right="1280"/>
              <w:spacing w:after="0"/>
              <w:rPr>
                <w:sz w:val="20"/>
                <w:szCs w:val="20"/>
                <w:color w:val="auto"/>
              </w:rPr>
            </w:pPr>
            <w:r>
              <w:rPr>
                <w:rFonts w:ascii="Arial" w:cs="Arial" w:eastAsia="Arial" w:hAnsi="Arial"/>
                <w:sz w:val="12"/>
                <w:szCs w:val="12"/>
                <w:color w:val="auto"/>
              </w:rPr>
              <w:t>$86.6 million</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$95.5 million</w:t>
            </w:r>
          </w:p>
        </w:tc>
        <w:tc>
          <w:tcPr>
            <w:tcW w:w="12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$82.1 million</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 Target</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Threshold</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 Real Estate</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Investor</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Solutions</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business</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5.5%</w:t>
            </w:r>
          </w:p>
        </w:tc>
        <w:tc>
          <w:tcPr>
            <w:tcW w:w="8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Achieve Service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$4.0 million</w:t>
            </w:r>
          </w:p>
        </w:tc>
        <w:tc>
          <w:tcPr>
            <w:tcW w:w="1260" w:type="dxa"/>
            <w:vAlign w:val="bottom"/>
            <w:shd w:val="clear" w:color="auto" w:fill="CCEEFF"/>
          </w:tcPr>
          <w:p>
            <w:pPr>
              <w:spacing w:after="0"/>
              <w:rPr>
                <w:sz w:val="24"/>
                <w:szCs w:val="24"/>
                <w:color w:val="auto"/>
              </w:rPr>
            </w:pPr>
          </w:p>
        </w:tc>
        <w:tc>
          <w:tcPr>
            <w:tcW w:w="224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rPr>
              <w:t>$4.7 million</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$5.3 million</w:t>
            </w:r>
          </w:p>
        </w:tc>
        <w:tc>
          <w:tcPr>
            <w:tcW w:w="12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$4.7 million</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 Target</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Target</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 Consumer</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Real Estate</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Solutions</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business</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62.5%</w:t>
            </w:r>
          </w:p>
        </w:tc>
        <w:tc>
          <w:tcPr>
            <w:tcW w:w="8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Successfully</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See Strategic</w:t>
            </w:r>
          </w:p>
        </w:tc>
        <w:tc>
          <w:tcPr>
            <w:tcW w:w="1260" w:type="dxa"/>
            <w:vAlign w:val="bottom"/>
            <w:shd w:val="clear" w:color="auto" w:fill="CCEEFF"/>
          </w:tcPr>
          <w:p>
            <w:pPr>
              <w:spacing w:after="0"/>
              <w:rPr>
                <w:sz w:val="24"/>
                <w:szCs w:val="24"/>
                <w:color w:val="auto"/>
              </w:rPr>
            </w:pPr>
          </w:p>
        </w:tc>
        <w:tc>
          <w:tcPr>
            <w:tcW w:w="224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rPr>
              <w:t>See Strategic</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See Strategic</w:t>
            </w:r>
          </w:p>
        </w:tc>
        <w:tc>
          <w:tcPr>
            <w:tcW w:w="2240" w:type="dxa"/>
            <w:vAlign w:val="bottom"/>
            <w:gridSpan w:val="2"/>
            <w:shd w:val="clear" w:color="auto" w:fill="CCEEFF"/>
          </w:tcPr>
          <w:p>
            <w:pPr>
              <w:jc w:val="center"/>
              <w:ind w:left="1199"/>
              <w:spacing w:after="0"/>
              <w:rPr>
                <w:sz w:val="20"/>
                <w:szCs w:val="20"/>
                <w:color w:val="auto"/>
              </w:rPr>
            </w:pPr>
            <w:r>
              <w:rPr>
                <w:rFonts w:ascii="Arial" w:cs="Arial" w:eastAsia="Arial" w:hAnsi="Arial"/>
                <w:sz w:val="12"/>
                <w:szCs w:val="12"/>
                <w:color w:val="auto"/>
                <w:w w:val="99"/>
              </w:rPr>
              <w:t>89.4%</w:t>
            </w: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complete the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Initiatives</w:t>
            </w:r>
          </w:p>
        </w:tc>
        <w:tc>
          <w:tcPr>
            <w:tcW w:w="126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w w:val="99"/>
              </w:rPr>
              <w:t>Initiatives</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Initiatives</w:t>
            </w: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key strategic</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1.c,2,3.a,3.b,3.c,</w:t>
            </w:r>
          </w:p>
        </w:tc>
        <w:tc>
          <w:tcPr>
            <w:tcW w:w="126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rPr>
              <w:t>1.c,2,3.a,3.b,3.c,</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1.c,2,3.a,3.b,3.c,</w:t>
            </w: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initiatives of the</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4,5,6,7.c,8,9</w:t>
            </w:r>
          </w:p>
        </w:tc>
        <w:tc>
          <w:tcPr>
            <w:tcW w:w="126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jc w:val="center"/>
              <w:ind w:right="1260"/>
              <w:spacing w:after="0"/>
              <w:rPr>
                <w:sz w:val="20"/>
                <w:szCs w:val="20"/>
                <w:color w:val="auto"/>
              </w:rPr>
            </w:pPr>
            <w:r>
              <w:rPr>
                <w:rFonts w:ascii="Arial" w:cs="Arial" w:eastAsia="Arial" w:hAnsi="Arial"/>
                <w:sz w:val="12"/>
                <w:szCs w:val="12"/>
                <w:color w:val="auto"/>
                <w:w w:val="99"/>
              </w:rPr>
              <w:t>4,5,6,7.c,8,9</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4,5,6,7.c,8,9</w:t>
            </w: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Company</w:t>
            </w: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48" w:hanging="448"/>
        <w:spacing w:after="0"/>
        <w:tabs>
          <w:tab w:leader="none" w:pos="448" w:val="left"/>
        </w:tabs>
        <w:numPr>
          <w:ilvl w:val="0"/>
          <w:numId w:val="44"/>
        </w:numPr>
        <w:rPr>
          <w:rFonts w:ascii="Arial" w:cs="Arial" w:eastAsia="Arial" w:hAnsi="Arial"/>
          <w:sz w:val="18"/>
          <w:szCs w:val="18"/>
          <w:color w:val="auto"/>
          <w:vertAlign w:val="superscript"/>
        </w:rPr>
      </w:pPr>
      <w:r>
        <w:rPr>
          <w:rFonts w:ascii="Arial" w:cs="Arial" w:eastAsia="Arial" w:hAnsi="Arial"/>
          <w:sz w:val="12"/>
          <w:szCs w:val="12"/>
          <w:color w:val="auto"/>
        </w:rPr>
        <w:t>The achievements against the strategic initiatives were determined based on the weighted average achievement of the initiatives applicable to each executive.</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5"/>
          <w:szCs w:val="15"/>
          <w:u w:val="single" w:color="auto"/>
          <w:color w:val="auto"/>
        </w:rPr>
        <w:t>Performance Appraisals</w:t>
      </w:r>
    </w:p>
    <w:p>
      <w:pPr>
        <w:spacing w:after="0" w:line="182" w:lineRule="exact"/>
        <w:rPr>
          <w:sz w:val="20"/>
          <w:szCs w:val="20"/>
          <w:color w:val="auto"/>
        </w:rPr>
      </w:pPr>
    </w:p>
    <w:p>
      <w:pPr>
        <w:ind w:left="8" w:right="120"/>
        <w:spacing w:after="0" w:line="241" w:lineRule="auto"/>
        <w:rPr>
          <w:sz w:val="20"/>
          <w:szCs w:val="20"/>
          <w:color w:val="auto"/>
        </w:rPr>
      </w:pPr>
      <w:r>
        <w:rPr>
          <w:rFonts w:ascii="Arial" w:cs="Arial" w:eastAsia="Arial" w:hAnsi="Arial"/>
          <w:sz w:val="15"/>
          <w:szCs w:val="15"/>
          <w:color w:val="auto"/>
        </w:rPr>
        <w:t>As noted above, in 2017, twenty percent (20%) of the incentive compensation for the Chief Executive Officer and other Named Executive Officers (other than Mr. Chatterjee) was determined by their performance appraisal for the service year. Performance appraisals for our Named Executive Officers were based on an individual impact rating which measured the Named Executive Officer's effectiveness in planning, executing against financial targets/goals, driving positive business impact for his or her department/business unit and the overall organization, striving for continuous quality improvements and the optimization of his or her organization.</w:t>
      </w:r>
    </w:p>
    <w:p>
      <w:pPr>
        <w:spacing w:after="0" w:line="177" w:lineRule="exact"/>
        <w:rPr>
          <w:sz w:val="20"/>
          <w:szCs w:val="20"/>
          <w:color w:val="auto"/>
        </w:rPr>
      </w:pPr>
    </w:p>
    <w:p>
      <w:pPr>
        <w:ind w:left="8" w:right="160"/>
        <w:spacing w:after="0" w:line="269" w:lineRule="auto"/>
        <w:rPr>
          <w:sz w:val="20"/>
          <w:szCs w:val="20"/>
          <w:color w:val="auto"/>
        </w:rPr>
      </w:pPr>
      <w:r>
        <w:rPr>
          <w:rFonts w:ascii="Arial" w:cs="Arial" w:eastAsia="Arial" w:hAnsi="Arial"/>
          <w:sz w:val="14"/>
          <w:szCs w:val="14"/>
          <w:color w:val="auto"/>
        </w:rPr>
        <w:t>The Compensation Committee assigned an individual impact rating to the Named Executive Officers considering the recommendation of the Chief Executive Officer and the Chief Administration and Risk Officer (except with respect to their own), which was based upon the Named Executive Officer's performance against the above factors. The Compensation Committee also approved a corresponding rating percentage, which was used to calculate the executive's payout for this portion of the executive's incentive.</w:t>
      </w:r>
    </w:p>
    <w:p>
      <w:pPr>
        <w:spacing w:after="0" w:line="157" w:lineRule="exact"/>
        <w:rPr>
          <w:sz w:val="20"/>
          <w:szCs w:val="20"/>
          <w:color w:val="auto"/>
        </w:rPr>
      </w:pPr>
    </w:p>
    <w:p>
      <w:pPr>
        <w:jc w:val="both"/>
        <w:ind w:left="8" w:right="580"/>
        <w:spacing w:after="0" w:line="243" w:lineRule="auto"/>
        <w:rPr>
          <w:sz w:val="20"/>
          <w:szCs w:val="20"/>
          <w:color w:val="auto"/>
        </w:rPr>
      </w:pPr>
      <w:r>
        <w:rPr>
          <w:rFonts w:ascii="Arial" w:cs="Arial" w:eastAsia="Arial" w:hAnsi="Arial"/>
          <w:sz w:val="15"/>
          <w:szCs w:val="15"/>
          <w:color w:val="auto"/>
        </w:rPr>
        <w:t>Consistent with our pay-for-performance philosophy, a lower impact rating would have resulted in a lower individual percentage, such that it would be possible for an executive with a low rating to get less than their target incentive payout, or no incentive payout at all. Conversely, executives with high ratings received a higher rating percentage of up to one hundred and fifty percent (150%).</w:t>
      </w:r>
    </w:p>
    <w:p>
      <w:pPr>
        <w:spacing w:after="0" w:line="174" w:lineRule="exact"/>
        <w:rPr>
          <w:sz w:val="20"/>
          <w:szCs w:val="20"/>
          <w:color w:val="auto"/>
        </w:rPr>
      </w:pPr>
    </w:p>
    <w:p>
      <w:pPr>
        <w:ind w:left="8" w:right="360"/>
        <w:spacing w:after="0" w:line="247" w:lineRule="auto"/>
        <w:rPr>
          <w:sz w:val="20"/>
          <w:szCs w:val="20"/>
          <w:color w:val="auto"/>
        </w:rPr>
      </w:pPr>
      <w:r>
        <w:rPr>
          <w:rFonts w:ascii="Arial" w:cs="Arial" w:eastAsia="Arial" w:hAnsi="Arial"/>
          <w:sz w:val="15"/>
          <w:szCs w:val="15"/>
          <w:color w:val="auto"/>
        </w:rPr>
        <w:t>For 2017, impact rating percentages for our Named Executive Officers who participated in our 2017 annual incentive plan, and related achievements and considerations, were as follows:</w:t>
      </w:r>
    </w:p>
    <w:p>
      <w:pPr>
        <w:spacing w:after="0" w:line="155" w:lineRule="exact"/>
        <w:rPr>
          <w:sz w:val="20"/>
          <w:szCs w:val="20"/>
          <w:color w:val="auto"/>
        </w:rPr>
      </w:pPr>
    </w:p>
    <w:p>
      <w:pPr>
        <w:ind w:left="8" w:right="80"/>
        <w:spacing w:after="0" w:line="269" w:lineRule="auto"/>
        <w:rPr>
          <w:sz w:val="20"/>
          <w:szCs w:val="20"/>
          <w:color w:val="auto"/>
        </w:rPr>
      </w:pPr>
      <w:r>
        <w:rPr>
          <w:rFonts w:ascii="Arial" w:cs="Arial" w:eastAsia="Arial" w:hAnsi="Arial"/>
          <w:sz w:val="15"/>
          <w:szCs w:val="15"/>
          <w:i w:val="1"/>
          <w:iCs w:val="1"/>
          <w:color w:val="auto"/>
        </w:rPr>
        <w:t xml:space="preserve">William B. Shepro. </w:t>
      </w:r>
      <w:r>
        <w:rPr>
          <w:rFonts w:ascii="Arial" w:cs="Arial" w:eastAsia="Arial" w:hAnsi="Arial"/>
          <w:sz w:val="15"/>
          <w:szCs w:val="15"/>
          <w:color w:val="auto"/>
        </w:rPr>
        <w:t>Mr. Shepro received an impact rating percentage of one hundred and fifty percent (150%), reflecting his strong leadership and vision in the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and execution of the Company's</w:t>
      </w:r>
    </w:p>
    <w:p>
      <w:pPr>
        <w:spacing w:after="0" w:line="15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220"/>
        <w:spacing w:after="0" w:line="243" w:lineRule="auto"/>
        <w:rPr>
          <w:sz w:val="20"/>
          <w:szCs w:val="20"/>
          <w:color w:val="auto"/>
        </w:rPr>
      </w:pPr>
      <w:r>
        <w:rPr>
          <w:rFonts w:ascii="Arial" w:cs="Arial" w:eastAsia="Arial" w:hAnsi="Arial"/>
          <w:sz w:val="15"/>
          <w:szCs w:val="15"/>
          <w:color w:val="auto"/>
        </w:rPr>
        <w:t>strategy; the delivery of strong financial results; continued progress against our growth initiatives, including the diversification of our revenue through the completion of our Cooperative Brokerage Agreement with NRZ; and the strengthening of the Company's leadership team through the hiring of a Chief Financial Officer and President, Real Estate Marketplace.</w:t>
      </w:r>
    </w:p>
    <w:p>
      <w:pPr>
        <w:spacing w:after="0" w:line="158"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i w:val="1"/>
          <w:iCs w:val="1"/>
          <w:color w:val="auto"/>
        </w:rPr>
        <w:t xml:space="preserve">Kevin J. Wilcox. </w:t>
      </w:r>
      <w:r>
        <w:rPr>
          <w:rFonts w:ascii="Arial" w:cs="Arial" w:eastAsia="Arial" w:hAnsi="Arial"/>
          <w:sz w:val="15"/>
          <w:szCs w:val="15"/>
          <w:color w:val="auto"/>
        </w:rPr>
        <w:t>Mr. Wilcox received an impact rating percentage of one hundred and fifty percent (150%), reflecting his successful leadership of the Law, Compliance, HR,</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 Experience and Risk functions; the significant role he played in developing and executing against key corporate initiatives; the strengthening of the Company's risk management framework, including through the continued enhancement of our Compliance Management System; the further development of our customer experience framework leading to an outstanding improvement of the overall Net Promoter Score; and the optimizing of his organization.</w:t>
      </w:r>
    </w:p>
    <w:p>
      <w:pPr>
        <w:spacing w:after="0" w:line="154" w:lineRule="exact"/>
        <w:rPr>
          <w:sz w:val="20"/>
          <w:szCs w:val="20"/>
          <w:color w:val="auto"/>
        </w:rPr>
      </w:pPr>
    </w:p>
    <w:p>
      <w:pPr>
        <w:jc w:val="both"/>
        <w:ind w:right="100"/>
        <w:spacing w:after="0" w:line="254" w:lineRule="auto"/>
        <w:rPr>
          <w:sz w:val="20"/>
          <w:szCs w:val="20"/>
          <w:color w:val="auto"/>
        </w:rPr>
      </w:pPr>
      <w:r>
        <w:rPr>
          <w:rFonts w:ascii="Arial" w:cs="Arial" w:eastAsia="Arial" w:hAnsi="Arial"/>
          <w:sz w:val="15"/>
          <w:szCs w:val="15"/>
          <w:i w:val="1"/>
          <w:iCs w:val="1"/>
          <w:color w:val="auto"/>
        </w:rPr>
        <w:t xml:space="preserve">Michelle D. Esterman. </w:t>
      </w:r>
      <w:r>
        <w:rPr>
          <w:rFonts w:ascii="Arial" w:cs="Arial" w:eastAsia="Arial" w:hAnsi="Arial"/>
          <w:sz w:val="15"/>
          <w:szCs w:val="15"/>
          <w:color w:val="auto"/>
        </w:rPr>
        <w:t>Ms. Esterman received an impact rating percentage of one hundred and fifty percent (150%), reflecting her effective leadership of the Finance, Tax,</w:t>
      </w:r>
      <w:r>
        <w:rPr>
          <w:rFonts w:ascii="Arial" w:cs="Arial" w:eastAsia="Arial" w:hAnsi="Arial"/>
          <w:sz w:val="15"/>
          <w:szCs w:val="15"/>
          <w:i w:val="1"/>
          <w:iCs w:val="1"/>
          <w:color w:val="auto"/>
        </w:rPr>
        <w:t xml:space="preserve"> </w:t>
      </w:r>
      <w:r>
        <w:rPr>
          <w:rFonts w:ascii="Arial" w:cs="Arial" w:eastAsia="Arial" w:hAnsi="Arial"/>
          <w:sz w:val="15"/>
          <w:szCs w:val="15"/>
          <w:color w:val="auto"/>
        </w:rPr>
        <w:t>Facilities and Vendor Management teams to drive continued reduction in overall capex requirements and the significant role she played in developing and executing against key corporate initiatives, including the amendment of our SSTL and the completion of the Luxembourg subsidiary restructuring.</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i w:val="1"/>
          <w:iCs w:val="1"/>
          <w:color w:val="auto"/>
        </w:rPr>
        <w:t xml:space="preserve">Joseph A. Davila. </w:t>
      </w:r>
      <w:r>
        <w:rPr>
          <w:rFonts w:ascii="Arial" w:cs="Arial" w:eastAsia="Arial" w:hAnsi="Arial"/>
          <w:sz w:val="15"/>
          <w:szCs w:val="15"/>
          <w:color w:val="auto"/>
        </w:rPr>
        <w:t>Mr. Davila received an impact rating percentage of one hundred and fifty percent (150%), reflecting his overall leadership of our Servicer Solutions</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Unit and his contribution to the procurement of several new clients in support of meaningful revenue diversification and strong sales momentum leading into 2018. Mr. Davila also strengthened his organization, particularly through the building of a new, high-capability relationship management team.</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5"/>
          <w:szCs w:val="15"/>
          <w:i w:val="1"/>
          <w:iCs w:val="1"/>
          <w:color w:val="auto"/>
        </w:rPr>
        <w:t xml:space="preserve">Gregory J. Ritts. </w:t>
      </w:r>
      <w:r>
        <w:rPr>
          <w:rFonts w:ascii="Arial" w:cs="Arial" w:eastAsia="Arial" w:hAnsi="Arial"/>
          <w:sz w:val="15"/>
          <w:szCs w:val="15"/>
          <w:color w:val="auto"/>
        </w:rPr>
        <w:t>Mr. Ritts received an impact rating percentage of one hundred and fifty percent (150%), reflecting his significant contributions to our corporate initiatives,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completion of our Cooperative Brokerage Agreement with NRZ, the amendment of our SSTL and the completion of the Luxembourg subsidiary restructuring; his role in the continued enhancement of our Compliance Management System; the successful management of legal and regulatory matters for the Company; and the optimizing of the teams within the Law and Compliance organization.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2017 Annual Incentive Payout Determinations</w:t>
      </w:r>
    </w:p>
    <w:p>
      <w:pPr>
        <w:spacing w:after="0" w:line="182" w:lineRule="exact"/>
        <w:rPr>
          <w:sz w:val="20"/>
          <w:szCs w:val="20"/>
          <w:color w:val="auto"/>
        </w:rPr>
      </w:pPr>
    </w:p>
    <w:p>
      <w:pPr>
        <w:ind w:right="440"/>
        <w:spacing w:after="0" w:line="247" w:lineRule="auto"/>
        <w:rPr>
          <w:sz w:val="20"/>
          <w:szCs w:val="20"/>
          <w:color w:val="auto"/>
        </w:rPr>
      </w:pPr>
      <w:r>
        <w:rPr>
          <w:rFonts w:ascii="Arial" w:cs="Arial" w:eastAsia="Arial" w:hAnsi="Arial"/>
          <w:sz w:val="15"/>
          <w:szCs w:val="15"/>
          <w:color w:val="auto"/>
        </w:rPr>
        <w:t>The Chief Executive Officer's scorecard performance and personal performance appraisal were determined by the Compensation Committee, taking into consideration whether the Company's performance and corresponding incentive results present a fair representation of the Chief Executive Officer's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For our Named Executive Officers other than the Chief Executive Officer, the Chief Executive Officer, in conjunction with the Chief Administration and Risk Officer, presented the personal scorecard performance and the individual impact rating percentages to the Compensation Committee and made recommendations as to the incentive compensation for each executive officer (except for the Chief Administration and Risk Officer, whose performance was reviewed without the presence of such executive). The Compensation Committee evaluated the recommendations in light of the Company's overall performance and the executive's business unit or support unit's performance and made the final compensation award determinations for each executive. Annual incentive compensation was paid to our executives and other incentive-eligible employees following such determinations.</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In instances where the Compensation Committee believes an executive's scorecard performance does not result in an incentive compensation amount that is reflective of the executive's efforts and accomplishments, the Compensation Committee may grant the executive a one-time cash award in recognition of his or her exceptional efforts and accomplishments during the period.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Pursuant to our annual incentive plan, we calculated payouts to our Named Executive Officers using the following formula:</w:t>
      </w:r>
    </w:p>
    <w:p>
      <w:pPr>
        <w:spacing w:after="0" w:line="336" w:lineRule="exact"/>
        <w:rPr>
          <w:sz w:val="20"/>
          <w:szCs w:val="20"/>
          <w:color w:val="auto"/>
        </w:rPr>
      </w:pPr>
    </w:p>
    <w:p>
      <w:pPr>
        <w:jc w:val="center"/>
        <w:ind w:left="260" w:right="1960"/>
        <w:spacing w:after="0" w:line="255" w:lineRule="auto"/>
        <w:rPr>
          <w:sz w:val="20"/>
          <w:szCs w:val="20"/>
          <w:color w:val="auto"/>
        </w:rPr>
      </w:pPr>
      <w:r>
        <w:rPr>
          <w:rFonts w:ascii="Arial" w:cs="Arial" w:eastAsia="Arial" w:hAnsi="Arial"/>
          <w:sz w:val="15"/>
          <w:szCs w:val="15"/>
          <w:b w:val="1"/>
          <w:bCs w:val="1"/>
          <w:i w:val="1"/>
          <w:iCs w:val="1"/>
          <w:color w:val="auto"/>
        </w:rPr>
        <w:t>(Target Amount for Performance Against Personal Scorecard × Scorecard Performance Achievement %) + (Target Amount for Performance Appraisal × Individual Impact Rating Percentage) + Discretionary Bonus (if any)</w:t>
      </w:r>
    </w:p>
    <w:p>
      <w:pPr>
        <w:spacing w:after="0" w:line="166" w:lineRule="exact"/>
        <w:rPr>
          <w:sz w:val="20"/>
          <w:szCs w:val="20"/>
          <w:color w:val="auto"/>
        </w:rPr>
      </w:pPr>
    </w:p>
    <w:p>
      <w:pPr>
        <w:ind w:right="260"/>
        <w:spacing w:after="0" w:line="247" w:lineRule="auto"/>
        <w:rPr>
          <w:sz w:val="20"/>
          <w:szCs w:val="20"/>
          <w:color w:val="auto"/>
        </w:rPr>
      </w:pPr>
      <w:r>
        <w:rPr>
          <w:rFonts w:ascii="Arial" w:cs="Arial" w:eastAsia="Arial" w:hAnsi="Arial"/>
          <w:sz w:val="15"/>
          <w:szCs w:val="15"/>
          <w:color w:val="auto"/>
        </w:rPr>
        <w:t>The following table summarizes the basis for the calculation of the 2017 incentive awards for each of our Named Executive Officers (other than Mr. Chatterjee who did not participate in our 2017 annual incentive plan), using the formula described above: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right"/>
              <w:ind w:right="129"/>
              <w:spacing w:after="0"/>
              <w:rPr>
                <w:sz w:val="20"/>
                <w:szCs w:val="20"/>
                <w:color w:val="auto"/>
              </w:rPr>
            </w:pPr>
            <w:r>
              <w:rPr>
                <w:rFonts w:ascii="Arial" w:cs="Arial" w:eastAsia="Arial" w:hAnsi="Arial"/>
                <w:sz w:val="12"/>
                <w:szCs w:val="12"/>
                <w:b w:val="1"/>
                <w:bCs w:val="1"/>
                <w:color w:val="auto"/>
              </w:rPr>
              <w:t>Performance Against Personal</w:t>
            </w:r>
          </w:p>
        </w:tc>
        <w:tc>
          <w:tcPr>
            <w:tcW w:w="80" w:type="dxa"/>
            <w:vAlign w:val="bottom"/>
          </w:tcPr>
          <w:p>
            <w:pPr>
              <w:spacing w:after="0"/>
              <w:rPr>
                <w:sz w:val="12"/>
                <w:szCs w:val="12"/>
                <w:color w:val="auto"/>
              </w:rPr>
            </w:pPr>
          </w:p>
        </w:tc>
        <w:tc>
          <w:tcPr>
            <w:tcW w:w="2060" w:type="dxa"/>
            <w:vAlign w:val="bottom"/>
            <w:gridSpan w:val="7"/>
          </w:tcPr>
          <w:p>
            <w:pPr>
              <w:jc w:val="center"/>
              <w:ind w:right="80"/>
              <w:spacing w:after="0"/>
              <w:rPr>
                <w:sz w:val="20"/>
                <w:szCs w:val="20"/>
                <w:color w:val="auto"/>
              </w:rPr>
            </w:pPr>
            <w:r>
              <w:rPr>
                <w:rFonts w:ascii="Arial" w:cs="Arial" w:eastAsia="Arial" w:hAnsi="Arial"/>
                <w:sz w:val="12"/>
                <w:szCs w:val="12"/>
                <w:b w:val="1"/>
                <w:bCs w:val="1"/>
                <w:color w:val="auto"/>
              </w:rPr>
              <w:t>Individual Impact Rating</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7"/>
              </w:rPr>
              <w:t>2017</w:t>
            </w: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Scorecard</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bottom w:val="single" w:sz="8" w:color="auto"/>
            </w:tcBorders>
            <w:gridSpan w:val="5"/>
          </w:tcPr>
          <w:p>
            <w:pPr>
              <w:jc w:val="center"/>
              <w:ind w:left="559"/>
              <w:spacing w:after="0"/>
              <w:rPr>
                <w:sz w:val="20"/>
                <w:szCs w:val="20"/>
                <w:color w:val="auto"/>
              </w:rPr>
            </w:pPr>
            <w:r>
              <w:rPr>
                <w:rFonts w:ascii="Arial" w:cs="Arial" w:eastAsia="Arial" w:hAnsi="Arial"/>
                <w:sz w:val="12"/>
                <w:szCs w:val="12"/>
                <w:b w:val="1"/>
                <w:bCs w:val="1"/>
                <w:color w:val="auto"/>
              </w:rPr>
              <w:t>Percentages</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00"/>
              <w:spacing w:after="0" w:line="119" w:lineRule="exact"/>
              <w:rPr>
                <w:sz w:val="20"/>
                <w:szCs w:val="20"/>
                <w:color w:val="auto"/>
              </w:rPr>
            </w:pPr>
            <w:r>
              <w:rPr>
                <w:rFonts w:ascii="Arial" w:cs="Arial" w:eastAsia="Arial" w:hAnsi="Arial"/>
                <w:sz w:val="12"/>
                <w:szCs w:val="12"/>
                <w:b w:val="1"/>
                <w:bCs w:val="1"/>
                <w:color w:val="auto"/>
              </w:rPr>
              <w:t>Target</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Target</w:t>
            </w:r>
          </w:p>
        </w:tc>
        <w:tc>
          <w:tcPr>
            <w:tcW w:w="8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Achieve-</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Target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19" w:lineRule="exact"/>
              <w:rPr>
                <w:sz w:val="20"/>
                <w:szCs w:val="20"/>
                <w:color w:val="auto"/>
              </w:rPr>
            </w:pPr>
            <w:r>
              <w:rPr>
                <w:rFonts w:ascii="Arial" w:cs="Arial" w:eastAsia="Arial" w:hAnsi="Arial"/>
                <w:sz w:val="12"/>
                <w:szCs w:val="12"/>
                <w:b w:val="1"/>
                <w:bCs w:val="1"/>
                <w:color w:val="auto"/>
              </w:rPr>
              <w:t>Discre-</w:t>
            </w:r>
          </w:p>
        </w:tc>
        <w:tc>
          <w:tcPr>
            <w:tcW w:w="76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rPr>
              <w:t>Incentive</w:t>
            </w: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60" w:type="dxa"/>
            <w:vAlign w:val="bottom"/>
          </w:tcPr>
          <w:p>
            <w:pPr>
              <w:jc w:val="right"/>
              <w:ind w:right="109"/>
              <w:spacing w:after="0" w:line="125" w:lineRule="exact"/>
              <w:rPr>
                <w:sz w:val="20"/>
                <w:szCs w:val="20"/>
                <w:color w:val="auto"/>
              </w:rPr>
            </w:pPr>
            <w:r>
              <w:rPr>
                <w:rFonts w:ascii="Arial" w:cs="Arial" w:eastAsia="Arial" w:hAnsi="Arial"/>
                <w:sz w:val="12"/>
                <w:szCs w:val="12"/>
                <w:b w:val="1"/>
                <w:bCs w:val="1"/>
                <w:color w:val="auto"/>
              </w:rPr>
              <w:t>Earned</w:t>
            </w: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jc w:val="center"/>
              <w:ind w:right="100"/>
              <w:spacing w:after="0" w:line="125" w:lineRule="exact"/>
              <w:rPr>
                <w:sz w:val="20"/>
                <w:szCs w:val="20"/>
                <w:color w:val="auto"/>
              </w:rPr>
            </w:pPr>
            <w:r>
              <w:rPr>
                <w:rFonts w:ascii="Arial" w:cs="Arial" w:eastAsia="Arial" w:hAnsi="Arial"/>
                <w:sz w:val="12"/>
                <w:szCs w:val="12"/>
                <w:b w:val="1"/>
                <w:bCs w:val="1"/>
                <w:color w:val="auto"/>
              </w:rPr>
              <w:t>Achieve-</w:t>
            </w:r>
          </w:p>
        </w:tc>
        <w:tc>
          <w:tcPr>
            <w:tcW w:w="70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Earned</w:t>
            </w:r>
          </w:p>
        </w:tc>
        <w:tc>
          <w:tcPr>
            <w:tcW w:w="72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99"/>
              </w:rPr>
              <w:t>tionary</w:t>
            </w:r>
          </w:p>
        </w:tc>
        <w:tc>
          <w:tcPr>
            <w:tcW w:w="94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160"/>
        </w:trPr>
        <w:tc>
          <w:tcPr>
            <w:tcW w:w="234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Opportunity</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6"/>
              </w:rPr>
              <w:t>Amount</w:t>
            </w:r>
            <w:r>
              <w:rPr>
                <w:rFonts w:ascii="Arial" w:cs="Arial" w:eastAsia="Arial" w:hAnsi="Arial"/>
                <w:sz w:val="18"/>
                <w:szCs w:val="18"/>
                <w:b w:val="1"/>
                <w:bCs w:val="1"/>
                <w:color w:val="auto"/>
                <w:w w:val="96"/>
                <w:vertAlign w:val="superscript"/>
              </w:rPr>
              <w:t>(1)</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2"/>
                <w:szCs w:val="12"/>
                <w:b w:val="1"/>
                <w:bCs w:val="1"/>
                <w:color w:val="auto"/>
                <w:w w:val="94"/>
              </w:rPr>
              <w:t>ment %</w:t>
            </w:r>
            <w:r>
              <w:rPr>
                <w:rFonts w:ascii="Arial" w:cs="Arial" w:eastAsia="Arial" w:hAnsi="Arial"/>
                <w:sz w:val="18"/>
                <w:szCs w:val="18"/>
                <w:b w:val="1"/>
                <w:bCs w:val="1"/>
                <w:color w:val="auto"/>
                <w:w w:val="94"/>
                <w:vertAlign w:val="superscript"/>
              </w:rPr>
              <w:t>(2)</w:t>
            </w:r>
          </w:p>
        </w:tc>
        <w:tc>
          <w:tcPr>
            <w:tcW w:w="100" w:type="dxa"/>
            <w:vAlign w:val="bottom"/>
          </w:tcPr>
          <w:p>
            <w:pPr>
              <w:spacing w:after="0"/>
              <w:rPr>
                <w:sz w:val="13"/>
                <w:szCs w:val="13"/>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2"/>
                <w:szCs w:val="12"/>
                <w:b w:val="1"/>
                <w:bCs w:val="1"/>
                <w:color w:val="auto"/>
                <w:w w:val="99"/>
              </w:rPr>
              <w:t>Amount</w:t>
            </w:r>
            <w:r>
              <w:rPr>
                <w:rFonts w:ascii="Arial" w:cs="Arial" w:eastAsia="Arial" w:hAnsi="Arial"/>
                <w:sz w:val="18"/>
                <w:szCs w:val="18"/>
                <w:b w:val="1"/>
                <w:bCs w:val="1"/>
                <w:color w:val="auto"/>
                <w:w w:val="99"/>
                <w:vertAlign w:val="superscript"/>
              </w:rPr>
              <w:t>(3)</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ment %</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Award</w:t>
            </w:r>
          </w:p>
        </w:tc>
        <w:tc>
          <w:tcPr>
            <w:tcW w:w="18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Award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42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7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$1,199,250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line="163" w:lineRule="exact"/>
              <w:rPr>
                <w:sz w:val="20"/>
                <w:szCs w:val="20"/>
                <w:color w:val="auto"/>
              </w:rPr>
            </w:pPr>
            <w:r>
              <w:rPr>
                <w:rFonts w:ascii="Arial" w:cs="Arial" w:eastAsia="Arial" w:hAnsi="Arial"/>
                <w:sz w:val="15"/>
                <w:szCs w:val="15"/>
                <w:color w:val="auto"/>
                <w:w w:val="99"/>
              </w:rPr>
              <w:t>$959,400</w:t>
            </w:r>
          </w:p>
        </w:tc>
        <w:tc>
          <w:tcPr>
            <w:tcW w:w="66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$1,269,208</w:t>
            </w:r>
          </w:p>
        </w:tc>
        <w:tc>
          <w:tcPr>
            <w:tcW w:w="72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$239,850</w:t>
            </w:r>
          </w:p>
        </w:tc>
        <w:tc>
          <w:tcPr>
            <w:tcW w:w="620" w:type="dxa"/>
            <w:vAlign w:val="bottom"/>
            <w:gridSpan w:val="2"/>
            <w:shd w:val="clear" w:color="auto" w:fill="CCEEFF"/>
          </w:tcPr>
          <w:p>
            <w:pPr>
              <w:jc w:val="center"/>
              <w:ind w:left="46"/>
              <w:spacing w:after="0" w:line="163" w:lineRule="exact"/>
              <w:rPr>
                <w:sz w:val="20"/>
                <w:szCs w:val="20"/>
                <w:color w:val="auto"/>
              </w:rPr>
            </w:pPr>
            <w:r>
              <w:rPr>
                <w:rFonts w:ascii="Arial" w:cs="Arial" w:eastAsia="Arial" w:hAnsi="Arial"/>
                <w:sz w:val="15"/>
                <w:szCs w:val="15"/>
                <w:color w:val="auto"/>
                <w:w w:val="98"/>
              </w:rPr>
              <w:t>150%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5"/>
              </w:rPr>
              <w:t>$359,775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$1,628,983</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spacing w:after="0"/>
              <w:rPr>
                <w:sz w:val="20"/>
                <w:szCs w:val="20"/>
                <w:color w:val="auto"/>
              </w:rPr>
            </w:pPr>
            <w:r>
              <w:rPr>
                <w:rFonts w:ascii="Arial" w:cs="Arial" w:eastAsia="Arial" w:hAnsi="Arial"/>
                <w:sz w:val="15"/>
                <w:szCs w:val="15"/>
                <w:color w:val="auto"/>
              </w:rPr>
              <w:t>Kevin J. Wilcox</w:t>
            </w:r>
          </w:p>
        </w:tc>
        <w:tc>
          <w:tcPr>
            <w:tcW w:w="780" w:type="dxa"/>
            <w:vAlign w:val="bottom"/>
          </w:tcPr>
          <w:p>
            <w:pPr>
              <w:jc w:val="right"/>
              <w:spacing w:after="0"/>
              <w:rPr>
                <w:sz w:val="20"/>
                <w:szCs w:val="20"/>
                <w:color w:val="auto"/>
              </w:rPr>
            </w:pPr>
            <w:r>
              <w:rPr>
                <w:rFonts w:ascii="Arial" w:cs="Arial" w:eastAsia="Arial" w:hAnsi="Arial"/>
                <w:sz w:val="15"/>
                <w:szCs w:val="15"/>
                <w:color w:val="auto"/>
              </w:rPr>
              <w:t>$465,834</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99"/>
              </w:rPr>
              <w:t>$372,667</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$493,008</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$93,167</w:t>
            </w:r>
          </w:p>
        </w:tc>
        <w:tc>
          <w:tcPr>
            <w:tcW w:w="620" w:type="dxa"/>
            <w:vAlign w:val="bottom"/>
            <w:gridSpan w:val="2"/>
          </w:tcPr>
          <w:p>
            <w:pPr>
              <w:jc w:val="center"/>
              <w:ind w:left="46"/>
              <w:spacing w:after="0"/>
              <w:rPr>
                <w:sz w:val="20"/>
                <w:szCs w:val="20"/>
                <w:color w:val="auto"/>
              </w:rPr>
            </w:pPr>
            <w:r>
              <w:rPr>
                <w:rFonts w:ascii="Arial" w:cs="Arial" w:eastAsia="Arial" w:hAnsi="Arial"/>
                <w:sz w:val="15"/>
                <w:szCs w:val="15"/>
                <w:color w:val="auto"/>
                <w:w w:val="98"/>
              </w:rPr>
              <w:t>150%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5"/>
              </w:rPr>
              <w:t>$139,750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$632,758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$280,000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$224,000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62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8"/>
              </w:rPr>
              <w:t>150%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$84,000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$374,500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spacing w:after="0"/>
              <w:rPr>
                <w:sz w:val="20"/>
                <w:szCs w:val="20"/>
                <w:color w:val="auto"/>
              </w:rPr>
            </w:pPr>
            <w:r>
              <w:rPr>
                <w:rFonts w:ascii="Arial" w:cs="Arial" w:eastAsia="Arial" w:hAnsi="Arial"/>
                <w:sz w:val="15"/>
                <w:szCs w:val="15"/>
                <w:color w:val="auto"/>
              </w:rPr>
              <w:t>Joseph A. Davila</w:t>
            </w:r>
          </w:p>
        </w:tc>
        <w:tc>
          <w:tcPr>
            <w:tcW w:w="780" w:type="dxa"/>
            <w:vAlign w:val="bottom"/>
          </w:tcPr>
          <w:p>
            <w:pPr>
              <w:jc w:val="right"/>
              <w:spacing w:after="0"/>
              <w:rPr>
                <w:sz w:val="20"/>
                <w:szCs w:val="20"/>
                <w:color w:val="auto"/>
              </w:rPr>
            </w:pPr>
            <w:r>
              <w:rPr>
                <w:rFonts w:ascii="Arial" w:cs="Arial" w:eastAsia="Arial" w:hAnsi="Arial"/>
                <w:sz w:val="15"/>
                <w:szCs w:val="15"/>
                <w:color w:val="auto"/>
              </w:rPr>
              <w:t>$316,666</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5"/>
                <w:szCs w:val="15"/>
                <w:color w:val="auto"/>
                <w:w w:val="99"/>
              </w:rPr>
              <w:t>$253,333</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$223,514</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$63,333</w:t>
            </w:r>
          </w:p>
        </w:tc>
        <w:tc>
          <w:tcPr>
            <w:tcW w:w="620" w:type="dxa"/>
            <w:vAlign w:val="bottom"/>
            <w:gridSpan w:val="2"/>
          </w:tcPr>
          <w:p>
            <w:pPr>
              <w:jc w:val="center"/>
              <w:ind w:left="46"/>
              <w:spacing w:after="0"/>
              <w:rPr>
                <w:sz w:val="20"/>
                <w:szCs w:val="20"/>
                <w:color w:val="auto"/>
              </w:rPr>
            </w:pPr>
            <w:r>
              <w:rPr>
                <w:rFonts w:ascii="Arial" w:cs="Arial" w:eastAsia="Arial" w:hAnsi="Arial"/>
                <w:sz w:val="15"/>
                <w:szCs w:val="15"/>
                <w:color w:val="auto"/>
                <w:w w:val="98"/>
              </w:rPr>
              <w:t>150%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$95,000</w:t>
            </w:r>
          </w:p>
        </w:tc>
        <w:tc>
          <w:tcPr>
            <w:tcW w:w="72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$31,486</w:t>
            </w:r>
            <w:r>
              <w:rPr>
                <w:rFonts w:ascii="Arial" w:cs="Arial" w:eastAsia="Arial" w:hAnsi="Arial"/>
                <w:sz w:val="19"/>
                <w:szCs w:val="19"/>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5"/>
                <w:szCs w:val="15"/>
                <w:color w:val="auto"/>
              </w:rPr>
              <w:t>$318,514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$231,250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$185,000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$162,598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$46,250</w:t>
            </w:r>
          </w:p>
        </w:tc>
        <w:tc>
          <w:tcPr>
            <w:tcW w:w="62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8"/>
              </w:rPr>
              <w:t>150%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$69,375</w:t>
            </w:r>
          </w:p>
        </w:tc>
        <w:tc>
          <w:tcPr>
            <w:tcW w:w="72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2"/>
                <w:szCs w:val="12"/>
                <w:color w:val="auto"/>
              </w:rPr>
              <w:t>$23,125</w:t>
            </w:r>
            <w:r>
              <w:rPr>
                <w:rFonts w:ascii="Arial" w:cs="Arial" w:eastAsia="Arial" w:hAnsi="Arial"/>
                <w:sz w:val="19"/>
                <w:szCs w:val="19"/>
                <w:color w:val="auto"/>
                <w:vertAlign w:val="superscript"/>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$231,973</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600" w:hanging="464"/>
        <w:spacing w:after="0"/>
        <w:tabs>
          <w:tab w:leader="none" w:pos="160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Represents eighty percent (80%) of the executive's 2017 target incentive opportunity.</w:t>
      </w:r>
    </w:p>
    <w:p>
      <w:pPr>
        <w:spacing w:after="0" w:line="137" w:lineRule="exact"/>
        <w:rPr>
          <w:rFonts w:ascii="Arial" w:cs="Arial" w:eastAsia="Arial" w:hAnsi="Arial"/>
          <w:sz w:val="25"/>
          <w:szCs w:val="25"/>
          <w:color w:val="auto"/>
          <w:vertAlign w:val="superscript"/>
        </w:rPr>
      </w:pPr>
    </w:p>
    <w:p>
      <w:pPr>
        <w:ind w:left="1600" w:hanging="464"/>
        <w:spacing w:after="0" w:line="181" w:lineRule="auto"/>
        <w:tabs>
          <w:tab w:leader="none" w:pos="160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Percentage calculated based on the achievements against goals in the executive's personal scorecard outlined above.</w:t>
      </w:r>
    </w:p>
    <w:p>
      <w:pPr>
        <w:spacing w:after="0" w:line="126" w:lineRule="exact"/>
        <w:rPr>
          <w:rFonts w:ascii="Arial" w:cs="Arial" w:eastAsia="Arial" w:hAnsi="Arial"/>
          <w:sz w:val="25"/>
          <w:szCs w:val="25"/>
          <w:color w:val="auto"/>
          <w:vertAlign w:val="superscript"/>
        </w:rPr>
      </w:pPr>
    </w:p>
    <w:p>
      <w:pPr>
        <w:ind w:left="1600" w:hanging="464"/>
        <w:spacing w:after="0" w:line="181" w:lineRule="auto"/>
        <w:tabs>
          <w:tab w:leader="none" w:pos="160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Represents twenty percent (20%) of the executive's 2017 target incentive opportunity.</w:t>
      </w:r>
    </w:p>
    <w:p>
      <w:pPr>
        <w:spacing w:after="0" w:line="165" w:lineRule="exact"/>
        <w:rPr>
          <w:rFonts w:ascii="Arial" w:cs="Arial" w:eastAsia="Arial" w:hAnsi="Arial"/>
          <w:sz w:val="25"/>
          <w:szCs w:val="25"/>
          <w:color w:val="auto"/>
          <w:vertAlign w:val="superscript"/>
        </w:rPr>
      </w:pPr>
    </w:p>
    <w:p>
      <w:pPr>
        <w:ind w:left="1600" w:right="280" w:hanging="464"/>
        <w:spacing w:after="0" w:line="198" w:lineRule="auto"/>
        <w:tabs>
          <w:tab w:leader="none" w:pos="160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Represents a one-time discretionary award to reflect the executive's efforts and accomplishments leading our Servicer Solutions business and revenue diversification efforts to position it for continued growth, and contribution to the completion of our Cooperative Brokerage Agreement with NRZ.</w:t>
      </w:r>
    </w:p>
    <w:p>
      <w:pPr>
        <w:spacing w:after="0" w:line="176" w:lineRule="exact"/>
        <w:rPr>
          <w:rFonts w:ascii="Arial" w:cs="Arial" w:eastAsia="Arial" w:hAnsi="Arial"/>
          <w:sz w:val="25"/>
          <w:szCs w:val="25"/>
          <w:color w:val="auto"/>
          <w:vertAlign w:val="superscript"/>
        </w:rPr>
      </w:pPr>
    </w:p>
    <w:p>
      <w:pPr>
        <w:ind w:left="1600" w:right="120" w:hanging="464"/>
        <w:spacing w:after="0" w:line="198" w:lineRule="auto"/>
        <w:tabs>
          <w:tab w:leader="none" w:pos="1600" w:val="left"/>
        </w:tabs>
        <w:numPr>
          <w:ilvl w:val="0"/>
          <w:numId w:val="45"/>
        </w:numPr>
        <w:rPr>
          <w:rFonts w:ascii="Arial" w:cs="Arial" w:eastAsia="Arial" w:hAnsi="Arial"/>
          <w:sz w:val="25"/>
          <w:szCs w:val="25"/>
          <w:color w:val="auto"/>
          <w:vertAlign w:val="superscript"/>
        </w:rPr>
      </w:pPr>
      <w:r>
        <w:rPr>
          <w:rFonts w:ascii="Arial" w:cs="Arial" w:eastAsia="Arial" w:hAnsi="Arial"/>
          <w:sz w:val="15"/>
          <w:szCs w:val="15"/>
          <w:color w:val="auto"/>
        </w:rPr>
        <w:t>Represents a one-time discretionary award to reflect the executive's significant contributions to our corporate initiatives, including the amendment of our SSTL and the completion of the Luxembourg subsidiary restructuring, as well as the completion of our Cooperative Brokerage Agreement with NRZ.</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Target incentive opportunities are set in U.S. dollars and, at the executive's discretion, may be paid in U.S. dollars and/or in euros converted from U.S. dollars at the exchange rate on or around the date of payment. For 2017, the incentive compensation for Messrs. Shepro and Ritts was paid in euros, in whole or in part, using the exchange rate applicable on March 6, 2018. Please see the Summary Compensation Table under the "Executive Compensation" section below for additional details.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2018 Annual Incentive Compensation</w:t>
      </w:r>
    </w:p>
    <w:p>
      <w:pPr>
        <w:spacing w:after="0" w:line="182" w:lineRule="exact"/>
        <w:rPr>
          <w:sz w:val="20"/>
          <w:szCs w:val="20"/>
          <w:color w:val="auto"/>
        </w:rPr>
      </w:pPr>
    </w:p>
    <w:p>
      <w:pPr>
        <w:ind w:right="420"/>
        <w:spacing w:after="0" w:line="247" w:lineRule="auto"/>
        <w:rPr>
          <w:sz w:val="20"/>
          <w:szCs w:val="20"/>
          <w:color w:val="auto"/>
        </w:rPr>
      </w:pPr>
      <w:r>
        <w:rPr>
          <w:rFonts w:ascii="Arial" w:cs="Arial" w:eastAsia="Arial" w:hAnsi="Arial"/>
          <w:sz w:val="15"/>
          <w:szCs w:val="15"/>
          <w:color w:val="auto"/>
        </w:rPr>
        <w:t>The Company's 2018 key performance indicators have been developed and the corporate scorecard was approved by the Board of Directors on February 13, 2018 and amended by the Board of Directors on May 15, 2018.</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The corporate scorecard for 2018, as amended, includes (i) consolidated service revenue and adjusted diluted EPS targets and (ii) growth initiative or business segment specific service revenue and adjusted pre-tax income targets. For 2018, the personal scorecards of our Named Executive Officers will be tied to one or both of these financial targets. In addition, the corporate scorecard provides for the successful completion of strategic initiatives established to enhance long-term corporate and shareholder value. These strategic initiatives relate to (i) enhancing our compliance management system, (ii) improving customer experience and (iii) accomplishing other corporate level initiatives.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In the first quarter of 2018, the Compensation Committee also approved the following design changes to our annual incentive plan:</w:t>
      </w:r>
    </w:p>
    <w:p>
      <w:pPr>
        <w:spacing w:after="0" w:line="166" w:lineRule="exact"/>
        <w:rPr>
          <w:sz w:val="20"/>
          <w:szCs w:val="20"/>
          <w:color w:val="auto"/>
        </w:rPr>
      </w:pPr>
    </w:p>
    <w:p>
      <w:pPr>
        <w:ind w:left="900" w:right="180" w:hanging="451"/>
        <w:spacing w:after="0" w:line="246"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Simplification of the personal scorecard structure. </w:t>
      </w:r>
      <w:r>
        <w:rPr>
          <w:rFonts w:ascii="Arial" w:cs="Arial" w:eastAsia="Arial" w:hAnsi="Arial"/>
          <w:sz w:val="15"/>
          <w:szCs w:val="15"/>
          <w:color w:val="auto"/>
        </w:rPr>
        <w:t>Beginning with 2018 annual incentives, a larger percentage of the personal scorecards of our Named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and other incentive-eligible employees will be tied to the achievement of financial targets and simplified goals. These financial targets will include business unit specific service revenue targets and adjusted pre-tax income targets as well as Company service revenue and adjusted diluted EPS targets. We expect that financial targets will comprise approximately sixty percent (60%) to ninety percent (90%) of the annual incentive of the target incentive opportunity for incentive-eligible employees in 2018, versus thirty percent (30%) to fifty percent (50%) in 2017.</w:t>
      </w:r>
    </w:p>
    <w:p>
      <w:pPr>
        <w:spacing w:after="0" w:line="157" w:lineRule="exact"/>
        <w:rPr>
          <w:rFonts w:ascii="Arial" w:cs="Arial" w:eastAsia="Arial" w:hAnsi="Arial"/>
          <w:sz w:val="15"/>
          <w:szCs w:val="15"/>
          <w:color w:val="auto"/>
        </w:rPr>
      </w:pPr>
    </w:p>
    <w:p>
      <w:pPr>
        <w:ind w:left="900" w:hanging="451"/>
        <w:spacing w:after="0" w:line="244"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Adoption of a new payout methodology that includes a significant equity component. </w:t>
      </w:r>
      <w:r>
        <w:rPr>
          <w:rFonts w:ascii="Arial" w:cs="Arial" w:eastAsia="Arial" w:hAnsi="Arial"/>
          <w:sz w:val="15"/>
          <w:szCs w:val="15"/>
          <w:color w:val="auto"/>
        </w:rPr>
        <w:t>The Compensation Committee approved changing the payout</w:t>
      </w:r>
      <w:r>
        <w:rPr>
          <w:rFonts w:ascii="Arial" w:cs="Arial" w:eastAsia="Arial" w:hAnsi="Arial"/>
          <w:sz w:val="15"/>
          <w:szCs w:val="15"/>
          <w:i w:val="1"/>
          <w:iCs w:val="1"/>
          <w:color w:val="auto"/>
        </w:rPr>
        <w:t xml:space="preserve"> </w:t>
      </w:r>
      <w:r>
        <w:rPr>
          <w:rFonts w:ascii="Arial" w:cs="Arial" w:eastAsia="Arial" w:hAnsi="Arial"/>
          <w:sz w:val="15"/>
          <w:szCs w:val="15"/>
          <w:color w:val="auto"/>
        </w:rPr>
        <w:t>methodology of our annual incentive plan beginning in 2018 to reduce the cash component and replace it with a longer term equity component (restricted share units ("RSUs")) for our executive officers and other incentive eligible employees. The equity portion of the incentive award payouts will be determined based on allocation elections made by participating employees, subject to certain parameters including a minimum of twenty-five percent (25%) and a maximum of fifty percent (50%) of the annual incentive in RSUs for the 2018 service year and an anticipated minimum of thirty-five percent (35%) and an anticipated maximum of one hundred percent (100%) for the 2019 service year. We anticipate that this new payout methodology will create a greater sense of ownership throughout the organization, motivate employees to create long-term value for shareholders and support retention.</w:t>
      </w:r>
    </w:p>
    <w:p>
      <w:pPr>
        <w:spacing w:after="0" w:line="145" w:lineRule="exact"/>
        <w:rPr>
          <w:rFonts w:ascii="Arial" w:cs="Arial" w:eastAsia="Arial" w:hAnsi="Arial"/>
          <w:sz w:val="15"/>
          <w:szCs w:val="15"/>
          <w:color w:val="auto"/>
        </w:rPr>
      </w:pPr>
    </w:p>
    <w:p>
      <w:pPr>
        <w:ind w:left="900" w:right="60" w:hanging="451"/>
        <w:spacing w:after="0" w:line="241"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One hundred percent (100%) of incentive compensation awards will be determined based on scorecard performance. </w:t>
      </w:r>
      <w:r>
        <w:rPr>
          <w:rFonts w:ascii="Arial" w:cs="Arial" w:eastAsia="Arial" w:hAnsi="Arial"/>
          <w:sz w:val="15"/>
          <w:szCs w:val="15"/>
          <w:color w:val="auto"/>
        </w:rPr>
        <w:t>Beginning in 2018, one hundred percent</w:t>
      </w:r>
      <w:r>
        <w:rPr>
          <w:rFonts w:ascii="Arial" w:cs="Arial" w:eastAsia="Arial" w:hAnsi="Arial"/>
          <w:sz w:val="15"/>
          <w:szCs w:val="15"/>
          <w:i w:val="1"/>
          <w:iCs w:val="1"/>
          <w:color w:val="auto"/>
        </w:rPr>
        <w:t xml:space="preserve"> </w:t>
      </w:r>
      <w:r>
        <w:rPr>
          <w:rFonts w:ascii="Arial" w:cs="Arial" w:eastAsia="Arial" w:hAnsi="Arial"/>
          <w:sz w:val="15"/>
          <w:szCs w:val="15"/>
          <w:color w:val="auto"/>
        </w:rPr>
        <w:t>(100%) of our Named Executive Officers' incentive compensation will be tied to the performance targets set forth in their personal scorecards, which will consist of goals tied to consolidated Altisource service revenue, Altisource adjusted diluted EPS (a non-GAAP measure), compliance adherence and an enhanced customer experience. For Mr. Davila (and additional business unit heads that are not Named Executive Officers), it will also include goals related to their respective business' service revenue and adjusted pretax income. This change will serve to reinforce our emphasis on performance against objective financial targets, delivering exceptional customer service and adhering to compliance standards. In addition, our Named Executive Officers' individual impact ratings will measure whether the executives have created long-term shareholder value by collaborating across business units, developing strategic business ideas and implementing operational excellence and process improvements. Unlike the performance appraisal in prior years, this rating will not be tied to a portion of the executive's target incentive opportunity; rather, a positive rating will be a condition of the executive's eligibility to receive the portion of his or her incentive that is tied to overall Altisource corporate performance. We expect that fifteen percent (15%) to ninety percent (90%) of the annual incentive of our Named Executive Officers will be tied to overall Altisource corporate performance, with the Chief Executive Officer and the majority of the other Named Executive Officers having over fifty percent (50%) of their annual incentive tied to those targets.</w:t>
      </w:r>
    </w:p>
    <w:p>
      <w:pPr>
        <w:spacing w:after="0" w:line="153" w:lineRule="exact"/>
        <w:rPr>
          <w:rFonts w:ascii="Arial" w:cs="Arial" w:eastAsia="Arial" w:hAnsi="Arial"/>
          <w:sz w:val="15"/>
          <w:szCs w:val="15"/>
          <w:color w:val="auto"/>
        </w:rPr>
      </w:pPr>
    </w:p>
    <w:p>
      <w:pPr>
        <w:ind w:left="900" w:right="80" w:hanging="451"/>
        <w:spacing w:after="0" w:line="246"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Approval of equity awards based on achieving goals tied to 2018 adjusted diluted EPS. </w:t>
      </w:r>
      <w:r>
        <w:rPr>
          <w:rFonts w:ascii="Arial" w:cs="Arial" w:eastAsia="Arial" w:hAnsi="Arial"/>
          <w:sz w:val="15"/>
          <w:szCs w:val="15"/>
          <w:color w:val="auto"/>
        </w:rPr>
        <w:t>Additionally, in February 2018, the Compensation Committee approved</w:t>
      </w:r>
      <w:r>
        <w:rPr>
          <w:rFonts w:ascii="Arial" w:cs="Arial" w:eastAsia="Arial" w:hAnsi="Arial"/>
          <w:sz w:val="15"/>
          <w:szCs w:val="15"/>
          <w:i w:val="1"/>
          <w:iCs w:val="1"/>
          <w:color w:val="auto"/>
        </w:rPr>
        <w:t xml:space="preserve"> </w:t>
      </w:r>
      <w:r>
        <w:rPr>
          <w:rFonts w:ascii="Arial" w:cs="Arial" w:eastAsia="Arial" w:hAnsi="Arial"/>
          <w:sz w:val="15"/>
          <w:szCs w:val="15"/>
          <w:color w:val="auto"/>
        </w:rPr>
        <w:t>a program pursuant to which a one-time equity award would be issued to each of our Named Executive Officers and certain other key executives upon a determination by the Committee of achievement by the Company of target adjusted diluted EPS (a non-GAAP measure) and the executive's achievement of a designated level of their scorecard performance for 2018. This program is expected to help with the retention of these key executives, provide them with an additional incentive for superior performance and create long-term value for shareholders.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Relocation and Foreign Living Allowances</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5"/>
          <w:szCs w:val="15"/>
          <w:color w:val="auto"/>
        </w:rPr>
        <w:t>Since we are a Luxembourg company, our Named Executive Officers are generally based at our corporate headquarters in Luxembourg. This is consistent with our view that daily interaction of our leadership team at our headquarters helps us to efficiently develop and execute our strategic initiatives. Often the executive talent we seek to attract to Luxembourg is based in the United States. To attract and appropriately incent our Named Executive Officers, we provide each with certain relocation and foreign living allowances and other benefits that the Compensation Committee believes are reasonable and consistent with our overall compensation philosophy to attract and retain superior employees for key positions requiring relocation.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normalization. Tax normalization is an expatriate benefit, which provides for the executive to be compensated for the excess income taxes paid relative to the income taxes the executive would be paying in his or her country of origin.</w:t>
      </w:r>
    </w:p>
    <w:p>
      <w:pPr>
        <w:spacing w:after="0" w:line="177" w:lineRule="exact"/>
        <w:rPr>
          <w:sz w:val="20"/>
          <w:szCs w:val="20"/>
          <w:color w:val="auto"/>
        </w:rPr>
      </w:pPr>
    </w:p>
    <w:p>
      <w:pPr>
        <w:ind w:right="160"/>
        <w:spacing w:after="0" w:line="247" w:lineRule="auto"/>
        <w:rPr>
          <w:sz w:val="20"/>
          <w:szCs w:val="20"/>
          <w:color w:val="auto"/>
        </w:rPr>
      </w:pPr>
      <w:r>
        <w:rPr>
          <w:rFonts w:ascii="Arial" w:cs="Arial" w:eastAsia="Arial" w:hAnsi="Arial"/>
          <w:sz w:val="15"/>
          <w:szCs w:val="15"/>
          <w:color w:val="auto"/>
        </w:rPr>
        <w:t>Please see the Summary Compensation Table under the "Executive Compensation" section for details regarding the relocation benefits received by each Named Executive Officer in 2017.</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Benefits</w:t>
      </w:r>
    </w:p>
    <w:p>
      <w:pPr>
        <w:spacing w:after="0" w:line="200"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employees, including our executive officers, are eligible to participate in the Company's international health and travel plan.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2009 Equity Incentive Plan</w:t>
      </w:r>
    </w:p>
    <w:p>
      <w:pPr>
        <w:spacing w:after="0" w:line="182" w:lineRule="exact"/>
        <w:rPr>
          <w:sz w:val="20"/>
          <w:szCs w:val="20"/>
          <w:color w:val="auto"/>
        </w:rPr>
      </w:pPr>
    </w:p>
    <w:p>
      <w:pPr>
        <w:ind w:right="520"/>
        <w:spacing w:after="0" w:line="247" w:lineRule="auto"/>
        <w:rPr>
          <w:sz w:val="20"/>
          <w:szCs w:val="20"/>
          <w:color w:val="auto"/>
        </w:rPr>
      </w:pPr>
      <w:r>
        <w:rPr>
          <w:rFonts w:ascii="Arial" w:cs="Arial" w:eastAsia="Arial" w:hAnsi="Arial"/>
          <w:sz w:val="15"/>
          <w:szCs w:val="15"/>
          <w:color w:val="auto"/>
        </w:rPr>
        <w:t>Altisource provides long-term equity incentive opportunities for eligible employees, including our Named Executive Officers, under our 2009 Equity Incentive Plan. The Compensation Committee administers the 2009 Equity Incentive Plan, which was approved by our shareholders in 2009.</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Equity awards are generally provided in the form of restricted shares, RSUs or stock options, with a significant portion of the grants generally tied to market criteria or other financial targets. Through the use of performance-based awards, the Compensation Committee endeavors to ensure that the receipt of significant equity-based compensation is conditioned on the Company's performance exceeding appropriate benchmarks to create shareholder value. The Compensation Committee also grants awards subject to time-based vesting to encourage retention and further align the recipients' interests with those of the shareholders of the Company.</w:t>
      </w:r>
    </w:p>
    <w:p>
      <w:pPr>
        <w:spacing w:after="0" w:line="177"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Award agreements include a covenant not to disclose our confidential information. In addition, the award recipient is generally bound by non-competition and non-solicitation covenants for a minimum period of two (2) years following the end of his or her employment with the Company.</w:t>
      </w:r>
    </w:p>
    <w:p>
      <w:pPr>
        <w:spacing w:after="0" w:line="171" w:lineRule="exact"/>
        <w:rPr>
          <w:sz w:val="20"/>
          <w:szCs w:val="20"/>
          <w:color w:val="auto"/>
        </w:rPr>
      </w:pPr>
    </w:p>
    <w:p>
      <w:pPr>
        <w:jc w:val="both"/>
        <w:ind w:right="20"/>
        <w:spacing w:after="0" w:line="243" w:lineRule="auto"/>
        <w:rPr>
          <w:sz w:val="20"/>
          <w:szCs w:val="20"/>
          <w:color w:val="auto"/>
        </w:rPr>
      </w:pPr>
      <w:r>
        <w:rPr>
          <w:rFonts w:ascii="Arial" w:cs="Arial" w:eastAsia="Arial" w:hAnsi="Arial"/>
          <w:sz w:val="15"/>
          <w:szCs w:val="15"/>
          <w:color w:val="auto"/>
        </w:rPr>
        <w:t>To determine the level and type of equity awards for an executive, the Compensation Committee considers various factors, such as the individual's position, feedback from its independent compensation consultant, peer company benchmarking, scope of responsibility, ability to affect profits and shareholder value, individual performance, a review of the executive's existing long-term incentives, retention considerations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and/or the value of the equity in relation to other elements of the individual executive's total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Equity Awards to our Named Executive Officers</w:t>
      </w:r>
    </w:p>
    <w:p>
      <w:pPr>
        <w:spacing w:after="0" w:line="182" w:lineRule="exact"/>
        <w:rPr>
          <w:sz w:val="20"/>
          <w:szCs w:val="20"/>
          <w:color w:val="auto"/>
        </w:rPr>
      </w:pPr>
    </w:p>
    <w:p>
      <w:pPr>
        <w:ind w:right="160"/>
        <w:spacing w:after="0" w:line="247" w:lineRule="auto"/>
        <w:rPr>
          <w:sz w:val="20"/>
          <w:szCs w:val="20"/>
          <w:color w:val="auto"/>
        </w:rPr>
      </w:pPr>
      <w:r>
        <w:rPr>
          <w:rFonts w:ascii="Arial" w:cs="Arial" w:eastAsia="Arial" w:hAnsi="Arial"/>
          <w:sz w:val="15"/>
          <w:szCs w:val="15"/>
          <w:color w:val="auto"/>
        </w:rPr>
        <w:t>In the second quarter of 2017 and first quarter of 2018, equity awards were made to each of our Named Executive Officers, other than Mr. Chatterjee, under the Company's Long-Term Incentive Plan, reflecting the Company's transition towards a more regular annual equity grant practice.</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As detailed below, during this period, equity grants were also made from time to time to certain of our Named Executive Officers based on various factors, including attracting new talent, meeting special retention objectives or other reasons our Compensation Committee deemed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2017 Long-Term Incentive Plan Awards</w:t>
      </w:r>
    </w:p>
    <w:p>
      <w:pPr>
        <w:spacing w:after="0" w:line="182"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On April 7, 2017, the Compensation Committee approved a Long-term Incentive Plan (the "LTI") for key executives and employees of the Company, including the Company's then Named Executive Officers. The LTI was developed in consultation with the Compensation Committee's independent executive compensation consultant, Exequity, and is designed to provide these executives and employees with market-competitive long-term incentive opportunities that align their performance with the interests of our shareholders and assist in their retention. The Compensation Committee's approval of the plan reflects the Compensation Committee's intent to transition towards a more regular annual equity grant practice, in line with prevailing market practice and the advice of its independent compensation consultant.</w:t>
      </w:r>
    </w:p>
    <w:p>
      <w:pPr>
        <w:spacing w:after="0" w:line="175" w:lineRule="exact"/>
        <w:rPr>
          <w:sz w:val="20"/>
          <w:szCs w:val="20"/>
          <w:color w:val="auto"/>
        </w:rPr>
      </w:pPr>
    </w:p>
    <w:p>
      <w:pPr>
        <w:ind w:right="180"/>
        <w:spacing w:after="0" w:line="243" w:lineRule="auto"/>
        <w:rPr>
          <w:sz w:val="20"/>
          <w:szCs w:val="20"/>
          <w:color w:val="auto"/>
        </w:rPr>
      </w:pPr>
      <w:r>
        <w:rPr>
          <w:rFonts w:ascii="Arial" w:cs="Arial" w:eastAsia="Arial" w:hAnsi="Arial"/>
          <w:sz w:val="15"/>
          <w:szCs w:val="15"/>
          <w:color w:val="auto"/>
        </w:rPr>
        <w:t>Equity awards for the calendar year 2017 were made to our Named Executive Officers (other than Mr. Chatterjee who had not joined the Company) on April 7, 2017. These awards consist of a mix of stock options with performance-based vesting requirements and restricted shares with both performance-based and service-based vesting requirements.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60" w:type="dxa"/>
            <w:vAlign w:val="bottom"/>
            <w:gridSpan w:val="3"/>
          </w:tcPr>
          <w:p>
            <w:pPr>
              <w:spacing w:after="0"/>
              <w:rPr>
                <w:sz w:val="20"/>
                <w:szCs w:val="20"/>
                <w:color w:val="auto"/>
              </w:rPr>
            </w:pPr>
            <w:r>
              <w:rPr>
                <w:rFonts w:ascii="Arial" w:cs="Arial" w:eastAsia="Arial" w:hAnsi="Arial"/>
                <w:sz w:val="15"/>
                <w:szCs w:val="15"/>
                <w:color w:val="auto"/>
              </w:rPr>
              <w:t>2017 LTI equity awards were approved for these executives as follows: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2017 Performance-</w:t>
            </w:r>
          </w:p>
        </w:tc>
        <w:tc>
          <w:tcPr>
            <w:tcW w:w="18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2017 Performance-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7"/>
              </w:rPr>
              <w:t>Based</w:t>
            </w:r>
          </w:p>
        </w:tc>
        <w:tc>
          <w:tcPr>
            <w:tcW w:w="180" w:type="dxa"/>
            <w:vAlign w:val="bottom"/>
          </w:tcPr>
          <w:p>
            <w:pPr>
              <w:spacing w:after="0"/>
              <w:rPr>
                <w:sz w:val="15"/>
                <w:szCs w:val="15"/>
                <w:color w:val="auto"/>
              </w:rPr>
            </w:pPr>
          </w:p>
        </w:tc>
        <w:tc>
          <w:tcPr>
            <w:tcW w:w="1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7"/>
              </w:rPr>
              <w:t>Based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jc w:val="center"/>
              <w:spacing w:after="0" w:line="194" w:lineRule="exact"/>
              <w:rPr>
                <w:sz w:val="20"/>
                <w:szCs w:val="20"/>
                <w:color w:val="auto"/>
              </w:rPr>
            </w:pPr>
            <w:r>
              <w:rPr>
                <w:rFonts w:ascii="Arial" w:cs="Arial" w:eastAsia="Arial" w:hAnsi="Arial"/>
                <w:sz w:val="14"/>
                <w:szCs w:val="14"/>
                <w:b w:val="1"/>
                <w:bCs w:val="1"/>
                <w:color w:val="auto"/>
              </w:rPr>
              <w:t>Restricted Shares</w:t>
            </w:r>
            <w:r>
              <w:rPr>
                <w:rFonts w:ascii="Arial" w:cs="Arial" w:eastAsia="Arial" w:hAnsi="Arial"/>
                <w:sz w:val="22"/>
                <w:szCs w:val="22"/>
                <w:b w:val="1"/>
                <w:bCs w:val="1"/>
                <w:color w:val="auto"/>
                <w:vertAlign w:val="superscript"/>
              </w:rPr>
              <w:t>(1)</w:t>
            </w:r>
          </w:p>
        </w:tc>
        <w:tc>
          <w:tcPr>
            <w:tcW w:w="180" w:type="dxa"/>
            <w:vAlign w:val="bottom"/>
          </w:tcPr>
          <w:p>
            <w:pPr>
              <w:spacing w:after="0"/>
              <w:rPr>
                <w:sz w:val="16"/>
                <w:szCs w:val="16"/>
                <w:color w:val="auto"/>
              </w:rPr>
            </w:pPr>
          </w:p>
        </w:tc>
        <w:tc>
          <w:tcPr>
            <w:tcW w:w="1600" w:type="dxa"/>
            <w:vAlign w:val="bottom"/>
            <w:gridSpan w:val="3"/>
          </w:tcPr>
          <w:p>
            <w:pPr>
              <w:jc w:val="center"/>
              <w:spacing w:after="0" w:line="194" w:lineRule="exact"/>
              <w:rPr>
                <w:sz w:val="20"/>
                <w:szCs w:val="20"/>
                <w:color w:val="auto"/>
              </w:rPr>
            </w:pPr>
            <w:r>
              <w:rPr>
                <w:rFonts w:ascii="Arial" w:cs="Arial" w:eastAsia="Arial" w:hAnsi="Arial"/>
                <w:sz w:val="14"/>
                <w:szCs w:val="14"/>
                <w:b w:val="1"/>
                <w:bCs w:val="1"/>
                <w:color w:val="auto"/>
              </w:rPr>
              <w:t>Stock Options</w:t>
            </w:r>
            <w:r>
              <w:rPr>
                <w:rFonts w:ascii="Arial" w:cs="Arial" w:eastAsia="Arial" w:hAnsi="Arial"/>
                <w:sz w:val="22"/>
                <w:szCs w:val="22"/>
                <w:b w:val="1"/>
                <w:bCs w:val="1"/>
                <w:color w:val="auto"/>
                <w:vertAlign w:val="superscript"/>
              </w:rPr>
              <w:t>(1)</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7"/>
              </w:rPr>
              <w:t>Service</w:t>
            </w:r>
          </w:p>
        </w:tc>
        <w:tc>
          <w:tcPr>
            <w:tcW w:w="2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9"/>
              </w:rPr>
              <w:t>Service-</w:t>
            </w: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Revenue</w:t>
            </w:r>
          </w:p>
        </w:tc>
        <w:tc>
          <w:tcPr>
            <w:tcW w:w="200" w:type="dxa"/>
            <w:vAlign w:val="bottom"/>
            <w:vMerge w:val="restart"/>
          </w:tcPr>
          <w:p>
            <w:pPr>
              <w:spacing w:after="0" w:line="20" w:lineRule="exact"/>
              <w:rPr>
                <w:sz w:val="1"/>
                <w:szCs w:val="1"/>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w w:val="97"/>
              </w:rPr>
              <w:t>Based</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Adjusted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Adjusted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5"/>
                <w:szCs w:val="15"/>
                <w:b w:val="1"/>
                <w:bCs w:val="1"/>
                <w:color w:val="auto"/>
                <w:w w:val="98"/>
              </w:rPr>
              <w:t>Pre-Tax</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6"/>
              </w:rPr>
              <w:t>Diversified</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Pre-Tax</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6"/>
              </w:rPr>
              <w:t>Diversified</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5"/>
                <w:szCs w:val="15"/>
                <w:b w:val="1"/>
                <w:bCs w:val="1"/>
                <w:color w:val="auto"/>
                <w:w w:val="97"/>
              </w:rPr>
              <w:t>Stock</w:t>
            </w:r>
          </w:p>
        </w:tc>
        <w:tc>
          <w:tcPr>
            <w:tcW w:w="2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Restricted</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3540" w:type="dxa"/>
            <w:vAlign w:val="bottom"/>
            <w:tcBorders>
              <w:bottom w:val="single" w:sz="8" w:color="auto"/>
            </w:tcBorders>
          </w:tcPr>
          <w:p>
            <w:pPr>
              <w:ind w:left="156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Revenue</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Income</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Revenue</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center"/>
              <w:spacing w:after="0" w:line="205" w:lineRule="exact"/>
              <w:rPr>
                <w:sz w:val="20"/>
                <w:szCs w:val="20"/>
                <w:color w:val="auto"/>
              </w:rPr>
            </w:pPr>
            <w:r>
              <w:rPr>
                <w:rFonts w:ascii="Arial" w:cs="Arial" w:eastAsia="Arial" w:hAnsi="Arial"/>
                <w:sz w:val="14"/>
                <w:szCs w:val="14"/>
                <w:b w:val="1"/>
                <w:bCs w:val="1"/>
                <w:color w:val="auto"/>
                <w:w w:val="97"/>
              </w:rPr>
              <w:t>Options</w:t>
            </w:r>
            <w:r>
              <w:rPr>
                <w:rFonts w:ascii="Arial" w:cs="Arial" w:eastAsia="Arial" w:hAnsi="Arial"/>
                <w:sz w:val="23"/>
                <w:szCs w:val="23"/>
                <w:b w:val="1"/>
                <w:bCs w:val="1"/>
                <w:color w:val="auto"/>
                <w:w w:val="97"/>
                <w:vertAlign w:val="superscript"/>
              </w:rPr>
              <w:t>(2)(3)</w:t>
            </w:r>
          </w:p>
        </w:tc>
        <w:tc>
          <w:tcPr>
            <w:tcW w:w="2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Shares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72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640" w:type="dxa"/>
            <w:vAlign w:val="bottom"/>
            <w:shd w:val="clear" w:color="auto" w:fill="CCEEFF"/>
          </w:tcPr>
          <w:p>
            <w:pPr>
              <w:jc w:val="right"/>
              <w:ind w:right="47"/>
              <w:spacing w:after="0" w:line="163" w:lineRule="exact"/>
              <w:rPr>
                <w:sz w:val="20"/>
                <w:szCs w:val="20"/>
                <w:color w:val="auto"/>
              </w:rPr>
            </w:pPr>
            <w:r>
              <w:rPr>
                <w:rFonts w:ascii="Arial" w:cs="Arial" w:eastAsia="Arial" w:hAnsi="Arial"/>
                <w:sz w:val="15"/>
                <w:szCs w:val="15"/>
                <w:color w:val="auto"/>
              </w:rPr>
              <w:t>6,463</w:t>
            </w:r>
          </w:p>
        </w:tc>
        <w:tc>
          <w:tcPr>
            <w:tcW w:w="960" w:type="dxa"/>
            <w:vAlign w:val="bottom"/>
            <w:gridSpan w:val="2"/>
            <w:shd w:val="clear" w:color="auto" w:fill="CCEEFF"/>
          </w:tcPr>
          <w:p>
            <w:pPr>
              <w:jc w:val="right"/>
              <w:ind w:right="126"/>
              <w:spacing w:after="0" w:line="163" w:lineRule="exact"/>
              <w:rPr>
                <w:sz w:val="20"/>
                <w:szCs w:val="20"/>
                <w:color w:val="auto"/>
              </w:rPr>
            </w:pPr>
            <w:r>
              <w:rPr>
                <w:rFonts w:ascii="Arial" w:cs="Arial" w:eastAsia="Arial" w:hAnsi="Arial"/>
                <w:sz w:val="15"/>
                <w:szCs w:val="15"/>
                <w:color w:val="auto"/>
              </w:rPr>
              <w:t>6,463</w:t>
            </w:r>
          </w:p>
        </w:tc>
        <w:tc>
          <w:tcPr>
            <w:tcW w:w="820" w:type="dxa"/>
            <w:vAlign w:val="bottom"/>
            <w:gridSpan w:val="2"/>
            <w:shd w:val="clear" w:color="auto" w:fill="CCEEFF"/>
          </w:tcPr>
          <w:p>
            <w:pPr>
              <w:jc w:val="right"/>
              <w:ind w:right="7"/>
              <w:spacing w:after="0" w:line="163" w:lineRule="exact"/>
              <w:rPr>
                <w:sz w:val="20"/>
                <w:szCs w:val="20"/>
                <w:color w:val="auto"/>
              </w:rPr>
            </w:pPr>
            <w:r>
              <w:rPr>
                <w:rFonts w:ascii="Arial" w:cs="Arial" w:eastAsia="Arial" w:hAnsi="Arial"/>
                <w:sz w:val="15"/>
                <w:szCs w:val="15"/>
                <w:color w:val="auto"/>
              </w:rPr>
              <w:t>10,594</w:t>
            </w:r>
          </w:p>
        </w:tc>
        <w:tc>
          <w:tcPr>
            <w:tcW w:w="960" w:type="dxa"/>
            <w:vAlign w:val="bottom"/>
            <w:gridSpan w:val="2"/>
            <w:shd w:val="clear" w:color="auto" w:fill="CCEEFF"/>
          </w:tcPr>
          <w:p>
            <w:pPr>
              <w:jc w:val="right"/>
              <w:ind w:right="86"/>
              <w:spacing w:after="0" w:line="163" w:lineRule="exact"/>
              <w:rPr>
                <w:sz w:val="20"/>
                <w:szCs w:val="20"/>
                <w:color w:val="auto"/>
              </w:rPr>
            </w:pPr>
            <w:r>
              <w:rPr>
                <w:rFonts w:ascii="Arial" w:cs="Arial" w:eastAsia="Arial" w:hAnsi="Arial"/>
                <w:sz w:val="15"/>
                <w:szCs w:val="15"/>
                <w:color w:val="auto"/>
              </w:rPr>
              <w:t>10,593</w:t>
            </w:r>
          </w:p>
        </w:tc>
        <w:tc>
          <w:tcPr>
            <w:tcW w:w="1060" w:type="dxa"/>
            <w:vAlign w:val="bottom"/>
            <w:gridSpan w:val="2"/>
            <w:shd w:val="clear" w:color="auto" w:fill="CCEEFF"/>
          </w:tcPr>
          <w:p>
            <w:pPr>
              <w:jc w:val="right"/>
              <w:ind w:right="126"/>
              <w:spacing w:after="0" w:line="163" w:lineRule="exact"/>
              <w:rPr>
                <w:sz w:val="20"/>
                <w:szCs w:val="20"/>
                <w:color w:val="auto"/>
              </w:rPr>
            </w:pPr>
            <w:r>
              <w:rPr>
                <w:rFonts w:ascii="Arial" w:cs="Arial" w:eastAsia="Arial" w:hAnsi="Arial"/>
                <w:sz w:val="15"/>
                <w:szCs w:val="15"/>
                <w:color w:val="auto"/>
              </w:rPr>
              <w:t>20,303</w:t>
            </w:r>
          </w:p>
        </w:tc>
        <w:tc>
          <w:tcPr>
            <w:tcW w:w="920" w:type="dxa"/>
            <w:vAlign w:val="bottom"/>
            <w:gridSpan w:val="2"/>
            <w:shd w:val="clear" w:color="auto" w:fill="CCEEFF"/>
          </w:tcPr>
          <w:p>
            <w:pPr>
              <w:jc w:val="right"/>
              <w:ind w:right="46"/>
              <w:spacing w:after="0" w:line="163" w:lineRule="exact"/>
              <w:rPr>
                <w:sz w:val="20"/>
                <w:szCs w:val="20"/>
                <w:color w:val="auto"/>
              </w:rPr>
            </w:pPr>
            <w:r>
              <w:rPr>
                <w:rFonts w:ascii="Arial" w:cs="Arial" w:eastAsia="Arial" w:hAnsi="Arial"/>
                <w:sz w:val="15"/>
                <w:szCs w:val="15"/>
                <w:color w:val="auto"/>
              </w:rPr>
              <w:t>12,927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60" w:type="dxa"/>
            <w:vAlign w:val="bottom"/>
            <w:gridSpan w:val="3"/>
          </w:tcPr>
          <w:p>
            <w:pPr>
              <w:ind w:left="1140"/>
              <w:spacing w:after="0"/>
              <w:rPr>
                <w:sz w:val="20"/>
                <w:szCs w:val="20"/>
                <w:color w:val="auto"/>
              </w:rPr>
            </w:pPr>
            <w:r>
              <w:rPr>
                <w:rFonts w:ascii="Arial" w:cs="Arial" w:eastAsia="Arial" w:hAnsi="Arial"/>
                <w:sz w:val="15"/>
                <w:szCs w:val="15"/>
                <w:color w:val="auto"/>
              </w:rPr>
              <w:t>Kevin J. Wilcox</w:t>
            </w:r>
          </w:p>
        </w:tc>
        <w:tc>
          <w:tcPr>
            <w:tcW w:w="640" w:type="dxa"/>
            <w:vAlign w:val="bottom"/>
          </w:tcPr>
          <w:p>
            <w:pPr>
              <w:jc w:val="right"/>
              <w:ind w:right="47"/>
              <w:spacing w:after="0"/>
              <w:rPr>
                <w:sz w:val="20"/>
                <w:szCs w:val="20"/>
                <w:color w:val="auto"/>
              </w:rPr>
            </w:pPr>
            <w:r>
              <w:rPr>
                <w:rFonts w:ascii="Arial" w:cs="Arial" w:eastAsia="Arial" w:hAnsi="Arial"/>
                <w:sz w:val="15"/>
                <w:szCs w:val="15"/>
                <w:color w:val="auto"/>
              </w:rPr>
              <w:t>1,508</w:t>
            </w:r>
          </w:p>
        </w:tc>
        <w:tc>
          <w:tcPr>
            <w:tcW w:w="960" w:type="dxa"/>
            <w:vAlign w:val="bottom"/>
            <w:gridSpan w:val="2"/>
          </w:tcPr>
          <w:p>
            <w:pPr>
              <w:jc w:val="right"/>
              <w:ind w:right="126"/>
              <w:spacing w:after="0"/>
              <w:rPr>
                <w:sz w:val="20"/>
                <w:szCs w:val="20"/>
                <w:color w:val="auto"/>
              </w:rPr>
            </w:pPr>
            <w:r>
              <w:rPr>
                <w:rFonts w:ascii="Arial" w:cs="Arial" w:eastAsia="Arial" w:hAnsi="Arial"/>
                <w:sz w:val="15"/>
                <w:szCs w:val="15"/>
                <w:color w:val="auto"/>
              </w:rPr>
              <w:t>1,508</w:t>
            </w:r>
          </w:p>
        </w:tc>
        <w:tc>
          <w:tcPr>
            <w:tcW w:w="820" w:type="dxa"/>
            <w:vAlign w:val="bottom"/>
            <w:gridSpan w:val="2"/>
          </w:tcPr>
          <w:p>
            <w:pPr>
              <w:jc w:val="right"/>
              <w:ind w:right="7"/>
              <w:spacing w:after="0"/>
              <w:rPr>
                <w:sz w:val="20"/>
                <w:szCs w:val="20"/>
                <w:color w:val="auto"/>
              </w:rPr>
            </w:pPr>
            <w:r>
              <w:rPr>
                <w:rFonts w:ascii="Arial" w:cs="Arial" w:eastAsia="Arial" w:hAnsi="Arial"/>
                <w:sz w:val="15"/>
                <w:szCs w:val="15"/>
                <w:color w:val="auto"/>
              </w:rPr>
              <w:t>3,461</w:t>
            </w:r>
          </w:p>
        </w:tc>
        <w:tc>
          <w:tcPr>
            <w:tcW w:w="960" w:type="dxa"/>
            <w:vAlign w:val="bottom"/>
            <w:gridSpan w:val="2"/>
          </w:tcPr>
          <w:p>
            <w:pPr>
              <w:jc w:val="right"/>
              <w:ind w:right="86"/>
              <w:spacing w:after="0"/>
              <w:rPr>
                <w:sz w:val="20"/>
                <w:szCs w:val="20"/>
                <w:color w:val="auto"/>
              </w:rPr>
            </w:pPr>
            <w:r>
              <w:rPr>
                <w:rFonts w:ascii="Arial" w:cs="Arial" w:eastAsia="Arial" w:hAnsi="Arial"/>
                <w:sz w:val="15"/>
                <w:szCs w:val="15"/>
                <w:color w:val="auto"/>
              </w:rPr>
              <w:t>3,460</w:t>
            </w:r>
          </w:p>
        </w:tc>
        <w:tc>
          <w:tcPr>
            <w:tcW w:w="1060" w:type="dxa"/>
            <w:vAlign w:val="bottom"/>
            <w:gridSpan w:val="2"/>
          </w:tcPr>
          <w:p>
            <w:pPr>
              <w:jc w:val="right"/>
              <w:ind w:right="126"/>
              <w:spacing w:after="0"/>
              <w:rPr>
                <w:sz w:val="20"/>
                <w:szCs w:val="20"/>
                <w:color w:val="auto"/>
              </w:rPr>
            </w:pPr>
            <w:r>
              <w:rPr>
                <w:rFonts w:ascii="Arial" w:cs="Arial" w:eastAsia="Arial" w:hAnsi="Arial"/>
                <w:sz w:val="15"/>
                <w:szCs w:val="15"/>
                <w:color w:val="auto"/>
              </w:rPr>
              <w:t>2,842</w:t>
            </w:r>
          </w:p>
        </w:tc>
        <w:tc>
          <w:tcPr>
            <w:tcW w:w="920" w:type="dxa"/>
            <w:vAlign w:val="bottom"/>
            <w:gridSpan w:val="2"/>
          </w:tcPr>
          <w:p>
            <w:pPr>
              <w:jc w:val="right"/>
              <w:ind w:right="46"/>
              <w:spacing w:after="0"/>
              <w:rPr>
                <w:sz w:val="20"/>
                <w:szCs w:val="20"/>
                <w:color w:val="auto"/>
              </w:rPr>
            </w:pPr>
            <w:r>
              <w:rPr>
                <w:rFonts w:ascii="Arial" w:cs="Arial" w:eastAsia="Arial" w:hAnsi="Arial"/>
                <w:sz w:val="15"/>
                <w:szCs w:val="15"/>
                <w:color w:val="auto"/>
              </w:rPr>
              <w:t>3,016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6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904</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905</w:t>
            </w:r>
          </w:p>
        </w:tc>
        <w:tc>
          <w:tcPr>
            <w:tcW w:w="82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2,076</w:t>
            </w:r>
          </w:p>
        </w:tc>
        <w:tc>
          <w:tcPr>
            <w:tcW w:w="96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2,076</w:t>
            </w:r>
          </w:p>
        </w:tc>
        <w:tc>
          <w:tcPr>
            <w:tcW w:w="106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1,706</w:t>
            </w:r>
          </w:p>
        </w:tc>
        <w:tc>
          <w:tcPr>
            <w:tcW w:w="92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1,810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60" w:type="dxa"/>
            <w:vAlign w:val="bottom"/>
            <w:gridSpan w:val="3"/>
          </w:tcPr>
          <w:p>
            <w:pPr>
              <w:ind w:left="1140"/>
              <w:spacing w:after="0"/>
              <w:rPr>
                <w:sz w:val="20"/>
                <w:szCs w:val="20"/>
                <w:color w:val="auto"/>
              </w:rPr>
            </w:pPr>
            <w:r>
              <w:rPr>
                <w:rFonts w:ascii="Arial" w:cs="Arial" w:eastAsia="Arial" w:hAnsi="Arial"/>
                <w:sz w:val="15"/>
                <w:szCs w:val="15"/>
                <w:color w:val="auto"/>
              </w:rPr>
              <w:t>Joseph A. Davila</w:t>
            </w:r>
          </w:p>
        </w:tc>
        <w:tc>
          <w:tcPr>
            <w:tcW w:w="640" w:type="dxa"/>
            <w:vAlign w:val="bottom"/>
          </w:tcPr>
          <w:p>
            <w:pPr>
              <w:jc w:val="right"/>
              <w:ind w:right="47"/>
              <w:spacing w:after="0"/>
              <w:rPr>
                <w:sz w:val="20"/>
                <w:szCs w:val="20"/>
                <w:color w:val="auto"/>
              </w:rPr>
            </w:pPr>
            <w:r>
              <w:rPr>
                <w:rFonts w:ascii="Arial" w:cs="Arial" w:eastAsia="Arial" w:hAnsi="Arial"/>
                <w:sz w:val="15"/>
                <w:szCs w:val="15"/>
                <w:color w:val="auto"/>
              </w:rPr>
              <w:t>754</w:t>
            </w:r>
          </w:p>
        </w:tc>
        <w:tc>
          <w:tcPr>
            <w:tcW w:w="960" w:type="dxa"/>
            <w:vAlign w:val="bottom"/>
            <w:gridSpan w:val="2"/>
          </w:tcPr>
          <w:p>
            <w:pPr>
              <w:jc w:val="right"/>
              <w:ind w:right="126"/>
              <w:spacing w:after="0"/>
              <w:rPr>
                <w:sz w:val="20"/>
                <w:szCs w:val="20"/>
                <w:color w:val="auto"/>
              </w:rPr>
            </w:pPr>
            <w:r>
              <w:rPr>
                <w:rFonts w:ascii="Arial" w:cs="Arial" w:eastAsia="Arial" w:hAnsi="Arial"/>
                <w:sz w:val="15"/>
                <w:szCs w:val="15"/>
                <w:color w:val="auto"/>
              </w:rPr>
              <w:t>754</w:t>
            </w:r>
          </w:p>
        </w:tc>
        <w:tc>
          <w:tcPr>
            <w:tcW w:w="820" w:type="dxa"/>
            <w:vAlign w:val="bottom"/>
            <w:gridSpan w:val="2"/>
          </w:tcPr>
          <w:p>
            <w:pPr>
              <w:jc w:val="right"/>
              <w:ind w:right="7"/>
              <w:spacing w:after="0"/>
              <w:rPr>
                <w:sz w:val="20"/>
                <w:szCs w:val="20"/>
                <w:color w:val="auto"/>
              </w:rPr>
            </w:pPr>
            <w:r>
              <w:rPr>
                <w:rFonts w:ascii="Arial" w:cs="Arial" w:eastAsia="Arial" w:hAnsi="Arial"/>
                <w:sz w:val="15"/>
                <w:szCs w:val="15"/>
                <w:color w:val="auto"/>
              </w:rPr>
              <w:t>1,731</w:t>
            </w:r>
          </w:p>
        </w:tc>
        <w:tc>
          <w:tcPr>
            <w:tcW w:w="960" w:type="dxa"/>
            <w:vAlign w:val="bottom"/>
            <w:gridSpan w:val="2"/>
          </w:tcPr>
          <w:p>
            <w:pPr>
              <w:jc w:val="right"/>
              <w:ind w:right="86"/>
              <w:spacing w:after="0"/>
              <w:rPr>
                <w:sz w:val="20"/>
                <w:szCs w:val="20"/>
                <w:color w:val="auto"/>
              </w:rPr>
            </w:pPr>
            <w:r>
              <w:rPr>
                <w:rFonts w:ascii="Arial" w:cs="Arial" w:eastAsia="Arial" w:hAnsi="Arial"/>
                <w:sz w:val="15"/>
                <w:szCs w:val="15"/>
                <w:color w:val="auto"/>
              </w:rPr>
              <w:t>1,730</w:t>
            </w:r>
          </w:p>
        </w:tc>
        <w:tc>
          <w:tcPr>
            <w:tcW w:w="1060" w:type="dxa"/>
            <w:vAlign w:val="bottom"/>
            <w:gridSpan w:val="2"/>
          </w:tcPr>
          <w:p>
            <w:pPr>
              <w:jc w:val="right"/>
              <w:ind w:right="126"/>
              <w:spacing w:after="0"/>
              <w:rPr>
                <w:sz w:val="20"/>
                <w:szCs w:val="20"/>
                <w:color w:val="auto"/>
              </w:rPr>
            </w:pPr>
            <w:r>
              <w:rPr>
                <w:rFonts w:ascii="Arial" w:cs="Arial" w:eastAsia="Arial" w:hAnsi="Arial"/>
                <w:sz w:val="15"/>
                <w:szCs w:val="15"/>
                <w:color w:val="auto"/>
              </w:rPr>
              <w:t>1,421</w:t>
            </w:r>
          </w:p>
        </w:tc>
        <w:tc>
          <w:tcPr>
            <w:tcW w:w="920" w:type="dxa"/>
            <w:vAlign w:val="bottom"/>
            <w:gridSpan w:val="2"/>
          </w:tcPr>
          <w:p>
            <w:pPr>
              <w:jc w:val="right"/>
              <w:ind w:right="46"/>
              <w:spacing w:after="0"/>
              <w:rPr>
                <w:sz w:val="20"/>
                <w:szCs w:val="20"/>
                <w:color w:val="auto"/>
              </w:rPr>
            </w:pPr>
            <w:r>
              <w:rPr>
                <w:rFonts w:ascii="Arial" w:cs="Arial" w:eastAsia="Arial" w:hAnsi="Arial"/>
                <w:sz w:val="15"/>
                <w:szCs w:val="15"/>
                <w:color w:val="auto"/>
              </w:rPr>
              <w:t>1,508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6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754</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754</w:t>
            </w:r>
          </w:p>
        </w:tc>
        <w:tc>
          <w:tcPr>
            <w:tcW w:w="82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1,731</w:t>
            </w:r>
          </w:p>
        </w:tc>
        <w:tc>
          <w:tcPr>
            <w:tcW w:w="96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1,730</w:t>
            </w:r>
          </w:p>
        </w:tc>
        <w:tc>
          <w:tcPr>
            <w:tcW w:w="1060" w:type="dxa"/>
            <w:vAlign w:val="bottom"/>
            <w:gridSpan w:val="2"/>
            <w:shd w:val="clear" w:color="auto" w:fill="CCEEFF"/>
          </w:tcPr>
          <w:p>
            <w:pPr>
              <w:jc w:val="right"/>
              <w:ind w:right="126"/>
              <w:spacing w:after="0"/>
              <w:rPr>
                <w:sz w:val="20"/>
                <w:szCs w:val="20"/>
                <w:color w:val="auto"/>
              </w:rPr>
            </w:pPr>
            <w:r>
              <w:rPr>
                <w:rFonts w:ascii="Arial" w:cs="Arial" w:eastAsia="Arial" w:hAnsi="Arial"/>
                <w:sz w:val="15"/>
                <w:szCs w:val="15"/>
                <w:color w:val="auto"/>
              </w:rPr>
              <w:t>1,421</w:t>
            </w:r>
          </w:p>
        </w:tc>
        <w:tc>
          <w:tcPr>
            <w:tcW w:w="92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1,508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1600" w:hanging="464"/>
        <w:spacing w:after="0" w:line="198" w:lineRule="auto"/>
        <w:tabs>
          <w:tab w:leader="none" w:pos="1600"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Represents awards that were cancelled and forfeited in their entirety in February 2018, following the Compensation Committee's confirmation that the performance criteria were not met. Each participant had the opportunity to vest from zero percent (0%) up to one hundred and fifty percent (150%) of the target amount based on pre-determined performance levels.</w:t>
      </w:r>
    </w:p>
    <w:p>
      <w:pPr>
        <w:spacing w:after="0" w:line="176" w:lineRule="exact"/>
        <w:rPr>
          <w:rFonts w:ascii="Arial" w:cs="Arial" w:eastAsia="Arial" w:hAnsi="Arial"/>
          <w:sz w:val="25"/>
          <w:szCs w:val="25"/>
          <w:color w:val="auto"/>
          <w:vertAlign w:val="superscript"/>
        </w:rPr>
      </w:pPr>
    </w:p>
    <w:p>
      <w:pPr>
        <w:ind w:left="1600" w:right="60" w:hanging="464"/>
        <w:spacing w:after="0" w:line="198" w:lineRule="auto"/>
        <w:tabs>
          <w:tab w:leader="none" w:pos="1600"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Represents the target amounts of stock options granted. Each participant has the opportunity to vest from zero percent (0%) up to one hundred and fifty percent (150%) of the target amount based on pre-determined performance levels. The exercise price for the stock options is $39.13, the closing price of our common stock on the April 7, 2017 grant date.</w:t>
      </w:r>
    </w:p>
    <w:p>
      <w:pPr>
        <w:spacing w:after="0" w:line="164" w:lineRule="exact"/>
        <w:rPr>
          <w:rFonts w:ascii="Arial" w:cs="Arial" w:eastAsia="Arial" w:hAnsi="Arial"/>
          <w:sz w:val="25"/>
          <w:szCs w:val="25"/>
          <w:color w:val="auto"/>
          <w:vertAlign w:val="superscript"/>
        </w:rPr>
      </w:pPr>
    </w:p>
    <w:p>
      <w:pPr>
        <w:ind w:left="1600" w:right="40" w:hanging="464"/>
        <w:spacing w:after="0" w:line="182" w:lineRule="auto"/>
        <w:tabs>
          <w:tab w:leader="none" w:pos="1600"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Represents a one-time vesting of stock options that would be triggered by the attainment of a service revenue threshold in a calendar year during the period from 2017 through 2021, as further described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vesting schedule for the 2017 performance-based restricted shares and the 2017 performance-based stock options was based upon the Company's achievement against</w:t>
      </w:r>
    </w:p>
    <w:p>
      <w:pPr>
        <w:spacing w:after="0" w:line="11" w:lineRule="exact"/>
        <w:rPr>
          <w:sz w:val="20"/>
          <w:szCs w:val="20"/>
          <w:color w:val="auto"/>
        </w:rPr>
      </w:pPr>
    </w:p>
    <w:p>
      <w:pPr>
        <w:ind w:left="8" w:right="180" w:hanging="8"/>
        <w:spacing w:after="0" w:line="243" w:lineRule="auto"/>
        <w:tabs>
          <w:tab w:leader="none" w:pos="182"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Company adjusted pre-tax income for 2017 and (ii) diversified revenue for 2017 (each as defined in the applicable award agreement and hereafter collectively referred to as the "2017 Performance Criteria"). In February 2018, the Compensation Committee confirmed that the 2017 Performance Criteria were below a threshold level, and the 2017 performance-based restricted shares and 2017 performance-based stock options granted to each of the Named Executive Officers were cancelled and forfeited.</w:t>
      </w:r>
    </w:p>
    <w:p>
      <w:pPr>
        <w:spacing w:after="0" w:line="174" w:lineRule="exact"/>
        <w:rPr>
          <w:sz w:val="20"/>
          <w:szCs w:val="20"/>
          <w:color w:val="auto"/>
        </w:rPr>
      </w:pPr>
    </w:p>
    <w:p>
      <w:pPr>
        <w:ind w:left="8"/>
        <w:spacing w:after="0" w:line="239" w:lineRule="auto"/>
        <w:rPr>
          <w:sz w:val="20"/>
          <w:szCs w:val="20"/>
          <w:color w:val="auto"/>
        </w:rPr>
      </w:pPr>
      <w:r>
        <w:rPr>
          <w:rFonts w:ascii="Arial" w:cs="Arial" w:eastAsia="Arial" w:hAnsi="Arial"/>
          <w:sz w:val="15"/>
          <w:szCs w:val="15"/>
          <w:color w:val="auto"/>
        </w:rPr>
        <w:t>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no additional service revenue stock options shall vest if the Company again achieves $1.5 billion in service revenue in a calendar year prior to 2021.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a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upon certain employment termination events. Service revenue stock options that are determined not to be eligible for vesting will be cancelled and forfeited.</w:t>
      </w:r>
    </w:p>
    <w:p>
      <w:pPr>
        <w:spacing w:after="0" w:line="182" w:lineRule="exact"/>
        <w:rPr>
          <w:sz w:val="20"/>
          <w:szCs w:val="20"/>
          <w:color w:val="auto"/>
        </w:rPr>
      </w:pPr>
    </w:p>
    <w:p>
      <w:pPr>
        <w:ind w:left="8" w:right="60"/>
        <w:spacing w:after="0" w:line="243" w:lineRule="auto"/>
        <w:rPr>
          <w:sz w:val="20"/>
          <w:szCs w:val="20"/>
          <w:color w:val="auto"/>
        </w:rPr>
      </w:pPr>
      <w:r>
        <w:rPr>
          <w:rFonts w:ascii="Arial" w:cs="Arial" w:eastAsia="Arial" w:hAnsi="Arial"/>
          <w:sz w:val="15"/>
          <w:szCs w:val="15"/>
          <w:color w:val="auto"/>
        </w:rPr>
        <w:t>The service based restricted shares vest in three installments. One-third of the service-based restricted shares vested on the first anniversary of the April 7, 2017 grant date (i.e., April 7, 2018), with the remaining two-thirds scheduled to vest in two equal installments on the second and third anniversaries of the April 7, 2017 grant date (i.e., April 7, 2019 and April 7, 2020). Vesting is subject to continued employment, except that certain awards may accelerate upon certain employment termination events.</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5"/>
          <w:szCs w:val="15"/>
          <w:u w:val="single" w:color="auto"/>
          <w:color w:val="auto"/>
        </w:rPr>
        <w:t>2018 Long-Term Incentive Plan Awards</w:t>
      </w:r>
    </w:p>
    <w:p>
      <w:pPr>
        <w:spacing w:after="0" w:line="182" w:lineRule="exact"/>
        <w:rPr>
          <w:sz w:val="20"/>
          <w:szCs w:val="20"/>
          <w:color w:val="auto"/>
        </w:rPr>
      </w:pPr>
    </w:p>
    <w:p>
      <w:pPr>
        <w:ind w:left="8" w:right="320"/>
        <w:spacing w:after="0" w:line="247" w:lineRule="auto"/>
        <w:rPr>
          <w:sz w:val="20"/>
          <w:szCs w:val="20"/>
          <w:color w:val="auto"/>
        </w:rPr>
      </w:pPr>
      <w:r>
        <w:rPr>
          <w:rFonts w:ascii="Arial" w:cs="Arial" w:eastAsia="Arial" w:hAnsi="Arial"/>
          <w:sz w:val="15"/>
          <w:szCs w:val="15"/>
          <w:color w:val="auto"/>
        </w:rPr>
        <w:t>In February 2018, the Compensation Committee enhanced and simplified the design of our LTI, which is now comprised of a mix of performance-based stock options and time-based RSUs.</w:t>
      </w:r>
    </w:p>
    <w:p>
      <w:pPr>
        <w:spacing w:after="0" w:line="171" w:lineRule="exact"/>
        <w:rPr>
          <w:sz w:val="20"/>
          <w:szCs w:val="20"/>
          <w:color w:val="auto"/>
        </w:rPr>
      </w:pPr>
    </w:p>
    <w:p>
      <w:pPr>
        <w:ind w:left="8" w:right="40"/>
        <w:spacing w:after="0"/>
        <w:rPr>
          <w:sz w:val="20"/>
          <w:szCs w:val="20"/>
          <w:color w:val="auto"/>
        </w:rPr>
      </w:pPr>
      <w:r>
        <w:rPr>
          <w:rFonts w:ascii="Arial" w:cs="Arial" w:eastAsia="Arial" w:hAnsi="Arial"/>
          <w:sz w:val="15"/>
          <w:szCs w:val="15"/>
          <w:color w:val="auto"/>
        </w:rPr>
        <w:t>The number of performance-based stock options that vest will be based on the degree of achievement of pre-established goals tied to 2018 adjusted diluted EPS (a non-GAAP measure). Depending on performance versus the adjusted diluted EPS goals, the performance-based stock options will vest in zero percent (0%) up to two hundred percent (200%) of the initial target levels through a linear interpolation. Performance-based stock options that are eligible to vest based on the achievement of these performance goals will vest in four equal increments on the first four anniversaries of the grant date. Vesting is subject to continued employment, except that certain awards may accelerate upon certain employment termination events. The RSUs will vest in four equal increments on the first four anniversaries of the grant date and will be settled in shares or, at the Company's option, cash. Vesting is subject to continued employment, except that certain awards may accelerate upon certain employment termination events.</w:t>
      </w:r>
    </w:p>
    <w:p>
      <w:pPr>
        <w:spacing w:after="0" w:line="177" w:lineRule="exact"/>
        <w:rPr>
          <w:sz w:val="20"/>
          <w:szCs w:val="20"/>
          <w:color w:val="auto"/>
        </w:rPr>
      </w:pPr>
    </w:p>
    <w:p>
      <w:pPr>
        <w:ind w:left="8" w:right="160"/>
        <w:spacing w:after="0" w:line="247" w:lineRule="auto"/>
        <w:rPr>
          <w:sz w:val="20"/>
          <w:szCs w:val="20"/>
          <w:color w:val="auto"/>
        </w:rPr>
      </w:pPr>
      <w:r>
        <w:rPr>
          <w:rFonts w:ascii="Arial" w:cs="Arial" w:eastAsia="Arial" w:hAnsi="Arial"/>
          <w:sz w:val="15"/>
          <w:szCs w:val="15"/>
          <w:color w:val="auto"/>
        </w:rPr>
        <w:t>The Compensation Committee chose this mix of awards because it believes that it strikes an appropriate balance between performance and retention and is consistent with our independent compensation consultant's guidance on market practices. The performance-based stock options align award recipients'</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48" w:name="page49"/>
    <w:bookmarkEnd w:id="4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114300</wp:posOffset>
            </wp:positionV>
            <wp:extent cx="2339975" cy="1377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8" w:right="80"/>
        <w:spacing w:after="0" w:line="243" w:lineRule="auto"/>
        <w:rPr>
          <w:sz w:val="20"/>
          <w:szCs w:val="20"/>
          <w:color w:val="auto"/>
        </w:rPr>
      </w:pPr>
      <w:r>
        <w:rPr>
          <w:rFonts w:ascii="Arial" w:cs="Arial" w:eastAsia="Arial" w:hAnsi="Arial"/>
          <w:sz w:val="15"/>
          <w:szCs w:val="15"/>
          <w:color w:val="auto"/>
        </w:rPr>
        <w:t>interests with the interests of our shareholders because they vest based upon the achievement of performance targets and because the value of the awards is directly linked to our stock price appreciation. Time-based RSUs vest over four years, which also aligns the award recipient's interests with the interests of our shareholders and creates a retention incentive.</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9"/>
        </w:trPr>
        <w:tc>
          <w:tcPr>
            <w:tcW w:w="6720" w:type="dxa"/>
            <w:vAlign w:val="bottom"/>
            <w:gridSpan w:val="2"/>
          </w:tcPr>
          <w:p>
            <w:pPr>
              <w:spacing w:after="0"/>
              <w:rPr>
                <w:sz w:val="20"/>
                <w:szCs w:val="20"/>
                <w:color w:val="auto"/>
              </w:rPr>
            </w:pPr>
            <w:r>
              <w:rPr>
                <w:rFonts w:ascii="Arial" w:cs="Arial" w:eastAsia="Arial" w:hAnsi="Arial"/>
                <w:sz w:val="15"/>
                <w:szCs w:val="15"/>
                <w:color w:val="auto"/>
              </w:rPr>
              <w:t>The 2018 LTI equity awards were approved for the following Named Executive Officers, as follows:</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45"/>
        </w:trPr>
        <w:tc>
          <w:tcPr>
            <w:tcW w:w="11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w w:val="98"/>
              </w:rPr>
              <w:t>Performance-Based</w:t>
            </w:r>
          </w:p>
        </w:tc>
        <w:tc>
          <w:tcPr>
            <w:tcW w:w="1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5"/>
                <w:szCs w:val="15"/>
                <w:b w:val="1"/>
                <w:bCs w:val="1"/>
                <w:color w:val="auto"/>
              </w:rPr>
              <w:t>Time-Based Restricted</w:t>
            </w:r>
          </w:p>
        </w:tc>
      </w:tr>
      <w:tr>
        <w:trPr>
          <w:trHeight w:val="206"/>
        </w:trPr>
        <w:tc>
          <w:tcPr>
            <w:tcW w:w="1140" w:type="dxa"/>
            <w:vAlign w:val="bottom"/>
          </w:tcPr>
          <w:p>
            <w:pPr>
              <w:spacing w:after="0"/>
              <w:rPr>
                <w:sz w:val="17"/>
                <w:szCs w:val="17"/>
                <w:color w:val="auto"/>
              </w:rPr>
            </w:pPr>
          </w:p>
        </w:tc>
        <w:tc>
          <w:tcPr>
            <w:tcW w:w="5580" w:type="dxa"/>
            <w:vAlign w:val="bottom"/>
            <w:tcBorders>
              <w:bottom w:val="single" w:sz="8" w:color="auto"/>
            </w:tcBorders>
          </w:tcPr>
          <w:p>
            <w:pPr>
              <w:ind w:left="258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right"/>
              <w:ind w:right="67"/>
              <w:spacing w:after="0" w:line="205" w:lineRule="exact"/>
              <w:rPr>
                <w:sz w:val="20"/>
                <w:szCs w:val="20"/>
                <w:color w:val="auto"/>
              </w:rPr>
            </w:pPr>
            <w:r>
              <w:rPr>
                <w:rFonts w:ascii="Arial" w:cs="Arial" w:eastAsia="Arial" w:hAnsi="Arial"/>
                <w:sz w:val="14"/>
                <w:szCs w:val="14"/>
                <w:b w:val="1"/>
                <w:bCs w:val="1"/>
                <w:color w:val="auto"/>
              </w:rPr>
              <w:t>Stock Options</w:t>
            </w:r>
            <w:r>
              <w:rPr>
                <w:rFonts w:ascii="Arial" w:cs="Arial" w:eastAsia="Arial" w:hAnsi="Arial"/>
                <w:sz w:val="23"/>
                <w:szCs w:val="23"/>
                <w:b w:val="1"/>
                <w:bCs w:val="1"/>
                <w:color w:val="auto"/>
                <w:vertAlign w:val="superscript"/>
              </w:rPr>
              <w:t>(1)</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Share Units</w:t>
            </w:r>
          </w:p>
        </w:tc>
        <w:tc>
          <w:tcPr>
            <w:tcW w:w="200" w:type="dxa"/>
            <w:vAlign w:val="bottom"/>
          </w:tcPr>
          <w:p>
            <w:pPr>
              <w:spacing w:after="0"/>
              <w:rPr>
                <w:sz w:val="17"/>
                <w:szCs w:val="17"/>
                <w:color w:val="auto"/>
              </w:rPr>
            </w:pPr>
          </w:p>
        </w:tc>
      </w:tr>
      <w:tr>
        <w:trPr>
          <w:trHeight w:val="163"/>
        </w:trPr>
        <w:tc>
          <w:tcPr>
            <w:tcW w:w="1140" w:type="dxa"/>
            <w:vAlign w:val="bottom"/>
          </w:tcPr>
          <w:p>
            <w:pPr>
              <w:spacing w:after="0"/>
              <w:rPr>
                <w:sz w:val="14"/>
                <w:szCs w:val="14"/>
                <w:color w:val="auto"/>
              </w:rPr>
            </w:pPr>
          </w:p>
        </w:tc>
        <w:tc>
          <w:tcPr>
            <w:tcW w:w="55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1600" w:type="dxa"/>
            <w:vAlign w:val="bottom"/>
            <w:gridSpan w:val="2"/>
            <w:shd w:val="clear" w:color="auto" w:fill="CCEEFF"/>
          </w:tcPr>
          <w:p>
            <w:pPr>
              <w:jc w:val="right"/>
              <w:ind w:right="367"/>
              <w:spacing w:after="0" w:line="163" w:lineRule="exact"/>
              <w:rPr>
                <w:sz w:val="20"/>
                <w:szCs w:val="20"/>
                <w:color w:val="auto"/>
              </w:rPr>
            </w:pPr>
            <w:r>
              <w:rPr>
                <w:rFonts w:ascii="Arial" w:cs="Arial" w:eastAsia="Arial" w:hAnsi="Arial"/>
                <w:sz w:val="15"/>
                <w:szCs w:val="15"/>
                <w:color w:val="auto"/>
              </w:rPr>
              <w:t>100,000</w:t>
            </w:r>
          </w:p>
        </w:tc>
        <w:tc>
          <w:tcPr>
            <w:tcW w:w="1780" w:type="dxa"/>
            <w:vAlign w:val="bottom"/>
            <w:gridSpan w:val="2"/>
            <w:shd w:val="clear" w:color="auto" w:fill="CCEEFF"/>
          </w:tcPr>
          <w:p>
            <w:pPr>
              <w:jc w:val="right"/>
              <w:ind w:right="446"/>
              <w:spacing w:after="0" w:line="163" w:lineRule="exact"/>
              <w:rPr>
                <w:sz w:val="20"/>
                <w:szCs w:val="20"/>
                <w:color w:val="auto"/>
              </w:rPr>
            </w:pPr>
            <w:r>
              <w:rPr>
                <w:rFonts w:ascii="Arial" w:cs="Arial" w:eastAsia="Arial" w:hAnsi="Arial"/>
                <w:sz w:val="15"/>
                <w:szCs w:val="15"/>
                <w:color w:val="auto"/>
              </w:rPr>
              <w:t>100,000</w:t>
            </w:r>
          </w:p>
        </w:tc>
        <w:tc>
          <w:tcPr>
            <w:tcW w:w="200" w:type="dxa"/>
            <w:vAlign w:val="bottom"/>
            <w:shd w:val="clear" w:color="auto" w:fill="CCEEFF"/>
          </w:tcPr>
          <w:p>
            <w:pPr>
              <w:spacing w:after="0"/>
              <w:rPr>
                <w:sz w:val="14"/>
                <w:szCs w:val="14"/>
                <w:color w:val="auto"/>
              </w:rPr>
            </w:pPr>
          </w:p>
        </w:tc>
      </w:tr>
      <w:tr>
        <w:trPr>
          <w:trHeight w:val="172"/>
        </w:trPr>
        <w:tc>
          <w:tcPr>
            <w:tcW w:w="6720" w:type="dxa"/>
            <w:vAlign w:val="bottom"/>
            <w:gridSpan w:val="2"/>
          </w:tcPr>
          <w:p>
            <w:pPr>
              <w:ind w:left="1140"/>
              <w:spacing w:after="0"/>
              <w:rPr>
                <w:sz w:val="20"/>
                <w:szCs w:val="20"/>
                <w:color w:val="auto"/>
              </w:rPr>
            </w:pPr>
            <w:r>
              <w:rPr>
                <w:rFonts w:ascii="Arial" w:cs="Arial" w:eastAsia="Arial" w:hAnsi="Arial"/>
                <w:sz w:val="15"/>
                <w:szCs w:val="15"/>
                <w:color w:val="auto"/>
              </w:rPr>
              <w:t>Kevin J. Wilcox</w:t>
            </w:r>
          </w:p>
        </w:tc>
        <w:tc>
          <w:tcPr>
            <w:tcW w:w="1600" w:type="dxa"/>
            <w:vAlign w:val="bottom"/>
            <w:gridSpan w:val="2"/>
          </w:tcPr>
          <w:p>
            <w:pPr>
              <w:jc w:val="right"/>
              <w:ind w:right="367"/>
              <w:spacing w:after="0"/>
              <w:rPr>
                <w:sz w:val="20"/>
                <w:szCs w:val="20"/>
                <w:color w:val="auto"/>
              </w:rPr>
            </w:pPr>
            <w:r>
              <w:rPr>
                <w:rFonts w:ascii="Arial" w:cs="Arial" w:eastAsia="Arial" w:hAnsi="Arial"/>
                <w:sz w:val="15"/>
                <w:szCs w:val="15"/>
                <w:color w:val="auto"/>
              </w:rPr>
              <w:t>50,000</w:t>
            </w:r>
          </w:p>
        </w:tc>
        <w:tc>
          <w:tcPr>
            <w:tcW w:w="1780" w:type="dxa"/>
            <w:vAlign w:val="bottom"/>
            <w:gridSpan w:val="2"/>
          </w:tcPr>
          <w:p>
            <w:pPr>
              <w:jc w:val="right"/>
              <w:ind w:right="446"/>
              <w:spacing w:after="0"/>
              <w:rPr>
                <w:sz w:val="20"/>
                <w:szCs w:val="20"/>
                <w:color w:val="auto"/>
              </w:rPr>
            </w:pPr>
            <w:r>
              <w:rPr>
                <w:rFonts w:ascii="Arial" w:cs="Arial" w:eastAsia="Arial" w:hAnsi="Arial"/>
                <w:sz w:val="15"/>
                <w:szCs w:val="15"/>
                <w:color w:val="auto"/>
              </w:rPr>
              <w:t>50,000</w:t>
            </w:r>
          </w:p>
        </w:tc>
        <w:tc>
          <w:tcPr>
            <w:tcW w:w="20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Michelle D. Esterman</w:t>
            </w:r>
          </w:p>
        </w:tc>
        <w:tc>
          <w:tcPr>
            <w:tcW w:w="1600" w:type="dxa"/>
            <w:vAlign w:val="bottom"/>
            <w:gridSpan w:val="2"/>
            <w:shd w:val="clear" w:color="auto" w:fill="CCEEFF"/>
          </w:tcPr>
          <w:p>
            <w:pPr>
              <w:jc w:val="right"/>
              <w:ind w:right="367"/>
              <w:spacing w:after="0"/>
              <w:rPr>
                <w:sz w:val="20"/>
                <w:szCs w:val="20"/>
                <w:color w:val="auto"/>
              </w:rPr>
            </w:pPr>
            <w:r>
              <w:rPr>
                <w:rFonts w:ascii="Arial" w:cs="Arial" w:eastAsia="Arial" w:hAnsi="Arial"/>
                <w:sz w:val="15"/>
                <w:szCs w:val="15"/>
                <w:color w:val="auto"/>
              </w:rPr>
              <w:t>8,658</w:t>
            </w:r>
          </w:p>
        </w:tc>
        <w:tc>
          <w:tcPr>
            <w:tcW w:w="1780" w:type="dxa"/>
            <w:vAlign w:val="bottom"/>
            <w:gridSpan w:val="2"/>
            <w:shd w:val="clear" w:color="auto" w:fill="CCEEFF"/>
          </w:tcPr>
          <w:p>
            <w:pPr>
              <w:jc w:val="right"/>
              <w:ind w:right="446"/>
              <w:spacing w:after="0"/>
              <w:rPr>
                <w:sz w:val="20"/>
                <w:szCs w:val="20"/>
                <w:color w:val="auto"/>
              </w:rPr>
            </w:pPr>
            <w:r>
              <w:rPr>
                <w:rFonts w:ascii="Arial" w:cs="Arial" w:eastAsia="Arial" w:hAnsi="Arial"/>
                <w:sz w:val="15"/>
                <w:szCs w:val="15"/>
                <w:color w:val="auto"/>
              </w:rPr>
              <w:t>4,957</w:t>
            </w:r>
          </w:p>
        </w:tc>
        <w:tc>
          <w:tcPr>
            <w:tcW w:w="200" w:type="dxa"/>
            <w:vAlign w:val="bottom"/>
            <w:shd w:val="clear" w:color="auto" w:fill="CCEEFF"/>
          </w:tcPr>
          <w:p>
            <w:pPr>
              <w:spacing w:after="0"/>
              <w:rPr>
                <w:sz w:val="14"/>
                <w:szCs w:val="14"/>
                <w:color w:val="auto"/>
              </w:rPr>
            </w:pPr>
          </w:p>
        </w:tc>
      </w:tr>
      <w:tr>
        <w:trPr>
          <w:trHeight w:val="172"/>
        </w:trPr>
        <w:tc>
          <w:tcPr>
            <w:tcW w:w="6720" w:type="dxa"/>
            <w:vAlign w:val="bottom"/>
            <w:gridSpan w:val="2"/>
          </w:tcPr>
          <w:p>
            <w:pPr>
              <w:ind w:left="1140"/>
              <w:spacing w:after="0"/>
              <w:rPr>
                <w:sz w:val="20"/>
                <w:szCs w:val="20"/>
                <w:color w:val="auto"/>
              </w:rPr>
            </w:pPr>
            <w:r>
              <w:rPr>
                <w:rFonts w:ascii="Arial" w:cs="Arial" w:eastAsia="Arial" w:hAnsi="Arial"/>
                <w:sz w:val="15"/>
                <w:szCs w:val="15"/>
                <w:color w:val="auto"/>
              </w:rPr>
              <w:t>Joseph A. Davila</w:t>
            </w:r>
          </w:p>
        </w:tc>
        <w:tc>
          <w:tcPr>
            <w:tcW w:w="1600" w:type="dxa"/>
            <w:vAlign w:val="bottom"/>
            <w:gridSpan w:val="2"/>
          </w:tcPr>
          <w:p>
            <w:pPr>
              <w:jc w:val="right"/>
              <w:ind w:right="367"/>
              <w:spacing w:after="0"/>
              <w:rPr>
                <w:sz w:val="20"/>
                <w:szCs w:val="20"/>
                <w:color w:val="auto"/>
              </w:rPr>
            </w:pPr>
            <w:r>
              <w:rPr>
                <w:rFonts w:ascii="Arial" w:cs="Arial" w:eastAsia="Arial" w:hAnsi="Arial"/>
                <w:sz w:val="15"/>
                <w:szCs w:val="15"/>
                <w:color w:val="auto"/>
              </w:rPr>
              <w:t>10,823</w:t>
            </w:r>
          </w:p>
        </w:tc>
        <w:tc>
          <w:tcPr>
            <w:tcW w:w="1780" w:type="dxa"/>
            <w:vAlign w:val="bottom"/>
            <w:gridSpan w:val="2"/>
          </w:tcPr>
          <w:p>
            <w:pPr>
              <w:jc w:val="right"/>
              <w:ind w:right="446"/>
              <w:spacing w:after="0"/>
              <w:rPr>
                <w:sz w:val="20"/>
                <w:szCs w:val="20"/>
                <w:color w:val="auto"/>
              </w:rPr>
            </w:pPr>
            <w:r>
              <w:rPr>
                <w:rFonts w:ascii="Arial" w:cs="Arial" w:eastAsia="Arial" w:hAnsi="Arial"/>
                <w:sz w:val="15"/>
                <w:szCs w:val="15"/>
                <w:color w:val="auto"/>
              </w:rPr>
              <w:t>6,196</w:t>
            </w:r>
          </w:p>
        </w:tc>
        <w:tc>
          <w:tcPr>
            <w:tcW w:w="20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1600" w:type="dxa"/>
            <w:vAlign w:val="bottom"/>
            <w:gridSpan w:val="2"/>
            <w:shd w:val="clear" w:color="auto" w:fill="CCEEFF"/>
          </w:tcPr>
          <w:p>
            <w:pPr>
              <w:jc w:val="right"/>
              <w:ind w:right="367"/>
              <w:spacing w:after="0"/>
              <w:rPr>
                <w:sz w:val="20"/>
                <w:szCs w:val="20"/>
                <w:color w:val="auto"/>
              </w:rPr>
            </w:pPr>
            <w:r>
              <w:rPr>
                <w:rFonts w:ascii="Arial" w:cs="Arial" w:eastAsia="Arial" w:hAnsi="Arial"/>
                <w:sz w:val="15"/>
                <w:szCs w:val="15"/>
                <w:color w:val="auto"/>
              </w:rPr>
              <w:t>7,421</w:t>
            </w:r>
          </w:p>
        </w:tc>
        <w:tc>
          <w:tcPr>
            <w:tcW w:w="1780" w:type="dxa"/>
            <w:vAlign w:val="bottom"/>
            <w:gridSpan w:val="2"/>
            <w:shd w:val="clear" w:color="auto" w:fill="CCEEFF"/>
          </w:tcPr>
          <w:p>
            <w:pPr>
              <w:jc w:val="right"/>
              <w:ind w:right="446"/>
              <w:spacing w:after="0"/>
              <w:rPr>
                <w:sz w:val="20"/>
                <w:szCs w:val="20"/>
                <w:color w:val="auto"/>
              </w:rPr>
            </w:pPr>
            <w:r>
              <w:rPr>
                <w:rFonts w:ascii="Arial" w:cs="Arial" w:eastAsia="Arial" w:hAnsi="Arial"/>
                <w:sz w:val="15"/>
                <w:szCs w:val="15"/>
                <w:color w:val="auto"/>
              </w:rPr>
              <w:t>4,249</w:t>
            </w:r>
          </w:p>
        </w:tc>
        <w:tc>
          <w:tcPr>
            <w:tcW w:w="200" w:type="dxa"/>
            <w:vAlign w:val="bottom"/>
            <w:shd w:val="clear" w:color="auto" w:fill="CCEEFF"/>
          </w:tcPr>
          <w:p>
            <w:pPr>
              <w:spacing w:after="0"/>
              <w:rPr>
                <w:sz w:val="14"/>
                <w:szCs w:val="14"/>
                <w:color w:val="auto"/>
              </w:rPr>
            </w:pPr>
          </w:p>
        </w:tc>
      </w:tr>
    </w:tbl>
    <w:p>
      <w:pPr>
        <w:spacing w:after="0" w:line="186" w:lineRule="exact"/>
        <w:rPr>
          <w:sz w:val="20"/>
          <w:szCs w:val="20"/>
          <w:color w:val="auto"/>
        </w:rPr>
      </w:pPr>
    </w:p>
    <w:p>
      <w:pPr>
        <w:ind w:left="1608" w:right="60" w:hanging="464"/>
        <w:spacing w:after="0" w:line="198" w:lineRule="auto"/>
        <w:tabs>
          <w:tab w:leader="none" w:pos="1608" w:val="left"/>
        </w:tabs>
        <w:numPr>
          <w:ilvl w:val="0"/>
          <w:numId w:val="49"/>
        </w:numPr>
        <w:rPr>
          <w:rFonts w:ascii="Arial" w:cs="Arial" w:eastAsia="Arial" w:hAnsi="Arial"/>
          <w:sz w:val="25"/>
          <w:szCs w:val="25"/>
          <w:color w:val="auto"/>
          <w:vertAlign w:val="superscript"/>
        </w:rPr>
      </w:pPr>
      <w:r>
        <w:rPr>
          <w:rFonts w:ascii="Arial" w:cs="Arial" w:eastAsia="Arial" w:hAnsi="Arial"/>
          <w:sz w:val="15"/>
          <w:szCs w:val="15"/>
          <w:color w:val="auto"/>
        </w:rPr>
        <w:t>Represents the target amounts of performance-based options granted. Each executive will vest in zero percent (0%) up to two hundred percent (200%) of the target amount based on pre-determined performance levels. The exercise price for the stock options is $24.82, the closing price of our common stock on the February 12, 2018 grant date.</w:t>
      </w:r>
    </w:p>
    <w:p>
      <w:pPr>
        <w:spacing w:after="0" w:line="176" w:lineRule="exact"/>
        <w:rPr>
          <w:sz w:val="20"/>
          <w:szCs w:val="20"/>
          <w:color w:val="auto"/>
        </w:rPr>
      </w:pPr>
    </w:p>
    <w:p>
      <w:pPr>
        <w:ind w:left="8"/>
        <w:spacing w:after="0" w:line="262" w:lineRule="auto"/>
        <w:rPr>
          <w:sz w:val="20"/>
          <w:szCs w:val="20"/>
          <w:color w:val="auto"/>
        </w:rPr>
      </w:pPr>
      <w:r>
        <w:rPr>
          <w:rFonts w:ascii="Arial" w:cs="Arial" w:eastAsia="Arial" w:hAnsi="Arial"/>
          <w:sz w:val="14"/>
          <w:szCs w:val="14"/>
          <w:color w:val="auto"/>
        </w:rPr>
        <w:t>For the Chief Executive Officer and the Chief Administration and Risk Officer, the size of the awards was determined based on the results of the executive pay study conducted by the Compensation Committee's independent executive compensation consultant, Exequity, which determined that the overall compensation of these executives was significantly below that of the median of the companies of its peer group, primarily as a result of lower equity compensation. These awards, together with the Company's anticipated transition to a more regular equity grant practice, are designed to make the overall compensation of these executives more consistent with competitive market practices and support their retention. Following these awards, the overall compensation for these executives continues to be below the peer group median.</w:t>
      </w:r>
    </w:p>
    <w:p>
      <w:pPr>
        <w:spacing w:after="0" w:line="163" w:lineRule="exact"/>
        <w:rPr>
          <w:sz w:val="20"/>
          <w:szCs w:val="20"/>
          <w:color w:val="auto"/>
        </w:rPr>
      </w:pPr>
    </w:p>
    <w:p>
      <w:pPr>
        <w:ind w:left="8" w:right="160"/>
        <w:spacing w:after="0" w:line="255" w:lineRule="auto"/>
        <w:rPr>
          <w:sz w:val="20"/>
          <w:szCs w:val="20"/>
          <w:color w:val="auto"/>
        </w:rPr>
      </w:pPr>
      <w:r>
        <w:rPr>
          <w:rFonts w:ascii="Arial" w:cs="Arial" w:eastAsia="Arial" w:hAnsi="Arial"/>
          <w:sz w:val="14"/>
          <w:szCs w:val="14"/>
          <w:color w:val="auto"/>
        </w:rPr>
        <w:t>For our other Named Executive Officers, the Compensation Committee also relied on the recent pay study to determine that their equity compensation was generally below the median and that awards consistent with our anticipated regular grant practice were appropriate. The Compensation Committee provided for these executives to receive</w:t>
      </w:r>
    </w:p>
    <w:p>
      <w:pPr>
        <w:spacing w:after="0" w:line="1" w:lineRule="exact"/>
        <w:rPr>
          <w:sz w:val="20"/>
          <w:szCs w:val="20"/>
          <w:color w:val="auto"/>
        </w:rPr>
      </w:pPr>
    </w:p>
    <w:p>
      <w:pPr>
        <w:ind w:left="8" w:right="120" w:hanging="8"/>
        <w:spacing w:after="0" w:line="243" w:lineRule="auto"/>
        <w:tabs>
          <w:tab w:leader="none" w:pos="182" w:val="left"/>
        </w:tabs>
        <w:numPr>
          <w:ilvl w:val="0"/>
          <w:numId w:val="50"/>
        </w:numPr>
        <w:rPr>
          <w:rFonts w:ascii="Arial" w:cs="Arial" w:eastAsia="Arial" w:hAnsi="Arial"/>
          <w:sz w:val="15"/>
          <w:szCs w:val="15"/>
          <w:color w:val="auto"/>
        </w:rPr>
      </w:pPr>
      <w:r>
        <w:rPr>
          <w:rFonts w:ascii="Arial" w:cs="Arial" w:eastAsia="Arial" w:hAnsi="Arial"/>
          <w:sz w:val="15"/>
          <w:szCs w:val="15"/>
          <w:color w:val="auto"/>
        </w:rPr>
        <w:t>a number of performance-based stock options equal to fifty percent (50%) of a determined award value based on the Black-Scholes option pricing model valuation on the grant date and (ii) a number of RSUs equal to fifty percent (50%) of such determined award value based on the average closing price of Altisource common stock over a period of thirty (30) trading days preceding the grant date.</w:t>
      </w:r>
    </w:p>
    <w:p>
      <w:pPr>
        <w:spacing w:after="0" w:line="174" w:lineRule="exact"/>
        <w:rPr>
          <w:sz w:val="20"/>
          <w:szCs w:val="20"/>
          <w:color w:val="auto"/>
        </w:rPr>
      </w:pPr>
    </w:p>
    <w:p>
      <w:pPr>
        <w:ind w:left="8" w:right="240"/>
        <w:spacing w:after="0" w:line="247" w:lineRule="auto"/>
        <w:rPr>
          <w:sz w:val="20"/>
          <w:szCs w:val="20"/>
          <w:color w:val="auto"/>
        </w:rPr>
      </w:pPr>
      <w:r>
        <w:rPr>
          <w:rFonts w:ascii="Arial" w:cs="Arial" w:eastAsia="Arial" w:hAnsi="Arial"/>
          <w:sz w:val="15"/>
          <w:szCs w:val="15"/>
          <w:color w:val="auto"/>
        </w:rPr>
        <w:t>On May 15, 2018, the Compensation Committee determined that events or circumstances rendered unsuitable previously established performance measures and defined levels of achievement, and it approved certain adjustments to these performance measures.</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u w:val="single" w:color="auto"/>
          <w:color w:val="auto"/>
        </w:rPr>
        <w:t>Other Equity Awards</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grants were made to Messrs. Davila and Ritts in 2017 to serve as a retention tool and to further align their interests with the success of the Company:</w:t>
      </w:r>
    </w:p>
    <w:p>
      <w:pPr>
        <w:spacing w:after="0" w:line="178" w:lineRule="exact"/>
        <w:rPr>
          <w:sz w:val="20"/>
          <w:szCs w:val="20"/>
          <w:color w:val="auto"/>
        </w:rPr>
      </w:pPr>
    </w:p>
    <w:p>
      <w:pPr>
        <w:ind w:left="908" w:right="120" w:hanging="451"/>
        <w:spacing w:after="0" w:line="249" w:lineRule="auto"/>
        <w:tabs>
          <w:tab w:leader="none" w:pos="908"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Joseph A. Davila. </w:t>
      </w:r>
      <w:r>
        <w:rPr>
          <w:rFonts w:ascii="Arial" w:cs="Arial" w:eastAsia="Arial" w:hAnsi="Arial"/>
          <w:sz w:val="15"/>
          <w:szCs w:val="15"/>
          <w:color w:val="auto"/>
        </w:rPr>
        <w:t>On July 27, 2017, Mr. Davila was granted (i) 5,000 time-based restricted shares scheduled to vest over three years and (ii) 5,000 market-based 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w:t>
      </w:r>
    </w:p>
    <w:p>
      <w:pPr>
        <w:spacing w:after="0" w:line="170"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900" w:right="100"/>
        <w:spacing w:after="0" w:line="243" w:lineRule="auto"/>
        <w:rPr>
          <w:sz w:val="20"/>
          <w:szCs w:val="20"/>
          <w:color w:val="auto"/>
        </w:rPr>
      </w:pPr>
      <w:r>
        <w:rPr>
          <w:rFonts w:ascii="Arial" w:cs="Arial" w:eastAsia="Arial" w:hAnsi="Arial"/>
          <w:sz w:val="15"/>
          <w:szCs w:val="15"/>
          <w:color w:val="auto"/>
        </w:rPr>
        <w:t>In addition, on November 13, 2017, Mr. Davila received a grant of 15,000 time-based restricted shares scheduled to vest over four years, subject to continued employment. These awards were intended to serve as a retention tool and to further align Mr. Davila's interests with the success of the Company, considering his performance and criticality to the organization.</w:t>
      </w:r>
    </w:p>
    <w:p>
      <w:pPr>
        <w:spacing w:after="0" w:line="158" w:lineRule="exact"/>
        <w:rPr>
          <w:sz w:val="20"/>
          <w:szCs w:val="20"/>
          <w:color w:val="auto"/>
        </w:rPr>
      </w:pPr>
    </w:p>
    <w:p>
      <w:pPr>
        <w:ind w:left="900" w:hanging="451"/>
        <w:spacing w:after="0" w:line="265" w:lineRule="auto"/>
        <w:tabs>
          <w:tab w:leader="none" w:pos="90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Gregory J. Ritts. </w:t>
      </w:r>
      <w:r>
        <w:rPr>
          <w:rFonts w:ascii="Arial" w:cs="Arial" w:eastAsia="Arial" w:hAnsi="Arial"/>
          <w:sz w:val="14"/>
          <w:szCs w:val="14"/>
          <w:color w:val="auto"/>
        </w:rPr>
        <w:t>On July 27, 2017, Mr. Ritts was granted (i) 5,000 time-based restricted shares scheduled to vest over three years and (ii) 5,000 market-based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In addition, on November 13, 2017, Mr. Ritts received a grant of 15,000 time-based restricted shares scheduled to vest over four years, subject to continued employment. These awards were intended to serve as a retention tool and to further align Mr. Ritts' interests with the success of the Company, considering his performance and criticality to the organization.</w:t>
      </w:r>
    </w:p>
    <w:p>
      <w:pPr>
        <w:spacing w:after="0" w:line="146" w:lineRule="exact"/>
        <w:rPr>
          <w:rFonts w:ascii="Arial" w:cs="Arial" w:eastAsia="Arial" w:hAnsi="Arial"/>
          <w:sz w:val="14"/>
          <w:szCs w:val="14"/>
          <w:color w:val="auto"/>
        </w:rPr>
      </w:pPr>
    </w:p>
    <w:p>
      <w:pPr>
        <w:ind w:left="900" w:right="20" w:hanging="451"/>
        <w:spacing w:after="0" w:line="265" w:lineRule="auto"/>
        <w:tabs>
          <w:tab w:leader="none" w:pos="90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Indroneel Chatterjee. </w:t>
      </w:r>
      <w:r>
        <w:rPr>
          <w:rFonts w:ascii="Arial" w:cs="Arial" w:eastAsia="Arial" w:hAnsi="Arial"/>
          <w:sz w:val="14"/>
          <w:szCs w:val="14"/>
          <w:color w:val="auto"/>
        </w:rPr>
        <w:t>On October 5, 2017, in connection with his appointment as Chief Financial Officer, Mr. Chatterjee was granted (i) 20,000 market-based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with two-thirds of the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and (ii) 19,533 time-based restricted shares vesting over four years. Pursuant to his employment agreement, on February 12, 2018, Mr. Chatterjee also received a grant of 22,186 restricted shares scheduled to vest over four years, subject to continued employment. These awards are further described in the "Chief Financial Officer Compensation" section below.</w:t>
      </w:r>
    </w:p>
    <w:p>
      <w:pPr>
        <w:spacing w:after="0" w:line="163" w:lineRule="exact"/>
        <w:rPr>
          <w:sz w:val="20"/>
          <w:szCs w:val="20"/>
          <w:color w:val="auto"/>
        </w:rPr>
      </w:pPr>
    </w:p>
    <w:p>
      <w:pPr>
        <w:ind w:right="80"/>
        <w:spacing w:after="0"/>
        <w:rPr>
          <w:sz w:val="20"/>
          <w:szCs w:val="20"/>
          <w:color w:val="auto"/>
        </w:rPr>
      </w:pPr>
      <w:r>
        <w:rPr>
          <w:rFonts w:ascii="Arial" w:cs="Arial" w:eastAsia="Arial" w:hAnsi="Arial"/>
          <w:sz w:val="15"/>
          <w:szCs w:val="15"/>
          <w:color w:val="auto"/>
        </w:rPr>
        <w:t>Additionally, in February 2018, the Compensation Committee approved a program pursuant to which a one-time equity award would be issued to each of our Named Executive Officers upon a determination by the Committee of achievement by the Company of target adjusted diluted EPS (a non-GAAP measure) and the executive's achievement of a designated level of scorecard performance for 2018. If these performance objectives are achieved, our Named Executive Officers would receive a grant of RSUs with an award value equal to twenty percent (20%) of the executive's 2018 earned incentive compensation, and vesting in two equal increments on the first two anniversaries of the grant date (expected in March 2019). This program is designed to help with the retention of these key executives and incent them to achieve the Company's ambitious adjusted diluted EPS target, as the Company transitions from primarily providing services to Ocwen/NRZ to providing services to a more diversified client base.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Minimum Stock Ownership Requirement for the Chief Executive Officer</w:t>
      </w:r>
    </w:p>
    <w:p>
      <w:pPr>
        <w:spacing w:after="0" w:line="200"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The Compensation Committee has adopted a minimum stock ownership requirement applicable to our Chief Executive Officer, in line with its belief that the Chief Executive Officer should own particular amounts of stock to align his interests with the interests of our shareholders.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Pursuant to this requirement, the Chief Executive Officer is required to attain and maintain stock ownership at a level equal to three times his base salary, with vested options and restricted stock grants counting toward the satisfaction of this requirement. The Chief Executive Officer has two years from the effective date of his initial appointment as Chief Executive Officer or from the date on which he first becomes subject to the policy, whichever is later, to comply with this requirement. Our Chief Executive Officer currently meets the applicable minimum stock ownership requirement.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 xml:space="preserve">The minimum stock ownership requirements for our non-management directors and Chief Executive Officer are set forth in our Corporate Governance Guidelines, which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Compensation Decisions for our Named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Chief Financial Officer Compensation</w:t>
      </w:r>
    </w:p>
    <w:p>
      <w:pPr>
        <w:spacing w:after="0" w:line="200" w:lineRule="exact"/>
        <w:rPr>
          <w:sz w:val="20"/>
          <w:szCs w:val="20"/>
          <w:color w:val="auto"/>
        </w:rPr>
      </w:pPr>
    </w:p>
    <w:p>
      <w:pPr>
        <w:ind w:right="660"/>
        <w:spacing w:after="0" w:line="243" w:lineRule="auto"/>
        <w:rPr>
          <w:sz w:val="20"/>
          <w:szCs w:val="20"/>
          <w:color w:val="auto"/>
        </w:rPr>
      </w:pPr>
      <w:r>
        <w:rPr>
          <w:rFonts w:ascii="Arial" w:cs="Arial" w:eastAsia="Arial" w:hAnsi="Arial"/>
          <w:sz w:val="15"/>
          <w:szCs w:val="15"/>
          <w:color w:val="auto"/>
        </w:rPr>
        <w:t>Mr. Chatterjee was appointed Chief Financial Officer of the Company on October 5, 2017. In determining annual and long-term compensation for Mr. Chatterjee, the Compensation Committee followed the same compensation philosophy and objectives described in this Compensation Discussion and Analysis and also took into consideration the value of the compensation that Mr. Chatterjee would have been eligible to receive had he remained employed by his prior employer.</w:t>
      </w:r>
    </w:p>
    <w:p>
      <w:pPr>
        <w:spacing w:after="0" w:line="174"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As part of Mr. Chatterjee's employment agreement, the Compensation Committee approved an annual base salary of $475,000 and, beginning in the 2018 service year, a target incentive opportunity of $475,000 under our annual incentive plan, with a minimum amount of $475,000 for the 2018 service year, subject to meeting performance expectations and continued employment through the payment date. At the time of hire, Mr. Chatterjee was also granted (i) 20,000 stock options tied to market-based criteria, with two-thirds of the market-based options vesting over three years if the stock price realizes a compounded annual gain of at least twenty percent (20%) over the exercise price, so long as the stock price is at least double the exercise price, and the remaining third vesting over three years if the stock price realizes a twenty-five percent (25%) compounded annual gain, so long as it is at least triple the exercise price and (ii) 19,533 time-based restricted shares of ASPS common stock ("Restricted Shares") scheduled to vest over four years, in each case subject to continued employment.</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As an incentive to become our Chief Financial Officer and to offset accrued compensation he would have received from his former employer, the Compensation Committee also approved providing Mr. Chatterjee with a cash incentive payment of $485,000 in March of 2018 for calendar year 2017, subject to meeting performance expectations and continued employment through the payment date. In addition, the Compensation Committee approved a onetime cash bonus of $34,464, payable following the satisfactory completion of Mr. Chatterjee's first one (1) year of employment.</w:t>
      </w:r>
    </w:p>
    <w:p>
      <w:pPr>
        <w:spacing w:after="0" w:line="177" w:lineRule="exact"/>
        <w:rPr>
          <w:sz w:val="20"/>
          <w:szCs w:val="20"/>
          <w:color w:val="auto"/>
        </w:rPr>
      </w:pPr>
    </w:p>
    <w:p>
      <w:pPr>
        <w:ind w:right="320"/>
        <w:spacing w:after="0" w:line="241" w:lineRule="auto"/>
        <w:rPr>
          <w:sz w:val="20"/>
          <w:szCs w:val="20"/>
          <w:color w:val="auto"/>
        </w:rPr>
      </w:pPr>
      <w:r>
        <w:rPr>
          <w:rFonts w:ascii="Arial" w:cs="Arial" w:eastAsia="Arial" w:hAnsi="Arial"/>
          <w:sz w:val="15"/>
          <w:szCs w:val="15"/>
          <w:color w:val="auto"/>
        </w:rPr>
        <w:t>In November 2017, the Committee approved the following objective criteria to measure Mr. Chatterjee's performance for purposes of receiving his 2017 cash incentive payment, which were to (i) amend the Company's SSTL, (ii) continue to develop shareholder communications and (iii) support certain other corporate initiatives. In March 2018, the Committee determined that Mr. Chatterjee met these performance expectations and Mr. Chatterjee received an award of $485,000, which is reflected in the Summary Compensation Table in the "Bonus" column.</w:t>
      </w:r>
    </w:p>
    <w:p>
      <w:pPr>
        <w:spacing w:after="0" w:line="177" w:lineRule="exact"/>
        <w:rPr>
          <w:sz w:val="20"/>
          <w:szCs w:val="20"/>
          <w:color w:val="auto"/>
        </w:rPr>
      </w:pPr>
    </w:p>
    <w:p>
      <w:pPr>
        <w:jc w:val="both"/>
        <w:ind w:right="400"/>
        <w:spacing w:after="0" w:line="243" w:lineRule="auto"/>
        <w:rPr>
          <w:sz w:val="20"/>
          <w:szCs w:val="20"/>
          <w:color w:val="auto"/>
        </w:rPr>
      </w:pPr>
      <w:r>
        <w:rPr>
          <w:rFonts w:ascii="Arial" w:cs="Arial" w:eastAsia="Arial" w:hAnsi="Arial"/>
          <w:sz w:val="15"/>
          <w:szCs w:val="15"/>
          <w:color w:val="auto"/>
        </w:rPr>
        <w:t>In addition, pursuant to his employment agreement, on February 12, 2018, Mr. Chatterjee received a grant of 22,186 restricted shares with an award value of $540,000, scheduled to vest over four years. This award is intended to make him whole for certain equity awards that were granted by his former employer and that he forfeited by joining Altisource.</w:t>
      </w:r>
    </w:p>
    <w:p>
      <w:pPr>
        <w:spacing w:after="0" w:line="174"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In connection with his relocation from New York to Luxembourg, Mr. Chatterjee also receives certain relocation benefits and foreign living allowances, consistent with those provided to other Luxembourg-based executive officers.</w:t>
      </w:r>
    </w:p>
    <w:p>
      <w:pPr>
        <w:spacing w:after="0" w:line="171" w:lineRule="exact"/>
        <w:rPr>
          <w:sz w:val="20"/>
          <w:szCs w:val="20"/>
          <w:color w:val="auto"/>
        </w:rPr>
      </w:pPr>
    </w:p>
    <w:p>
      <w:pPr>
        <w:ind w:right="360"/>
        <w:spacing w:after="0" w:line="247" w:lineRule="auto"/>
        <w:rPr>
          <w:sz w:val="20"/>
          <w:szCs w:val="20"/>
          <w:color w:val="auto"/>
        </w:rPr>
      </w:pPr>
      <w:r>
        <w:rPr>
          <w:rFonts w:ascii="Arial" w:cs="Arial" w:eastAsia="Arial" w:hAnsi="Arial"/>
          <w:sz w:val="15"/>
          <w:szCs w:val="15"/>
          <w:color w:val="auto"/>
        </w:rPr>
        <w:t>The payments that Mr. Chatterjee will be eligible to receive in connection with certain terminations of employment are described in further detail below under the heading "Potential Payments Upon Termination or Change in Control."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114300</wp:posOffset>
            </wp:positionV>
            <wp:extent cx="2339975" cy="1377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3997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Annual Cash Compensation Increase Determinations</w:t>
      </w:r>
    </w:p>
    <w:p>
      <w:pPr>
        <w:spacing w:after="0" w:line="200" w:lineRule="exact"/>
        <w:rPr>
          <w:sz w:val="20"/>
          <w:szCs w:val="20"/>
          <w:color w:val="auto"/>
        </w:rPr>
      </w:pPr>
    </w:p>
    <w:p>
      <w:pPr>
        <w:ind w:right="200"/>
        <w:spacing w:after="0" w:line="243" w:lineRule="auto"/>
        <w:rPr>
          <w:sz w:val="20"/>
          <w:szCs w:val="20"/>
          <w:color w:val="auto"/>
        </w:rPr>
      </w:pPr>
      <w:r>
        <w:rPr>
          <w:rFonts w:ascii="Arial" w:cs="Arial" w:eastAsia="Arial" w:hAnsi="Arial"/>
          <w:sz w:val="15"/>
          <w:szCs w:val="15"/>
          <w:color w:val="auto"/>
        </w:rPr>
        <w:t>In 2017, the Compensation Committee reviewed recommendations and determined to increase the annual compensation for Messrs. Wilcox, Davila and Ritts based on the performance of these executives, the expected value of their performance going forward and, in the case of Mr. Wilcox, earlier benchmarking analyses conducted by the Company's independent compensation consultant.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approved the following increases to the base salaries of the following Named Executive Officers, effective as of September 1,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8"/>
              </w:rPr>
              <w:t>Previous Base</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rPr>
              <w:t>New Base</w:t>
            </w: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9"/>
              </w:rPr>
              <w:t>Resulting Base</w:t>
            </w:r>
          </w:p>
        </w:tc>
      </w:tr>
      <w:tr>
        <w:trPr>
          <w:trHeight w:val="187"/>
        </w:trPr>
        <w:tc>
          <w:tcPr>
            <w:tcW w:w="5480" w:type="dxa"/>
            <w:vAlign w:val="bottom"/>
            <w:tcBorders>
              <w:bottom w:val="single" w:sz="8" w:color="auto"/>
            </w:tcBorders>
          </w:tcPr>
          <w:p>
            <w:pPr>
              <w:ind w:left="2540"/>
              <w:spacing w:after="0"/>
              <w:rPr>
                <w:sz w:val="20"/>
                <w:szCs w:val="20"/>
                <w:color w:val="auto"/>
              </w:rPr>
            </w:pPr>
            <w:r>
              <w:rPr>
                <w:rFonts w:ascii="Arial" w:cs="Arial" w:eastAsia="Arial" w:hAnsi="Arial"/>
                <w:sz w:val="15"/>
                <w:szCs w:val="15"/>
                <w:b w:val="1"/>
                <w:bCs w:val="1"/>
                <w:color w:val="auto"/>
              </w:rPr>
              <w:t>Name</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Salary ($)</w:t>
            </w:r>
          </w:p>
        </w:tc>
        <w:tc>
          <w:tcPr>
            <w:tcW w:w="18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 xml:space="preserve">Salary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w:t>
            </w:r>
          </w:p>
        </w:tc>
        <w:tc>
          <w:tcPr>
            <w:tcW w:w="18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Salary Increase (%)</w:t>
            </w:r>
          </w:p>
        </w:tc>
      </w:tr>
      <w:tr>
        <w:trPr>
          <w:trHeight w:val="163"/>
        </w:trPr>
        <w:tc>
          <w:tcPr>
            <w:tcW w:w="54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Kevin J. Wilcox</w:t>
            </w:r>
          </w:p>
        </w:tc>
        <w:tc>
          <w:tcPr>
            <w:tcW w:w="1220" w:type="dxa"/>
            <w:vAlign w:val="bottom"/>
            <w:gridSpan w:val="2"/>
            <w:shd w:val="clear" w:color="auto" w:fill="CCEEFF"/>
          </w:tcPr>
          <w:p>
            <w:pPr>
              <w:jc w:val="center"/>
              <w:ind w:left="166"/>
              <w:spacing w:after="0" w:line="163" w:lineRule="exact"/>
              <w:rPr>
                <w:sz w:val="20"/>
                <w:szCs w:val="20"/>
                <w:color w:val="auto"/>
              </w:rPr>
            </w:pPr>
            <w:r>
              <w:rPr>
                <w:rFonts w:ascii="Arial" w:cs="Arial" w:eastAsia="Arial" w:hAnsi="Arial"/>
                <w:sz w:val="15"/>
                <w:szCs w:val="15"/>
                <w:color w:val="auto"/>
                <w:w w:val="99"/>
              </w:rPr>
              <w:t>$461,250</w:t>
            </w:r>
          </w:p>
        </w:tc>
        <w:tc>
          <w:tcPr>
            <w:tcW w:w="900" w:type="dxa"/>
            <w:vAlign w:val="bottom"/>
            <w:gridSpan w:val="2"/>
            <w:shd w:val="clear" w:color="auto" w:fill="CCEEFF"/>
          </w:tcPr>
          <w:p>
            <w:pPr>
              <w:jc w:val="center"/>
              <w:ind w:left="126"/>
              <w:spacing w:after="0" w:line="163" w:lineRule="exact"/>
              <w:rPr>
                <w:sz w:val="20"/>
                <w:szCs w:val="20"/>
                <w:color w:val="auto"/>
              </w:rPr>
            </w:pPr>
            <w:r>
              <w:rPr>
                <w:rFonts w:ascii="Arial" w:cs="Arial" w:eastAsia="Arial" w:hAnsi="Arial"/>
                <w:sz w:val="15"/>
                <w:szCs w:val="15"/>
                <w:color w:val="auto"/>
                <w:w w:val="99"/>
              </w:rPr>
              <w:t>$475,000</w:t>
            </w:r>
          </w:p>
        </w:tc>
        <w:tc>
          <w:tcPr>
            <w:tcW w:w="1560" w:type="dxa"/>
            <w:vAlign w:val="bottom"/>
            <w:gridSpan w:val="2"/>
            <w:shd w:val="clear" w:color="auto" w:fill="CCEEFF"/>
          </w:tcPr>
          <w:p>
            <w:pPr>
              <w:jc w:val="center"/>
              <w:ind w:left="106"/>
              <w:spacing w:after="0" w:line="163" w:lineRule="exact"/>
              <w:rPr>
                <w:sz w:val="20"/>
                <w:szCs w:val="20"/>
                <w:color w:val="auto"/>
              </w:rPr>
            </w:pPr>
            <w:r>
              <w:rPr>
                <w:rFonts w:ascii="Arial" w:cs="Arial" w:eastAsia="Arial" w:hAnsi="Arial"/>
                <w:sz w:val="15"/>
                <w:szCs w:val="15"/>
                <w:color w:val="auto"/>
                <w:w w:val="98"/>
              </w:rPr>
              <w:t>2.98%</w:t>
            </w:r>
          </w:p>
        </w:tc>
      </w:tr>
      <w:tr>
        <w:trPr>
          <w:trHeight w:val="181"/>
        </w:trPr>
        <w:tc>
          <w:tcPr>
            <w:tcW w:w="5480" w:type="dxa"/>
            <w:vAlign w:val="bottom"/>
          </w:tcPr>
          <w:p>
            <w:pPr>
              <w:spacing w:after="0"/>
              <w:rPr>
                <w:sz w:val="20"/>
                <w:szCs w:val="20"/>
                <w:color w:val="auto"/>
              </w:rPr>
            </w:pPr>
            <w:r>
              <w:rPr>
                <w:rFonts w:ascii="Arial" w:cs="Arial" w:eastAsia="Arial" w:hAnsi="Arial"/>
                <w:sz w:val="15"/>
                <w:szCs w:val="15"/>
                <w:color w:val="auto"/>
              </w:rPr>
              <w:t>Joseph A. Davila</w:t>
            </w:r>
          </w:p>
        </w:tc>
        <w:tc>
          <w:tcPr>
            <w:tcW w:w="1220" w:type="dxa"/>
            <w:vAlign w:val="bottom"/>
            <w:gridSpan w:val="2"/>
          </w:tcPr>
          <w:p>
            <w:pPr>
              <w:jc w:val="center"/>
              <w:ind w:left="166"/>
              <w:spacing w:after="0"/>
              <w:rPr>
                <w:sz w:val="20"/>
                <w:szCs w:val="20"/>
                <w:color w:val="auto"/>
              </w:rPr>
            </w:pPr>
            <w:r>
              <w:rPr>
                <w:rFonts w:ascii="Arial" w:cs="Arial" w:eastAsia="Arial" w:hAnsi="Arial"/>
                <w:sz w:val="15"/>
                <w:szCs w:val="15"/>
                <w:color w:val="auto"/>
                <w:w w:val="99"/>
              </w:rPr>
              <w:t>$405,730</w:t>
            </w:r>
          </w:p>
        </w:tc>
        <w:tc>
          <w:tcPr>
            <w:tcW w:w="900" w:type="dxa"/>
            <w:vAlign w:val="bottom"/>
            <w:gridSpan w:val="2"/>
          </w:tcPr>
          <w:p>
            <w:pPr>
              <w:jc w:val="center"/>
              <w:ind w:left="126"/>
              <w:spacing w:after="0"/>
              <w:rPr>
                <w:sz w:val="20"/>
                <w:szCs w:val="20"/>
                <w:color w:val="auto"/>
              </w:rPr>
            </w:pPr>
            <w:r>
              <w:rPr>
                <w:rFonts w:ascii="Arial" w:cs="Arial" w:eastAsia="Arial" w:hAnsi="Arial"/>
                <w:sz w:val="15"/>
                <w:szCs w:val="15"/>
                <w:color w:val="auto"/>
                <w:w w:val="99"/>
              </w:rPr>
              <w:t>$425,000</w:t>
            </w:r>
          </w:p>
        </w:tc>
        <w:tc>
          <w:tcPr>
            <w:tcW w:w="1560" w:type="dxa"/>
            <w:vAlign w:val="bottom"/>
            <w:gridSpan w:val="2"/>
          </w:tcPr>
          <w:p>
            <w:pPr>
              <w:jc w:val="center"/>
              <w:ind w:left="106"/>
              <w:spacing w:after="0"/>
              <w:rPr>
                <w:sz w:val="20"/>
                <w:szCs w:val="20"/>
                <w:color w:val="auto"/>
              </w:rPr>
            </w:pPr>
            <w:r>
              <w:rPr>
                <w:rFonts w:ascii="Arial" w:cs="Arial" w:eastAsia="Arial" w:hAnsi="Arial"/>
                <w:sz w:val="15"/>
                <w:szCs w:val="15"/>
                <w:color w:val="auto"/>
                <w:w w:val="98"/>
              </w:rPr>
              <w:t>4.75%</w:t>
            </w:r>
          </w:p>
        </w:tc>
      </w:tr>
    </w:tbl>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Compensation Committee further approved the following increases to the target incentive compensation for the following executives, effective August 1, 2017 for Mr. Ritts and September 1, 2017 for Messrs. Wilcox and Davila:</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7"/>
              </w:rPr>
              <w:t>Resulting Target</w:t>
            </w:r>
          </w:p>
        </w:tc>
      </w:t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6"/>
              </w:rPr>
              <w:t>Previous Target</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6"/>
              </w:rPr>
              <w:t>New Target</w:t>
            </w: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Incentive</w:t>
            </w:r>
          </w:p>
        </w:tc>
      </w:t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Incentive</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Incentive</w:t>
            </w: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7"/>
              </w:rPr>
              <w:t>Compensation</w:t>
            </w:r>
          </w:p>
        </w:tc>
      </w:tr>
      <w:tr>
        <w:trPr>
          <w:trHeight w:val="187"/>
        </w:trPr>
        <w:tc>
          <w:tcPr>
            <w:tcW w:w="4920" w:type="dxa"/>
            <w:vAlign w:val="bottom"/>
            <w:tcBorders>
              <w:bottom w:val="single" w:sz="8" w:color="auto"/>
            </w:tcBorders>
          </w:tcPr>
          <w:p>
            <w:pPr>
              <w:ind w:left="226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 xml:space="preserve">Compensation </w:t>
            </w:r>
            <w:r>
              <w:rPr>
                <w:rFonts w:ascii="Arial" w:cs="Arial" w:eastAsia="Arial" w:hAnsi="Arial"/>
                <w:sz w:val="15"/>
                <w:szCs w:val="15"/>
                <w:b w:val="1"/>
                <w:bCs w:val="1"/>
                <w:u w:val="single" w:color="auto"/>
                <w:color w:val="auto"/>
                <w:w w:val="99"/>
              </w:rPr>
              <w:t>($</w:t>
            </w:r>
            <w:r>
              <w:rPr>
                <w:rFonts w:ascii="Arial" w:cs="Arial" w:eastAsia="Arial" w:hAnsi="Arial"/>
                <w:sz w:val="15"/>
                <w:szCs w:val="15"/>
                <w:b w:val="1"/>
                <w:bCs w:val="1"/>
                <w:color w:val="auto"/>
                <w:w w:val="99"/>
              </w:rPr>
              <w:t>)</w:t>
            </w: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 xml:space="preserve">Compensation </w:t>
            </w:r>
            <w:r>
              <w:rPr>
                <w:rFonts w:ascii="Arial" w:cs="Arial" w:eastAsia="Arial" w:hAnsi="Arial"/>
                <w:sz w:val="15"/>
                <w:szCs w:val="15"/>
                <w:b w:val="1"/>
                <w:bCs w:val="1"/>
                <w:u w:val="single" w:color="auto"/>
                <w:color w:val="auto"/>
                <w:w w:val="99"/>
              </w:rPr>
              <w:t>($</w:t>
            </w:r>
            <w:r>
              <w:rPr>
                <w:rFonts w:ascii="Arial" w:cs="Arial" w:eastAsia="Arial" w:hAnsi="Arial"/>
                <w:sz w:val="15"/>
                <w:szCs w:val="15"/>
                <w:b w:val="1"/>
                <w:bCs w:val="1"/>
                <w:color w:val="auto"/>
                <w:w w:val="99"/>
              </w:rPr>
              <w:t>)</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Increase (%)</w:t>
            </w:r>
          </w:p>
        </w:tc>
      </w:tr>
      <w:tr>
        <w:trPr>
          <w:trHeight w:val="163"/>
        </w:trPr>
        <w:tc>
          <w:tcPr>
            <w:tcW w:w="49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Kevin J. Wilcox</w:t>
            </w:r>
          </w:p>
        </w:tc>
        <w:tc>
          <w:tcPr>
            <w:tcW w:w="1440" w:type="dxa"/>
            <w:vAlign w:val="bottom"/>
            <w:gridSpan w:val="2"/>
            <w:shd w:val="clear" w:color="auto" w:fill="CCEEFF"/>
          </w:tcPr>
          <w:p>
            <w:pPr>
              <w:jc w:val="center"/>
              <w:ind w:left="126"/>
              <w:spacing w:after="0" w:line="163" w:lineRule="exact"/>
              <w:rPr>
                <w:sz w:val="20"/>
                <w:szCs w:val="20"/>
                <w:color w:val="auto"/>
              </w:rPr>
            </w:pPr>
            <w:r>
              <w:rPr>
                <w:rFonts w:ascii="Arial" w:cs="Arial" w:eastAsia="Arial" w:hAnsi="Arial"/>
                <w:sz w:val="15"/>
                <w:szCs w:val="15"/>
                <w:color w:val="auto"/>
              </w:rPr>
              <w:t>$461,250</w:t>
            </w:r>
          </w:p>
        </w:tc>
        <w:tc>
          <w:tcPr>
            <w:tcW w:w="1440" w:type="dxa"/>
            <w:vAlign w:val="bottom"/>
            <w:gridSpan w:val="2"/>
            <w:shd w:val="clear" w:color="auto" w:fill="CCEEFF"/>
          </w:tcPr>
          <w:p>
            <w:pPr>
              <w:jc w:val="center"/>
              <w:ind w:left="146"/>
              <w:spacing w:after="0" w:line="163" w:lineRule="exact"/>
              <w:rPr>
                <w:sz w:val="20"/>
                <w:szCs w:val="20"/>
                <w:color w:val="auto"/>
              </w:rPr>
            </w:pPr>
            <w:r>
              <w:rPr>
                <w:rFonts w:ascii="Arial" w:cs="Arial" w:eastAsia="Arial" w:hAnsi="Arial"/>
                <w:sz w:val="15"/>
                <w:szCs w:val="15"/>
                <w:color w:val="auto"/>
                <w:w w:val="99"/>
              </w:rPr>
              <w:t>$475,000</w:t>
            </w:r>
          </w:p>
        </w:tc>
        <w:tc>
          <w:tcPr>
            <w:tcW w:w="1360" w:type="dxa"/>
            <w:vAlign w:val="bottom"/>
            <w:gridSpan w:val="2"/>
            <w:shd w:val="clear" w:color="auto" w:fill="CCEEFF"/>
          </w:tcPr>
          <w:p>
            <w:pPr>
              <w:jc w:val="center"/>
              <w:ind w:left="106"/>
              <w:spacing w:after="0" w:line="163" w:lineRule="exact"/>
              <w:rPr>
                <w:sz w:val="20"/>
                <w:szCs w:val="20"/>
                <w:color w:val="auto"/>
              </w:rPr>
            </w:pPr>
            <w:r>
              <w:rPr>
                <w:rFonts w:ascii="Arial" w:cs="Arial" w:eastAsia="Arial" w:hAnsi="Arial"/>
                <w:sz w:val="15"/>
                <w:szCs w:val="15"/>
                <w:color w:val="auto"/>
                <w:w w:val="98"/>
              </w:rPr>
              <w:t>2.98%</w:t>
            </w:r>
          </w:p>
        </w:tc>
      </w:tr>
      <w:tr>
        <w:trPr>
          <w:trHeight w:val="172"/>
        </w:trPr>
        <w:tc>
          <w:tcPr>
            <w:tcW w:w="4920" w:type="dxa"/>
            <w:vAlign w:val="bottom"/>
          </w:tcPr>
          <w:p>
            <w:pPr>
              <w:spacing w:after="0"/>
              <w:rPr>
                <w:sz w:val="20"/>
                <w:szCs w:val="20"/>
                <w:color w:val="auto"/>
              </w:rPr>
            </w:pPr>
            <w:r>
              <w:rPr>
                <w:rFonts w:ascii="Arial" w:cs="Arial" w:eastAsia="Arial" w:hAnsi="Arial"/>
                <w:sz w:val="15"/>
                <w:szCs w:val="15"/>
                <w:color w:val="auto"/>
              </w:rPr>
              <w:t>Joseph A. Davila</w:t>
            </w:r>
          </w:p>
        </w:tc>
        <w:tc>
          <w:tcPr>
            <w:tcW w:w="1440" w:type="dxa"/>
            <w:vAlign w:val="bottom"/>
            <w:gridSpan w:val="2"/>
          </w:tcPr>
          <w:p>
            <w:pPr>
              <w:jc w:val="center"/>
              <w:ind w:left="126"/>
              <w:spacing w:after="0"/>
              <w:rPr>
                <w:sz w:val="20"/>
                <w:szCs w:val="20"/>
                <w:color w:val="auto"/>
              </w:rPr>
            </w:pPr>
            <w:r>
              <w:rPr>
                <w:rFonts w:ascii="Arial" w:cs="Arial" w:eastAsia="Arial" w:hAnsi="Arial"/>
                <w:sz w:val="15"/>
                <w:szCs w:val="15"/>
                <w:color w:val="auto"/>
              </w:rPr>
              <w:t>$300,000</w:t>
            </w:r>
          </w:p>
        </w:tc>
        <w:tc>
          <w:tcPr>
            <w:tcW w:w="1440" w:type="dxa"/>
            <w:vAlign w:val="bottom"/>
            <w:gridSpan w:val="2"/>
          </w:tcPr>
          <w:p>
            <w:pPr>
              <w:jc w:val="center"/>
              <w:ind w:left="146"/>
              <w:spacing w:after="0"/>
              <w:rPr>
                <w:sz w:val="20"/>
                <w:szCs w:val="20"/>
                <w:color w:val="auto"/>
              </w:rPr>
            </w:pPr>
            <w:r>
              <w:rPr>
                <w:rFonts w:ascii="Arial" w:cs="Arial" w:eastAsia="Arial" w:hAnsi="Arial"/>
                <w:sz w:val="15"/>
                <w:szCs w:val="15"/>
                <w:color w:val="auto"/>
                <w:w w:val="99"/>
              </w:rPr>
              <w:t>$350,000</w:t>
            </w:r>
          </w:p>
        </w:tc>
        <w:tc>
          <w:tcPr>
            <w:tcW w:w="1360" w:type="dxa"/>
            <w:vAlign w:val="bottom"/>
            <w:gridSpan w:val="2"/>
          </w:tcPr>
          <w:p>
            <w:pPr>
              <w:jc w:val="center"/>
              <w:ind w:left="106"/>
              <w:spacing w:after="0"/>
              <w:rPr>
                <w:sz w:val="20"/>
                <w:szCs w:val="20"/>
                <w:color w:val="auto"/>
              </w:rPr>
            </w:pPr>
            <w:r>
              <w:rPr>
                <w:rFonts w:ascii="Arial" w:cs="Arial" w:eastAsia="Arial" w:hAnsi="Arial"/>
                <w:sz w:val="15"/>
                <w:szCs w:val="15"/>
                <w:color w:val="auto"/>
                <w:w w:val="98"/>
              </w:rPr>
              <w:t>16.67%</w:t>
            </w:r>
          </w:p>
        </w:tc>
      </w:tr>
      <w:tr>
        <w:trPr>
          <w:trHeight w:val="172"/>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1440" w:type="dxa"/>
            <w:vAlign w:val="bottom"/>
            <w:gridSpan w:val="2"/>
            <w:shd w:val="clear" w:color="auto" w:fill="CCEEFF"/>
          </w:tcPr>
          <w:p>
            <w:pPr>
              <w:jc w:val="center"/>
              <w:ind w:left="126"/>
              <w:spacing w:after="0"/>
              <w:rPr>
                <w:sz w:val="20"/>
                <w:szCs w:val="20"/>
                <w:color w:val="auto"/>
              </w:rPr>
            </w:pPr>
            <w:r>
              <w:rPr>
                <w:rFonts w:ascii="Arial" w:cs="Arial" w:eastAsia="Arial" w:hAnsi="Arial"/>
                <w:sz w:val="15"/>
                <w:szCs w:val="15"/>
                <w:color w:val="auto"/>
              </w:rPr>
              <w:t>$225,000</w:t>
            </w:r>
          </w:p>
        </w:tc>
        <w:tc>
          <w:tcPr>
            <w:tcW w:w="1440" w:type="dxa"/>
            <w:vAlign w:val="bottom"/>
            <w:gridSpan w:val="2"/>
            <w:shd w:val="clear" w:color="auto" w:fill="CCEEFF"/>
          </w:tcPr>
          <w:p>
            <w:pPr>
              <w:jc w:val="center"/>
              <w:ind w:left="146"/>
              <w:spacing w:after="0"/>
              <w:rPr>
                <w:sz w:val="20"/>
                <w:szCs w:val="20"/>
                <w:color w:val="auto"/>
              </w:rPr>
            </w:pPr>
            <w:r>
              <w:rPr>
                <w:rFonts w:ascii="Arial" w:cs="Arial" w:eastAsia="Arial" w:hAnsi="Arial"/>
                <w:sz w:val="15"/>
                <w:szCs w:val="15"/>
                <w:color w:val="auto"/>
                <w:w w:val="99"/>
              </w:rPr>
              <w:t>$240,000</w:t>
            </w:r>
          </w:p>
        </w:tc>
        <w:tc>
          <w:tcPr>
            <w:tcW w:w="1360" w:type="dxa"/>
            <w:vAlign w:val="bottom"/>
            <w:gridSpan w:val="2"/>
            <w:shd w:val="clear" w:color="auto" w:fill="CCEEFF"/>
          </w:tcPr>
          <w:p>
            <w:pPr>
              <w:jc w:val="center"/>
              <w:ind w:left="106"/>
              <w:spacing w:after="0"/>
              <w:rPr>
                <w:sz w:val="20"/>
                <w:szCs w:val="20"/>
                <w:color w:val="auto"/>
              </w:rPr>
            </w:pPr>
            <w:r>
              <w:rPr>
                <w:rFonts w:ascii="Arial" w:cs="Arial" w:eastAsia="Arial" w:hAnsi="Arial"/>
                <w:sz w:val="15"/>
                <w:szCs w:val="15"/>
                <w:color w:val="auto"/>
                <w:w w:val="98"/>
              </w:rPr>
              <w:t>6.67%</w:t>
            </w:r>
          </w:p>
        </w:tc>
      </w:tr>
    </w:tbl>
    <w:p>
      <w:pPr>
        <w:spacing w:after="0" w:line="186" w:lineRule="exact"/>
        <w:rPr>
          <w:sz w:val="20"/>
          <w:szCs w:val="20"/>
          <w:color w:val="auto"/>
        </w:rPr>
      </w:pPr>
    </w:p>
    <w:p>
      <w:pPr>
        <w:ind w:right="220"/>
        <w:spacing w:after="0" w:line="243" w:lineRule="auto"/>
        <w:rPr>
          <w:sz w:val="20"/>
          <w:szCs w:val="20"/>
          <w:color w:val="auto"/>
        </w:rPr>
      </w:pPr>
      <w:r>
        <w:rPr>
          <w:rFonts w:ascii="Arial" w:cs="Arial" w:eastAsia="Arial" w:hAnsi="Arial"/>
          <w:sz w:val="15"/>
          <w:szCs w:val="15"/>
          <w:color w:val="auto"/>
        </w:rPr>
        <w:t>For Mr. Wilcox, the Compensation Committee determined that the ratio of the base compensation and the incentive compensation to the total compensation should remain the same. For Messrs. Davila and Ritts, the Compensation Committee determined that it was appropriate that the ratio of the incentive compensation to the total compensation be increased.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Exchange Rate Adjustment</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As further detailed in the Summary Compensation Table below, base salaries for our Named Executive Officers are set in U.S. dollars and paid in euros. Effective August 1, 2017, the Compensation Committee approved adjusting the exchange rate used to convert Mr. Ritts' base salary to euros from 0.80 to 0.83 euros to the U.S. dollar to account for the strengthening of the U.S. dollar since the last adjustment to his exchange rate and to align his exchange rate with the exchange rate of other executive officers. This exchange rate adjustment resulted in an increase in his annual base salary of 13,069 euros. His base salary remained set at $435,625.</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of Living Compensation Increase for Certain Named Executive Officers</w:t>
      </w:r>
    </w:p>
    <w:p>
      <w:pPr>
        <w:spacing w:after="0" w:line="200"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Under article L.223-1 of the Luxembourg Labor Code, all compensation owed pursuant to an employment agreement is required to be adapted based upon the cost of living index in the Grand Duchy of Luxembourg. Effective August 1, 2018, there was a required two and a half percent (2.5%) increase in compensation pursuant to this law. The base salaries for our Named Executive Officers (other than Ms. Esterman who no longer resides in Luxembourg) and the incentive compensation for the Chief Executive Officer and the Chief Administration and Risk Officer were adjusted accordingly.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The Compensation Committee of the Board of Directors has reviewed and discussed with management the Compensation Discussion and Analysis included on pages 29 through 51 of this proxy statement.</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Based on this review and discussion, the Compensation Committee recommended to the Board of Directors that the Compensation Discussion and Analysis be included in this proxy statement.</w:t>
      </w:r>
    </w:p>
    <w:p>
      <w:pPr>
        <w:spacing w:after="0" w:line="153" w:lineRule="exact"/>
        <w:rPr>
          <w:sz w:val="20"/>
          <w:szCs w:val="20"/>
          <w:color w:val="auto"/>
        </w:rPr>
      </w:pPr>
    </w:p>
    <w:p>
      <w:pPr>
        <w:ind w:left="4560"/>
        <w:spacing w:after="0"/>
        <w:rPr>
          <w:sz w:val="20"/>
          <w:szCs w:val="20"/>
          <w:color w:val="auto"/>
        </w:rPr>
      </w:pPr>
      <w:r>
        <w:rPr>
          <w:rFonts w:ascii="Arial" w:cs="Arial" w:eastAsia="Arial" w:hAnsi="Arial"/>
          <w:sz w:val="15"/>
          <w:szCs w:val="15"/>
          <w:b w:val="1"/>
          <w:bCs w:val="1"/>
          <w:color w:val="auto"/>
        </w:rPr>
        <w:t>Compensation Committee:</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Timo Vättö, Chairman</w:t>
      </w:r>
    </w:p>
    <w:p>
      <w:pPr>
        <w:ind w:left="4560"/>
        <w:spacing w:after="0"/>
        <w:rPr>
          <w:sz w:val="20"/>
          <w:szCs w:val="20"/>
          <w:color w:val="auto"/>
        </w:rPr>
      </w:pPr>
      <w:r>
        <w:rPr>
          <w:rFonts w:ascii="Arial" w:cs="Arial" w:eastAsia="Arial" w:hAnsi="Arial"/>
          <w:sz w:val="15"/>
          <w:szCs w:val="15"/>
          <w:color w:val="auto"/>
        </w:rPr>
        <w:t>Orin S. Kramer, Director</w:t>
      </w:r>
    </w:p>
    <w:p>
      <w:pPr>
        <w:ind w:left="4560"/>
        <w:spacing w:after="0"/>
        <w:rPr>
          <w:sz w:val="20"/>
          <w:szCs w:val="20"/>
          <w:color w:val="auto"/>
        </w:rPr>
      </w:pPr>
      <w:r>
        <w:rPr>
          <w:rFonts w:ascii="Arial" w:cs="Arial" w:eastAsia="Arial" w:hAnsi="Arial"/>
          <w:sz w:val="15"/>
          <w:szCs w:val="15"/>
          <w:color w:val="auto"/>
        </w:rPr>
        <w:t>Roland Müller-Ineichen, Director</w:t>
      </w:r>
    </w:p>
    <w:p>
      <w:pPr>
        <w:spacing w:after="0"/>
        <w:rPr>
          <w:sz w:val="20"/>
          <w:szCs w:val="20"/>
          <w:color w:val="auto"/>
        </w:rPr>
      </w:pPr>
      <w:r>
        <w:rPr>
          <w:rFonts w:ascii="Arial" w:cs="Arial" w:eastAsia="Arial" w:hAnsi="Arial"/>
          <w:sz w:val="15"/>
          <w:szCs w:val="15"/>
          <w:color w:val="auto"/>
        </w:rPr>
        <w:t>August 14, 2018</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53" w:name="page54"/>
    <w:bookmarkEnd w:id="5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757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8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Summary Compensation Table</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discloses compensation of our Named Executive Officers for fiscal years 2015, 2016 and 2017.</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Non-Equity</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37"/>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47"/>
        </w:trPr>
        <w:tc>
          <w:tcPr>
            <w:tcW w:w="3740" w:type="dxa"/>
            <w:vAlign w:val="bottom"/>
          </w:tcPr>
          <w:p>
            <w:pPr>
              <w:ind w:left="1300"/>
              <w:spacing w:after="0"/>
              <w:rPr>
                <w:sz w:val="20"/>
                <w:szCs w:val="20"/>
                <w:color w:val="auto"/>
              </w:rPr>
            </w:pPr>
            <w:r>
              <w:rPr>
                <w:rFonts w:ascii="Arial" w:cs="Arial" w:eastAsia="Arial" w:hAnsi="Arial"/>
                <w:sz w:val="12"/>
                <w:szCs w:val="12"/>
                <w:b w:val="1"/>
                <w:bCs w:val="1"/>
                <w:color w:val="auto"/>
              </w:rPr>
              <w:t>Name and Principal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Option</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100" w:type="dxa"/>
            <w:vAlign w:val="bottom"/>
          </w:tcPr>
          <w:p>
            <w:pPr>
              <w:spacing w:after="0"/>
              <w:rPr>
                <w:sz w:val="12"/>
                <w:szCs w:val="12"/>
                <w:color w:val="auto"/>
              </w:rPr>
            </w:pPr>
          </w:p>
        </w:tc>
        <w:tc>
          <w:tcPr>
            <w:tcW w:w="1100" w:type="dxa"/>
            <w:vAlign w:val="bottom"/>
          </w:tcPr>
          <w:p>
            <w:pPr>
              <w:jc w:val="right"/>
              <w:ind w:right="239"/>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0"/>
        </w:trPr>
        <w:tc>
          <w:tcPr>
            <w:tcW w:w="3740" w:type="dxa"/>
            <w:vAlign w:val="bottom"/>
            <w:tcBorders>
              <w:bottom w:val="single" w:sz="8" w:color="auto"/>
            </w:tcBorders>
          </w:tcPr>
          <w:p>
            <w:pPr>
              <w:ind w:left="1620"/>
              <w:spacing w:after="0"/>
              <w:rPr>
                <w:sz w:val="20"/>
                <w:szCs w:val="20"/>
                <w:color w:val="auto"/>
              </w:rPr>
            </w:pPr>
            <w:r>
              <w:rPr>
                <w:rFonts w:ascii="Arial" w:cs="Arial" w:eastAsia="Arial" w:hAnsi="Arial"/>
                <w:sz w:val="12"/>
                <w:szCs w:val="12"/>
                <w:b w:val="1"/>
                <w:bCs w:val="1"/>
                <w:color w:val="auto"/>
              </w:rPr>
              <w:t>Position</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2"/>
                <w:szCs w:val="12"/>
                <w:b w:val="1"/>
                <w:bCs w:val="1"/>
                <w:color w:val="auto"/>
              </w:rPr>
              <w:t>Salary</w:t>
            </w:r>
            <w:r>
              <w:rPr>
                <w:rFonts w:ascii="Arial" w:cs="Arial" w:eastAsia="Arial" w:hAnsi="Arial"/>
                <w:sz w:val="18"/>
                <w:szCs w:val="18"/>
                <w:b w:val="1"/>
                <w:bCs w:val="1"/>
                <w:color w:val="auto"/>
                <w:vertAlign w:val="superscript"/>
              </w:rPr>
              <w:t>(1)</w:t>
            </w: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Bonus</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30"/>
              <w:spacing w:after="0" w:line="160"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30"/>
              <w:spacing w:after="0" w:line="160"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(3)</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8"/>
                <w:szCs w:val="18"/>
                <w:b w:val="1"/>
                <w:bCs w:val="1"/>
                <w:color w:val="auto"/>
                <w:w w:val="97"/>
                <w:vertAlign w:val="superscript"/>
              </w:rPr>
              <w:t>(4)</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ind w:right="19"/>
              <w:spacing w:after="0" w:line="160"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(5)</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3"/>
                <w:szCs w:val="13"/>
                <w:color w:val="auto"/>
              </w:rPr>
            </w:pPr>
          </w:p>
        </w:tc>
      </w:tr>
      <w:tr>
        <w:trPr>
          <w:trHeight w:val="163"/>
        </w:trPr>
        <w:tc>
          <w:tcPr>
            <w:tcW w:w="37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William B. Shepro</w:t>
            </w:r>
          </w:p>
        </w:tc>
        <w:tc>
          <w:tcPr>
            <w:tcW w:w="500" w:type="dxa"/>
            <w:vAlign w:val="bottom"/>
            <w:gridSpan w:val="3"/>
            <w:shd w:val="clear" w:color="auto" w:fill="CCEEFF"/>
          </w:tcPr>
          <w:p>
            <w:pPr>
              <w:jc w:val="center"/>
              <w:ind w:right="20"/>
              <w:spacing w:after="0" w:line="163" w:lineRule="exact"/>
              <w:rPr>
                <w:sz w:val="20"/>
                <w:szCs w:val="20"/>
                <w:color w:val="auto"/>
              </w:rPr>
            </w:pPr>
            <w:r>
              <w:rPr>
                <w:rFonts w:ascii="Arial" w:cs="Arial" w:eastAsia="Arial" w:hAnsi="Arial"/>
                <w:sz w:val="15"/>
                <w:szCs w:val="15"/>
                <w:color w:val="auto"/>
                <w:w w:val="95"/>
              </w:rPr>
              <w:t>2015</w:t>
            </w:r>
          </w:p>
        </w:tc>
        <w:tc>
          <w:tcPr>
            <w:tcW w:w="6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5"/>
              </w:rPr>
              <w:t>$780,000</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3"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$1,044,270</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$524,689</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70"/>
              <w:spacing w:after="0" w:line="163" w:lineRule="exact"/>
              <w:rPr>
                <w:sz w:val="20"/>
                <w:szCs w:val="20"/>
                <w:color w:val="auto"/>
              </w:rPr>
            </w:pPr>
            <w:r>
              <w:rPr>
                <w:rFonts w:ascii="Arial" w:cs="Arial" w:eastAsia="Arial" w:hAnsi="Arial"/>
                <w:sz w:val="15"/>
                <w:szCs w:val="15"/>
                <w:color w:val="auto"/>
              </w:rPr>
              <w:t>$1,158,300</w:t>
            </w:r>
          </w:p>
        </w:tc>
        <w:tc>
          <w:tcPr>
            <w:tcW w:w="1200" w:type="dxa"/>
            <w:vAlign w:val="bottom"/>
            <w:gridSpan w:val="2"/>
            <w:shd w:val="clear" w:color="auto" w:fill="CCEEFF"/>
          </w:tcPr>
          <w:p>
            <w:pPr>
              <w:jc w:val="right"/>
              <w:ind w:right="159"/>
              <w:spacing w:after="0" w:line="163" w:lineRule="exact"/>
              <w:rPr>
                <w:sz w:val="20"/>
                <w:szCs w:val="20"/>
                <w:color w:val="auto"/>
              </w:rPr>
            </w:pPr>
            <w:r>
              <w:rPr>
                <w:rFonts w:ascii="Arial" w:cs="Arial" w:eastAsia="Arial" w:hAnsi="Arial"/>
                <w:sz w:val="15"/>
                <w:szCs w:val="15"/>
                <w:color w:val="auto"/>
              </w:rPr>
              <w:t>$1,253,780</w:t>
            </w:r>
          </w:p>
        </w:tc>
        <w:tc>
          <w:tcPr>
            <w:tcW w:w="840" w:type="dxa"/>
            <w:vAlign w:val="bottom"/>
            <w:gridSpan w:val="2"/>
            <w:shd w:val="clear" w:color="auto" w:fill="CCEEFF"/>
          </w:tcPr>
          <w:p>
            <w:pPr>
              <w:ind w:left="100"/>
              <w:spacing w:after="0" w:line="163" w:lineRule="exact"/>
              <w:rPr>
                <w:sz w:val="20"/>
                <w:szCs w:val="20"/>
                <w:color w:val="auto"/>
              </w:rPr>
            </w:pPr>
            <w:r>
              <w:rPr>
                <w:rFonts w:ascii="Arial" w:cs="Arial" w:eastAsia="Arial" w:hAnsi="Arial"/>
                <w:sz w:val="15"/>
                <w:szCs w:val="15"/>
                <w:color w:val="auto"/>
                <w:w w:val="95"/>
              </w:rPr>
              <w:t>$4,761,039</w:t>
            </w:r>
          </w:p>
        </w:tc>
        <w:tc>
          <w:tcPr>
            <w:tcW w:w="240" w:type="dxa"/>
            <w:vAlign w:val="bottom"/>
            <w:shd w:val="clear" w:color="auto" w:fill="CCEEFF"/>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Chief Executive</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2016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$780,000</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$819,000</w:t>
            </w: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5"/>
                <w:szCs w:val="15"/>
                <w:color w:val="auto"/>
              </w:rPr>
              <w:t>$908,488</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$2,507,488</w:t>
            </w:r>
          </w:p>
        </w:tc>
        <w:tc>
          <w:tcPr>
            <w:tcW w:w="240" w:type="dxa"/>
            <w:vAlign w:val="bottom"/>
            <w:shd w:val="clear" w:color="auto" w:fill="CCEEFF"/>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Officer</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2017</w:t>
            </w:r>
          </w:p>
        </w:tc>
        <w:tc>
          <w:tcPr>
            <w:tcW w:w="86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2"/>
                <w:szCs w:val="12"/>
                <w:color w:val="auto"/>
              </w:rPr>
              <w:t>$799,500</w:t>
            </w:r>
            <w:r>
              <w:rPr>
                <w:rFonts w:ascii="Arial" w:cs="Arial" w:eastAsia="Arial" w:hAnsi="Arial"/>
                <w:sz w:val="19"/>
                <w:szCs w:val="19"/>
                <w:color w:val="auto"/>
                <w:vertAlign w:val="superscript"/>
              </w:rPr>
              <w:t>(6)</w:t>
            </w:r>
          </w:p>
        </w:tc>
        <w:tc>
          <w:tcPr>
            <w:tcW w:w="98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2"/>
                <w:szCs w:val="12"/>
                <w:color w:val="auto"/>
              </w:rPr>
              <w:t>$1,500,000</w:t>
            </w:r>
            <w:r>
              <w:rPr>
                <w:rFonts w:ascii="Arial" w:cs="Arial" w:eastAsia="Arial" w:hAnsi="Arial"/>
                <w:sz w:val="19"/>
                <w:szCs w:val="19"/>
                <w:color w:val="auto"/>
                <w:vertAlign w:val="superscript"/>
              </w:rPr>
              <w:t>(7)</w:t>
            </w:r>
          </w:p>
        </w:tc>
        <w:tc>
          <w:tcPr>
            <w:tcW w:w="980" w:type="dxa"/>
            <w:vAlign w:val="bottom"/>
            <w:gridSpan w:val="2"/>
            <w:shd w:val="clear" w:color="auto" w:fill="CCEEFF"/>
          </w:tcPr>
          <w:p>
            <w:pPr>
              <w:jc w:val="right"/>
              <w:ind w:right="80"/>
              <w:spacing w:after="0" w:line="172" w:lineRule="exact"/>
              <w:rPr>
                <w:sz w:val="20"/>
                <w:szCs w:val="20"/>
                <w:color w:val="auto"/>
              </w:rPr>
            </w:pPr>
            <w:r>
              <w:rPr>
                <w:rFonts w:ascii="Arial" w:cs="Arial" w:eastAsia="Arial" w:hAnsi="Arial"/>
                <w:sz w:val="12"/>
                <w:szCs w:val="12"/>
                <w:color w:val="auto"/>
              </w:rPr>
              <w:t>$1,004,131</w:t>
            </w:r>
            <w:r>
              <w:rPr>
                <w:rFonts w:ascii="Arial" w:cs="Arial" w:eastAsia="Arial" w:hAnsi="Arial"/>
                <w:sz w:val="19"/>
                <w:szCs w:val="19"/>
                <w:color w:val="auto"/>
                <w:vertAlign w:val="superscript"/>
              </w:rPr>
              <w:t>(8)</w:t>
            </w:r>
          </w:p>
        </w:tc>
        <w:tc>
          <w:tcPr>
            <w:tcW w:w="98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2"/>
                <w:szCs w:val="12"/>
                <w:color w:val="auto"/>
              </w:rPr>
              <w:t>$1,010,405</w:t>
            </w:r>
            <w:r>
              <w:rPr>
                <w:rFonts w:ascii="Arial" w:cs="Arial" w:eastAsia="Arial" w:hAnsi="Arial"/>
                <w:sz w:val="19"/>
                <w:szCs w:val="19"/>
                <w:color w:val="auto"/>
                <w:vertAlign w:val="superscript"/>
              </w:rPr>
              <w:t>(9)</w:t>
            </w: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2"/>
                <w:szCs w:val="12"/>
                <w:color w:val="auto"/>
              </w:rPr>
              <w:t>$1,628,983</w:t>
            </w:r>
            <w:r>
              <w:rPr>
                <w:rFonts w:ascii="Arial" w:cs="Arial" w:eastAsia="Arial" w:hAnsi="Arial"/>
                <w:sz w:val="19"/>
                <w:szCs w:val="19"/>
                <w:color w:val="auto"/>
                <w:vertAlign w:val="superscript"/>
              </w:rPr>
              <w:t>(10)</w:t>
            </w:r>
          </w:p>
        </w:tc>
        <w:tc>
          <w:tcPr>
            <w:tcW w:w="12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$711,582</w:t>
            </w:r>
            <w:r>
              <w:rPr>
                <w:rFonts w:ascii="Arial" w:cs="Arial" w:eastAsia="Arial" w:hAnsi="Arial"/>
                <w:sz w:val="19"/>
                <w:szCs w:val="19"/>
                <w:color w:val="auto"/>
                <w:vertAlign w:val="superscript"/>
              </w:rPr>
              <w:t>(11)</w:t>
            </w:r>
          </w:p>
        </w:tc>
        <w:tc>
          <w:tcPr>
            <w:tcW w:w="1080" w:type="dxa"/>
            <w:vAlign w:val="bottom"/>
            <w:gridSpan w:val="3"/>
            <w:shd w:val="clear" w:color="auto" w:fill="CCEEFF"/>
          </w:tcPr>
          <w:p>
            <w:pPr>
              <w:ind w:left="100"/>
              <w:spacing w:after="0" w:line="172" w:lineRule="exact"/>
              <w:rPr>
                <w:sz w:val="20"/>
                <w:szCs w:val="20"/>
                <w:color w:val="auto"/>
              </w:rPr>
            </w:pPr>
            <w:r>
              <w:rPr>
                <w:rFonts w:ascii="Arial" w:cs="Arial" w:eastAsia="Arial" w:hAnsi="Arial"/>
                <w:sz w:val="12"/>
                <w:szCs w:val="12"/>
                <w:color w:val="auto"/>
              </w:rPr>
              <w:t>$6,654,601</w:t>
            </w:r>
            <w:r>
              <w:rPr>
                <w:rFonts w:ascii="Arial" w:cs="Arial" w:eastAsia="Arial" w:hAnsi="Arial"/>
                <w:sz w:val="19"/>
                <w:szCs w:val="19"/>
                <w:color w:val="auto"/>
                <w:vertAlign w:val="superscript"/>
              </w:rPr>
              <w:t>(12)</w:t>
            </w:r>
          </w:p>
        </w:tc>
      </w:tr>
      <w:tr>
        <w:trPr>
          <w:trHeight w:val="346"/>
        </w:trPr>
        <w:tc>
          <w:tcPr>
            <w:tcW w:w="3740" w:type="dxa"/>
            <w:vAlign w:val="bottom"/>
          </w:tcPr>
          <w:p>
            <w:pPr>
              <w:spacing w:after="0"/>
              <w:rPr>
                <w:sz w:val="20"/>
                <w:szCs w:val="20"/>
                <w:color w:val="auto"/>
              </w:rPr>
            </w:pPr>
            <w:r>
              <w:rPr>
                <w:rFonts w:ascii="Arial" w:cs="Arial" w:eastAsia="Arial" w:hAnsi="Arial"/>
                <w:sz w:val="15"/>
                <w:szCs w:val="15"/>
                <w:b w:val="1"/>
                <w:bCs w:val="1"/>
                <w:color w:val="auto"/>
              </w:rPr>
              <w:t>Kevin J. Wilcox</w:t>
            </w:r>
          </w:p>
        </w:tc>
        <w:tc>
          <w:tcPr>
            <w:tcW w:w="500" w:type="dxa"/>
            <w:vAlign w:val="bottom"/>
            <w:gridSpan w:val="3"/>
          </w:tcPr>
          <w:p>
            <w:pPr>
              <w:jc w:val="center"/>
              <w:ind w:right="20"/>
              <w:spacing w:after="0"/>
              <w:rPr>
                <w:sz w:val="20"/>
                <w:szCs w:val="20"/>
                <w:color w:val="auto"/>
              </w:rPr>
            </w:pPr>
            <w:r>
              <w:rPr>
                <w:rFonts w:ascii="Arial" w:cs="Arial" w:eastAsia="Arial" w:hAnsi="Arial"/>
                <w:sz w:val="15"/>
                <w:szCs w:val="15"/>
                <w:color w:val="auto"/>
                <w:w w:val="95"/>
              </w:rPr>
              <w:t>2015</w:t>
            </w:r>
          </w:p>
        </w:tc>
        <w:tc>
          <w:tcPr>
            <w:tcW w:w="620" w:type="dxa"/>
            <w:vAlign w:val="bottom"/>
          </w:tcPr>
          <w:p>
            <w:pPr>
              <w:jc w:val="right"/>
              <w:spacing w:after="0"/>
              <w:rPr>
                <w:sz w:val="20"/>
                <w:szCs w:val="20"/>
                <w:color w:val="auto"/>
              </w:rPr>
            </w:pPr>
            <w:r>
              <w:rPr>
                <w:rFonts w:ascii="Arial" w:cs="Arial" w:eastAsia="Arial" w:hAnsi="Arial"/>
                <w:sz w:val="15"/>
                <w:szCs w:val="15"/>
                <w:color w:val="auto"/>
                <w:w w:val="95"/>
              </w:rPr>
              <w:t>$450,000</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$378,225</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$190,250</w:t>
            </w:r>
          </w:p>
        </w:tc>
        <w:tc>
          <w:tcPr>
            <w:tcW w:w="2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5"/>
                <w:szCs w:val="15"/>
                <w:color w:val="auto"/>
              </w:rPr>
              <w:t>$460,688</w:t>
            </w:r>
          </w:p>
        </w:tc>
        <w:tc>
          <w:tcPr>
            <w:tcW w:w="1200" w:type="dxa"/>
            <w:vAlign w:val="bottom"/>
            <w:gridSpan w:val="2"/>
          </w:tcPr>
          <w:p>
            <w:pPr>
              <w:jc w:val="right"/>
              <w:ind w:right="159"/>
              <w:spacing w:after="0"/>
              <w:rPr>
                <w:sz w:val="20"/>
                <w:szCs w:val="20"/>
                <w:color w:val="auto"/>
              </w:rPr>
            </w:pPr>
            <w:r>
              <w:rPr>
                <w:rFonts w:ascii="Arial" w:cs="Arial" w:eastAsia="Arial" w:hAnsi="Arial"/>
                <w:sz w:val="15"/>
                <w:szCs w:val="15"/>
                <w:color w:val="auto"/>
              </w:rPr>
              <w:t>$294,894</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w w:val="95"/>
              </w:rPr>
              <w:t>$1,774,057</w:t>
            </w:r>
          </w:p>
        </w:tc>
        <w:tc>
          <w:tcPr>
            <w:tcW w:w="240" w:type="dxa"/>
            <w:vAlign w:val="bottom"/>
          </w:tcPr>
          <w:p>
            <w:pPr>
              <w:spacing w:after="0"/>
              <w:rPr>
                <w:sz w:val="24"/>
                <w:szCs w:val="24"/>
                <w:color w:val="auto"/>
              </w:rPr>
            </w:pPr>
          </w:p>
        </w:tc>
      </w:tr>
      <w:tr>
        <w:trPr>
          <w:trHeight w:val="171"/>
        </w:trPr>
        <w:tc>
          <w:tcPr>
            <w:tcW w:w="3740" w:type="dxa"/>
            <w:vAlign w:val="bottom"/>
          </w:tcPr>
          <w:p>
            <w:pPr>
              <w:spacing w:after="0" w:line="172" w:lineRule="exact"/>
              <w:rPr>
                <w:sz w:val="20"/>
                <w:szCs w:val="20"/>
                <w:color w:val="auto"/>
              </w:rPr>
            </w:pPr>
            <w:r>
              <w:rPr>
                <w:rFonts w:ascii="Arial" w:cs="Arial" w:eastAsia="Arial" w:hAnsi="Arial"/>
                <w:sz w:val="15"/>
                <w:szCs w:val="15"/>
                <w:color w:val="auto"/>
              </w:rPr>
              <w:t>Chief Administration</w:t>
            </w:r>
          </w:p>
        </w:tc>
        <w:tc>
          <w:tcPr>
            <w:tcW w:w="500" w:type="dxa"/>
            <w:vAlign w:val="bottom"/>
            <w:gridSpan w:val="3"/>
          </w:tcPr>
          <w:p>
            <w:pPr>
              <w:jc w:val="center"/>
              <w:ind w:right="20"/>
              <w:spacing w:after="0" w:line="172" w:lineRule="exact"/>
              <w:rPr>
                <w:sz w:val="20"/>
                <w:szCs w:val="20"/>
                <w:color w:val="auto"/>
              </w:rPr>
            </w:pPr>
            <w:r>
              <w:rPr>
                <w:rFonts w:ascii="Arial" w:cs="Arial" w:eastAsia="Arial" w:hAnsi="Arial"/>
                <w:sz w:val="15"/>
                <w:szCs w:val="15"/>
                <w:color w:val="auto"/>
                <w:w w:val="95"/>
              </w:rPr>
              <w:t>2016</w:t>
            </w:r>
          </w:p>
        </w:tc>
        <w:tc>
          <w:tcPr>
            <w:tcW w:w="620" w:type="dxa"/>
            <w:vAlign w:val="bottom"/>
          </w:tcPr>
          <w:p>
            <w:pPr>
              <w:jc w:val="right"/>
              <w:spacing w:after="0" w:line="172" w:lineRule="exact"/>
              <w:rPr>
                <w:sz w:val="20"/>
                <w:szCs w:val="20"/>
                <w:color w:val="auto"/>
              </w:rPr>
            </w:pPr>
            <w:r>
              <w:rPr>
                <w:rFonts w:ascii="Arial" w:cs="Arial" w:eastAsia="Arial" w:hAnsi="Arial"/>
                <w:sz w:val="15"/>
                <w:szCs w:val="15"/>
                <w:color w:val="auto"/>
                <w:w w:val="95"/>
              </w:rPr>
              <w:t>$450,000</w:t>
            </w:r>
          </w:p>
        </w:tc>
        <w:tc>
          <w:tcPr>
            <w:tcW w:w="240" w:type="dxa"/>
            <w:vAlign w:val="bottom"/>
          </w:tcPr>
          <w:p>
            <w:pPr>
              <w:spacing w:after="0"/>
              <w:rPr>
                <w:sz w:val="14"/>
                <w:szCs w:val="14"/>
                <w:color w:val="auto"/>
              </w:rPr>
            </w:pPr>
          </w:p>
        </w:tc>
        <w:tc>
          <w:tcPr>
            <w:tcW w:w="98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50"/>
              <w:spacing w:after="0" w:line="172" w:lineRule="exact"/>
              <w:rPr>
                <w:sz w:val="20"/>
                <w:szCs w:val="20"/>
                <w:color w:val="auto"/>
              </w:rPr>
            </w:pPr>
            <w:r>
              <w:rPr>
                <w:rFonts w:ascii="Arial" w:cs="Arial" w:eastAsia="Arial" w:hAnsi="Arial"/>
                <w:sz w:val="15"/>
                <w:szCs w:val="15"/>
                <w:color w:val="auto"/>
              </w:rPr>
              <w:t>$323,438</w:t>
            </w:r>
          </w:p>
        </w:tc>
        <w:tc>
          <w:tcPr>
            <w:tcW w:w="1200" w:type="dxa"/>
            <w:vAlign w:val="bottom"/>
            <w:gridSpan w:val="2"/>
          </w:tcPr>
          <w:p>
            <w:pPr>
              <w:jc w:val="right"/>
              <w:ind w:right="159"/>
              <w:spacing w:after="0" w:line="172" w:lineRule="exact"/>
              <w:rPr>
                <w:sz w:val="20"/>
                <w:szCs w:val="20"/>
                <w:color w:val="auto"/>
              </w:rPr>
            </w:pPr>
            <w:r>
              <w:rPr>
                <w:rFonts w:ascii="Arial" w:cs="Arial" w:eastAsia="Arial" w:hAnsi="Arial"/>
                <w:sz w:val="15"/>
                <w:szCs w:val="15"/>
                <w:color w:val="auto"/>
              </w:rPr>
              <w:t>$362,435</w:t>
            </w:r>
          </w:p>
        </w:tc>
        <w:tc>
          <w:tcPr>
            <w:tcW w:w="840" w:type="dxa"/>
            <w:vAlign w:val="bottom"/>
            <w:gridSpan w:val="2"/>
          </w:tcPr>
          <w:p>
            <w:pPr>
              <w:ind w:left="100"/>
              <w:spacing w:after="0" w:line="172" w:lineRule="exact"/>
              <w:rPr>
                <w:sz w:val="20"/>
                <w:szCs w:val="20"/>
                <w:color w:val="auto"/>
              </w:rPr>
            </w:pPr>
            <w:r>
              <w:rPr>
                <w:rFonts w:ascii="Arial" w:cs="Arial" w:eastAsia="Arial" w:hAnsi="Arial"/>
                <w:sz w:val="15"/>
                <w:szCs w:val="15"/>
                <w:color w:val="auto"/>
                <w:w w:val="95"/>
              </w:rPr>
              <w:t>$1,135,873</w:t>
            </w:r>
          </w:p>
        </w:tc>
        <w:tc>
          <w:tcPr>
            <w:tcW w:w="240" w:type="dxa"/>
            <w:vAlign w:val="bottom"/>
          </w:tcPr>
          <w:p>
            <w:pPr>
              <w:spacing w:after="0"/>
              <w:rPr>
                <w:sz w:val="14"/>
                <w:szCs w:val="14"/>
                <w:color w:val="auto"/>
              </w:rPr>
            </w:pPr>
          </w:p>
        </w:tc>
      </w:tr>
      <w:tr>
        <w:trPr>
          <w:trHeight w:val="169"/>
        </w:trPr>
        <w:tc>
          <w:tcPr>
            <w:tcW w:w="3740" w:type="dxa"/>
            <w:vAlign w:val="bottom"/>
          </w:tcPr>
          <w:p>
            <w:pPr>
              <w:spacing w:after="0" w:line="169" w:lineRule="exact"/>
              <w:rPr>
                <w:sz w:val="20"/>
                <w:szCs w:val="20"/>
                <w:color w:val="auto"/>
              </w:rPr>
            </w:pPr>
            <w:r>
              <w:rPr>
                <w:rFonts w:ascii="Arial" w:cs="Arial" w:eastAsia="Arial" w:hAnsi="Arial"/>
                <w:sz w:val="15"/>
                <w:szCs w:val="15"/>
                <w:color w:val="auto"/>
              </w:rPr>
              <w:t>and Risk Officer</w:t>
            </w:r>
          </w:p>
        </w:tc>
        <w:tc>
          <w:tcPr>
            <w:tcW w:w="500" w:type="dxa"/>
            <w:vAlign w:val="bottom"/>
            <w:gridSpan w:val="3"/>
          </w:tcPr>
          <w:p>
            <w:pPr>
              <w:jc w:val="center"/>
              <w:ind w:right="20"/>
              <w:spacing w:after="0" w:line="169" w:lineRule="exact"/>
              <w:rPr>
                <w:sz w:val="20"/>
                <w:szCs w:val="20"/>
                <w:color w:val="auto"/>
              </w:rPr>
            </w:pPr>
            <w:r>
              <w:rPr>
                <w:rFonts w:ascii="Arial" w:cs="Arial" w:eastAsia="Arial" w:hAnsi="Arial"/>
                <w:sz w:val="15"/>
                <w:szCs w:val="15"/>
                <w:color w:val="auto"/>
                <w:w w:val="95"/>
              </w:rPr>
              <w:t>2017</w:t>
            </w:r>
          </w:p>
        </w:tc>
        <w:tc>
          <w:tcPr>
            <w:tcW w:w="860" w:type="dxa"/>
            <w:vAlign w:val="bottom"/>
            <w:gridSpan w:val="2"/>
          </w:tcPr>
          <w:p>
            <w:pPr>
              <w:jc w:val="right"/>
              <w:ind w:right="20"/>
              <w:spacing w:after="0" w:line="170" w:lineRule="exact"/>
              <w:rPr>
                <w:sz w:val="20"/>
                <w:szCs w:val="20"/>
                <w:color w:val="auto"/>
              </w:rPr>
            </w:pPr>
            <w:r>
              <w:rPr>
                <w:rFonts w:ascii="Arial" w:cs="Arial" w:eastAsia="Arial" w:hAnsi="Arial"/>
                <w:sz w:val="12"/>
                <w:szCs w:val="12"/>
                <w:color w:val="auto"/>
              </w:rPr>
              <w:t>$465,833</w:t>
            </w:r>
            <w:r>
              <w:rPr>
                <w:rFonts w:ascii="Arial" w:cs="Arial" w:eastAsia="Arial" w:hAnsi="Arial"/>
                <w:sz w:val="19"/>
                <w:szCs w:val="19"/>
                <w:color w:val="auto"/>
                <w:vertAlign w:val="superscript"/>
              </w:rPr>
              <w:t>(13)</w:t>
            </w:r>
          </w:p>
        </w:tc>
        <w:tc>
          <w:tcPr>
            <w:tcW w:w="980" w:type="dxa"/>
            <w:vAlign w:val="bottom"/>
            <w:gridSpan w:val="2"/>
          </w:tcPr>
          <w:p>
            <w:pPr>
              <w:jc w:val="right"/>
              <w:ind w:right="80"/>
              <w:spacing w:after="0" w:line="170" w:lineRule="exact"/>
              <w:rPr>
                <w:sz w:val="20"/>
                <w:szCs w:val="20"/>
                <w:color w:val="auto"/>
              </w:rPr>
            </w:pPr>
            <w:r>
              <w:rPr>
                <w:rFonts w:ascii="Arial" w:cs="Arial" w:eastAsia="Arial" w:hAnsi="Arial"/>
                <w:sz w:val="12"/>
                <w:szCs w:val="12"/>
                <w:color w:val="auto"/>
              </w:rPr>
              <w:t>$750,000</w:t>
            </w:r>
            <w:r>
              <w:rPr>
                <w:rFonts w:ascii="Arial" w:cs="Arial" w:eastAsia="Arial" w:hAnsi="Arial"/>
                <w:sz w:val="19"/>
                <w:szCs w:val="19"/>
                <w:color w:val="auto"/>
                <w:vertAlign w:val="superscript"/>
              </w:rPr>
              <w:t>(7)</w:t>
            </w:r>
          </w:p>
        </w:tc>
        <w:tc>
          <w:tcPr>
            <w:tcW w:w="980" w:type="dxa"/>
            <w:vAlign w:val="bottom"/>
            <w:gridSpan w:val="2"/>
          </w:tcPr>
          <w:p>
            <w:pPr>
              <w:jc w:val="right"/>
              <w:spacing w:after="0" w:line="170" w:lineRule="exact"/>
              <w:rPr>
                <w:sz w:val="20"/>
                <w:szCs w:val="20"/>
                <w:color w:val="auto"/>
              </w:rPr>
            </w:pPr>
            <w:r>
              <w:rPr>
                <w:rFonts w:ascii="Arial" w:cs="Arial" w:eastAsia="Arial" w:hAnsi="Arial"/>
                <w:sz w:val="12"/>
                <w:szCs w:val="12"/>
                <w:color w:val="auto"/>
              </w:rPr>
              <w:t>$234,283</w:t>
            </w:r>
            <w:r>
              <w:rPr>
                <w:rFonts w:ascii="Arial" w:cs="Arial" w:eastAsia="Arial" w:hAnsi="Arial"/>
                <w:sz w:val="19"/>
                <w:szCs w:val="19"/>
                <w:color w:val="auto"/>
                <w:vertAlign w:val="superscript"/>
              </w:rPr>
              <w:t>(14)</w:t>
            </w:r>
          </w:p>
        </w:tc>
        <w:tc>
          <w:tcPr>
            <w:tcW w:w="980" w:type="dxa"/>
            <w:vAlign w:val="bottom"/>
            <w:gridSpan w:val="2"/>
          </w:tcPr>
          <w:p>
            <w:pPr>
              <w:jc w:val="right"/>
              <w:spacing w:after="0" w:line="170" w:lineRule="exact"/>
              <w:rPr>
                <w:sz w:val="20"/>
                <w:szCs w:val="20"/>
                <w:color w:val="auto"/>
              </w:rPr>
            </w:pPr>
            <w:r>
              <w:rPr>
                <w:rFonts w:ascii="Arial" w:cs="Arial" w:eastAsia="Arial" w:hAnsi="Arial"/>
                <w:sz w:val="12"/>
                <w:szCs w:val="12"/>
                <w:color w:val="auto"/>
              </w:rPr>
              <w:t>$236,032</w:t>
            </w:r>
            <w:r>
              <w:rPr>
                <w:rFonts w:ascii="Arial" w:cs="Arial" w:eastAsia="Arial" w:hAnsi="Arial"/>
                <w:sz w:val="19"/>
                <w:szCs w:val="19"/>
                <w:color w:val="auto"/>
                <w:vertAlign w:val="superscript"/>
              </w:rPr>
              <w:t>(15)</w:t>
            </w:r>
          </w:p>
        </w:tc>
        <w:tc>
          <w:tcPr>
            <w:tcW w:w="1120" w:type="dxa"/>
            <w:vAlign w:val="bottom"/>
          </w:tcPr>
          <w:p>
            <w:pPr>
              <w:jc w:val="right"/>
              <w:spacing w:after="0" w:line="170" w:lineRule="exact"/>
              <w:rPr>
                <w:sz w:val="20"/>
                <w:szCs w:val="20"/>
                <w:color w:val="auto"/>
              </w:rPr>
            </w:pPr>
            <w:r>
              <w:rPr>
                <w:rFonts w:ascii="Arial" w:cs="Arial" w:eastAsia="Arial" w:hAnsi="Arial"/>
                <w:sz w:val="12"/>
                <w:szCs w:val="12"/>
                <w:color w:val="auto"/>
              </w:rPr>
              <w:t>$632,758</w:t>
            </w:r>
            <w:r>
              <w:rPr>
                <w:rFonts w:ascii="Arial" w:cs="Arial" w:eastAsia="Arial" w:hAnsi="Arial"/>
                <w:sz w:val="19"/>
                <w:szCs w:val="19"/>
                <w:color w:val="auto"/>
                <w:vertAlign w:val="superscript"/>
              </w:rPr>
              <w:t>(16)</w:t>
            </w:r>
          </w:p>
        </w:tc>
        <w:tc>
          <w:tcPr>
            <w:tcW w:w="1200" w:type="dxa"/>
            <w:vAlign w:val="bottom"/>
            <w:gridSpan w:val="2"/>
          </w:tcPr>
          <w:p>
            <w:pPr>
              <w:jc w:val="right"/>
              <w:spacing w:after="0" w:line="170" w:lineRule="exact"/>
              <w:rPr>
                <w:sz w:val="20"/>
                <w:szCs w:val="20"/>
                <w:color w:val="auto"/>
              </w:rPr>
            </w:pPr>
            <w:r>
              <w:rPr>
                <w:rFonts w:ascii="Arial" w:cs="Arial" w:eastAsia="Arial" w:hAnsi="Arial"/>
                <w:sz w:val="12"/>
                <w:szCs w:val="12"/>
                <w:color w:val="auto"/>
              </w:rPr>
              <w:t>$382,129</w:t>
            </w:r>
            <w:r>
              <w:rPr>
                <w:rFonts w:ascii="Arial" w:cs="Arial" w:eastAsia="Arial" w:hAnsi="Arial"/>
                <w:sz w:val="19"/>
                <w:szCs w:val="19"/>
                <w:color w:val="auto"/>
                <w:vertAlign w:val="superscript"/>
              </w:rPr>
              <w:t>(17)</w:t>
            </w:r>
          </w:p>
        </w:tc>
        <w:tc>
          <w:tcPr>
            <w:tcW w:w="1080" w:type="dxa"/>
            <w:vAlign w:val="bottom"/>
            <w:gridSpan w:val="3"/>
          </w:tcPr>
          <w:p>
            <w:pPr>
              <w:ind w:left="100"/>
              <w:spacing w:after="0" w:line="170" w:lineRule="exact"/>
              <w:rPr>
                <w:sz w:val="20"/>
                <w:szCs w:val="20"/>
                <w:color w:val="auto"/>
              </w:rPr>
            </w:pPr>
            <w:r>
              <w:rPr>
                <w:rFonts w:ascii="Arial" w:cs="Arial" w:eastAsia="Arial" w:hAnsi="Arial"/>
                <w:sz w:val="12"/>
                <w:szCs w:val="12"/>
                <w:color w:val="auto"/>
              </w:rPr>
              <w:t>$2,701,035</w:t>
            </w:r>
            <w:r>
              <w:rPr>
                <w:rFonts w:ascii="Arial" w:cs="Arial" w:eastAsia="Arial" w:hAnsi="Arial"/>
                <w:sz w:val="19"/>
                <w:szCs w:val="19"/>
                <w:color w:val="auto"/>
                <w:vertAlign w:val="superscript"/>
              </w:rPr>
              <w:t>(18)</w:t>
            </w:r>
          </w:p>
        </w:tc>
      </w:tr>
      <w:tr>
        <w:trPr>
          <w:trHeight w:val="343"/>
        </w:trPr>
        <w:tc>
          <w:tcPr>
            <w:tcW w:w="3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Indroneel Chatterjee</w:t>
            </w:r>
          </w:p>
        </w:tc>
        <w:tc>
          <w:tcPr>
            <w:tcW w:w="500" w:type="dxa"/>
            <w:vAlign w:val="bottom"/>
            <w:gridSpan w:val="3"/>
            <w:shd w:val="clear" w:color="auto" w:fill="CCEEFF"/>
          </w:tcPr>
          <w:p>
            <w:pPr>
              <w:jc w:val="center"/>
              <w:ind w:right="20"/>
              <w:spacing w:after="0"/>
              <w:rPr>
                <w:sz w:val="20"/>
                <w:szCs w:val="20"/>
                <w:color w:val="auto"/>
              </w:rPr>
            </w:pPr>
            <w:r>
              <w:rPr>
                <w:rFonts w:ascii="Arial" w:cs="Arial" w:eastAsia="Arial" w:hAnsi="Arial"/>
                <w:sz w:val="15"/>
                <w:szCs w:val="15"/>
                <w:color w:val="auto"/>
                <w:w w:val="95"/>
              </w:rPr>
              <w:t>2015</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5"/>
                <w:szCs w:val="15"/>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r>
      <w:tr>
        <w:trPr>
          <w:trHeight w:val="172"/>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Chief Financial</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2016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5"/>
                <w:szCs w:val="15"/>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r>
      <w:tr>
        <w:trPr>
          <w:trHeight w:val="206"/>
        </w:trPr>
        <w:tc>
          <w:tcPr>
            <w:tcW w:w="374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(19)</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2017</w:t>
            </w:r>
          </w:p>
        </w:tc>
        <w:tc>
          <w:tcPr>
            <w:tcW w:w="86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4"/>
                <w:szCs w:val="14"/>
                <w:color w:val="auto"/>
                <w:w w:val="95"/>
              </w:rPr>
              <w:t>$113,944</w:t>
            </w:r>
            <w:r>
              <w:rPr>
                <w:rFonts w:ascii="Arial" w:cs="Arial" w:eastAsia="Arial" w:hAnsi="Arial"/>
                <w:sz w:val="23"/>
                <w:szCs w:val="23"/>
                <w:color w:val="auto"/>
                <w:w w:val="95"/>
                <w:vertAlign w:val="superscript"/>
              </w:rPr>
              <w:t>(20)</w:t>
            </w:r>
          </w:p>
        </w:tc>
        <w:tc>
          <w:tcPr>
            <w:tcW w:w="9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4"/>
                <w:szCs w:val="14"/>
                <w:color w:val="auto"/>
              </w:rPr>
              <w:t>$485,000</w:t>
            </w:r>
            <w:r>
              <w:rPr>
                <w:rFonts w:ascii="Arial" w:cs="Arial" w:eastAsia="Arial" w:hAnsi="Arial"/>
                <w:sz w:val="23"/>
                <w:szCs w:val="23"/>
                <w:color w:val="auto"/>
                <w:vertAlign w:val="superscript"/>
              </w:rPr>
              <w:t>(21)</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$529,344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$325,734</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4"/>
                <w:szCs w:val="14"/>
                <w:color w:val="auto"/>
              </w:rPr>
              <w:t>$28,438</w:t>
            </w:r>
            <w:r>
              <w:rPr>
                <w:rFonts w:ascii="Arial" w:cs="Arial" w:eastAsia="Arial" w:hAnsi="Arial"/>
                <w:sz w:val="23"/>
                <w:szCs w:val="23"/>
                <w:color w:val="auto"/>
                <w:vertAlign w:val="superscript"/>
              </w:rPr>
              <w:t>(22)</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$1,482,460</w:t>
            </w:r>
          </w:p>
        </w:tc>
        <w:tc>
          <w:tcPr>
            <w:tcW w:w="240" w:type="dxa"/>
            <w:vAlign w:val="bottom"/>
            <w:shd w:val="clear" w:color="auto" w:fill="CCEEFF"/>
          </w:tcPr>
          <w:p>
            <w:pPr>
              <w:spacing w:after="0"/>
              <w:rPr>
                <w:sz w:val="17"/>
                <w:szCs w:val="17"/>
                <w:color w:val="auto"/>
              </w:rPr>
            </w:pPr>
          </w:p>
        </w:tc>
      </w:tr>
      <w:tr>
        <w:trPr>
          <w:trHeight w:val="346"/>
        </w:trPr>
        <w:tc>
          <w:tcPr>
            <w:tcW w:w="3740" w:type="dxa"/>
            <w:vAlign w:val="bottom"/>
          </w:tcPr>
          <w:p>
            <w:pPr>
              <w:spacing w:after="0"/>
              <w:rPr>
                <w:sz w:val="20"/>
                <w:szCs w:val="20"/>
                <w:color w:val="auto"/>
              </w:rPr>
            </w:pPr>
            <w:r>
              <w:rPr>
                <w:rFonts w:ascii="Arial" w:cs="Arial" w:eastAsia="Arial" w:hAnsi="Arial"/>
                <w:sz w:val="15"/>
                <w:szCs w:val="15"/>
                <w:b w:val="1"/>
                <w:bCs w:val="1"/>
                <w:color w:val="auto"/>
              </w:rPr>
              <w:t>Michelle D. Esterman</w:t>
            </w:r>
          </w:p>
        </w:tc>
        <w:tc>
          <w:tcPr>
            <w:tcW w:w="500" w:type="dxa"/>
            <w:vAlign w:val="bottom"/>
            <w:gridSpan w:val="3"/>
          </w:tcPr>
          <w:p>
            <w:pPr>
              <w:jc w:val="center"/>
              <w:ind w:right="20"/>
              <w:spacing w:after="0"/>
              <w:rPr>
                <w:sz w:val="20"/>
                <w:szCs w:val="20"/>
                <w:color w:val="auto"/>
              </w:rPr>
            </w:pPr>
            <w:r>
              <w:rPr>
                <w:rFonts w:ascii="Arial" w:cs="Arial" w:eastAsia="Arial" w:hAnsi="Arial"/>
                <w:sz w:val="15"/>
                <w:szCs w:val="15"/>
                <w:color w:val="auto"/>
                <w:w w:val="95"/>
              </w:rPr>
              <w:t>2015</w:t>
            </w:r>
          </w:p>
        </w:tc>
        <w:tc>
          <w:tcPr>
            <w:tcW w:w="620" w:type="dxa"/>
            <w:vAlign w:val="bottom"/>
          </w:tcPr>
          <w:p>
            <w:pPr>
              <w:jc w:val="right"/>
              <w:spacing w:after="0"/>
              <w:rPr>
                <w:sz w:val="20"/>
                <w:szCs w:val="20"/>
                <w:color w:val="auto"/>
              </w:rPr>
            </w:pPr>
            <w:r>
              <w:rPr>
                <w:rFonts w:ascii="Arial" w:cs="Arial" w:eastAsia="Arial" w:hAnsi="Arial"/>
                <w:sz w:val="15"/>
                <w:szCs w:val="15"/>
                <w:color w:val="auto"/>
                <w:w w:val="95"/>
              </w:rPr>
              <w:t>$415,833</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$267,525</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$423,141</w:t>
            </w:r>
          </w:p>
        </w:tc>
        <w:tc>
          <w:tcPr>
            <w:tcW w:w="2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5"/>
                <w:szCs w:val="15"/>
                <w:color w:val="auto"/>
              </w:rPr>
              <w:t>$322,725</w:t>
            </w:r>
          </w:p>
        </w:tc>
        <w:tc>
          <w:tcPr>
            <w:tcW w:w="1200" w:type="dxa"/>
            <w:vAlign w:val="bottom"/>
            <w:gridSpan w:val="2"/>
          </w:tcPr>
          <w:p>
            <w:pPr>
              <w:jc w:val="right"/>
              <w:ind w:right="159"/>
              <w:spacing w:after="0"/>
              <w:rPr>
                <w:sz w:val="20"/>
                <w:szCs w:val="20"/>
                <w:color w:val="auto"/>
              </w:rPr>
            </w:pPr>
            <w:r>
              <w:rPr>
                <w:rFonts w:ascii="Arial" w:cs="Arial" w:eastAsia="Arial" w:hAnsi="Arial"/>
                <w:sz w:val="15"/>
                <w:szCs w:val="15"/>
                <w:color w:val="auto"/>
              </w:rPr>
              <w:t>$169,232</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w w:val="95"/>
              </w:rPr>
              <w:t>$1,598,456</w:t>
            </w:r>
          </w:p>
        </w:tc>
        <w:tc>
          <w:tcPr>
            <w:tcW w:w="240" w:type="dxa"/>
            <w:vAlign w:val="bottom"/>
          </w:tcPr>
          <w:p>
            <w:pPr>
              <w:spacing w:after="0"/>
              <w:rPr>
                <w:sz w:val="24"/>
                <w:szCs w:val="24"/>
                <w:color w:val="auto"/>
              </w:rPr>
            </w:pPr>
          </w:p>
        </w:tc>
      </w:tr>
      <w:tr>
        <w:trPr>
          <w:trHeight w:val="171"/>
        </w:trPr>
        <w:tc>
          <w:tcPr>
            <w:tcW w:w="3740" w:type="dxa"/>
            <w:vAlign w:val="bottom"/>
          </w:tcPr>
          <w:p>
            <w:pPr>
              <w:spacing w:after="0" w:line="172" w:lineRule="exact"/>
              <w:rPr>
                <w:sz w:val="20"/>
                <w:szCs w:val="20"/>
                <w:color w:val="auto"/>
              </w:rPr>
            </w:pPr>
            <w:r>
              <w:rPr>
                <w:rFonts w:ascii="Arial" w:cs="Arial" w:eastAsia="Arial" w:hAnsi="Arial"/>
                <w:sz w:val="15"/>
                <w:szCs w:val="15"/>
                <w:color w:val="auto"/>
              </w:rPr>
              <w:t>Executive Vice President,</w:t>
            </w:r>
          </w:p>
        </w:tc>
        <w:tc>
          <w:tcPr>
            <w:tcW w:w="500" w:type="dxa"/>
            <w:vAlign w:val="bottom"/>
            <w:gridSpan w:val="3"/>
          </w:tcPr>
          <w:p>
            <w:pPr>
              <w:jc w:val="center"/>
              <w:ind w:right="20"/>
              <w:spacing w:after="0" w:line="172" w:lineRule="exact"/>
              <w:rPr>
                <w:sz w:val="20"/>
                <w:szCs w:val="20"/>
                <w:color w:val="auto"/>
              </w:rPr>
            </w:pPr>
            <w:r>
              <w:rPr>
                <w:rFonts w:ascii="Arial" w:cs="Arial" w:eastAsia="Arial" w:hAnsi="Arial"/>
                <w:sz w:val="15"/>
                <w:szCs w:val="15"/>
                <w:color w:val="auto"/>
                <w:w w:val="95"/>
              </w:rPr>
              <w:t>2016</w:t>
            </w:r>
          </w:p>
        </w:tc>
        <w:tc>
          <w:tcPr>
            <w:tcW w:w="620" w:type="dxa"/>
            <w:vAlign w:val="bottom"/>
          </w:tcPr>
          <w:p>
            <w:pPr>
              <w:jc w:val="right"/>
              <w:spacing w:after="0" w:line="172" w:lineRule="exact"/>
              <w:rPr>
                <w:sz w:val="20"/>
                <w:szCs w:val="20"/>
                <w:color w:val="auto"/>
              </w:rPr>
            </w:pPr>
            <w:r>
              <w:rPr>
                <w:rFonts w:ascii="Arial" w:cs="Arial" w:eastAsia="Arial" w:hAnsi="Arial"/>
                <w:sz w:val="15"/>
                <w:szCs w:val="15"/>
                <w:color w:val="auto"/>
                <w:w w:val="95"/>
              </w:rPr>
              <w:t>$420,000</w:t>
            </w:r>
          </w:p>
        </w:tc>
        <w:tc>
          <w:tcPr>
            <w:tcW w:w="240" w:type="dxa"/>
            <w:vAlign w:val="bottom"/>
          </w:tcPr>
          <w:p>
            <w:pPr>
              <w:spacing w:after="0"/>
              <w:rPr>
                <w:sz w:val="14"/>
                <w:szCs w:val="14"/>
                <w:color w:val="auto"/>
              </w:rPr>
            </w:pPr>
          </w:p>
        </w:tc>
        <w:tc>
          <w:tcPr>
            <w:tcW w:w="98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50"/>
              <w:spacing w:after="0" w:line="172" w:lineRule="exact"/>
              <w:rPr>
                <w:sz w:val="20"/>
                <w:szCs w:val="20"/>
                <w:color w:val="auto"/>
              </w:rPr>
            </w:pPr>
            <w:r>
              <w:rPr>
                <w:rFonts w:ascii="Arial" w:cs="Arial" w:eastAsia="Arial" w:hAnsi="Arial"/>
                <w:sz w:val="15"/>
                <w:szCs w:val="15"/>
                <w:color w:val="auto"/>
              </w:rPr>
              <w:t>$210,000</w:t>
            </w:r>
          </w:p>
        </w:tc>
        <w:tc>
          <w:tcPr>
            <w:tcW w:w="1200" w:type="dxa"/>
            <w:vAlign w:val="bottom"/>
            <w:gridSpan w:val="2"/>
          </w:tcPr>
          <w:p>
            <w:pPr>
              <w:jc w:val="right"/>
              <w:ind w:right="159"/>
              <w:spacing w:after="0" w:line="172" w:lineRule="exact"/>
              <w:rPr>
                <w:sz w:val="20"/>
                <w:szCs w:val="20"/>
                <w:color w:val="auto"/>
              </w:rPr>
            </w:pPr>
            <w:r>
              <w:rPr>
                <w:rFonts w:ascii="Arial" w:cs="Arial" w:eastAsia="Arial" w:hAnsi="Arial"/>
                <w:sz w:val="15"/>
                <w:szCs w:val="15"/>
                <w:color w:val="auto"/>
              </w:rPr>
              <w:t>$246,575</w:t>
            </w:r>
          </w:p>
        </w:tc>
        <w:tc>
          <w:tcPr>
            <w:tcW w:w="8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$876,575</w:t>
            </w:r>
          </w:p>
        </w:tc>
        <w:tc>
          <w:tcPr>
            <w:tcW w:w="240" w:type="dxa"/>
            <w:vAlign w:val="bottom"/>
          </w:tcPr>
          <w:p>
            <w:pPr>
              <w:spacing w:after="0"/>
              <w:rPr>
                <w:sz w:val="14"/>
                <w:szCs w:val="14"/>
                <w:color w:val="auto"/>
              </w:rPr>
            </w:pPr>
          </w:p>
        </w:tc>
      </w:tr>
      <w:tr>
        <w:trPr>
          <w:trHeight w:val="172"/>
        </w:trPr>
        <w:tc>
          <w:tcPr>
            <w:tcW w:w="3740" w:type="dxa"/>
            <w:vAlign w:val="bottom"/>
          </w:tcPr>
          <w:p>
            <w:pPr>
              <w:spacing w:after="0"/>
              <w:rPr>
                <w:sz w:val="20"/>
                <w:szCs w:val="20"/>
                <w:color w:val="auto"/>
              </w:rPr>
            </w:pPr>
            <w:r>
              <w:rPr>
                <w:rFonts w:ascii="Arial" w:cs="Arial" w:eastAsia="Arial" w:hAnsi="Arial"/>
                <w:sz w:val="15"/>
                <w:szCs w:val="15"/>
                <w:color w:val="auto"/>
              </w:rPr>
              <w:t>Finance (former Chief</w:t>
            </w:r>
          </w:p>
        </w:tc>
        <w:tc>
          <w:tcPr>
            <w:tcW w:w="500" w:type="dxa"/>
            <w:vAlign w:val="bottom"/>
            <w:gridSpan w:val="3"/>
          </w:tcPr>
          <w:p>
            <w:pPr>
              <w:jc w:val="center"/>
              <w:ind w:right="20"/>
              <w:spacing w:after="0"/>
              <w:rPr>
                <w:sz w:val="20"/>
                <w:szCs w:val="20"/>
                <w:color w:val="auto"/>
              </w:rPr>
            </w:pPr>
            <w:r>
              <w:rPr>
                <w:rFonts w:ascii="Arial" w:cs="Arial" w:eastAsia="Arial" w:hAnsi="Arial"/>
                <w:sz w:val="15"/>
                <w:szCs w:val="15"/>
                <w:color w:val="auto"/>
                <w:w w:val="95"/>
              </w:rPr>
              <w:t>2017</w:t>
            </w:r>
          </w:p>
        </w:tc>
        <w:tc>
          <w:tcPr>
            <w:tcW w:w="860" w:type="dxa"/>
            <w:vAlign w:val="bottom"/>
            <w:gridSpan w:val="2"/>
          </w:tcPr>
          <w:p>
            <w:pPr>
              <w:jc w:val="right"/>
              <w:ind w:right="20"/>
              <w:spacing w:after="0" w:line="172" w:lineRule="exact"/>
              <w:rPr>
                <w:sz w:val="20"/>
                <w:szCs w:val="20"/>
                <w:color w:val="auto"/>
              </w:rPr>
            </w:pPr>
            <w:r>
              <w:rPr>
                <w:rFonts w:ascii="Arial" w:cs="Arial" w:eastAsia="Arial" w:hAnsi="Arial"/>
                <w:sz w:val="12"/>
                <w:szCs w:val="12"/>
                <w:color w:val="auto"/>
              </w:rPr>
              <w:t>$430,306</w:t>
            </w:r>
            <w:r>
              <w:rPr>
                <w:rFonts w:ascii="Arial" w:cs="Arial" w:eastAsia="Arial" w:hAnsi="Arial"/>
                <w:sz w:val="19"/>
                <w:szCs w:val="19"/>
                <w:color w:val="auto"/>
                <w:vertAlign w:val="superscript"/>
              </w:rPr>
              <w:t>(24)</w:t>
            </w:r>
          </w:p>
        </w:tc>
        <w:tc>
          <w:tcPr>
            <w:tcW w:w="980" w:type="dxa"/>
            <w:vAlign w:val="bottom"/>
            <w:gridSpan w:val="2"/>
          </w:tcPr>
          <w:p>
            <w:pPr>
              <w:jc w:val="right"/>
              <w:ind w:right="80"/>
              <w:spacing w:after="0" w:line="172" w:lineRule="exact"/>
              <w:rPr>
                <w:sz w:val="20"/>
                <w:szCs w:val="20"/>
                <w:color w:val="auto"/>
              </w:rPr>
            </w:pPr>
            <w:r>
              <w:rPr>
                <w:rFonts w:ascii="Arial" w:cs="Arial" w:eastAsia="Arial" w:hAnsi="Arial"/>
                <w:sz w:val="12"/>
                <w:szCs w:val="12"/>
                <w:color w:val="auto"/>
              </w:rPr>
              <w:t>$500,000</w:t>
            </w:r>
            <w:r>
              <w:rPr>
                <w:rFonts w:ascii="Arial" w:cs="Arial" w:eastAsia="Arial" w:hAnsi="Arial"/>
                <w:sz w:val="19"/>
                <w:szCs w:val="19"/>
                <w:color w:val="auto"/>
                <w:vertAlign w:val="superscript"/>
              </w:rPr>
              <w:t>(7)</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$140,562</w:t>
            </w:r>
            <w:r>
              <w:rPr>
                <w:rFonts w:ascii="Arial" w:cs="Arial" w:eastAsia="Arial" w:hAnsi="Arial"/>
                <w:sz w:val="19"/>
                <w:szCs w:val="19"/>
                <w:color w:val="auto"/>
                <w:vertAlign w:val="superscript"/>
              </w:rPr>
              <w:t>(25)</w:t>
            </w:r>
          </w:p>
        </w:tc>
        <w:tc>
          <w:tcPr>
            <w:tcW w:w="98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$141,625</w:t>
            </w:r>
            <w:r>
              <w:rPr>
                <w:rFonts w:ascii="Arial" w:cs="Arial" w:eastAsia="Arial" w:hAnsi="Arial"/>
                <w:sz w:val="19"/>
                <w:szCs w:val="19"/>
                <w:color w:val="auto"/>
                <w:vertAlign w:val="superscript"/>
              </w:rPr>
              <w:t>(26)</w:t>
            </w:r>
          </w:p>
        </w:tc>
        <w:tc>
          <w:tcPr>
            <w:tcW w:w="1120" w:type="dxa"/>
            <w:vAlign w:val="bottom"/>
          </w:tcPr>
          <w:p>
            <w:pPr>
              <w:jc w:val="right"/>
              <w:ind w:right="150"/>
              <w:spacing w:after="0"/>
              <w:rPr>
                <w:sz w:val="20"/>
                <w:szCs w:val="20"/>
                <w:color w:val="auto"/>
              </w:rPr>
            </w:pPr>
            <w:r>
              <w:rPr>
                <w:rFonts w:ascii="Arial" w:cs="Arial" w:eastAsia="Arial" w:hAnsi="Arial"/>
                <w:sz w:val="15"/>
                <w:szCs w:val="15"/>
                <w:color w:val="auto"/>
              </w:rPr>
              <w:t>$374,500</w:t>
            </w:r>
          </w:p>
        </w:tc>
        <w:tc>
          <w:tcPr>
            <w:tcW w:w="1200" w:type="dxa"/>
            <w:vAlign w:val="bottom"/>
            <w:gridSpan w:val="2"/>
          </w:tcPr>
          <w:p>
            <w:pPr>
              <w:jc w:val="right"/>
              <w:spacing w:after="0" w:line="172" w:lineRule="exact"/>
              <w:rPr>
                <w:sz w:val="20"/>
                <w:szCs w:val="20"/>
                <w:color w:val="auto"/>
              </w:rPr>
            </w:pPr>
            <w:r>
              <w:rPr>
                <w:rFonts w:ascii="Arial" w:cs="Arial" w:eastAsia="Arial" w:hAnsi="Arial"/>
                <w:sz w:val="12"/>
                <w:szCs w:val="12"/>
                <w:color w:val="auto"/>
              </w:rPr>
              <w:t>$219,916</w:t>
            </w:r>
            <w:r>
              <w:rPr>
                <w:rFonts w:ascii="Arial" w:cs="Arial" w:eastAsia="Arial" w:hAnsi="Arial"/>
                <w:sz w:val="19"/>
                <w:szCs w:val="19"/>
                <w:color w:val="auto"/>
                <w:vertAlign w:val="superscript"/>
              </w:rPr>
              <w:t>(27)</w:t>
            </w:r>
          </w:p>
        </w:tc>
        <w:tc>
          <w:tcPr>
            <w:tcW w:w="1080" w:type="dxa"/>
            <w:vAlign w:val="bottom"/>
            <w:gridSpan w:val="3"/>
          </w:tcPr>
          <w:p>
            <w:pPr>
              <w:ind w:left="100"/>
              <w:spacing w:after="0" w:line="172" w:lineRule="exact"/>
              <w:rPr>
                <w:sz w:val="20"/>
                <w:szCs w:val="20"/>
                <w:color w:val="auto"/>
              </w:rPr>
            </w:pPr>
            <w:r>
              <w:rPr>
                <w:rFonts w:ascii="Arial" w:cs="Arial" w:eastAsia="Arial" w:hAnsi="Arial"/>
                <w:sz w:val="12"/>
                <w:szCs w:val="12"/>
                <w:color w:val="auto"/>
              </w:rPr>
              <w:t>$1,806,909</w:t>
            </w:r>
            <w:r>
              <w:rPr>
                <w:rFonts w:ascii="Arial" w:cs="Arial" w:eastAsia="Arial" w:hAnsi="Arial"/>
                <w:sz w:val="19"/>
                <w:szCs w:val="19"/>
                <w:color w:val="auto"/>
                <w:vertAlign w:val="superscript"/>
              </w:rPr>
              <w:t>(28)</w:t>
            </w:r>
          </w:p>
        </w:tc>
      </w:tr>
      <w:tr>
        <w:trPr>
          <w:trHeight w:val="204"/>
        </w:trPr>
        <w:tc>
          <w:tcPr>
            <w:tcW w:w="3740" w:type="dxa"/>
            <w:vAlign w:val="bottom"/>
          </w:tcPr>
          <w:p>
            <w:pPr>
              <w:spacing w:after="0" w:line="203" w:lineRule="exact"/>
              <w:rPr>
                <w:sz w:val="20"/>
                <w:szCs w:val="20"/>
                <w:color w:val="auto"/>
              </w:rPr>
            </w:pPr>
            <w:r>
              <w:rPr>
                <w:rFonts w:ascii="Arial" w:cs="Arial" w:eastAsia="Arial" w:hAnsi="Arial"/>
                <w:sz w:val="14"/>
                <w:szCs w:val="14"/>
                <w:color w:val="auto"/>
              </w:rPr>
              <w:t>Financial Officer)</w:t>
            </w:r>
            <w:r>
              <w:rPr>
                <w:rFonts w:ascii="Arial" w:cs="Arial" w:eastAsia="Arial" w:hAnsi="Arial"/>
                <w:sz w:val="23"/>
                <w:szCs w:val="23"/>
                <w:color w:val="auto"/>
                <w:vertAlign w:val="superscript"/>
              </w:rPr>
              <w:t>(23)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43"/>
        </w:trPr>
        <w:tc>
          <w:tcPr>
            <w:tcW w:w="3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Joseph A. Davila</w:t>
            </w:r>
          </w:p>
        </w:tc>
        <w:tc>
          <w:tcPr>
            <w:tcW w:w="500" w:type="dxa"/>
            <w:vAlign w:val="bottom"/>
            <w:gridSpan w:val="3"/>
            <w:shd w:val="clear" w:color="auto" w:fill="CCEEFF"/>
          </w:tcPr>
          <w:p>
            <w:pPr>
              <w:jc w:val="center"/>
              <w:ind w:right="20"/>
              <w:spacing w:after="0"/>
              <w:rPr>
                <w:sz w:val="20"/>
                <w:szCs w:val="20"/>
                <w:color w:val="auto"/>
              </w:rPr>
            </w:pPr>
            <w:r>
              <w:rPr>
                <w:rFonts w:ascii="Arial" w:cs="Arial" w:eastAsia="Arial" w:hAnsi="Arial"/>
                <w:sz w:val="15"/>
                <w:szCs w:val="15"/>
                <w:color w:val="auto"/>
                <w:w w:val="95"/>
              </w:rPr>
              <w:t>2015</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$394,124</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$72,000</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$103,320</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$78,103</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$243,000</w:t>
            </w: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5"/>
                <w:szCs w:val="15"/>
                <w:color w:val="auto"/>
              </w:rPr>
              <w:t>$134,345</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$1,024,892</w:t>
            </w:r>
          </w:p>
        </w:tc>
        <w:tc>
          <w:tcPr>
            <w:tcW w:w="240" w:type="dxa"/>
            <w:vAlign w:val="bottom"/>
            <w:shd w:val="clear" w:color="auto" w:fill="CCEEFF"/>
          </w:tcPr>
          <w:p>
            <w:pPr>
              <w:spacing w:after="0"/>
              <w:rPr>
                <w:sz w:val="24"/>
                <w:szCs w:val="24"/>
                <w:color w:val="auto"/>
              </w:rPr>
            </w:pPr>
          </w:p>
        </w:tc>
      </w:tr>
      <w:tr>
        <w:trPr>
          <w:trHeight w:val="172"/>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President, Servicer</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2016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$395,863</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$9,375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rPr>
              <w:t>$290,625</w:t>
            </w:r>
          </w:p>
        </w:tc>
        <w:tc>
          <w:tcPr>
            <w:tcW w:w="1200" w:type="dxa"/>
            <w:vAlign w:val="bottom"/>
            <w:gridSpan w:val="2"/>
            <w:shd w:val="clear" w:color="auto" w:fill="CCEEFF"/>
          </w:tcPr>
          <w:p>
            <w:pPr>
              <w:jc w:val="right"/>
              <w:ind w:right="159"/>
              <w:spacing w:after="0"/>
              <w:rPr>
                <w:sz w:val="20"/>
                <w:szCs w:val="20"/>
                <w:color w:val="auto"/>
              </w:rPr>
            </w:pPr>
            <w:r>
              <w:rPr>
                <w:rFonts w:ascii="Arial" w:cs="Arial" w:eastAsia="Arial" w:hAnsi="Arial"/>
                <w:sz w:val="15"/>
                <w:szCs w:val="15"/>
                <w:color w:val="auto"/>
              </w:rPr>
              <w:t>$143,285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$839,148</w:t>
            </w:r>
          </w:p>
        </w:tc>
        <w:tc>
          <w:tcPr>
            <w:tcW w:w="240" w:type="dxa"/>
            <w:vAlign w:val="bottom"/>
            <w:shd w:val="clear" w:color="auto" w:fill="CCEEFF"/>
          </w:tcPr>
          <w:p>
            <w:pPr>
              <w:spacing w:after="0"/>
              <w:rPr>
                <w:sz w:val="14"/>
                <w:szCs w:val="14"/>
                <w:color w:val="auto"/>
              </w:rPr>
            </w:pPr>
          </w:p>
        </w:tc>
      </w:tr>
      <w:tr>
        <w:trPr>
          <w:trHeight w:val="172"/>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Solutions</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2017</w:t>
            </w:r>
          </w:p>
        </w:tc>
        <w:tc>
          <w:tcPr>
            <w:tcW w:w="86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2"/>
                <w:szCs w:val="12"/>
                <w:color w:val="auto"/>
              </w:rPr>
              <w:t>$412,261</w:t>
            </w:r>
            <w:r>
              <w:rPr>
                <w:rFonts w:ascii="Arial" w:cs="Arial" w:eastAsia="Arial" w:hAnsi="Arial"/>
                <w:sz w:val="19"/>
                <w:szCs w:val="19"/>
                <w:color w:val="auto"/>
                <w:vertAlign w:val="superscript"/>
              </w:rPr>
              <w:t>(29)</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$31,486</w:t>
            </w:r>
            <w:r>
              <w:rPr>
                <w:rFonts w:ascii="Arial" w:cs="Arial" w:eastAsia="Arial" w:hAnsi="Arial"/>
                <w:sz w:val="19"/>
                <w:szCs w:val="19"/>
                <w:color w:val="auto"/>
                <w:vertAlign w:val="superscript"/>
              </w:rPr>
              <w:t>(30)</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$635,041</w:t>
            </w:r>
            <w:r>
              <w:rPr>
                <w:rFonts w:ascii="Arial" w:cs="Arial" w:eastAsia="Arial" w:hAnsi="Arial"/>
                <w:sz w:val="19"/>
                <w:szCs w:val="19"/>
                <w:color w:val="auto"/>
                <w:vertAlign w:val="superscript"/>
              </w:rPr>
              <w:t>(31)</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$200,196</w:t>
            </w:r>
            <w:r>
              <w:rPr>
                <w:rFonts w:ascii="Arial" w:cs="Arial" w:eastAsia="Arial" w:hAnsi="Arial"/>
                <w:sz w:val="19"/>
                <w:szCs w:val="19"/>
                <w:color w:val="auto"/>
                <w:vertAlign w:val="superscript"/>
              </w:rPr>
              <w:t>(32)</w:t>
            </w: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2"/>
                <w:szCs w:val="12"/>
                <w:color w:val="auto"/>
              </w:rPr>
              <w:t>$318,514</w:t>
            </w:r>
            <w:r>
              <w:rPr>
                <w:rFonts w:ascii="Arial" w:cs="Arial" w:eastAsia="Arial" w:hAnsi="Arial"/>
                <w:sz w:val="19"/>
                <w:szCs w:val="19"/>
                <w:color w:val="auto"/>
                <w:vertAlign w:val="superscript"/>
              </w:rPr>
              <w:t>(33)</w:t>
            </w:r>
          </w:p>
        </w:tc>
        <w:tc>
          <w:tcPr>
            <w:tcW w:w="120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2"/>
                <w:szCs w:val="12"/>
                <w:color w:val="auto"/>
              </w:rPr>
              <w:t>$174,310</w:t>
            </w:r>
            <w:r>
              <w:rPr>
                <w:rFonts w:ascii="Arial" w:cs="Arial" w:eastAsia="Arial" w:hAnsi="Arial"/>
                <w:sz w:val="19"/>
                <w:szCs w:val="19"/>
                <w:color w:val="auto"/>
                <w:vertAlign w:val="superscript"/>
              </w:rPr>
              <w:t>(34)</w:t>
            </w:r>
          </w:p>
        </w:tc>
        <w:tc>
          <w:tcPr>
            <w:tcW w:w="1080" w:type="dxa"/>
            <w:vAlign w:val="bottom"/>
            <w:gridSpan w:val="3"/>
            <w:shd w:val="clear" w:color="auto" w:fill="CCEEFF"/>
          </w:tcPr>
          <w:p>
            <w:pPr>
              <w:ind w:left="100"/>
              <w:spacing w:after="0" w:line="172" w:lineRule="exact"/>
              <w:rPr>
                <w:sz w:val="20"/>
                <w:szCs w:val="20"/>
                <w:color w:val="auto"/>
              </w:rPr>
            </w:pPr>
            <w:r>
              <w:rPr>
                <w:rFonts w:ascii="Arial" w:cs="Arial" w:eastAsia="Arial" w:hAnsi="Arial"/>
                <w:sz w:val="12"/>
                <w:szCs w:val="12"/>
                <w:color w:val="auto"/>
              </w:rPr>
              <w:t>$1,771,808</w:t>
            </w:r>
            <w:r>
              <w:rPr>
                <w:rFonts w:ascii="Arial" w:cs="Arial" w:eastAsia="Arial" w:hAnsi="Arial"/>
                <w:sz w:val="19"/>
                <w:szCs w:val="19"/>
                <w:color w:val="auto"/>
                <w:vertAlign w:val="superscript"/>
              </w:rPr>
              <w:t>(35)</w:t>
            </w:r>
          </w:p>
        </w:tc>
      </w:tr>
      <w:tr>
        <w:trPr>
          <w:trHeight w:val="346"/>
        </w:trPr>
        <w:tc>
          <w:tcPr>
            <w:tcW w:w="3740" w:type="dxa"/>
            <w:vAlign w:val="bottom"/>
          </w:tcPr>
          <w:p>
            <w:pPr>
              <w:spacing w:after="0"/>
              <w:rPr>
                <w:sz w:val="20"/>
                <w:szCs w:val="20"/>
                <w:color w:val="auto"/>
              </w:rPr>
            </w:pPr>
            <w:r>
              <w:rPr>
                <w:rFonts w:ascii="Arial" w:cs="Arial" w:eastAsia="Arial" w:hAnsi="Arial"/>
                <w:sz w:val="15"/>
                <w:szCs w:val="15"/>
                <w:b w:val="1"/>
                <w:bCs w:val="1"/>
                <w:color w:val="auto"/>
              </w:rPr>
              <w:t>Gregory J. Ritts</w:t>
            </w:r>
          </w:p>
        </w:tc>
        <w:tc>
          <w:tcPr>
            <w:tcW w:w="500" w:type="dxa"/>
            <w:vAlign w:val="bottom"/>
            <w:gridSpan w:val="3"/>
          </w:tcPr>
          <w:p>
            <w:pPr>
              <w:jc w:val="center"/>
              <w:ind w:right="20"/>
              <w:spacing w:after="0"/>
              <w:rPr>
                <w:sz w:val="20"/>
                <w:szCs w:val="20"/>
                <w:color w:val="auto"/>
              </w:rPr>
            </w:pPr>
            <w:r>
              <w:rPr>
                <w:rFonts w:ascii="Arial" w:cs="Arial" w:eastAsia="Arial" w:hAnsi="Arial"/>
                <w:sz w:val="15"/>
                <w:szCs w:val="15"/>
                <w:color w:val="auto"/>
                <w:w w:val="95"/>
              </w:rPr>
              <w:t>2015</w:t>
            </w:r>
          </w:p>
        </w:tc>
        <w:tc>
          <w:tcPr>
            <w:tcW w:w="620" w:type="dxa"/>
            <w:vAlign w:val="bottom"/>
          </w:tcPr>
          <w:p>
            <w:pPr>
              <w:jc w:val="right"/>
              <w:spacing w:after="0"/>
              <w:rPr>
                <w:sz w:val="20"/>
                <w:szCs w:val="20"/>
                <w:color w:val="auto"/>
              </w:rPr>
            </w:pPr>
            <w:r>
              <w:rPr>
                <w:rFonts w:ascii="Arial" w:cs="Arial" w:eastAsia="Arial" w:hAnsi="Arial"/>
                <w:sz w:val="15"/>
                <w:szCs w:val="15"/>
                <w:color w:val="auto"/>
                <w:w w:val="95"/>
              </w:rPr>
              <w:t>$425,000</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$103,320</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$78,103</w:t>
            </w:r>
          </w:p>
        </w:tc>
        <w:tc>
          <w:tcPr>
            <w:tcW w:w="2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5"/>
                <w:szCs w:val="15"/>
                <w:color w:val="auto"/>
              </w:rPr>
              <w:t>$309,375</w:t>
            </w:r>
          </w:p>
        </w:tc>
        <w:tc>
          <w:tcPr>
            <w:tcW w:w="1200" w:type="dxa"/>
            <w:vAlign w:val="bottom"/>
            <w:gridSpan w:val="2"/>
          </w:tcPr>
          <w:p>
            <w:pPr>
              <w:jc w:val="right"/>
              <w:ind w:right="159"/>
              <w:spacing w:after="0"/>
              <w:rPr>
                <w:sz w:val="20"/>
                <w:szCs w:val="20"/>
                <w:color w:val="auto"/>
              </w:rPr>
            </w:pPr>
            <w:r>
              <w:rPr>
                <w:rFonts w:ascii="Arial" w:cs="Arial" w:eastAsia="Arial" w:hAnsi="Arial"/>
                <w:sz w:val="15"/>
                <w:szCs w:val="15"/>
                <w:color w:val="auto"/>
              </w:rPr>
              <w:t>$135,673</w:t>
            </w:r>
          </w:p>
        </w:tc>
        <w:tc>
          <w:tcPr>
            <w:tcW w:w="840" w:type="dxa"/>
            <w:vAlign w:val="bottom"/>
            <w:gridSpan w:val="2"/>
          </w:tcPr>
          <w:p>
            <w:pPr>
              <w:ind w:left="100"/>
              <w:spacing w:after="0"/>
              <w:rPr>
                <w:sz w:val="20"/>
                <w:szCs w:val="20"/>
                <w:color w:val="auto"/>
              </w:rPr>
            </w:pPr>
            <w:r>
              <w:rPr>
                <w:rFonts w:ascii="Arial" w:cs="Arial" w:eastAsia="Arial" w:hAnsi="Arial"/>
                <w:sz w:val="15"/>
                <w:szCs w:val="15"/>
                <w:color w:val="auto"/>
                <w:w w:val="95"/>
              </w:rPr>
              <w:t>$1,051,471</w:t>
            </w:r>
          </w:p>
        </w:tc>
        <w:tc>
          <w:tcPr>
            <w:tcW w:w="240" w:type="dxa"/>
            <w:vAlign w:val="bottom"/>
          </w:tcPr>
          <w:p>
            <w:pPr>
              <w:spacing w:after="0"/>
              <w:rPr>
                <w:sz w:val="24"/>
                <w:szCs w:val="24"/>
                <w:color w:val="auto"/>
              </w:rPr>
            </w:pPr>
          </w:p>
        </w:tc>
      </w:tr>
      <w:tr>
        <w:trPr>
          <w:trHeight w:val="171"/>
        </w:trPr>
        <w:tc>
          <w:tcPr>
            <w:tcW w:w="3740" w:type="dxa"/>
            <w:vAlign w:val="bottom"/>
          </w:tcPr>
          <w:p>
            <w:pPr>
              <w:spacing w:after="0" w:line="172" w:lineRule="exact"/>
              <w:rPr>
                <w:sz w:val="20"/>
                <w:szCs w:val="20"/>
                <w:color w:val="auto"/>
              </w:rPr>
            </w:pPr>
            <w:r>
              <w:rPr>
                <w:rFonts w:ascii="Arial" w:cs="Arial" w:eastAsia="Arial" w:hAnsi="Arial"/>
                <w:sz w:val="15"/>
                <w:szCs w:val="15"/>
                <w:color w:val="auto"/>
              </w:rPr>
              <w:t>Chief Legal and</w:t>
            </w:r>
          </w:p>
        </w:tc>
        <w:tc>
          <w:tcPr>
            <w:tcW w:w="500" w:type="dxa"/>
            <w:vAlign w:val="bottom"/>
            <w:gridSpan w:val="3"/>
          </w:tcPr>
          <w:p>
            <w:pPr>
              <w:jc w:val="center"/>
              <w:ind w:right="20"/>
              <w:spacing w:after="0" w:line="172" w:lineRule="exact"/>
              <w:rPr>
                <w:sz w:val="20"/>
                <w:szCs w:val="20"/>
                <w:color w:val="auto"/>
              </w:rPr>
            </w:pPr>
            <w:r>
              <w:rPr>
                <w:rFonts w:ascii="Arial" w:cs="Arial" w:eastAsia="Arial" w:hAnsi="Arial"/>
                <w:sz w:val="15"/>
                <w:szCs w:val="15"/>
                <w:color w:val="auto"/>
                <w:w w:val="95"/>
              </w:rPr>
              <w:t>2016</w:t>
            </w:r>
          </w:p>
        </w:tc>
        <w:tc>
          <w:tcPr>
            <w:tcW w:w="620" w:type="dxa"/>
            <w:vAlign w:val="bottom"/>
          </w:tcPr>
          <w:p>
            <w:pPr>
              <w:jc w:val="right"/>
              <w:spacing w:after="0" w:line="172" w:lineRule="exact"/>
              <w:rPr>
                <w:sz w:val="20"/>
                <w:szCs w:val="20"/>
                <w:color w:val="auto"/>
              </w:rPr>
            </w:pPr>
            <w:r>
              <w:rPr>
                <w:rFonts w:ascii="Arial" w:cs="Arial" w:eastAsia="Arial" w:hAnsi="Arial"/>
                <w:sz w:val="15"/>
                <w:szCs w:val="15"/>
                <w:color w:val="auto"/>
                <w:w w:val="95"/>
              </w:rPr>
              <w:t>$425,000</w:t>
            </w:r>
          </w:p>
        </w:tc>
        <w:tc>
          <w:tcPr>
            <w:tcW w:w="240" w:type="dxa"/>
            <w:vAlign w:val="bottom"/>
          </w:tcPr>
          <w:p>
            <w:pPr>
              <w:spacing w:after="0"/>
              <w:rPr>
                <w:sz w:val="14"/>
                <w:szCs w:val="14"/>
                <w:color w:val="auto"/>
              </w:rPr>
            </w:pPr>
          </w:p>
        </w:tc>
        <w:tc>
          <w:tcPr>
            <w:tcW w:w="98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$3,938</w:t>
            </w:r>
          </w:p>
        </w:tc>
        <w:tc>
          <w:tcPr>
            <w:tcW w:w="98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$188,241</w:t>
            </w:r>
          </w:p>
        </w:tc>
        <w:tc>
          <w:tcPr>
            <w:tcW w:w="220" w:type="dxa"/>
            <w:vAlign w:val="bottom"/>
          </w:tcPr>
          <w:p>
            <w:pPr>
              <w:spacing w:after="0"/>
              <w:rPr>
                <w:sz w:val="14"/>
                <w:szCs w:val="14"/>
                <w:color w:val="auto"/>
              </w:rPr>
            </w:pPr>
          </w:p>
        </w:tc>
        <w:tc>
          <w:tcPr>
            <w:tcW w:w="1120" w:type="dxa"/>
            <w:vAlign w:val="bottom"/>
          </w:tcPr>
          <w:p>
            <w:pPr>
              <w:jc w:val="right"/>
              <w:ind w:right="150"/>
              <w:spacing w:after="0" w:line="172" w:lineRule="exact"/>
              <w:rPr>
                <w:sz w:val="20"/>
                <w:szCs w:val="20"/>
                <w:color w:val="auto"/>
              </w:rPr>
            </w:pPr>
            <w:r>
              <w:rPr>
                <w:rFonts w:ascii="Arial" w:cs="Arial" w:eastAsia="Arial" w:hAnsi="Arial"/>
                <w:sz w:val="15"/>
                <w:szCs w:val="15"/>
                <w:color w:val="auto"/>
              </w:rPr>
              <w:t>$266,063</w:t>
            </w:r>
          </w:p>
        </w:tc>
        <w:tc>
          <w:tcPr>
            <w:tcW w:w="1200" w:type="dxa"/>
            <w:vAlign w:val="bottom"/>
            <w:gridSpan w:val="2"/>
          </w:tcPr>
          <w:p>
            <w:pPr>
              <w:jc w:val="right"/>
              <w:ind w:right="159"/>
              <w:spacing w:after="0" w:line="172" w:lineRule="exact"/>
              <w:rPr>
                <w:sz w:val="20"/>
                <w:szCs w:val="20"/>
                <w:color w:val="auto"/>
              </w:rPr>
            </w:pPr>
            <w:r>
              <w:rPr>
                <w:rFonts w:ascii="Arial" w:cs="Arial" w:eastAsia="Arial" w:hAnsi="Arial"/>
                <w:sz w:val="15"/>
                <w:szCs w:val="15"/>
                <w:color w:val="auto"/>
              </w:rPr>
              <w:t>$133,422</w:t>
            </w:r>
          </w:p>
        </w:tc>
        <w:tc>
          <w:tcPr>
            <w:tcW w:w="840" w:type="dxa"/>
            <w:vAlign w:val="bottom"/>
            <w:gridSpan w:val="2"/>
          </w:tcPr>
          <w:p>
            <w:pPr>
              <w:ind w:left="100"/>
              <w:spacing w:after="0" w:line="172" w:lineRule="exact"/>
              <w:rPr>
                <w:sz w:val="20"/>
                <w:szCs w:val="20"/>
                <w:color w:val="auto"/>
              </w:rPr>
            </w:pPr>
            <w:r>
              <w:rPr>
                <w:rFonts w:ascii="Arial" w:cs="Arial" w:eastAsia="Arial" w:hAnsi="Arial"/>
                <w:sz w:val="15"/>
                <w:szCs w:val="15"/>
                <w:color w:val="auto"/>
                <w:w w:val="95"/>
              </w:rPr>
              <w:t>$1,016,664</w:t>
            </w:r>
          </w:p>
        </w:tc>
        <w:tc>
          <w:tcPr>
            <w:tcW w:w="240" w:type="dxa"/>
            <w:vAlign w:val="bottom"/>
          </w:tcPr>
          <w:p>
            <w:pPr>
              <w:spacing w:after="0"/>
              <w:rPr>
                <w:sz w:val="14"/>
                <w:szCs w:val="14"/>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5"/>
                <w:szCs w:val="15"/>
                <w:color w:val="auto"/>
              </w:rPr>
              <w:t>Compliance Officer</w:t>
            </w:r>
          </w:p>
        </w:tc>
        <w:tc>
          <w:tcPr>
            <w:tcW w:w="500" w:type="dxa"/>
            <w:vAlign w:val="bottom"/>
            <w:gridSpan w:val="3"/>
          </w:tcPr>
          <w:p>
            <w:pPr>
              <w:jc w:val="center"/>
              <w:ind w:right="20"/>
              <w:spacing w:after="0"/>
              <w:rPr>
                <w:sz w:val="20"/>
                <w:szCs w:val="20"/>
                <w:color w:val="auto"/>
              </w:rPr>
            </w:pPr>
            <w:r>
              <w:rPr>
                <w:rFonts w:ascii="Arial" w:cs="Arial" w:eastAsia="Arial" w:hAnsi="Arial"/>
                <w:sz w:val="15"/>
                <w:szCs w:val="15"/>
                <w:color w:val="auto"/>
                <w:w w:val="95"/>
              </w:rPr>
              <w:t>2017</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w w:val="90"/>
              </w:rPr>
              <w:t>$442,432</w:t>
            </w:r>
            <w:r>
              <w:rPr>
                <w:rFonts w:ascii="Arial" w:cs="Arial" w:eastAsia="Arial" w:hAnsi="Arial"/>
                <w:sz w:val="24"/>
                <w:szCs w:val="24"/>
                <w:color w:val="auto"/>
                <w:w w:val="90"/>
                <w:vertAlign w:val="superscript"/>
              </w:rPr>
              <w:t>(36)</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$23,125</w:t>
            </w:r>
            <w:r>
              <w:rPr>
                <w:rFonts w:ascii="Arial" w:cs="Arial" w:eastAsia="Arial" w:hAnsi="Arial"/>
                <w:sz w:val="24"/>
                <w:szCs w:val="24"/>
                <w:color w:val="auto"/>
                <w:vertAlign w:val="superscript"/>
              </w:rPr>
              <w:t>(37)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$635,041</w:t>
            </w:r>
            <w:r>
              <w:rPr>
                <w:rFonts w:ascii="Arial" w:cs="Arial" w:eastAsia="Arial" w:hAnsi="Arial"/>
                <w:sz w:val="24"/>
                <w:szCs w:val="24"/>
                <w:color w:val="auto"/>
                <w:vertAlign w:val="superscript"/>
              </w:rPr>
              <w:t>(38)</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$200,196</w:t>
            </w:r>
            <w:r>
              <w:rPr>
                <w:rFonts w:ascii="Arial" w:cs="Arial" w:eastAsia="Arial" w:hAnsi="Arial"/>
                <w:sz w:val="24"/>
                <w:szCs w:val="24"/>
                <w:color w:val="auto"/>
                <w:vertAlign w:val="superscript"/>
              </w:rPr>
              <w:t>(39)</w:t>
            </w:r>
          </w:p>
        </w:tc>
        <w:tc>
          <w:tcPr>
            <w:tcW w:w="1120" w:type="dxa"/>
            <w:vAlign w:val="bottom"/>
          </w:tcPr>
          <w:p>
            <w:pPr>
              <w:jc w:val="right"/>
              <w:spacing w:after="0"/>
              <w:rPr>
                <w:sz w:val="20"/>
                <w:szCs w:val="20"/>
                <w:color w:val="auto"/>
              </w:rPr>
            </w:pPr>
            <w:r>
              <w:rPr>
                <w:rFonts w:ascii="Arial" w:cs="Arial" w:eastAsia="Arial" w:hAnsi="Arial"/>
                <w:sz w:val="15"/>
                <w:szCs w:val="15"/>
                <w:color w:val="auto"/>
              </w:rPr>
              <w:t>$231,973</w:t>
            </w:r>
            <w:r>
              <w:rPr>
                <w:rFonts w:ascii="Arial" w:cs="Arial" w:eastAsia="Arial" w:hAnsi="Arial"/>
                <w:sz w:val="24"/>
                <w:szCs w:val="24"/>
                <w:color w:val="auto"/>
                <w:vertAlign w:val="superscript"/>
              </w:rPr>
              <w:t>(40)</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$148,581</w:t>
            </w:r>
            <w:r>
              <w:rPr>
                <w:rFonts w:ascii="Arial" w:cs="Arial" w:eastAsia="Arial" w:hAnsi="Arial"/>
                <w:sz w:val="24"/>
                <w:szCs w:val="24"/>
                <w:color w:val="auto"/>
                <w:vertAlign w:val="superscript"/>
              </w:rPr>
              <w:t>(41)</w:t>
            </w:r>
          </w:p>
        </w:tc>
        <w:tc>
          <w:tcPr>
            <w:tcW w:w="1080" w:type="dxa"/>
            <w:vAlign w:val="bottom"/>
            <w:gridSpan w:val="3"/>
          </w:tcPr>
          <w:p>
            <w:pPr>
              <w:ind w:left="100"/>
              <w:spacing w:after="0"/>
              <w:rPr>
                <w:sz w:val="20"/>
                <w:szCs w:val="20"/>
                <w:color w:val="auto"/>
              </w:rPr>
            </w:pPr>
            <w:r>
              <w:rPr>
                <w:rFonts w:ascii="Arial" w:cs="Arial" w:eastAsia="Arial" w:hAnsi="Arial"/>
                <w:sz w:val="15"/>
                <w:szCs w:val="15"/>
                <w:color w:val="auto"/>
                <w:w w:val="92"/>
              </w:rPr>
              <w:t>$1,681,348</w:t>
            </w:r>
            <w:r>
              <w:rPr>
                <w:rFonts w:ascii="Arial" w:cs="Arial" w:eastAsia="Arial" w:hAnsi="Arial"/>
                <w:sz w:val="24"/>
                <w:szCs w:val="24"/>
                <w:color w:val="auto"/>
                <w:w w:val="92"/>
                <w:vertAlign w:val="superscript"/>
              </w:rPr>
              <w:t>(42)</w:t>
            </w:r>
          </w:p>
        </w:tc>
      </w:tr>
    </w:tbl>
    <w:p>
      <w:pPr>
        <w:ind w:left="448" w:hanging="448"/>
        <w:spacing w:after="0" w:line="181" w:lineRule="auto"/>
        <w:tabs>
          <w:tab w:leader="none" w:pos="448" w:val="left"/>
        </w:tabs>
        <w:numPr>
          <w:ilvl w:val="0"/>
          <w:numId w:val="53"/>
        </w:numPr>
        <w:rPr>
          <w:rFonts w:ascii="Arial" w:cs="Arial" w:eastAsia="Arial" w:hAnsi="Arial"/>
          <w:sz w:val="25"/>
          <w:szCs w:val="25"/>
          <w:color w:val="auto"/>
          <w:vertAlign w:val="superscript"/>
        </w:rPr>
      </w:pPr>
      <w:r>
        <w:rPr>
          <w:rFonts w:ascii="Arial" w:cs="Arial" w:eastAsia="Arial" w:hAnsi="Arial"/>
          <w:sz w:val="15"/>
          <w:szCs w:val="15"/>
          <w:color w:val="auto"/>
        </w:rPr>
        <w:t>Represents amounts earned in corresponding year.</w:t>
      </w:r>
    </w:p>
    <w:p>
      <w:pPr>
        <w:spacing w:after="0" w:line="176" w:lineRule="exact"/>
        <w:rPr>
          <w:rFonts w:ascii="Arial" w:cs="Arial" w:eastAsia="Arial" w:hAnsi="Arial"/>
          <w:sz w:val="25"/>
          <w:szCs w:val="25"/>
          <w:color w:val="auto"/>
          <w:vertAlign w:val="superscript"/>
        </w:rPr>
      </w:pPr>
    </w:p>
    <w:p>
      <w:pPr>
        <w:ind w:left="448" w:right="20" w:hanging="448"/>
        <w:spacing w:after="0" w:line="198" w:lineRule="auto"/>
        <w:tabs>
          <w:tab w:leader="none" w:pos="448" w:val="left"/>
        </w:tabs>
        <w:numPr>
          <w:ilvl w:val="0"/>
          <w:numId w:val="53"/>
        </w:numPr>
        <w:rPr>
          <w:rFonts w:ascii="Arial" w:cs="Arial" w:eastAsia="Arial" w:hAnsi="Arial"/>
          <w:sz w:val="25"/>
          <w:szCs w:val="25"/>
          <w:color w:val="auto"/>
          <w:vertAlign w:val="superscript"/>
        </w:rPr>
      </w:pPr>
      <w:r>
        <w:rPr>
          <w:rFonts w:ascii="Arial" w:cs="Arial" w:eastAsia="Arial" w:hAnsi="Arial"/>
          <w:sz w:val="15"/>
          <w:szCs w:val="15"/>
          <w:color w:val="auto"/>
        </w:rPr>
        <w:t>Represents the grant date fair value in accordance with Financial Accounting Standards Board Accounting Standards Codification Topic 718 of the restricted share awards granted during each year presented. The value was determined by using the weighted average expense per award multiplied by the shares granted, as per the grant date.</w:t>
      </w:r>
    </w:p>
    <w:p>
      <w:pPr>
        <w:spacing w:after="0" w:line="164" w:lineRule="exact"/>
        <w:rPr>
          <w:rFonts w:ascii="Arial" w:cs="Arial" w:eastAsia="Arial" w:hAnsi="Arial"/>
          <w:sz w:val="25"/>
          <w:szCs w:val="25"/>
          <w:color w:val="auto"/>
          <w:vertAlign w:val="superscript"/>
        </w:rPr>
      </w:pPr>
    </w:p>
    <w:p>
      <w:pPr>
        <w:ind w:left="448" w:right="100" w:hanging="448"/>
        <w:spacing w:after="0" w:line="198" w:lineRule="auto"/>
        <w:tabs>
          <w:tab w:leader="none" w:pos="448" w:val="left"/>
        </w:tabs>
        <w:numPr>
          <w:ilvl w:val="0"/>
          <w:numId w:val="53"/>
        </w:numPr>
        <w:rPr>
          <w:rFonts w:ascii="Arial" w:cs="Arial" w:eastAsia="Arial" w:hAnsi="Arial"/>
          <w:sz w:val="25"/>
          <w:szCs w:val="25"/>
          <w:color w:val="auto"/>
          <w:vertAlign w:val="superscript"/>
        </w:rPr>
      </w:pPr>
      <w:r>
        <w:rPr>
          <w:rFonts w:ascii="Arial" w:cs="Arial" w:eastAsia="Arial" w:hAnsi="Arial"/>
          <w:sz w:val="15"/>
          <w:szCs w:val="15"/>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2017 using a Black-Scholes option-pricing model and a binomial option pricing model utilizing the following assumptions:</w:t>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Service-Based and Performance-Based Awards - Black-Scholes</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Option Pricing Model</w:t>
      </w:r>
    </w:p>
    <w:tbl>
      <w:tblPr>
        <w:tblLayout w:type="fixed"/>
        <w:tblInd w:w="8" w:type="dxa"/>
        <w:tblCellMar>
          <w:top w:w="0" w:type="dxa"/>
          <w:left w:w="0" w:type="dxa"/>
          <w:bottom w:w="0" w:type="dxa"/>
          <w:right w:w="0" w:type="dxa"/>
        </w:tblCellMar>
      </w:tblPr>
      <w:tr>
        <w:trPr>
          <w:trHeight w:val="119"/>
        </w:trPr>
        <w:tc>
          <w:tcPr>
            <w:tcW w:w="1700" w:type="dxa"/>
            <w:vAlign w:val="bottom"/>
          </w:tcPr>
          <w:p>
            <w:pPr>
              <w:spacing w:after="0"/>
              <w:rPr>
                <w:sz w:val="10"/>
                <w:szCs w:val="10"/>
                <w:color w:val="auto"/>
              </w:rPr>
            </w:pPr>
          </w:p>
        </w:tc>
        <w:tc>
          <w:tcPr>
            <w:tcW w:w="1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line="119"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left="219"/>
              <w:spacing w:after="0" w:line="119" w:lineRule="exact"/>
              <w:rPr>
                <w:sz w:val="20"/>
                <w:szCs w:val="20"/>
                <w:color w:val="auto"/>
              </w:rPr>
            </w:pPr>
            <w:r>
              <w:rPr>
                <w:rFonts w:ascii="Arial" w:cs="Arial" w:eastAsia="Arial" w:hAnsi="Arial"/>
                <w:sz w:val="12"/>
                <w:szCs w:val="12"/>
                <w:b w:val="1"/>
                <w:bCs w:val="1"/>
                <w:color w:val="auto"/>
              </w:rPr>
              <w:t>Expected</w:t>
            </w: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w w:val="98"/>
              </w:rPr>
              <w:t>Risk-Free</w:t>
            </w: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1880" w:type="dxa"/>
            <w:vAlign w:val="bottom"/>
          </w:tcPr>
          <w:p>
            <w:pPr>
              <w:jc w:val="center"/>
              <w:spacing w:after="0"/>
              <w:rPr>
                <w:sz w:val="20"/>
                <w:szCs w:val="20"/>
                <w:color w:val="auto"/>
              </w:rPr>
            </w:pPr>
            <w:r>
              <w:rPr>
                <w:rFonts w:ascii="Arial" w:cs="Arial" w:eastAsia="Arial" w:hAnsi="Arial"/>
                <w:sz w:val="12"/>
                <w:szCs w:val="12"/>
                <w:b w:val="1"/>
                <w:bCs w:val="1"/>
                <w:color w:val="auto"/>
              </w:rPr>
              <w:t>Performance</w:t>
            </w:r>
          </w:p>
        </w:tc>
        <w:tc>
          <w:tcPr>
            <w:tcW w:w="1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w w:val="99"/>
              </w:rPr>
              <w:t>Volatility</w:t>
            </w:r>
          </w:p>
        </w:tc>
        <w:tc>
          <w:tcPr>
            <w:tcW w:w="120" w:type="dxa"/>
            <w:vAlign w:val="bottom"/>
          </w:tcPr>
          <w:p>
            <w:pPr>
              <w:spacing w:after="0"/>
              <w:rPr>
                <w:sz w:val="11"/>
                <w:szCs w:val="11"/>
                <w:color w:val="auto"/>
              </w:rPr>
            </w:pPr>
          </w:p>
        </w:tc>
        <w:tc>
          <w:tcPr>
            <w:tcW w:w="1100" w:type="dxa"/>
            <w:vAlign w:val="bottom"/>
          </w:tcPr>
          <w:p>
            <w:pPr>
              <w:jc w:val="center"/>
              <w:ind w:left="199"/>
              <w:spacing w:after="0"/>
              <w:rPr>
                <w:sz w:val="20"/>
                <w:szCs w:val="20"/>
                <w:color w:val="auto"/>
              </w:rPr>
            </w:pPr>
            <w:r>
              <w:rPr>
                <w:rFonts w:ascii="Arial" w:cs="Arial" w:eastAsia="Arial" w:hAnsi="Arial"/>
                <w:sz w:val="12"/>
                <w:szCs w:val="12"/>
                <w:b w:val="1"/>
                <w:bCs w:val="1"/>
                <w:color w:val="auto"/>
              </w:rPr>
              <w:t>Dividend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Exercise Price</w:t>
            </w:r>
          </w:p>
        </w:tc>
        <w:tc>
          <w:tcPr>
            <w:tcW w:w="14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1"/>
                <w:szCs w:val="11"/>
                <w:color w:val="auto"/>
              </w:rPr>
            </w:pPr>
          </w:p>
        </w:tc>
        <w:tc>
          <w:tcPr>
            <w:tcW w:w="310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w w:val="96"/>
              </w:rPr>
              <w:t>Term in</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ind w:left="219"/>
              <w:spacing w:after="0"/>
              <w:rPr>
                <w:sz w:val="20"/>
                <w:szCs w:val="20"/>
                <w:color w:val="auto"/>
              </w:rPr>
            </w:pPr>
            <w:r>
              <w:rPr>
                <w:rFonts w:ascii="Arial" w:cs="Arial" w:eastAsia="Arial" w:hAnsi="Arial"/>
                <w:sz w:val="12"/>
                <w:szCs w:val="12"/>
                <w:b w:val="1"/>
                <w:bCs w:val="1"/>
                <w:color w:val="auto"/>
                <w:w w:val="98"/>
              </w:rPr>
              <w:t>Yield (%)</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Rate (%)</w:t>
            </w:r>
          </w:p>
        </w:tc>
        <w:tc>
          <w:tcPr>
            <w:tcW w:w="12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Years</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700" w:type="dxa"/>
            <w:vAlign w:val="bottom"/>
          </w:tcPr>
          <w:p>
            <w:pPr>
              <w:spacing w:after="0"/>
              <w:rPr>
                <w:sz w:val="14"/>
                <w:szCs w:val="14"/>
                <w:color w:val="auto"/>
              </w:rPr>
            </w:pP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2015</w:t>
            </w:r>
          </w:p>
        </w:tc>
        <w:tc>
          <w:tcPr>
            <w:tcW w:w="680" w:type="dxa"/>
            <w:vAlign w:val="bottom"/>
            <w:gridSpan w:val="2"/>
            <w:shd w:val="clear" w:color="auto" w:fill="CCEEFF"/>
          </w:tcPr>
          <w:p>
            <w:pPr>
              <w:jc w:val="center"/>
              <w:ind w:left="46"/>
              <w:spacing w:after="0" w:line="166" w:lineRule="exact"/>
              <w:rPr>
                <w:sz w:val="20"/>
                <w:szCs w:val="20"/>
                <w:color w:val="auto"/>
              </w:rPr>
            </w:pPr>
            <w:r>
              <w:rPr>
                <w:rFonts w:ascii="Arial" w:cs="Arial" w:eastAsia="Arial" w:hAnsi="Arial"/>
                <w:sz w:val="15"/>
                <w:szCs w:val="15"/>
                <w:color w:val="auto"/>
                <w:w w:val="93"/>
              </w:rPr>
              <w:t>55%</w:t>
            </w:r>
          </w:p>
        </w:tc>
        <w:tc>
          <w:tcPr>
            <w:tcW w:w="1220" w:type="dxa"/>
            <w:vAlign w:val="bottom"/>
            <w:gridSpan w:val="2"/>
            <w:shd w:val="clear" w:color="auto" w:fill="CCEEFF"/>
          </w:tcPr>
          <w:p>
            <w:pPr>
              <w:jc w:val="center"/>
              <w:ind w:left="326"/>
              <w:spacing w:after="0" w:line="166" w:lineRule="exact"/>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center"/>
              <w:ind w:left="326"/>
              <w:spacing w:after="0" w:line="166" w:lineRule="exact"/>
              <w:rPr>
                <w:sz w:val="20"/>
                <w:szCs w:val="20"/>
                <w:color w:val="auto"/>
              </w:rPr>
            </w:pPr>
            <w:r>
              <w:rPr>
                <w:rFonts w:ascii="Arial" w:cs="Arial" w:eastAsia="Arial" w:hAnsi="Arial"/>
                <w:sz w:val="15"/>
                <w:szCs w:val="15"/>
                <w:color w:val="auto"/>
              </w:rPr>
              <w:t>$21.89</w:t>
            </w:r>
          </w:p>
        </w:tc>
        <w:tc>
          <w:tcPr>
            <w:tcW w:w="1520" w:type="dxa"/>
            <w:vAlign w:val="bottom"/>
            <w:gridSpan w:val="2"/>
            <w:shd w:val="clear" w:color="auto" w:fill="CCEEFF"/>
          </w:tcPr>
          <w:p>
            <w:pPr>
              <w:jc w:val="center"/>
              <w:ind w:left="66"/>
              <w:spacing w:after="0" w:line="166" w:lineRule="exact"/>
              <w:rPr>
                <w:sz w:val="20"/>
                <w:szCs w:val="20"/>
                <w:color w:val="auto"/>
              </w:rPr>
            </w:pPr>
            <w:r>
              <w:rPr>
                <w:rFonts w:ascii="Arial" w:cs="Arial" w:eastAsia="Arial" w:hAnsi="Arial"/>
                <w:sz w:val="15"/>
                <w:szCs w:val="15"/>
                <w:color w:val="auto"/>
                <w:w w:val="98"/>
              </w:rPr>
              <w:t>1.67%</w:t>
            </w:r>
          </w:p>
        </w:tc>
        <w:tc>
          <w:tcPr>
            <w:tcW w:w="1500" w:type="dxa"/>
            <w:vAlign w:val="bottom"/>
            <w:gridSpan w:val="2"/>
            <w:shd w:val="clear" w:color="auto" w:fill="CCEEFF"/>
          </w:tcPr>
          <w:p>
            <w:pPr>
              <w:jc w:val="center"/>
              <w:ind w:left="46"/>
              <w:spacing w:after="0" w:line="166" w:lineRule="exact"/>
              <w:rPr>
                <w:sz w:val="20"/>
                <w:szCs w:val="20"/>
                <w:color w:val="auto"/>
              </w:rPr>
            </w:pPr>
            <w:r>
              <w:rPr>
                <w:rFonts w:ascii="Arial" w:cs="Arial" w:eastAsia="Arial" w:hAnsi="Arial"/>
                <w:sz w:val="15"/>
                <w:szCs w:val="15"/>
                <w:color w:val="auto"/>
              </w:rPr>
              <w:t>6.25</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700" w:type="dxa"/>
            <w:vAlign w:val="bottom"/>
          </w:tcPr>
          <w:p>
            <w:pPr>
              <w:spacing w:after="0"/>
              <w:rPr>
                <w:sz w:val="7"/>
                <w:szCs w:val="7"/>
                <w:color w:val="auto"/>
              </w:rPr>
            </w:pPr>
          </w:p>
        </w:tc>
        <w:tc>
          <w:tcPr>
            <w:tcW w:w="1880" w:type="dxa"/>
            <w:vAlign w:val="bottom"/>
            <w:vMerge w:val="continue"/>
            <w:shd w:val="clear" w:color="auto" w:fill="CCEEFF"/>
          </w:tcPr>
          <w:p>
            <w:pPr>
              <w:spacing w:after="0"/>
              <w:rPr>
                <w:sz w:val="7"/>
                <w:szCs w:val="7"/>
                <w:color w:val="auto"/>
              </w:rPr>
            </w:pPr>
          </w:p>
        </w:tc>
        <w:tc>
          <w:tcPr>
            <w:tcW w:w="68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w w:val="93"/>
              </w:rPr>
              <w:t>57%</w:t>
            </w:r>
          </w:p>
        </w:tc>
        <w:tc>
          <w:tcPr>
            <w:tcW w:w="1220" w:type="dxa"/>
            <w:vAlign w:val="bottom"/>
            <w:gridSpan w:val="2"/>
            <w:vMerge w:val="restart"/>
            <w:shd w:val="clear" w:color="auto" w:fill="CCEEFF"/>
          </w:tcPr>
          <w:p>
            <w:pPr>
              <w:jc w:val="center"/>
              <w:ind w:left="326"/>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3"/>
            <w:vMerge w:val="restart"/>
            <w:shd w:val="clear" w:color="auto" w:fill="CCEEFF"/>
          </w:tcPr>
          <w:p>
            <w:pPr>
              <w:jc w:val="center"/>
              <w:ind w:left="326"/>
              <w:spacing w:after="0" w:line="169" w:lineRule="exact"/>
              <w:rPr>
                <w:sz w:val="20"/>
                <w:szCs w:val="20"/>
                <w:color w:val="auto"/>
              </w:rPr>
            </w:pPr>
            <w:r>
              <w:rPr>
                <w:rFonts w:ascii="Arial" w:cs="Arial" w:eastAsia="Arial" w:hAnsi="Arial"/>
                <w:sz w:val="15"/>
                <w:szCs w:val="15"/>
                <w:color w:val="auto"/>
              </w:rPr>
              <w:t>$18.79</w:t>
            </w:r>
          </w:p>
        </w:tc>
        <w:tc>
          <w:tcPr>
            <w:tcW w:w="1520" w:type="dxa"/>
            <w:vAlign w:val="bottom"/>
            <w:gridSpan w:val="2"/>
            <w:vMerge w:val="restart"/>
            <w:shd w:val="clear" w:color="auto" w:fill="CCEEFF"/>
          </w:tcPr>
          <w:p>
            <w:pPr>
              <w:jc w:val="center"/>
              <w:ind w:left="66"/>
              <w:spacing w:after="0" w:line="169" w:lineRule="exact"/>
              <w:rPr>
                <w:sz w:val="20"/>
                <w:szCs w:val="20"/>
                <w:color w:val="auto"/>
              </w:rPr>
            </w:pPr>
            <w:r>
              <w:rPr>
                <w:rFonts w:ascii="Arial" w:cs="Arial" w:eastAsia="Arial" w:hAnsi="Arial"/>
                <w:sz w:val="15"/>
                <w:szCs w:val="15"/>
                <w:color w:val="auto"/>
                <w:w w:val="98"/>
              </w:rPr>
              <w:t>1.50%</w:t>
            </w:r>
          </w:p>
        </w:tc>
        <w:tc>
          <w:tcPr>
            <w:tcW w:w="150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rPr>
              <w:t>6.00</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188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220" w:type="dxa"/>
            <w:vAlign w:val="bottom"/>
            <w:gridSpan w:val="3"/>
            <w:vMerge w:val="continue"/>
            <w:shd w:val="clear" w:color="auto" w:fill="CCEEFF"/>
          </w:tcPr>
          <w:p>
            <w:pPr>
              <w:spacing w:after="0"/>
              <w:rPr>
                <w:sz w:val="7"/>
                <w:szCs w:val="7"/>
                <w:color w:val="auto"/>
              </w:rPr>
            </w:pPr>
          </w:p>
        </w:tc>
        <w:tc>
          <w:tcPr>
            <w:tcW w:w="1520" w:type="dxa"/>
            <w:vAlign w:val="bottom"/>
            <w:gridSpan w:val="2"/>
            <w:vMerge w:val="continue"/>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580" w:type="dxa"/>
            <w:vAlign w:val="bottom"/>
            <w:gridSpan w:val="2"/>
          </w:tcPr>
          <w:p>
            <w:pPr>
              <w:jc w:val="center"/>
              <w:ind w:left="1626"/>
              <w:spacing w:after="0"/>
              <w:rPr>
                <w:sz w:val="20"/>
                <w:szCs w:val="20"/>
                <w:color w:val="auto"/>
              </w:rPr>
            </w:pPr>
            <w:r>
              <w:rPr>
                <w:rFonts w:ascii="Arial" w:cs="Arial" w:eastAsia="Arial" w:hAnsi="Arial"/>
                <w:sz w:val="15"/>
                <w:szCs w:val="15"/>
                <w:color w:val="auto"/>
                <w:w w:val="95"/>
              </w:rPr>
              <w:t>2016</w:t>
            </w:r>
          </w:p>
        </w:tc>
        <w:tc>
          <w:tcPr>
            <w:tcW w:w="680" w:type="dxa"/>
            <w:vAlign w:val="bottom"/>
            <w:gridSpan w:val="2"/>
          </w:tcPr>
          <w:p>
            <w:pPr>
              <w:jc w:val="center"/>
              <w:ind w:left="46"/>
              <w:spacing w:after="0"/>
              <w:rPr>
                <w:sz w:val="20"/>
                <w:szCs w:val="20"/>
                <w:color w:val="auto"/>
              </w:rPr>
            </w:pPr>
            <w:r>
              <w:rPr>
                <w:rFonts w:ascii="Arial" w:cs="Arial" w:eastAsia="Arial" w:hAnsi="Arial"/>
                <w:sz w:val="15"/>
                <w:szCs w:val="15"/>
                <w:color w:val="auto"/>
                <w:w w:val="93"/>
              </w:rPr>
              <w:t>62%</w:t>
            </w:r>
          </w:p>
        </w:tc>
        <w:tc>
          <w:tcPr>
            <w:tcW w:w="1220" w:type="dxa"/>
            <w:vAlign w:val="bottom"/>
            <w:gridSpan w:val="2"/>
          </w:tcPr>
          <w:p>
            <w:pPr>
              <w:jc w:val="center"/>
              <w:ind w:left="326"/>
              <w:spacing w:after="0"/>
              <w:rPr>
                <w:sz w:val="20"/>
                <w:szCs w:val="20"/>
                <w:color w:val="auto"/>
              </w:rPr>
            </w:pPr>
            <w:r>
              <w:rPr>
                <w:rFonts w:ascii="Arial" w:cs="Arial" w:eastAsia="Arial" w:hAnsi="Arial"/>
                <w:sz w:val="15"/>
                <w:szCs w:val="15"/>
                <w:color w:val="auto"/>
              </w:rPr>
              <w:t>-</w:t>
            </w:r>
          </w:p>
        </w:tc>
        <w:tc>
          <w:tcPr>
            <w:tcW w:w="1220" w:type="dxa"/>
            <w:vAlign w:val="bottom"/>
            <w:gridSpan w:val="3"/>
          </w:tcPr>
          <w:p>
            <w:pPr>
              <w:jc w:val="center"/>
              <w:ind w:left="326"/>
              <w:spacing w:after="0"/>
              <w:rPr>
                <w:sz w:val="20"/>
                <w:szCs w:val="20"/>
                <w:color w:val="auto"/>
              </w:rPr>
            </w:pPr>
            <w:r>
              <w:rPr>
                <w:rFonts w:ascii="Arial" w:cs="Arial" w:eastAsia="Arial" w:hAnsi="Arial"/>
                <w:sz w:val="15"/>
                <w:szCs w:val="15"/>
                <w:color w:val="auto"/>
              </w:rPr>
              <w:t>$32.64</w:t>
            </w:r>
          </w:p>
        </w:tc>
        <w:tc>
          <w:tcPr>
            <w:tcW w:w="1520" w:type="dxa"/>
            <w:vAlign w:val="bottom"/>
            <w:gridSpan w:val="2"/>
          </w:tcPr>
          <w:p>
            <w:pPr>
              <w:jc w:val="center"/>
              <w:ind w:left="66"/>
              <w:spacing w:after="0"/>
              <w:rPr>
                <w:sz w:val="20"/>
                <w:szCs w:val="20"/>
                <w:color w:val="auto"/>
              </w:rPr>
            </w:pPr>
            <w:r>
              <w:rPr>
                <w:rFonts w:ascii="Arial" w:cs="Arial" w:eastAsia="Arial" w:hAnsi="Arial"/>
                <w:sz w:val="15"/>
                <w:szCs w:val="15"/>
                <w:color w:val="auto"/>
                <w:w w:val="98"/>
              </w:rPr>
              <w:t>1.31%</w:t>
            </w:r>
          </w:p>
        </w:tc>
        <w:tc>
          <w:tcPr>
            <w:tcW w:w="1500" w:type="dxa"/>
            <w:vAlign w:val="bottom"/>
            <w:gridSpan w:val="2"/>
          </w:tcPr>
          <w:p>
            <w:pPr>
              <w:jc w:val="center"/>
              <w:ind w:left="46"/>
              <w:spacing w:after="0"/>
              <w:rPr>
                <w:sz w:val="20"/>
                <w:szCs w:val="20"/>
                <w:color w:val="auto"/>
              </w:rPr>
            </w:pPr>
            <w:r>
              <w:rPr>
                <w:rFonts w:ascii="Arial" w:cs="Arial" w:eastAsia="Arial" w:hAnsi="Arial"/>
                <w:sz w:val="15"/>
                <w:szCs w:val="15"/>
                <w:color w:val="auto"/>
              </w:rPr>
              <w:t>6.00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5"/>
              </w:rPr>
              <w:t>2017</w:t>
            </w:r>
          </w:p>
        </w:tc>
        <w:tc>
          <w:tcPr>
            <w:tcW w:w="68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3"/>
              </w:rPr>
              <w:t>61%</w:t>
            </w:r>
          </w:p>
        </w:tc>
        <w:tc>
          <w:tcPr>
            <w:tcW w:w="1220" w:type="dxa"/>
            <w:vAlign w:val="bottom"/>
            <w:gridSpan w:val="2"/>
            <w:shd w:val="clear" w:color="auto" w:fill="CCEEFF"/>
          </w:tcPr>
          <w:p>
            <w:pPr>
              <w:jc w:val="center"/>
              <w:ind w:left="326"/>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center"/>
              <w:ind w:left="326"/>
              <w:spacing w:after="0"/>
              <w:rPr>
                <w:sz w:val="20"/>
                <w:szCs w:val="20"/>
                <w:color w:val="auto"/>
              </w:rPr>
            </w:pPr>
            <w:r>
              <w:rPr>
                <w:rFonts w:ascii="Arial" w:cs="Arial" w:eastAsia="Arial" w:hAnsi="Arial"/>
                <w:sz w:val="15"/>
                <w:szCs w:val="15"/>
                <w:color w:val="auto"/>
              </w:rPr>
              <w:t>$39.13</w:t>
            </w:r>
          </w:p>
        </w:tc>
        <w:tc>
          <w:tcPr>
            <w:tcW w:w="152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98"/>
              </w:rPr>
              <w:t>2.29%</w:t>
            </w:r>
          </w:p>
        </w:tc>
        <w:tc>
          <w:tcPr>
            <w:tcW w:w="150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rPr>
              <w:t>7.50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1700" w:type="dxa"/>
            <w:vAlign w:val="bottom"/>
          </w:tcPr>
          <w:p>
            <w:pPr>
              <w:spacing w:after="0"/>
              <w:rPr>
                <w:sz w:val="7"/>
                <w:szCs w:val="7"/>
                <w:color w:val="auto"/>
              </w:rPr>
            </w:pPr>
          </w:p>
        </w:tc>
        <w:tc>
          <w:tcPr>
            <w:tcW w:w="1880" w:type="dxa"/>
            <w:vAlign w:val="bottom"/>
            <w:vMerge w:val="continue"/>
            <w:shd w:val="clear" w:color="auto" w:fill="CCEEFF"/>
          </w:tcPr>
          <w:p>
            <w:pPr>
              <w:spacing w:after="0"/>
              <w:rPr>
                <w:sz w:val="7"/>
                <w:szCs w:val="7"/>
                <w:color w:val="auto"/>
              </w:rPr>
            </w:pPr>
          </w:p>
        </w:tc>
        <w:tc>
          <w:tcPr>
            <w:tcW w:w="68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w w:val="93"/>
              </w:rPr>
              <w:t>67%</w:t>
            </w:r>
          </w:p>
        </w:tc>
        <w:tc>
          <w:tcPr>
            <w:tcW w:w="1220" w:type="dxa"/>
            <w:vAlign w:val="bottom"/>
            <w:gridSpan w:val="2"/>
            <w:vMerge w:val="restart"/>
            <w:shd w:val="clear" w:color="auto" w:fill="CCEEFF"/>
          </w:tcPr>
          <w:p>
            <w:pPr>
              <w:jc w:val="center"/>
              <w:ind w:left="326"/>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3"/>
            <w:vMerge w:val="restart"/>
            <w:shd w:val="clear" w:color="auto" w:fill="CCEEFF"/>
          </w:tcPr>
          <w:p>
            <w:pPr>
              <w:jc w:val="center"/>
              <w:ind w:left="326"/>
              <w:spacing w:after="0" w:line="169" w:lineRule="exact"/>
              <w:rPr>
                <w:sz w:val="20"/>
                <w:szCs w:val="20"/>
                <w:color w:val="auto"/>
              </w:rPr>
            </w:pPr>
            <w:r>
              <w:rPr>
                <w:rFonts w:ascii="Arial" w:cs="Arial" w:eastAsia="Arial" w:hAnsi="Arial"/>
                <w:sz w:val="15"/>
                <w:szCs w:val="15"/>
                <w:color w:val="auto"/>
              </w:rPr>
              <w:t>$39.13</w:t>
            </w:r>
          </w:p>
        </w:tc>
        <w:tc>
          <w:tcPr>
            <w:tcW w:w="1520" w:type="dxa"/>
            <w:vAlign w:val="bottom"/>
            <w:gridSpan w:val="2"/>
            <w:vMerge w:val="restart"/>
            <w:shd w:val="clear" w:color="auto" w:fill="CCEEFF"/>
          </w:tcPr>
          <w:p>
            <w:pPr>
              <w:jc w:val="center"/>
              <w:ind w:left="66"/>
              <w:spacing w:after="0" w:line="169" w:lineRule="exact"/>
              <w:rPr>
                <w:sz w:val="20"/>
                <w:szCs w:val="20"/>
                <w:color w:val="auto"/>
              </w:rPr>
            </w:pPr>
            <w:r>
              <w:rPr>
                <w:rFonts w:ascii="Arial" w:cs="Arial" w:eastAsia="Arial" w:hAnsi="Arial"/>
                <w:sz w:val="15"/>
                <w:szCs w:val="15"/>
                <w:color w:val="auto"/>
                <w:w w:val="98"/>
              </w:rPr>
              <w:t>2.06%</w:t>
            </w:r>
          </w:p>
        </w:tc>
        <w:tc>
          <w:tcPr>
            <w:tcW w:w="150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rPr>
              <w:t>6.00</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188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220" w:type="dxa"/>
            <w:vAlign w:val="bottom"/>
            <w:gridSpan w:val="3"/>
            <w:vMerge w:val="continue"/>
            <w:shd w:val="clear" w:color="auto" w:fill="CCEEFF"/>
          </w:tcPr>
          <w:p>
            <w:pPr>
              <w:spacing w:after="0"/>
              <w:rPr>
                <w:sz w:val="7"/>
                <w:szCs w:val="7"/>
                <w:color w:val="auto"/>
              </w:rPr>
            </w:pPr>
          </w:p>
        </w:tc>
        <w:tc>
          <w:tcPr>
            <w:tcW w:w="1520" w:type="dxa"/>
            <w:vAlign w:val="bottom"/>
            <w:gridSpan w:val="2"/>
            <w:vMerge w:val="continue"/>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53</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700" w:type="dxa"/>
            <w:vAlign w:val="bottom"/>
            <w:tcBorders>
              <w:bottom w:val="single" w:sz="8" w:color="808080"/>
            </w:tcBorders>
          </w:tcPr>
          <w:p>
            <w:pPr>
              <w:spacing w:after="0"/>
              <w:rPr>
                <w:sz w:val="15"/>
                <w:szCs w:val="15"/>
                <w:color w:val="auto"/>
              </w:rPr>
            </w:pPr>
          </w:p>
        </w:tc>
        <w:tc>
          <w:tcPr>
            <w:tcW w:w="18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3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38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54" w:name="page55"/>
    <w:bookmarkEnd w:id="5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114300</wp:posOffset>
            </wp:positionV>
            <wp:extent cx="1504315" cy="1377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Market-Based Awards - Binomial Option Pricing Model</w:t>
      </w:r>
    </w:p>
    <w:p>
      <w:pPr>
        <w:spacing w:after="0" w:line="9" w:lineRule="exact"/>
        <w:rPr>
          <w:sz w:val="20"/>
          <w:szCs w:val="20"/>
          <w:color w:val="auto"/>
        </w:rPr>
      </w:pPr>
    </w:p>
    <w:tbl>
      <w:tblPr>
        <w:tblLayout w:type="fixed"/>
        <w:tblInd w:w="1708"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line="119" w:lineRule="exact"/>
              <w:rPr>
                <w:sz w:val="20"/>
                <w:szCs w:val="20"/>
                <w:color w:val="auto"/>
              </w:rPr>
            </w:pPr>
            <w:r>
              <w:rPr>
                <w:rFonts w:ascii="Arial" w:cs="Arial" w:eastAsia="Arial" w:hAnsi="Arial"/>
                <w:sz w:val="12"/>
                <w:szCs w:val="12"/>
                <w:b w:val="1"/>
                <w:bCs w:val="1"/>
                <w:color w:val="auto"/>
              </w:rPr>
              <w:t>Expected</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Risk-Free</w:t>
            </w: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Expected</w:t>
            </w:r>
          </w:p>
        </w:tc>
        <w:tc>
          <w:tcPr>
            <w:tcW w:w="0" w:type="dxa"/>
            <w:vAlign w:val="bottom"/>
          </w:tcPr>
          <w:p>
            <w:pPr>
              <w:spacing w:after="0"/>
              <w:rPr>
                <w:sz w:val="1"/>
                <w:szCs w:val="1"/>
                <w:color w:val="auto"/>
              </w:rPr>
            </w:pPr>
          </w:p>
        </w:tc>
      </w:tr>
      <w:tr>
        <w:trPr>
          <w:trHeight w:val="137"/>
        </w:trPr>
        <w:tc>
          <w:tcPr>
            <w:tcW w:w="16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Performance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Volatility</w:t>
            </w:r>
          </w:p>
        </w:tc>
        <w:tc>
          <w:tcPr>
            <w:tcW w:w="12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Dividend</w:t>
            </w:r>
          </w:p>
        </w:tc>
        <w:tc>
          <w:tcPr>
            <w:tcW w:w="1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Exercise Price</w:t>
            </w:r>
          </w:p>
        </w:tc>
        <w:tc>
          <w:tcPr>
            <w:tcW w:w="14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1"/>
                <w:szCs w:val="11"/>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rPr>
              <w:t>Term in</w:t>
            </w: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Year</w:t>
            </w:r>
          </w:p>
        </w:tc>
        <w:tc>
          <w:tcPr>
            <w:tcW w:w="52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w:t>
            </w: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Yield (%)</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Rate (%)</w:t>
            </w:r>
          </w:p>
        </w:tc>
        <w:tc>
          <w:tcPr>
            <w:tcW w:w="120" w:type="dxa"/>
            <w:vAlign w:val="bottom"/>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Years</w:t>
            </w:r>
          </w:p>
        </w:tc>
        <w:tc>
          <w:tcPr>
            <w:tcW w:w="0" w:type="dxa"/>
            <w:vAlign w:val="bottom"/>
          </w:tcPr>
          <w:p>
            <w:pPr>
              <w:spacing w:after="0"/>
              <w:rPr>
                <w:sz w:val="1"/>
                <w:szCs w:val="1"/>
                <w:color w:val="auto"/>
              </w:rPr>
            </w:pPr>
          </w:p>
        </w:tc>
      </w:tr>
      <w:tr>
        <w:trPr>
          <w:trHeight w:val="166"/>
        </w:trPr>
        <w:tc>
          <w:tcPr>
            <w:tcW w:w="1120" w:type="dxa"/>
            <w:vAlign w:val="bottom"/>
            <w:gridSpan w:val="2"/>
            <w:vMerge w:val="restart"/>
            <w:shd w:val="clear" w:color="auto" w:fill="CCEEFF"/>
          </w:tcPr>
          <w:p>
            <w:pPr>
              <w:jc w:val="center"/>
              <w:ind w:left="329"/>
              <w:spacing w:after="0"/>
              <w:rPr>
                <w:sz w:val="20"/>
                <w:szCs w:val="20"/>
                <w:color w:val="auto"/>
              </w:rPr>
            </w:pPr>
            <w:r>
              <w:rPr>
                <w:rFonts w:ascii="Arial" w:cs="Arial" w:eastAsia="Arial" w:hAnsi="Arial"/>
                <w:sz w:val="15"/>
                <w:szCs w:val="15"/>
                <w:color w:val="auto"/>
                <w:w w:val="95"/>
              </w:rPr>
              <w:t>2015</w:t>
            </w: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6" w:lineRule="exact"/>
              <w:rPr>
                <w:sz w:val="20"/>
                <w:szCs w:val="20"/>
                <w:color w:val="auto"/>
              </w:rPr>
            </w:pPr>
            <w:r>
              <w:rPr>
                <w:rFonts w:ascii="Arial" w:cs="Arial" w:eastAsia="Arial" w:hAnsi="Arial"/>
                <w:sz w:val="15"/>
                <w:szCs w:val="15"/>
                <w:color w:val="auto"/>
                <w:w w:val="99"/>
              </w:rPr>
              <w:t>55%</w:t>
            </w:r>
          </w:p>
        </w:tc>
        <w:tc>
          <w:tcPr>
            <w:tcW w:w="1200" w:type="dxa"/>
            <w:vAlign w:val="bottom"/>
            <w:gridSpan w:val="2"/>
            <w:shd w:val="clear" w:color="auto" w:fill="CCEEFF"/>
          </w:tcPr>
          <w:p>
            <w:pPr>
              <w:jc w:val="center"/>
              <w:ind w:left="46"/>
              <w:spacing w:after="0" w:line="166" w:lineRule="exact"/>
              <w:rPr>
                <w:sz w:val="20"/>
                <w:szCs w:val="20"/>
                <w:color w:val="auto"/>
              </w:rPr>
            </w:pPr>
            <w:r>
              <w:rPr>
                <w:rFonts w:ascii="Arial" w:cs="Arial" w:eastAsia="Arial" w:hAnsi="Arial"/>
                <w:sz w:val="15"/>
                <w:szCs w:val="15"/>
                <w:color w:val="auto"/>
                <w:w w:val="79"/>
              </w:rPr>
              <w:t>-</w:t>
            </w:r>
          </w:p>
        </w:tc>
        <w:tc>
          <w:tcPr>
            <w:tcW w:w="960" w:type="dxa"/>
            <w:vAlign w:val="bottom"/>
            <w:gridSpan w:val="2"/>
            <w:shd w:val="clear" w:color="auto" w:fill="CCEEFF"/>
          </w:tcPr>
          <w:p>
            <w:pPr>
              <w:jc w:val="center"/>
              <w:ind w:left="66"/>
              <w:spacing w:after="0" w:line="166" w:lineRule="exact"/>
              <w:rPr>
                <w:sz w:val="20"/>
                <w:szCs w:val="20"/>
                <w:color w:val="auto"/>
              </w:rPr>
            </w:pPr>
            <w:r>
              <w:rPr>
                <w:rFonts w:ascii="Arial" w:cs="Arial" w:eastAsia="Arial" w:hAnsi="Arial"/>
                <w:sz w:val="15"/>
                <w:szCs w:val="15"/>
                <w:color w:val="auto"/>
              </w:rPr>
              <w:t>$21.89</w:t>
            </w:r>
          </w:p>
        </w:tc>
        <w:tc>
          <w:tcPr>
            <w:tcW w:w="2100" w:type="dxa"/>
            <w:vAlign w:val="bottom"/>
            <w:gridSpan w:val="2"/>
            <w:shd w:val="clear" w:color="auto" w:fill="CCEEFF"/>
          </w:tcPr>
          <w:p>
            <w:pPr>
              <w:jc w:val="center"/>
              <w:ind w:left="46"/>
              <w:spacing w:after="0" w:line="166" w:lineRule="exact"/>
              <w:rPr>
                <w:sz w:val="20"/>
                <w:szCs w:val="20"/>
                <w:color w:val="auto"/>
              </w:rPr>
            </w:pPr>
            <w:r>
              <w:rPr>
                <w:rFonts w:ascii="Arial" w:cs="Arial" w:eastAsia="Arial" w:hAnsi="Arial"/>
                <w:sz w:val="15"/>
                <w:szCs w:val="15"/>
                <w:color w:val="auto"/>
                <w:w w:val="99"/>
              </w:rPr>
              <w:t>0.02% - 2.01%</w:t>
            </w:r>
          </w:p>
        </w:tc>
        <w:tc>
          <w:tcPr>
            <w:tcW w:w="1560" w:type="dxa"/>
            <w:vAlign w:val="bottom"/>
            <w:gridSpan w:val="2"/>
            <w:shd w:val="clear" w:color="auto" w:fill="CCEEFF"/>
          </w:tcPr>
          <w:p>
            <w:pPr>
              <w:jc w:val="center"/>
              <w:ind w:left="46"/>
              <w:spacing w:after="0" w:line="166" w:lineRule="exact"/>
              <w:rPr>
                <w:sz w:val="20"/>
                <w:szCs w:val="20"/>
                <w:color w:val="auto"/>
              </w:rPr>
            </w:pPr>
            <w:r>
              <w:rPr>
                <w:rFonts w:ascii="Arial" w:cs="Arial" w:eastAsia="Arial" w:hAnsi="Arial"/>
                <w:sz w:val="15"/>
                <w:szCs w:val="15"/>
                <w:color w:val="auto"/>
              </w:rPr>
              <w:t>4.45 - 4.92</w:t>
            </w:r>
          </w:p>
        </w:tc>
        <w:tc>
          <w:tcPr>
            <w:tcW w:w="0" w:type="dxa"/>
            <w:vAlign w:val="bottom"/>
          </w:tcPr>
          <w:p>
            <w:pPr>
              <w:spacing w:after="0"/>
              <w:rPr>
                <w:sz w:val="1"/>
                <w:szCs w:val="1"/>
                <w:color w:val="auto"/>
              </w:rPr>
            </w:pPr>
          </w:p>
        </w:tc>
      </w:tr>
      <w:tr>
        <w:trPr>
          <w:trHeight w:val="87"/>
        </w:trPr>
        <w:tc>
          <w:tcPr>
            <w:tcW w:w="1120" w:type="dxa"/>
            <w:vAlign w:val="bottom"/>
            <w:gridSpan w:val="2"/>
            <w:vMerge w:val="continue"/>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57%</w:t>
            </w:r>
          </w:p>
        </w:tc>
        <w:tc>
          <w:tcPr>
            <w:tcW w:w="120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w w:val="79"/>
              </w:rPr>
              <w:t>-</w:t>
            </w:r>
          </w:p>
        </w:tc>
        <w:tc>
          <w:tcPr>
            <w:tcW w:w="960" w:type="dxa"/>
            <w:vAlign w:val="bottom"/>
            <w:gridSpan w:val="2"/>
            <w:vMerge w:val="restart"/>
            <w:shd w:val="clear" w:color="auto" w:fill="CCEEFF"/>
          </w:tcPr>
          <w:p>
            <w:pPr>
              <w:jc w:val="center"/>
              <w:ind w:left="66"/>
              <w:spacing w:after="0" w:line="169" w:lineRule="exact"/>
              <w:rPr>
                <w:sz w:val="20"/>
                <w:szCs w:val="20"/>
                <w:color w:val="auto"/>
              </w:rPr>
            </w:pPr>
            <w:r>
              <w:rPr>
                <w:rFonts w:ascii="Arial" w:cs="Arial" w:eastAsia="Arial" w:hAnsi="Arial"/>
                <w:sz w:val="15"/>
                <w:szCs w:val="15"/>
                <w:color w:val="auto"/>
              </w:rPr>
              <w:t>$18.79</w:t>
            </w:r>
          </w:p>
        </w:tc>
        <w:tc>
          <w:tcPr>
            <w:tcW w:w="210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w w:val="99"/>
              </w:rPr>
              <w:t>0.02% - 1.91%</w:t>
            </w:r>
          </w:p>
        </w:tc>
        <w:tc>
          <w:tcPr>
            <w:tcW w:w="156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rPr>
              <w:t>4.10 - 4.41</w:t>
            </w:r>
          </w:p>
        </w:tc>
        <w:tc>
          <w:tcPr>
            <w:tcW w:w="0" w:type="dxa"/>
            <w:vAlign w:val="bottom"/>
          </w:tcPr>
          <w:p>
            <w:pPr>
              <w:spacing w:after="0"/>
              <w:rPr>
                <w:sz w:val="1"/>
                <w:szCs w:val="1"/>
                <w:color w:val="auto"/>
              </w:rPr>
            </w:pPr>
          </w:p>
        </w:tc>
      </w:tr>
      <w:tr>
        <w:trPr>
          <w:trHeight w:val="82"/>
        </w:trPr>
        <w:tc>
          <w:tcPr>
            <w:tcW w:w="3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210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120" w:type="dxa"/>
            <w:vAlign w:val="bottom"/>
            <w:gridSpan w:val="2"/>
          </w:tcPr>
          <w:p>
            <w:pPr>
              <w:jc w:val="center"/>
              <w:ind w:left="329"/>
              <w:spacing w:after="0"/>
              <w:rPr>
                <w:sz w:val="20"/>
                <w:szCs w:val="20"/>
                <w:color w:val="auto"/>
              </w:rPr>
            </w:pPr>
            <w:r>
              <w:rPr>
                <w:rFonts w:ascii="Arial" w:cs="Arial" w:eastAsia="Arial" w:hAnsi="Arial"/>
                <w:sz w:val="15"/>
                <w:szCs w:val="15"/>
                <w:color w:val="auto"/>
                <w:w w:val="95"/>
              </w:rPr>
              <w:t>2016</w:t>
            </w:r>
          </w:p>
        </w:tc>
        <w:tc>
          <w:tcPr>
            <w:tcW w:w="5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5"/>
                <w:szCs w:val="15"/>
                <w:color w:val="auto"/>
                <w:w w:val="99"/>
              </w:rPr>
              <w:t>62%</w:t>
            </w:r>
          </w:p>
        </w:tc>
        <w:tc>
          <w:tcPr>
            <w:tcW w:w="1200" w:type="dxa"/>
            <w:vAlign w:val="bottom"/>
            <w:gridSpan w:val="2"/>
          </w:tcPr>
          <w:p>
            <w:pPr>
              <w:jc w:val="center"/>
              <w:ind w:left="46"/>
              <w:spacing w:after="0"/>
              <w:rPr>
                <w:sz w:val="20"/>
                <w:szCs w:val="20"/>
                <w:color w:val="auto"/>
              </w:rPr>
            </w:pPr>
            <w:r>
              <w:rPr>
                <w:rFonts w:ascii="Arial" w:cs="Arial" w:eastAsia="Arial" w:hAnsi="Arial"/>
                <w:sz w:val="15"/>
                <w:szCs w:val="15"/>
                <w:color w:val="auto"/>
                <w:w w:val="79"/>
              </w:rPr>
              <w:t>-</w:t>
            </w:r>
          </w:p>
        </w:tc>
        <w:tc>
          <w:tcPr>
            <w:tcW w:w="960" w:type="dxa"/>
            <w:vAlign w:val="bottom"/>
            <w:gridSpan w:val="2"/>
          </w:tcPr>
          <w:p>
            <w:pPr>
              <w:jc w:val="center"/>
              <w:ind w:left="66"/>
              <w:spacing w:after="0"/>
              <w:rPr>
                <w:sz w:val="20"/>
                <w:szCs w:val="20"/>
                <w:color w:val="auto"/>
              </w:rPr>
            </w:pPr>
            <w:r>
              <w:rPr>
                <w:rFonts w:ascii="Arial" w:cs="Arial" w:eastAsia="Arial" w:hAnsi="Arial"/>
                <w:sz w:val="15"/>
                <w:szCs w:val="15"/>
                <w:color w:val="auto"/>
              </w:rPr>
              <w:t>$32.64</w:t>
            </w:r>
          </w:p>
        </w:tc>
        <w:tc>
          <w:tcPr>
            <w:tcW w:w="2100" w:type="dxa"/>
            <w:vAlign w:val="bottom"/>
            <w:gridSpan w:val="2"/>
          </w:tcPr>
          <w:p>
            <w:pPr>
              <w:jc w:val="center"/>
              <w:ind w:left="46"/>
              <w:spacing w:after="0"/>
              <w:rPr>
                <w:sz w:val="20"/>
                <w:szCs w:val="20"/>
                <w:color w:val="auto"/>
              </w:rPr>
            </w:pPr>
            <w:r>
              <w:rPr>
                <w:rFonts w:ascii="Arial" w:cs="Arial" w:eastAsia="Arial" w:hAnsi="Arial"/>
                <w:sz w:val="15"/>
                <w:szCs w:val="15"/>
                <w:color w:val="auto"/>
                <w:w w:val="99"/>
              </w:rPr>
              <w:t>0.25% - 1.57%</w:t>
            </w:r>
          </w:p>
        </w:tc>
        <w:tc>
          <w:tcPr>
            <w:tcW w:w="1560" w:type="dxa"/>
            <w:vAlign w:val="bottom"/>
            <w:gridSpan w:val="2"/>
          </w:tcPr>
          <w:p>
            <w:pPr>
              <w:jc w:val="center"/>
              <w:ind w:left="46"/>
              <w:spacing w:after="0"/>
              <w:rPr>
                <w:sz w:val="20"/>
                <w:szCs w:val="20"/>
                <w:color w:val="auto"/>
              </w:rPr>
            </w:pPr>
            <w:r>
              <w:rPr>
                <w:rFonts w:ascii="Arial" w:cs="Arial" w:eastAsia="Arial" w:hAnsi="Arial"/>
                <w:sz w:val="15"/>
                <w:szCs w:val="15"/>
                <w:color w:val="auto"/>
              </w:rPr>
              <w:t>4.04 - 4.36</w:t>
            </w:r>
          </w:p>
        </w:tc>
        <w:tc>
          <w:tcPr>
            <w:tcW w:w="0" w:type="dxa"/>
            <w:vAlign w:val="bottom"/>
          </w:tcPr>
          <w:p>
            <w:pPr>
              <w:spacing w:after="0"/>
              <w:rPr>
                <w:sz w:val="1"/>
                <w:szCs w:val="1"/>
                <w:color w:val="auto"/>
              </w:rPr>
            </w:pPr>
          </w:p>
        </w:tc>
      </w:tr>
      <w:tr>
        <w:trPr>
          <w:trHeight w:val="174"/>
        </w:trPr>
        <w:tc>
          <w:tcPr>
            <w:tcW w:w="1120" w:type="dxa"/>
            <w:vAlign w:val="bottom"/>
            <w:gridSpan w:val="2"/>
            <w:vMerge w:val="restart"/>
            <w:shd w:val="clear" w:color="auto" w:fill="CCEEFF"/>
          </w:tcPr>
          <w:p>
            <w:pPr>
              <w:jc w:val="center"/>
              <w:ind w:left="329"/>
              <w:spacing w:after="0"/>
              <w:rPr>
                <w:sz w:val="20"/>
                <w:szCs w:val="20"/>
                <w:color w:val="auto"/>
              </w:rPr>
            </w:pPr>
            <w:r>
              <w:rPr>
                <w:rFonts w:ascii="Arial" w:cs="Arial" w:eastAsia="Arial" w:hAnsi="Arial"/>
                <w:sz w:val="15"/>
                <w:szCs w:val="15"/>
                <w:color w:val="auto"/>
                <w:w w:val="95"/>
              </w:rPr>
              <w:t>2017</w:t>
            </w: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71%</w:t>
            </w:r>
          </w:p>
        </w:tc>
        <w:tc>
          <w:tcPr>
            <w:tcW w:w="120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79"/>
              </w:rPr>
              <w:t>-</w:t>
            </w:r>
          </w:p>
        </w:tc>
        <w:tc>
          <w:tcPr>
            <w:tcW w:w="96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rPr>
              <w:t>$27.65</w:t>
            </w:r>
          </w:p>
        </w:tc>
        <w:tc>
          <w:tcPr>
            <w:tcW w:w="210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w w:val="99"/>
              </w:rPr>
              <w:t>1.01% - 2.32%</w:t>
            </w:r>
          </w:p>
        </w:tc>
        <w:tc>
          <w:tcPr>
            <w:tcW w:w="1560" w:type="dxa"/>
            <w:vAlign w:val="bottom"/>
            <w:gridSpan w:val="2"/>
            <w:shd w:val="clear" w:color="auto" w:fill="CCEEFF"/>
          </w:tcPr>
          <w:p>
            <w:pPr>
              <w:jc w:val="center"/>
              <w:ind w:left="46"/>
              <w:spacing w:after="0"/>
              <w:rPr>
                <w:sz w:val="20"/>
                <w:szCs w:val="20"/>
                <w:color w:val="auto"/>
              </w:rPr>
            </w:pPr>
            <w:r>
              <w:rPr>
                <w:rFonts w:ascii="Arial" w:cs="Arial" w:eastAsia="Arial" w:hAnsi="Arial"/>
                <w:sz w:val="15"/>
                <w:szCs w:val="15"/>
                <w:color w:val="auto"/>
              </w:rPr>
              <w:t>2.55 - 4.32</w:t>
            </w:r>
          </w:p>
        </w:tc>
        <w:tc>
          <w:tcPr>
            <w:tcW w:w="0" w:type="dxa"/>
            <w:vAlign w:val="bottom"/>
          </w:tcPr>
          <w:p>
            <w:pPr>
              <w:spacing w:after="0"/>
              <w:rPr>
                <w:sz w:val="1"/>
                <w:szCs w:val="1"/>
                <w:color w:val="auto"/>
              </w:rPr>
            </w:pPr>
          </w:p>
        </w:tc>
      </w:tr>
      <w:tr>
        <w:trPr>
          <w:trHeight w:val="87"/>
        </w:trPr>
        <w:tc>
          <w:tcPr>
            <w:tcW w:w="1120" w:type="dxa"/>
            <w:vAlign w:val="bottom"/>
            <w:gridSpan w:val="2"/>
            <w:vMerge w:val="continue"/>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center"/>
              <w:spacing w:after="0" w:line="169" w:lineRule="exact"/>
              <w:rPr>
                <w:sz w:val="20"/>
                <w:szCs w:val="20"/>
                <w:color w:val="auto"/>
              </w:rPr>
            </w:pPr>
            <w:r>
              <w:rPr>
                <w:rFonts w:ascii="Arial" w:cs="Arial" w:eastAsia="Arial" w:hAnsi="Arial"/>
                <w:sz w:val="15"/>
                <w:szCs w:val="15"/>
                <w:color w:val="auto"/>
                <w:w w:val="99"/>
              </w:rPr>
              <w:t>72%</w:t>
            </w:r>
          </w:p>
        </w:tc>
        <w:tc>
          <w:tcPr>
            <w:tcW w:w="120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w w:val="79"/>
              </w:rPr>
              <w:t>-</w:t>
            </w:r>
          </w:p>
        </w:tc>
        <w:tc>
          <w:tcPr>
            <w:tcW w:w="960" w:type="dxa"/>
            <w:vAlign w:val="bottom"/>
            <w:gridSpan w:val="2"/>
            <w:vMerge w:val="restart"/>
            <w:shd w:val="clear" w:color="auto" w:fill="CCEEFF"/>
          </w:tcPr>
          <w:p>
            <w:pPr>
              <w:jc w:val="center"/>
              <w:ind w:left="66"/>
              <w:spacing w:after="0" w:line="169" w:lineRule="exact"/>
              <w:rPr>
                <w:sz w:val="20"/>
                <w:szCs w:val="20"/>
                <w:color w:val="auto"/>
              </w:rPr>
            </w:pPr>
            <w:r>
              <w:rPr>
                <w:rFonts w:ascii="Arial" w:cs="Arial" w:eastAsia="Arial" w:hAnsi="Arial"/>
                <w:sz w:val="15"/>
                <w:szCs w:val="15"/>
                <w:color w:val="auto"/>
              </w:rPr>
              <w:t>$27.29</w:t>
            </w:r>
          </w:p>
        </w:tc>
        <w:tc>
          <w:tcPr>
            <w:tcW w:w="210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w w:val="99"/>
              </w:rPr>
              <w:t>1.02% - 2.35%</w:t>
            </w:r>
          </w:p>
        </w:tc>
        <w:tc>
          <w:tcPr>
            <w:tcW w:w="1560" w:type="dxa"/>
            <w:vAlign w:val="bottom"/>
            <w:gridSpan w:val="2"/>
            <w:vMerge w:val="restart"/>
            <w:shd w:val="clear" w:color="auto" w:fill="CCEEFF"/>
          </w:tcPr>
          <w:p>
            <w:pPr>
              <w:jc w:val="center"/>
              <w:ind w:left="46"/>
              <w:spacing w:after="0" w:line="169" w:lineRule="exact"/>
              <w:rPr>
                <w:sz w:val="20"/>
                <w:szCs w:val="20"/>
                <w:color w:val="auto"/>
              </w:rPr>
            </w:pPr>
            <w:r>
              <w:rPr>
                <w:rFonts w:ascii="Arial" w:cs="Arial" w:eastAsia="Arial" w:hAnsi="Arial"/>
                <w:sz w:val="15"/>
                <w:szCs w:val="15"/>
                <w:color w:val="auto"/>
              </w:rPr>
              <w:t>2.55 - 4.32</w:t>
            </w:r>
          </w:p>
        </w:tc>
        <w:tc>
          <w:tcPr>
            <w:tcW w:w="0" w:type="dxa"/>
            <w:vAlign w:val="bottom"/>
          </w:tcPr>
          <w:p>
            <w:pPr>
              <w:spacing w:after="0"/>
              <w:rPr>
                <w:sz w:val="1"/>
                <w:szCs w:val="1"/>
                <w:color w:val="auto"/>
              </w:rPr>
            </w:pPr>
          </w:p>
        </w:tc>
      </w:tr>
      <w:tr>
        <w:trPr>
          <w:trHeight w:val="82"/>
        </w:trPr>
        <w:tc>
          <w:tcPr>
            <w:tcW w:w="3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210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48" w:right="160" w:hanging="448"/>
        <w:spacing w:after="0" w:line="182"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Consists of the cash portion of annual incentive compensation related to performance measures satisfied in the year indicated and awarded in the first quarter of the following year.</w:t>
      </w:r>
    </w:p>
    <w:p>
      <w:pPr>
        <w:spacing w:after="0" w:line="177" w:lineRule="exact"/>
        <w:rPr>
          <w:rFonts w:ascii="Arial" w:cs="Arial" w:eastAsia="Arial" w:hAnsi="Arial"/>
          <w:sz w:val="25"/>
          <w:szCs w:val="25"/>
          <w:color w:val="auto"/>
          <w:vertAlign w:val="superscript"/>
        </w:rPr>
      </w:pPr>
    </w:p>
    <w:p>
      <w:pPr>
        <w:ind w:left="448" w:right="80" w:hanging="448"/>
        <w:spacing w:after="0" w:line="206"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Consists of payments made by Altisource to each Named Executive Officer pursuant to their respective employment agreements and relocation plans, including housing allowances, personal use of company car(s), settling-in allowances, education allowances, goods and services allowances, travel allowances, medical benefits and tax-related allowances as detailed in the footnotes below and in the "Relocation and Foreign Living Allowances" section of the Compensation Discussion and Analysis.</w:t>
      </w:r>
    </w:p>
    <w:p>
      <w:pPr>
        <w:spacing w:after="0" w:line="167" w:lineRule="exact"/>
        <w:rPr>
          <w:rFonts w:ascii="Arial" w:cs="Arial" w:eastAsia="Arial" w:hAnsi="Arial"/>
          <w:sz w:val="25"/>
          <w:szCs w:val="25"/>
          <w:color w:val="auto"/>
          <w:vertAlign w:val="superscript"/>
        </w:rPr>
      </w:pPr>
    </w:p>
    <w:p>
      <w:pPr>
        <w:ind w:left="448" w:right="100" w:hanging="448"/>
        <w:spacing w:after="0" w:line="206"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Mr. Shepro's base salary was increased from $780,000 to $799,500 effective January 1, 2017, due to a required Luxembourg statutory compensation increase of two and a half percent (2.5%), as described in our Compensation Discussion and Analysis. Mr. Shepro's base salary is set in U.S. dollars and paid in euros. His base salary was converted to euros using an exchange rate of 0.83 euros to the U.S. dollar, the exchange rate applicable to his salary since April 2015. The number reported on the table above is the U.S. dollar base salary applicable for the period prior to conversion to euros.</w:t>
      </w:r>
    </w:p>
    <w:p>
      <w:pPr>
        <w:spacing w:after="0" w:line="167" w:lineRule="exact"/>
        <w:rPr>
          <w:rFonts w:ascii="Arial" w:cs="Arial" w:eastAsia="Arial" w:hAnsi="Arial"/>
          <w:sz w:val="25"/>
          <w:szCs w:val="25"/>
          <w:color w:val="auto"/>
          <w:vertAlign w:val="superscript"/>
        </w:rPr>
      </w:pPr>
    </w:p>
    <w:p>
      <w:pPr>
        <w:ind w:left="448" w:hanging="448"/>
        <w:spacing w:after="0" w:line="182"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Represents a payment made to the executive on March 31, 2017 in settlement of a target cash award granted on April 15, 2015. The target cash awards were payable on March 31, 2017, subject to the employee's continued employment through that date.</w:t>
      </w:r>
    </w:p>
    <w:p>
      <w:pPr>
        <w:spacing w:after="0" w:line="177" w:lineRule="exact"/>
        <w:rPr>
          <w:rFonts w:ascii="Arial" w:cs="Arial" w:eastAsia="Arial" w:hAnsi="Arial"/>
          <w:sz w:val="25"/>
          <w:szCs w:val="25"/>
          <w:color w:val="auto"/>
          <w:vertAlign w:val="superscript"/>
        </w:rPr>
      </w:pPr>
    </w:p>
    <w:p>
      <w:pPr>
        <w:ind w:left="448" w:right="120" w:hanging="448"/>
        <w:spacing w:after="0" w:line="198"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restricted shares with a grant date value of $502,046,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64" w:lineRule="exact"/>
        <w:rPr>
          <w:rFonts w:ascii="Arial" w:cs="Arial" w:eastAsia="Arial" w:hAnsi="Arial"/>
          <w:sz w:val="25"/>
          <w:szCs w:val="25"/>
          <w:color w:val="auto"/>
          <w:vertAlign w:val="superscript"/>
        </w:rPr>
      </w:pPr>
    </w:p>
    <w:p>
      <w:pPr>
        <w:ind w:left="448" w:right="600" w:hanging="448"/>
        <w:spacing w:after="0" w:line="198"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options with a grant date value of $506,720,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64" w:lineRule="exact"/>
        <w:rPr>
          <w:rFonts w:ascii="Arial" w:cs="Arial" w:eastAsia="Arial" w:hAnsi="Arial"/>
          <w:sz w:val="25"/>
          <w:szCs w:val="25"/>
          <w:color w:val="auto"/>
          <w:vertAlign w:val="superscript"/>
        </w:rPr>
      </w:pPr>
    </w:p>
    <w:p>
      <w:pPr>
        <w:ind w:left="448" w:right="140" w:hanging="448"/>
        <w:spacing w:after="0" w:line="206"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Mr. Shepro's target incentive opportunity was increased from $1,170,000 to $1,199,250 effective January 1, 2017, due to a required Luxembourg statutory compensation increase of two and a half percent (2.5%), as described in our Compensation Discussion and Analysis. Ninety percent (90%) of Mr. Shepro's incentive compensation for 2017 was paid in U.S. dollars and the remaining ten percent (10%) was paid in euros. For purposes of the table, the portion of his incentive compensation paid in euros was converted to U.S. dollars at an exchange rate of 0.8106 euros to the U.S. dollar, the exchange rate on March 6, 2018.</w:t>
      </w:r>
    </w:p>
    <w:p>
      <w:pPr>
        <w:spacing w:after="0" w:line="178" w:lineRule="exact"/>
        <w:rPr>
          <w:rFonts w:ascii="Arial" w:cs="Arial" w:eastAsia="Arial" w:hAnsi="Arial"/>
          <w:sz w:val="25"/>
          <w:szCs w:val="25"/>
          <w:color w:val="auto"/>
          <w:vertAlign w:val="superscript"/>
        </w:rPr>
      </w:pPr>
    </w:p>
    <w:p>
      <w:pPr>
        <w:ind w:left="448" w:hanging="448"/>
        <w:spacing w:after="0" w:line="188" w:lineRule="auto"/>
        <w:tabs>
          <w:tab w:leader="none" w:pos="448"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Includes $157,632 for housing allowance, $36,664 for personal use of two company cars, $69,756 for education allowance, $20,068 for goods and services allowance, $22,820 for travel allowance, $40,868 for medical benefits, $352,635 for tax normalization allowance for 2016 earnings, and $11,139 for tax preparation services.</w:t>
      </w:r>
    </w:p>
    <w:p>
      <w:pPr>
        <w:spacing w:after="0" w:line="1" w:lineRule="exact"/>
        <w:rPr>
          <w:rFonts w:ascii="Arial" w:cs="Arial" w:eastAsia="Arial" w:hAnsi="Arial"/>
          <w:sz w:val="24"/>
          <w:szCs w:val="24"/>
          <w:color w:val="auto"/>
          <w:vertAlign w:val="superscript"/>
        </w:rPr>
      </w:pPr>
    </w:p>
    <w:p>
      <w:pPr>
        <w:ind w:left="448" w:right="120"/>
        <w:spacing w:after="0" w:line="247" w:lineRule="auto"/>
        <w:rPr>
          <w:rFonts w:ascii="Arial" w:cs="Arial" w:eastAsia="Arial" w:hAnsi="Arial"/>
          <w:sz w:val="24"/>
          <w:szCs w:val="24"/>
          <w:color w:val="auto"/>
          <w:vertAlign w:val="superscript"/>
        </w:rPr>
      </w:pPr>
      <w:r>
        <w:rPr>
          <w:rFonts w:ascii="Arial" w:cs="Arial" w:eastAsia="Arial" w:hAnsi="Arial"/>
          <w:sz w:val="15"/>
          <w:szCs w:val="15"/>
          <w:color w:val="auto"/>
        </w:rPr>
        <w:t>Mr. Shepro's other compensation is paid in euros and, for purposes of the table, is converted into U.S. dollars based on the OANDA one-year average exchange rate ending on December 31, 2017, 0.8867 euros to the U.S. dollar.</w:t>
      </w:r>
    </w:p>
    <w:p>
      <w:pPr>
        <w:spacing w:after="0" w:line="159" w:lineRule="exact"/>
        <w:rPr>
          <w:rFonts w:ascii="Arial" w:cs="Arial" w:eastAsia="Arial" w:hAnsi="Arial"/>
          <w:sz w:val="24"/>
          <w:szCs w:val="24"/>
          <w:color w:val="auto"/>
          <w:vertAlign w:val="superscript"/>
        </w:rPr>
      </w:pPr>
    </w:p>
    <w:p>
      <w:pPr>
        <w:ind w:left="448" w:right="340" w:hanging="448"/>
        <w:spacing w:after="0" w:line="182"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When excluding the grant date value of the April 7, 2017 awards of performance-based restricted shares and performance-based options that were cancelled and forfeited in February 2018, the executive's total compensation is $5,645,835.</w:t>
      </w:r>
    </w:p>
    <w:p>
      <w:pPr>
        <w:spacing w:after="0" w:line="166" w:lineRule="exact"/>
        <w:rPr>
          <w:rFonts w:ascii="Arial" w:cs="Arial" w:eastAsia="Arial" w:hAnsi="Arial"/>
          <w:sz w:val="25"/>
          <w:szCs w:val="25"/>
          <w:color w:val="auto"/>
          <w:vertAlign w:val="superscript"/>
        </w:rPr>
      </w:pPr>
    </w:p>
    <w:p>
      <w:pPr>
        <w:ind w:left="448" w:right="140" w:hanging="448"/>
        <w:spacing w:after="0" w:line="182" w:lineRule="auto"/>
        <w:tabs>
          <w:tab w:leader="none" w:pos="448"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Mr. Wilcox's base salary was increased from $450,000 to $461,250 effective January 1, 2017, due to a required Luxembourg statutory compensation increase of two and a half percent (2.5%), and from $461,250 to $475,000</w:t>
      </w:r>
    </w:p>
    <w:p>
      <w:pPr>
        <w:spacing w:after="0" w:line="178"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55" w:name="page56"/>
    <w:bookmarkEnd w:id="5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114300</wp:posOffset>
            </wp:positionV>
            <wp:extent cx="1504315" cy="1377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8" w:right="200"/>
        <w:spacing w:after="0" w:line="269" w:lineRule="auto"/>
        <w:rPr>
          <w:sz w:val="20"/>
          <w:szCs w:val="20"/>
          <w:color w:val="auto"/>
        </w:rPr>
      </w:pPr>
      <w:r>
        <w:rPr>
          <w:rFonts w:ascii="Arial" w:cs="Arial" w:eastAsia="Arial" w:hAnsi="Arial"/>
          <w:sz w:val="14"/>
          <w:szCs w:val="14"/>
          <w:color w:val="auto"/>
        </w:rPr>
        <w:t>effective September 1, 2017 pursuant to a Compensation Committee determination, as described in our Compensation Discussion and Analysis. Mr. Wilcox's base salary is set in U.S. dollars and paid in euros. His base salary was converted to euros using an exchange rate of 0.83 euros to the U.S. dollar, the exchange rate applicable to his salary since April 2015. The number reported on the table above is the U.S. dollar base salary applicable for the period prior to conversion to euros.</w:t>
      </w:r>
    </w:p>
    <w:p>
      <w:pPr>
        <w:spacing w:after="0" w:line="157" w:lineRule="exact"/>
        <w:rPr>
          <w:sz w:val="20"/>
          <w:szCs w:val="20"/>
          <w:color w:val="auto"/>
        </w:rPr>
      </w:pPr>
    </w:p>
    <w:p>
      <w:pPr>
        <w:ind w:left="448" w:right="160" w:hanging="448"/>
        <w:spacing w:after="0" w:line="198"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restricted shares with a grant date value of $117,141,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76" w:lineRule="exact"/>
        <w:rPr>
          <w:rFonts w:ascii="Arial" w:cs="Arial" w:eastAsia="Arial" w:hAnsi="Arial"/>
          <w:sz w:val="25"/>
          <w:szCs w:val="25"/>
          <w:color w:val="auto"/>
          <w:vertAlign w:val="superscript"/>
        </w:rPr>
      </w:pPr>
    </w:p>
    <w:p>
      <w:pPr>
        <w:ind w:left="448" w:right="640" w:hanging="448"/>
        <w:spacing w:after="0" w:line="198"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options with a grant date value of $165,527,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64" w:lineRule="exact"/>
        <w:rPr>
          <w:rFonts w:ascii="Arial" w:cs="Arial" w:eastAsia="Arial" w:hAnsi="Arial"/>
          <w:sz w:val="25"/>
          <w:szCs w:val="25"/>
          <w:color w:val="auto"/>
          <w:vertAlign w:val="superscript"/>
        </w:rPr>
      </w:pPr>
    </w:p>
    <w:p>
      <w:pPr>
        <w:ind w:left="448" w:right="200" w:hanging="448"/>
        <w:spacing w:after="0" w:line="198"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Mr. Wilcox's target incentive opportunity was increased from $450,000 to $461,250 effective January 1, 2017, due to a required Luxembourg statutory compensation increase of two and a half percent (2.5%), and from $461,250 to $475,000 effective September 1, 2017 pursuant to a Compensation Committee determination, as described in our Compensation Discussion and Analysis.</w:t>
      </w:r>
    </w:p>
    <w:p>
      <w:pPr>
        <w:spacing w:after="0" w:line="164" w:lineRule="exact"/>
        <w:rPr>
          <w:rFonts w:ascii="Arial" w:cs="Arial" w:eastAsia="Arial" w:hAnsi="Arial"/>
          <w:sz w:val="25"/>
          <w:szCs w:val="25"/>
          <w:color w:val="auto"/>
          <w:vertAlign w:val="superscript"/>
        </w:rPr>
      </w:pPr>
    </w:p>
    <w:p>
      <w:pPr>
        <w:ind w:left="448" w:hanging="448"/>
        <w:spacing w:after="0" w:line="206"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Includes $123,462 for housing allowance, $12,007 for personal use of a company car, $20,068 for goods and services allowance, $759 for travel allowance, $13,190 for medical benefits, $201,504 for tax normalization allowance for 2016 earnings, and $11,139 for tax preparation services. Mr. Wilcox's other compensation is paid in euros and, for purposes of the table, is converted into U.S. dollars based on the OANDA one-year average exchange rate ending on December 31, 2017, 0.8867 euros to the U.S. dollar.</w:t>
      </w:r>
    </w:p>
    <w:p>
      <w:pPr>
        <w:spacing w:after="0" w:line="178" w:lineRule="exact"/>
        <w:rPr>
          <w:rFonts w:ascii="Arial" w:cs="Arial" w:eastAsia="Arial" w:hAnsi="Arial"/>
          <w:sz w:val="25"/>
          <w:szCs w:val="25"/>
          <w:color w:val="auto"/>
          <w:vertAlign w:val="superscript"/>
        </w:rPr>
      </w:pPr>
    </w:p>
    <w:p>
      <w:pPr>
        <w:ind w:left="448" w:right="380" w:hanging="448"/>
        <w:spacing w:after="0" w:line="182"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When excluding the grant date value of the April 7, 2017 awards of performance-based restricted shares and performance-based options that were cancelled and forfeited in February 2018, the executive's total compensation is $2,418,367.</w:t>
      </w:r>
    </w:p>
    <w:p>
      <w:pPr>
        <w:spacing w:after="0" w:line="57" w:lineRule="exact"/>
        <w:rPr>
          <w:rFonts w:ascii="Arial" w:cs="Arial" w:eastAsia="Arial" w:hAnsi="Arial"/>
          <w:sz w:val="25"/>
          <w:szCs w:val="25"/>
          <w:color w:val="auto"/>
          <w:vertAlign w:val="superscript"/>
        </w:rPr>
      </w:pPr>
    </w:p>
    <w:p>
      <w:pPr>
        <w:ind w:left="448" w:hanging="448"/>
        <w:spacing w:after="0"/>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Mr. Chatterjee joined the Company on October 5, 2017.</w:t>
      </w:r>
    </w:p>
    <w:p>
      <w:pPr>
        <w:spacing w:after="0" w:line="164" w:lineRule="exact"/>
        <w:rPr>
          <w:rFonts w:ascii="Arial" w:cs="Arial" w:eastAsia="Arial" w:hAnsi="Arial"/>
          <w:sz w:val="25"/>
          <w:szCs w:val="25"/>
          <w:color w:val="auto"/>
          <w:vertAlign w:val="superscript"/>
        </w:rPr>
      </w:pPr>
    </w:p>
    <w:p>
      <w:pPr>
        <w:jc w:val="both"/>
        <w:ind w:left="448" w:hanging="448"/>
        <w:spacing w:after="0" w:line="198"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Mr. Chatterjee's base salary is set in U.S. dollars and paid in euros. His base salary was converted to euros using an exchange rate of 0.89 euros to the U.S. dollar, the exchange rate applicable to his salary pursuant to his employment agreement. The number reported on the table above is the U.S. dollar base salary applicable for the period prior to conversion to euros.</w:t>
      </w:r>
    </w:p>
    <w:p>
      <w:pPr>
        <w:spacing w:after="0" w:line="176" w:lineRule="exact"/>
        <w:rPr>
          <w:rFonts w:ascii="Arial" w:cs="Arial" w:eastAsia="Arial" w:hAnsi="Arial"/>
          <w:sz w:val="25"/>
          <w:szCs w:val="25"/>
          <w:color w:val="auto"/>
          <w:vertAlign w:val="superscript"/>
        </w:rPr>
      </w:pPr>
    </w:p>
    <w:p>
      <w:pPr>
        <w:ind w:left="448" w:right="220" w:hanging="448"/>
        <w:spacing w:after="0" w:line="182"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Represents an incentive payment awarded pursuant to the terms of Mr. Chatterjee's employment agreement, as a result of meeting certain established performance criteria. Please see the "Chief Financial Officer Compensation" section of our Compensation Discussion and Analysis.</w:t>
      </w:r>
    </w:p>
    <w:p>
      <w:pPr>
        <w:spacing w:after="0" w:line="166" w:lineRule="exact"/>
        <w:rPr>
          <w:rFonts w:ascii="Arial" w:cs="Arial" w:eastAsia="Arial" w:hAnsi="Arial"/>
          <w:sz w:val="25"/>
          <w:szCs w:val="25"/>
          <w:color w:val="auto"/>
          <w:vertAlign w:val="superscript"/>
        </w:rPr>
      </w:pPr>
    </w:p>
    <w:p>
      <w:pPr>
        <w:ind w:left="448" w:right="60" w:hanging="448"/>
        <w:spacing w:after="0" w:line="198"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Includes $6,767 for housing allowance, $2,868 for personal use of a company car, $1,818 for travel allowance, $5,707 for medical benefits and a one-time goods and services allowance of $11,278. Mr. Chatterjee's other compensation is paid in euros and, for purposes of the table, is converted into U.S. dollars based on the OANDA one-year average exchange rate ending on December 31, 2017, 0.8867 euros to the U.S. dollar.</w:t>
      </w:r>
    </w:p>
    <w:p>
      <w:pPr>
        <w:spacing w:after="0" w:line="164" w:lineRule="exact"/>
        <w:rPr>
          <w:rFonts w:ascii="Arial" w:cs="Arial" w:eastAsia="Arial" w:hAnsi="Arial"/>
          <w:sz w:val="25"/>
          <w:szCs w:val="25"/>
          <w:color w:val="auto"/>
          <w:vertAlign w:val="superscript"/>
        </w:rPr>
      </w:pPr>
    </w:p>
    <w:p>
      <w:pPr>
        <w:ind w:left="448" w:right="220" w:hanging="448"/>
        <w:spacing w:after="0" w:line="198"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Ms. Esterman served as the Company's Chief Financial Officer and was an "executive officer" for purposes of Rule 16a-1(f) under the Exchange Act until October 4, 2017. The compensation provided in this Summary Compensation table reflects her compensation through December 31, 2017, including compensation in her capacity as Executive Vice President, Finance.</w:t>
      </w:r>
    </w:p>
    <w:p>
      <w:pPr>
        <w:spacing w:after="0" w:line="176" w:lineRule="exact"/>
        <w:rPr>
          <w:rFonts w:ascii="Arial" w:cs="Arial" w:eastAsia="Arial" w:hAnsi="Arial"/>
          <w:sz w:val="25"/>
          <w:szCs w:val="25"/>
          <w:color w:val="auto"/>
          <w:vertAlign w:val="superscript"/>
        </w:rPr>
      </w:pPr>
    </w:p>
    <w:p>
      <w:pPr>
        <w:ind w:left="448" w:right="60" w:hanging="448"/>
        <w:spacing w:after="0" w:line="212" w:lineRule="auto"/>
        <w:tabs>
          <w:tab w:leader="none" w:pos="448" w:val="left"/>
        </w:tabs>
        <w:numPr>
          <w:ilvl w:val="0"/>
          <w:numId w:val="55"/>
        </w:numPr>
        <w:rPr>
          <w:rFonts w:ascii="Arial" w:cs="Arial" w:eastAsia="Arial" w:hAnsi="Arial"/>
          <w:sz w:val="25"/>
          <w:szCs w:val="25"/>
          <w:color w:val="auto"/>
          <w:vertAlign w:val="superscript"/>
        </w:rPr>
      </w:pPr>
      <w:r>
        <w:rPr>
          <w:rFonts w:ascii="Arial" w:cs="Arial" w:eastAsia="Arial" w:hAnsi="Arial"/>
          <w:sz w:val="15"/>
          <w:szCs w:val="15"/>
          <w:color w:val="auto"/>
        </w:rPr>
        <w:t>Ms. Esterman's base salary was increased from $420,000 to $430,500 effective January 1, 2017, due to a required Luxembourg statutory compensation increase of two and a half percent (2.5%), as described in our Compensation Discussion and Analysis. Ms. Esterman's base salary is set in U.S. dollars and was paid in euros from January 1, 2017 to October 4, 2017 and in U.S. dollars from October 5, 2017 to December 31, 2017. For the period from January 1, 2017 to October 4, 2017, her base salary was converted to euros using an exchange rate of 0.83 euros to the U.S. dollar, the exchange rate applicable to her salary since April 2015. The number reported on the table above is the U.S. dollar base salary prior to conversion to euros.</w:t>
      </w:r>
    </w:p>
    <w:p>
      <w:pPr>
        <w:spacing w:after="0" w:line="17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56" w:name="page57"/>
    <w:bookmarkEnd w:id="5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114300</wp:posOffset>
            </wp:positionV>
            <wp:extent cx="1504315" cy="1377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8" w:right="260" w:hanging="448"/>
        <w:spacing w:after="0" w:line="198"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restricted shares with a grant date value of $70,262,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76" w:lineRule="exact"/>
        <w:rPr>
          <w:rFonts w:ascii="Arial" w:cs="Arial" w:eastAsia="Arial" w:hAnsi="Arial"/>
          <w:sz w:val="25"/>
          <w:szCs w:val="25"/>
          <w:color w:val="auto"/>
          <w:vertAlign w:val="superscript"/>
        </w:rPr>
      </w:pPr>
    </w:p>
    <w:p>
      <w:pPr>
        <w:ind w:left="448" w:right="640" w:hanging="448"/>
        <w:spacing w:after="0" w:line="198"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options with a grant date value of $99,302,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64" w:lineRule="exact"/>
        <w:rPr>
          <w:rFonts w:ascii="Arial" w:cs="Arial" w:eastAsia="Arial" w:hAnsi="Arial"/>
          <w:sz w:val="25"/>
          <w:szCs w:val="25"/>
          <w:color w:val="auto"/>
          <w:vertAlign w:val="superscript"/>
        </w:rPr>
      </w:pPr>
    </w:p>
    <w:p>
      <w:pPr>
        <w:ind w:left="448" w:hanging="448"/>
        <w:spacing w:after="0" w:line="206"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Includes $20,300 for housing allowance, $7,356 for personal use of a company car, $9,079 for education allowance, $16,286 for travel allowance, $25,473 for medical benefits, $129,483 for tax equalization allowances for 2016 earnings, and $11,939 for tax preparation services. Ms. Esterman's other compensation was paid in euros and, for purposes of the table, is converted into U.S. dollars based on the OANDA one-year average exchange rate ending on December 31, 2017, 0.8867 euros to the U.S. dollar.</w:t>
      </w:r>
    </w:p>
    <w:p>
      <w:pPr>
        <w:spacing w:after="0" w:line="167" w:lineRule="exact"/>
        <w:rPr>
          <w:rFonts w:ascii="Arial" w:cs="Arial" w:eastAsia="Arial" w:hAnsi="Arial"/>
          <w:sz w:val="25"/>
          <w:szCs w:val="25"/>
          <w:color w:val="auto"/>
          <w:vertAlign w:val="superscript"/>
        </w:rPr>
      </w:pPr>
    </w:p>
    <w:p>
      <w:pPr>
        <w:ind w:left="448" w:right="380" w:hanging="448"/>
        <w:spacing w:after="0" w:line="182"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When excluding the grant date value of the April 7, 2017 awards of performance-based restricted shares and performance-based options that were cancelled and forfeited in February 2018, the executive's total compensation is $1,637,345.</w:t>
      </w:r>
    </w:p>
    <w:p>
      <w:pPr>
        <w:spacing w:after="0" w:line="177" w:lineRule="exact"/>
        <w:rPr>
          <w:rFonts w:ascii="Arial" w:cs="Arial" w:eastAsia="Arial" w:hAnsi="Arial"/>
          <w:sz w:val="25"/>
          <w:szCs w:val="25"/>
          <w:color w:val="auto"/>
          <w:vertAlign w:val="superscript"/>
        </w:rPr>
      </w:pPr>
    </w:p>
    <w:p>
      <w:pPr>
        <w:ind w:left="448" w:right="200" w:hanging="448"/>
        <w:spacing w:after="0" w:line="212"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Mr. Davila's base salary was increased from $395,863 to $405,730 effective January 1, 2007, due to a required Luxembourg statutory compensation increase of two and a half percent (2.5%), and from $405,730 to $425,000 effective September 1, 2017 pursuant to a Compensation Committee determination, as described in our Compensation Discussion and Analysis. Mr. Davila's base salary is set in U.S. dollars and paid in euros. His base salary was converted to euros using an exchange rate of 0.786 euros to the U.S. dollar, the exchange rate applicable to his salary since April 2015. The number reported on the table above is the U.S. dollar base salary applicable for the period prior to conversion to euros.</w:t>
      </w:r>
    </w:p>
    <w:p>
      <w:pPr>
        <w:spacing w:after="0" w:line="166" w:lineRule="exact"/>
        <w:rPr>
          <w:rFonts w:ascii="Arial" w:cs="Arial" w:eastAsia="Arial" w:hAnsi="Arial"/>
          <w:sz w:val="25"/>
          <w:szCs w:val="25"/>
          <w:color w:val="auto"/>
          <w:vertAlign w:val="superscript"/>
        </w:rPr>
      </w:pPr>
    </w:p>
    <w:p>
      <w:pPr>
        <w:ind w:left="448" w:right="140" w:hanging="448"/>
        <w:spacing w:after="0" w:line="182"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Represents a one-time discretionary award to reflect the executive's efforts and accomplishments leading our Servicer Solutions business and revenue diversification efforts to position it for continued growth, and contribution to the completion of our Cooperative Brokerage Agreement with NRZ.</w:t>
      </w:r>
    </w:p>
    <w:p>
      <w:pPr>
        <w:spacing w:after="0" w:line="166" w:lineRule="exact"/>
        <w:rPr>
          <w:rFonts w:ascii="Arial" w:cs="Arial" w:eastAsia="Arial" w:hAnsi="Arial"/>
          <w:sz w:val="25"/>
          <w:szCs w:val="25"/>
          <w:color w:val="auto"/>
          <w:vertAlign w:val="superscript"/>
        </w:rPr>
      </w:pPr>
    </w:p>
    <w:p>
      <w:pPr>
        <w:ind w:left="448" w:right="260" w:hanging="448"/>
        <w:spacing w:after="0" w:line="198"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restricted shares with a grant date value of $58,571,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76" w:lineRule="exact"/>
        <w:rPr>
          <w:rFonts w:ascii="Arial" w:cs="Arial" w:eastAsia="Arial" w:hAnsi="Arial"/>
          <w:sz w:val="25"/>
          <w:szCs w:val="25"/>
          <w:color w:val="auto"/>
          <w:vertAlign w:val="superscript"/>
        </w:rPr>
      </w:pPr>
    </w:p>
    <w:p>
      <w:pPr>
        <w:ind w:left="448" w:right="640" w:hanging="448"/>
        <w:spacing w:after="0" w:line="198"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options with a grant date value of $82,775,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64" w:lineRule="exact"/>
        <w:rPr>
          <w:rFonts w:ascii="Arial" w:cs="Arial" w:eastAsia="Arial" w:hAnsi="Arial"/>
          <w:sz w:val="25"/>
          <w:szCs w:val="25"/>
          <w:color w:val="auto"/>
          <w:vertAlign w:val="superscript"/>
        </w:rPr>
      </w:pPr>
    </w:p>
    <w:p>
      <w:pPr>
        <w:ind w:left="448" w:right="20" w:hanging="448"/>
        <w:spacing w:after="0" w:line="182"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Mr. Davila's target incentive opportunity was increased from $300,000 to $350,000 effective September 1, 2017 pursuant to a Compensation Committee determination, as described in our Compensation Discussion and Analysis.</w:t>
      </w:r>
    </w:p>
    <w:p>
      <w:pPr>
        <w:spacing w:after="0" w:line="166" w:lineRule="exact"/>
        <w:rPr>
          <w:rFonts w:ascii="Arial" w:cs="Arial" w:eastAsia="Arial" w:hAnsi="Arial"/>
          <w:sz w:val="25"/>
          <w:szCs w:val="25"/>
          <w:color w:val="auto"/>
          <w:vertAlign w:val="superscript"/>
        </w:rPr>
      </w:pPr>
    </w:p>
    <w:p>
      <w:pPr>
        <w:jc w:val="both"/>
        <w:ind w:left="448" w:right="280" w:hanging="448"/>
        <w:spacing w:after="0" w:line="198"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Includes $27,067 for housing allowance, $20,515 for education allowance, $18,226 for travel allowance, $103,028 for tax equalization allowance for 2015 earnings, and $5,474 for tax preparation services. Mr. Davila's other compensation is paid in euros and, for purposes of the table, is converted into U.S. dollars based on the OANDA one-year average exchange rate ending on December 31, 2017, 0.8867 euros to the U.S. dollar.</w:t>
      </w:r>
    </w:p>
    <w:p>
      <w:pPr>
        <w:spacing w:after="0" w:line="176" w:lineRule="exact"/>
        <w:rPr>
          <w:rFonts w:ascii="Arial" w:cs="Arial" w:eastAsia="Arial" w:hAnsi="Arial"/>
          <w:sz w:val="25"/>
          <w:szCs w:val="25"/>
          <w:color w:val="auto"/>
          <w:vertAlign w:val="superscript"/>
        </w:rPr>
      </w:pPr>
    </w:p>
    <w:p>
      <w:pPr>
        <w:ind w:left="448" w:right="380" w:hanging="448"/>
        <w:spacing w:after="0" w:line="182"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When excluding the grant date value of the April 7, 2017 awards of performance-based restricted shares and performance-based options that were cancelled and forfeited in February 2018, the executive's total compensation is $1,630,462.</w:t>
      </w:r>
    </w:p>
    <w:p>
      <w:pPr>
        <w:spacing w:after="0" w:line="166" w:lineRule="exact"/>
        <w:rPr>
          <w:rFonts w:ascii="Arial" w:cs="Arial" w:eastAsia="Arial" w:hAnsi="Arial"/>
          <w:sz w:val="25"/>
          <w:szCs w:val="25"/>
          <w:color w:val="auto"/>
          <w:vertAlign w:val="superscript"/>
        </w:rPr>
      </w:pPr>
    </w:p>
    <w:p>
      <w:pPr>
        <w:ind w:left="448" w:right="100" w:hanging="448"/>
        <w:spacing w:after="0" w:line="206" w:lineRule="auto"/>
        <w:tabs>
          <w:tab w:leader="none" w:pos="448" w:val="left"/>
        </w:tabs>
        <w:numPr>
          <w:ilvl w:val="0"/>
          <w:numId w:val="56"/>
        </w:numPr>
        <w:rPr>
          <w:rFonts w:ascii="Arial" w:cs="Arial" w:eastAsia="Arial" w:hAnsi="Arial"/>
          <w:sz w:val="25"/>
          <w:szCs w:val="25"/>
          <w:color w:val="auto"/>
          <w:vertAlign w:val="superscript"/>
        </w:rPr>
      </w:pPr>
      <w:r>
        <w:rPr>
          <w:rFonts w:ascii="Arial" w:cs="Arial" w:eastAsia="Arial" w:hAnsi="Arial"/>
          <w:sz w:val="15"/>
          <w:szCs w:val="15"/>
          <w:color w:val="auto"/>
        </w:rPr>
        <w:t>Mr. Ritts' base salary was increased from $425,000 to $435,625 effective January 1, 2017, due to a required Luxembourg statutory compensation increase of two and a half percent (2.5%), as described in our Compensation Discussion and Analysis. Mr. Ritts' base salary is set in U.S. dollars and paid in euros. His base salary was converted to euros using an exchange rate of 0.80 to the U.S. dollars for the period from January 1, 2017 to July 30, 2017 and 0.83 euros to the U.S. dollar from August 1, 2017 to December 31, 2017, following an adjustment of his exchange rate</w:t>
      </w:r>
    </w:p>
    <w:p>
      <w:pPr>
        <w:spacing w:after="0" w:line="17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57" w:name="page58"/>
    <w:bookmarkEnd w:id="5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114300</wp:posOffset>
            </wp:positionV>
            <wp:extent cx="1504315" cy="1377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8" w:right="80"/>
        <w:spacing w:after="0" w:line="247" w:lineRule="auto"/>
        <w:rPr>
          <w:sz w:val="20"/>
          <w:szCs w:val="20"/>
          <w:color w:val="auto"/>
        </w:rPr>
      </w:pPr>
      <w:r>
        <w:rPr>
          <w:rFonts w:ascii="Arial" w:cs="Arial" w:eastAsia="Arial" w:hAnsi="Arial"/>
          <w:sz w:val="15"/>
          <w:szCs w:val="15"/>
          <w:color w:val="auto"/>
        </w:rPr>
        <w:t>to address the significant and expected long-term strengthening of the U.S. dollar relative to the euro. The number reported on the table above is the U.S. dollar base salary applicable for the period prior to conversion to euros.</w:t>
      </w:r>
    </w:p>
    <w:p>
      <w:pPr>
        <w:spacing w:after="0" w:line="171" w:lineRule="exact"/>
        <w:rPr>
          <w:sz w:val="20"/>
          <w:szCs w:val="20"/>
          <w:color w:val="auto"/>
        </w:rPr>
      </w:pPr>
    </w:p>
    <w:p>
      <w:pPr>
        <w:ind w:left="448" w:right="20" w:hanging="448"/>
        <w:spacing w:after="0" w:line="182" w:lineRule="auto"/>
        <w:tabs>
          <w:tab w:leader="none" w:pos="448" w:val="left"/>
        </w:tabs>
        <w:numPr>
          <w:ilvl w:val="0"/>
          <w:numId w:val="57"/>
        </w:numPr>
        <w:rPr>
          <w:rFonts w:ascii="Arial" w:cs="Arial" w:eastAsia="Arial" w:hAnsi="Arial"/>
          <w:sz w:val="25"/>
          <w:szCs w:val="25"/>
          <w:color w:val="auto"/>
          <w:vertAlign w:val="superscript"/>
        </w:rPr>
      </w:pPr>
      <w:r>
        <w:rPr>
          <w:rFonts w:ascii="Arial" w:cs="Arial" w:eastAsia="Arial" w:hAnsi="Arial"/>
          <w:sz w:val="15"/>
          <w:szCs w:val="15"/>
          <w:color w:val="auto"/>
        </w:rPr>
        <w:t>Represents a one-time discretionary award to reflect the executive's significant contributions to our corporate initiatives, including the amendment of our SSTL and the completion of the Luxembourg subsidiary restructuring, as well as the completion of our Cooperative Brokerage Agreement with NRZ.</w:t>
      </w:r>
    </w:p>
    <w:p>
      <w:pPr>
        <w:spacing w:after="0" w:line="177" w:lineRule="exact"/>
        <w:rPr>
          <w:rFonts w:ascii="Arial" w:cs="Arial" w:eastAsia="Arial" w:hAnsi="Arial"/>
          <w:sz w:val="25"/>
          <w:szCs w:val="25"/>
          <w:color w:val="auto"/>
          <w:vertAlign w:val="superscript"/>
        </w:rPr>
      </w:pPr>
    </w:p>
    <w:p>
      <w:pPr>
        <w:ind w:left="448" w:right="200" w:hanging="448"/>
        <w:spacing w:after="0" w:line="198" w:lineRule="auto"/>
        <w:tabs>
          <w:tab w:leader="none" w:pos="448" w:val="left"/>
        </w:tabs>
        <w:numPr>
          <w:ilvl w:val="0"/>
          <w:numId w:val="57"/>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restricted shares with a grant date value of $58,571, which were scheduled to vest based upon the Company's achievement against 2017 Performance Criteria. In February 2018, the Compensation Committee confirmed that the 2017 Performance Criteria were below a threshold level and the 2017 performance-based restricted shares granted to the executive were cancelled and forfeited.</w:t>
      </w:r>
    </w:p>
    <w:p>
      <w:pPr>
        <w:spacing w:after="0" w:line="164" w:lineRule="exact"/>
        <w:rPr>
          <w:rFonts w:ascii="Arial" w:cs="Arial" w:eastAsia="Arial" w:hAnsi="Arial"/>
          <w:sz w:val="25"/>
          <w:szCs w:val="25"/>
          <w:color w:val="auto"/>
          <w:vertAlign w:val="superscript"/>
        </w:rPr>
      </w:pPr>
    </w:p>
    <w:p>
      <w:pPr>
        <w:ind w:left="448" w:right="580" w:hanging="448"/>
        <w:spacing w:after="0" w:line="198" w:lineRule="auto"/>
        <w:tabs>
          <w:tab w:leader="none" w:pos="448" w:val="left"/>
        </w:tabs>
        <w:numPr>
          <w:ilvl w:val="0"/>
          <w:numId w:val="57"/>
        </w:numPr>
        <w:rPr>
          <w:rFonts w:ascii="Arial" w:cs="Arial" w:eastAsia="Arial" w:hAnsi="Arial"/>
          <w:sz w:val="25"/>
          <w:szCs w:val="25"/>
          <w:color w:val="auto"/>
          <w:vertAlign w:val="superscript"/>
        </w:rPr>
      </w:pPr>
      <w:r>
        <w:rPr>
          <w:rFonts w:ascii="Arial" w:cs="Arial" w:eastAsia="Arial" w:hAnsi="Arial"/>
          <w:sz w:val="15"/>
          <w:szCs w:val="15"/>
          <w:color w:val="auto"/>
        </w:rPr>
        <w:t>Includes April 7, 2017 awards of performance-based options with a grant date value of $82,775, which were scheduled to vest based upon the Company's achievement against 2017 Performance Criteria. In February 2018, the Compensation Committee confirmed that the 2017 Performance Criteria were below a threshold level and the 2017 performance-based stock options granted to the executive were cancelled and forfeited.</w:t>
      </w:r>
    </w:p>
    <w:p>
      <w:pPr>
        <w:spacing w:after="0" w:line="164" w:lineRule="exact"/>
        <w:rPr>
          <w:rFonts w:ascii="Arial" w:cs="Arial" w:eastAsia="Arial" w:hAnsi="Arial"/>
          <w:sz w:val="25"/>
          <w:szCs w:val="25"/>
          <w:color w:val="auto"/>
          <w:vertAlign w:val="superscript"/>
        </w:rPr>
      </w:pPr>
    </w:p>
    <w:p>
      <w:pPr>
        <w:ind w:left="448" w:right="220" w:hanging="448"/>
        <w:spacing w:after="0" w:line="198" w:lineRule="auto"/>
        <w:tabs>
          <w:tab w:leader="none" w:pos="448" w:val="left"/>
        </w:tabs>
        <w:numPr>
          <w:ilvl w:val="0"/>
          <w:numId w:val="57"/>
        </w:numPr>
        <w:rPr>
          <w:rFonts w:ascii="Arial" w:cs="Arial" w:eastAsia="Arial" w:hAnsi="Arial"/>
          <w:sz w:val="25"/>
          <w:szCs w:val="25"/>
          <w:color w:val="auto"/>
          <w:vertAlign w:val="superscript"/>
        </w:rPr>
      </w:pPr>
      <w:r>
        <w:rPr>
          <w:rFonts w:ascii="Arial" w:cs="Arial" w:eastAsia="Arial" w:hAnsi="Arial"/>
          <w:sz w:val="15"/>
          <w:szCs w:val="15"/>
          <w:color w:val="auto"/>
        </w:rPr>
        <w:t>Mr. Ritts' target incentive opportunity was increased from $225,000 to $240,000 effective August 1, 2017 pursuant to a Compensation Committee determination, as described in our Compensation Discussion and Analysis. Mr. Ritts' incentive compensation for 2017 was paid in euros. For purposes of the table, his incentive compensation was converted to U.S. dollars at an exchange rate of 0.8106 euros to the U.S. dollar, the exchange rate on March 6, 2018.</w:t>
      </w:r>
    </w:p>
    <w:p>
      <w:pPr>
        <w:spacing w:after="0" w:line="176" w:lineRule="exact"/>
        <w:rPr>
          <w:rFonts w:ascii="Arial" w:cs="Arial" w:eastAsia="Arial" w:hAnsi="Arial"/>
          <w:sz w:val="25"/>
          <w:szCs w:val="25"/>
          <w:color w:val="auto"/>
          <w:vertAlign w:val="superscript"/>
        </w:rPr>
      </w:pPr>
    </w:p>
    <w:p>
      <w:pPr>
        <w:ind w:left="448" w:right="280" w:hanging="448"/>
        <w:spacing w:after="0" w:line="198" w:lineRule="auto"/>
        <w:tabs>
          <w:tab w:leader="none" w:pos="448" w:val="left"/>
        </w:tabs>
        <w:numPr>
          <w:ilvl w:val="0"/>
          <w:numId w:val="57"/>
        </w:numPr>
        <w:rPr>
          <w:rFonts w:ascii="Arial" w:cs="Arial" w:eastAsia="Arial" w:hAnsi="Arial"/>
          <w:sz w:val="25"/>
          <w:szCs w:val="25"/>
          <w:color w:val="auto"/>
          <w:vertAlign w:val="superscript"/>
        </w:rPr>
      </w:pPr>
      <w:r>
        <w:rPr>
          <w:rFonts w:ascii="Arial" w:cs="Arial" w:eastAsia="Arial" w:hAnsi="Arial"/>
          <w:sz w:val="15"/>
          <w:szCs w:val="15"/>
          <w:color w:val="auto"/>
        </w:rPr>
        <w:t>Includes $27,067 for housing allowance, $38,529 for education allowance, $13,969 for travel allowance, $24,195 for medical benefits, $38,501 for tax equalization allowance for 2014 and 2015 earnings, and $6,320 for tax preparation services. Mr. Ritts' other compensation is paid in euros and, for purposes of the table, is converted into U.S. dollars based on the OANDA one-year average exchange rate ending on December 31, 2017, 0.8867 euros to the U.S. dollar.</w:t>
      </w:r>
    </w:p>
    <w:p>
      <w:pPr>
        <w:spacing w:after="0" w:line="164" w:lineRule="exact"/>
        <w:rPr>
          <w:rFonts w:ascii="Arial" w:cs="Arial" w:eastAsia="Arial" w:hAnsi="Arial"/>
          <w:sz w:val="25"/>
          <w:szCs w:val="25"/>
          <w:color w:val="auto"/>
          <w:vertAlign w:val="superscript"/>
        </w:rPr>
      </w:pPr>
    </w:p>
    <w:p>
      <w:pPr>
        <w:ind w:left="448" w:right="320" w:hanging="448"/>
        <w:spacing w:after="0" w:line="182" w:lineRule="auto"/>
        <w:tabs>
          <w:tab w:leader="none" w:pos="448" w:val="left"/>
        </w:tabs>
        <w:numPr>
          <w:ilvl w:val="0"/>
          <w:numId w:val="57"/>
        </w:numPr>
        <w:rPr>
          <w:rFonts w:ascii="Arial" w:cs="Arial" w:eastAsia="Arial" w:hAnsi="Arial"/>
          <w:sz w:val="25"/>
          <w:szCs w:val="25"/>
          <w:color w:val="auto"/>
          <w:vertAlign w:val="superscript"/>
        </w:rPr>
      </w:pPr>
      <w:r>
        <w:rPr>
          <w:rFonts w:ascii="Arial" w:cs="Arial" w:eastAsia="Arial" w:hAnsi="Arial"/>
          <w:sz w:val="15"/>
          <w:szCs w:val="15"/>
          <w:color w:val="auto"/>
        </w:rPr>
        <w:t>When excluding the grant date value of the April 7, 2017 awards of performance-based restricted shares and performance-based options that were cancelled and forfeited in February 2018, the executive's total compensation is $1,540,002.</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more information regarding the elements of compensation paid to our Named Executive Officers, see "Compensation Discussion and Analysis" above.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CEO Pay Ratio Disclosure</w:t>
      </w:r>
    </w:p>
    <w:p>
      <w:pPr>
        <w:spacing w:after="0" w:line="200" w:lineRule="exact"/>
        <w:rPr>
          <w:sz w:val="20"/>
          <w:szCs w:val="20"/>
          <w:color w:val="auto"/>
        </w:rPr>
      </w:pPr>
    </w:p>
    <w:p>
      <w:pPr>
        <w:ind w:left="8" w:right="700"/>
        <w:spacing w:after="0" w:line="247" w:lineRule="auto"/>
        <w:rPr>
          <w:sz w:val="20"/>
          <w:szCs w:val="20"/>
          <w:color w:val="auto"/>
        </w:rPr>
      </w:pPr>
      <w:r>
        <w:rPr>
          <w:rFonts w:ascii="Arial" w:cs="Arial" w:eastAsia="Arial" w:hAnsi="Arial"/>
          <w:sz w:val="15"/>
          <w:szCs w:val="15"/>
          <w:color w:val="auto"/>
        </w:rPr>
        <w:t>As mandated by the Dodd-Frank Act and Item 402(u) of Regulation S-K, we must disclose the annual total compensation of our median employee, the annual total compensation of our Chief Executive Officer William B. Shepro, and the ratio of these two amounts.</w:t>
      </w:r>
    </w:p>
    <w:p>
      <w:pPr>
        <w:spacing w:after="0" w:line="171"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2017, which consisted of 7,428 employees, of which 5,114 employees (sixty-nine percent (69%) of our total employees) were based in India, 1,477 were based in the United States, 678 were based in the Philippines, 138 were based in Uruguay and 21 were based in Luxembourg. This population consisted of our full-time and part-time employees, and excludes temporary employees.</w:t>
      </w:r>
    </w:p>
    <w:p>
      <w:pPr>
        <w:spacing w:after="0" w:line="177" w:lineRule="exact"/>
        <w:rPr>
          <w:sz w:val="20"/>
          <w:szCs w:val="20"/>
          <w:color w:val="auto"/>
        </w:rPr>
      </w:pPr>
    </w:p>
    <w:p>
      <w:pPr>
        <w:ind w:left="8" w:right="180"/>
        <w:spacing w:after="0" w:line="241" w:lineRule="auto"/>
        <w:rPr>
          <w:sz w:val="20"/>
          <w:szCs w:val="20"/>
          <w:color w:val="auto"/>
        </w:rPr>
      </w:pPr>
      <w:r>
        <w:rPr>
          <w:rFonts w:ascii="Arial" w:cs="Arial" w:eastAsia="Arial" w:hAnsi="Arial"/>
          <w:sz w:val="15"/>
          <w:szCs w:val="15"/>
          <w:color w:val="auto"/>
        </w:rPr>
        <w:t xml:space="preserve">To identify our median employee, our consistently applied compensation measure included the following elements, as permitted by SEC rules: base salary, stock awards, actual cash incentive paid, transportation, term life insurance, accidental insurance and medical insurance. We believe this measure reasonably reflects the annual compensation of our employees. Non-U.S. compensation was converted to U.S dollars using exchange rates of 0.83 euros to the U.S. dollar for Luxembourg, 63.87 Indian rupees to the U.S. dollar for India and 49.85 Philippine pesos for the Philippines, the applicable exchange rates on December 29, 2017 (the last working day before December 31, 2017) as disclosed by </w:t>
      </w:r>
      <w:r>
        <w:rPr>
          <w:rFonts w:ascii="Arial" w:cs="Arial" w:eastAsia="Arial" w:hAnsi="Arial"/>
          <w:sz w:val="15"/>
          <w:szCs w:val="15"/>
          <w:u w:val="single" w:color="auto"/>
          <w:color w:val="auto"/>
        </w:rPr>
        <w:t>www.bloomberg.com</w:t>
      </w:r>
      <w:r>
        <w:rPr>
          <w:rFonts w:ascii="Arial" w:cs="Arial" w:eastAsia="Arial" w:hAnsi="Arial"/>
          <w:sz w:val="15"/>
          <w:szCs w:val="15"/>
          <w:color w:val="auto"/>
        </w:rPr>
        <w:t>.</w:t>
      </w:r>
    </w:p>
    <w:p>
      <w:pPr>
        <w:spacing w:after="0" w:line="175"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114300</wp:posOffset>
            </wp:positionV>
            <wp:extent cx="1504315" cy="1377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 xml:space="preserve">In addition, we used a publicly available cost of living adjustment (available here: </w:t>
      </w:r>
      <w:r>
        <w:rPr>
          <w:rFonts w:ascii="Arial" w:cs="Arial" w:eastAsia="Arial" w:hAnsi="Arial"/>
          <w:sz w:val="15"/>
          <w:szCs w:val="15"/>
          <w:u w:val="single" w:color="auto"/>
          <w:color w:val="auto"/>
        </w:rPr>
        <w:t>www.numbeo.com/cost-of-living/</w:t>
      </w:r>
      <w:r>
        <w:rPr>
          <w:rFonts w:ascii="Arial" w:cs="Arial" w:eastAsia="Arial" w:hAnsi="Arial"/>
          <w:sz w:val="15"/>
          <w:szCs w:val="15"/>
          <w:color w:val="auto"/>
        </w:rPr>
        <w:t>) to adjust the compensation of employees in jurisdictions other than Luxembourg. After application of this cost of living adjustment, we have estimated that the annual compensation for 2017 of our median employee (who is based in India) was $29,983. Without the cost of living adjustment, the median employee had total compensation of $9,486.</w:t>
      </w:r>
    </w:p>
    <w:p>
      <w:pPr>
        <w:spacing w:after="0" w:line="17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total compensation of our Chief Executive Officer in 2017, as reported in the Summary Compensation Table above was $6,654,601. This amount includes (i) a one-time special retention cash award of $1,500,000 awarded in 2015 and paid in 2017, which is not an element of his annual compensation, and (ii) April 7, 2017 awards of performance-based restricted shares and performance-based options (the "2017 Performance Awards") with a grant date value of $1,008,766, which were scheduled to vest based upon the Company's achievement against 2017 Performance Criteria. In February 2018, the Compensation Committee confirmed that the 2017 Performance Criteria were below a threshold level and the 2017 performance-based stock options and restricted shares granted to the Chief Executive Officer were cancelled and forfeited.</w:t>
      </w:r>
    </w:p>
    <w:p>
      <w:pPr>
        <w:spacing w:after="0" w:line="145"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 xml:space="preserve">Based on the methodology described above, we estimated our CEO Pay Ratio for 2017 to be </w:t>
      </w:r>
      <w:r>
        <w:rPr>
          <w:rFonts w:ascii="Arial" w:cs="Arial" w:eastAsia="Arial" w:hAnsi="Arial"/>
          <w:sz w:val="15"/>
          <w:szCs w:val="15"/>
          <w:b w:val="1"/>
          <w:bCs w:val="1"/>
          <w:color w:val="auto"/>
        </w:rPr>
        <w:t>222:1</w:t>
      </w:r>
      <w:r>
        <w:rPr>
          <w:rFonts w:ascii="Arial" w:cs="Arial" w:eastAsia="Arial" w:hAnsi="Arial"/>
          <w:sz w:val="15"/>
          <w:szCs w:val="15"/>
          <w:color w:val="auto"/>
        </w:rPr>
        <w:t xml:space="preserve"> (702:1 without the cost of living adjustment) as calculated according to the regulations based on the 2017 total compensation reported in the Summary Compensation Table, including the $1,500,000 special retention cash award and the 2017 Performance Awards that were subsequently cancelled and forfeited. When excluding the special retention cash award and the 2017 Performance Awards, our Chief Executive Officer to median employee pay ratio is estimated at 138:1, including the cost of living adjustment. Due to the flexibility afforded by Item 402(u) in calculating the CEO Pay Ratio, and our unique employee distribution, the ratio may or may not be comparable to CEO pay ratios presented by other companies.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9" w:name="page60"/>
    <w:bookmarkEnd w:id="5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114300</wp:posOffset>
            </wp:positionV>
            <wp:extent cx="1504315" cy="1377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Grants of Plan Based Awards for 2017</w:t>
      </w:r>
    </w:p>
    <w:p>
      <w:pPr>
        <w:spacing w:after="0" w:line="200" w:lineRule="exact"/>
        <w:rPr>
          <w:sz w:val="20"/>
          <w:szCs w:val="20"/>
          <w:color w:val="auto"/>
        </w:rPr>
      </w:pPr>
    </w:p>
    <w:p>
      <w:pPr>
        <w:ind w:left="8" w:right="180"/>
        <w:spacing w:after="0" w:line="247" w:lineRule="auto"/>
        <w:rPr>
          <w:sz w:val="20"/>
          <w:szCs w:val="20"/>
          <w:color w:val="auto"/>
        </w:rPr>
      </w:pPr>
      <w:r>
        <w:rPr>
          <w:rFonts w:ascii="Arial" w:cs="Arial" w:eastAsia="Arial" w:hAnsi="Arial"/>
          <w:sz w:val="15"/>
          <w:szCs w:val="15"/>
          <w:color w:val="auto"/>
        </w:rPr>
        <w:t>The following table provides information related to non-equity incentive plan compensation and equity incentive plan awards pursuant to our annual incentive compensation plan and our 2009 Equity Incentive Plan for the individuals named in the Summary Compensation Table.</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rPr>
              <w:t>Estimated Future Payouts Under</w:t>
            </w:r>
          </w:p>
        </w:tc>
        <w:tc>
          <w:tcPr>
            <w:tcW w:w="176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rPr>
              <w:t>Estimated Future Payouts</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7"/>
              </w:rPr>
              <w:t>Awards:</w:t>
            </w: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6"/>
          </w:tcPr>
          <w:p>
            <w:pPr>
              <w:jc w:val="center"/>
              <w:ind w:right="100"/>
              <w:spacing w:after="0"/>
              <w:rPr>
                <w:sz w:val="20"/>
                <w:szCs w:val="20"/>
                <w:color w:val="auto"/>
              </w:rPr>
            </w:pPr>
            <w:r>
              <w:rPr>
                <w:rFonts w:ascii="Arial" w:cs="Arial" w:eastAsia="Arial" w:hAnsi="Arial"/>
                <w:sz w:val="12"/>
                <w:szCs w:val="12"/>
                <w:b w:val="1"/>
                <w:bCs w:val="1"/>
                <w:color w:val="auto"/>
              </w:rPr>
              <w:t>Non-Equity Incentive Plan</w:t>
            </w:r>
          </w:p>
        </w:tc>
        <w:tc>
          <w:tcPr>
            <w:tcW w:w="176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rPr>
              <w:t>Under Equity Incentive Plan</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Exercise or</w:t>
            </w: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8"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(1)</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gridSpan w:val="3"/>
          </w:tcPr>
          <w:p>
            <w:pPr>
              <w:jc w:val="center"/>
              <w:spacing w:after="0"/>
              <w:rPr>
                <w:sz w:val="20"/>
                <w:szCs w:val="20"/>
                <w:color w:val="auto"/>
              </w:rPr>
            </w:pPr>
            <w:r>
              <w:rPr>
                <w:rFonts w:ascii="Arial" w:cs="Arial" w:eastAsia="Arial" w:hAnsi="Arial"/>
                <w:sz w:val="12"/>
                <w:szCs w:val="12"/>
                <w:b w:val="1"/>
                <w:bCs w:val="1"/>
                <w:color w:val="auto"/>
              </w:rPr>
              <w:t>Awards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8"/>
              </w:rPr>
              <w:t>Shares of</w:t>
            </w:r>
          </w:p>
        </w:tc>
        <w:tc>
          <w:tcPr>
            <w:tcW w:w="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Base Price</w:t>
            </w: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of Stock</w:t>
            </w:r>
          </w:p>
        </w:tc>
        <w:tc>
          <w:tcPr>
            <w:tcW w:w="0" w:type="dxa"/>
            <w:vAlign w:val="bottom"/>
          </w:tcPr>
          <w:p>
            <w:pPr>
              <w:spacing w:after="0"/>
              <w:rPr>
                <w:sz w:val="1"/>
                <w:szCs w:val="1"/>
                <w:color w:val="auto"/>
              </w:rPr>
            </w:pPr>
          </w:p>
        </w:tc>
      </w:tr>
      <w:tr>
        <w:trPr>
          <w:trHeight w:val="23"/>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rPr>
              <w:t>Stock or</w:t>
            </w:r>
          </w:p>
        </w:tc>
        <w:tc>
          <w:tcPr>
            <w:tcW w:w="60" w:type="dxa"/>
            <w:vAlign w:val="bottom"/>
          </w:tcPr>
          <w:p>
            <w:pPr>
              <w:spacing w:after="0" w:line="20" w:lineRule="exact"/>
              <w:rPr>
                <w:sz w:val="1"/>
                <w:szCs w:val="1"/>
                <w:color w:val="auto"/>
              </w:rPr>
            </w:pPr>
          </w:p>
        </w:tc>
        <w:tc>
          <w:tcPr>
            <w:tcW w:w="64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rPr>
              <w:t>Underlying</w:t>
            </w:r>
          </w:p>
        </w:tc>
        <w:tc>
          <w:tcPr>
            <w:tcW w:w="80" w:type="dxa"/>
            <w:vAlign w:val="bottom"/>
            <w:vMerge w:val="restart"/>
          </w:tcPr>
          <w:p>
            <w:pPr>
              <w:spacing w:after="0" w:line="20" w:lineRule="exact"/>
              <w:rPr>
                <w:sz w:val="1"/>
                <w:szCs w:val="1"/>
                <w:color w:val="auto"/>
              </w:rPr>
            </w:pPr>
          </w:p>
        </w:tc>
        <w:tc>
          <w:tcPr>
            <w:tcW w:w="720" w:type="dxa"/>
            <w:vAlign w:val="bottom"/>
            <w:gridSpan w:val="2"/>
            <w:vMerge w:val="restart"/>
          </w:tcPr>
          <w:p>
            <w:pPr>
              <w:jc w:val="center"/>
              <w:ind w:right="60"/>
              <w:spacing w:after="0" w:line="128" w:lineRule="exact"/>
              <w:rPr>
                <w:sz w:val="20"/>
                <w:szCs w:val="20"/>
                <w:color w:val="auto"/>
              </w:rPr>
            </w:pPr>
            <w:r>
              <w:rPr>
                <w:rFonts w:ascii="Arial" w:cs="Arial" w:eastAsia="Arial" w:hAnsi="Arial"/>
                <w:sz w:val="12"/>
                <w:szCs w:val="12"/>
                <w:b w:val="1"/>
                <w:bCs w:val="1"/>
                <w:color w:val="auto"/>
              </w:rPr>
              <w:t>of Option</w:t>
            </w:r>
          </w:p>
        </w:tc>
        <w:tc>
          <w:tcPr>
            <w:tcW w:w="860" w:type="dxa"/>
            <w:vAlign w:val="bottom"/>
            <w:gridSpan w:val="2"/>
            <w:vMerge w:val="restart"/>
          </w:tcPr>
          <w:p>
            <w:pPr>
              <w:jc w:val="center"/>
              <w:ind w:right="180"/>
              <w:spacing w:after="0" w:line="128" w:lineRule="exact"/>
              <w:rPr>
                <w:sz w:val="20"/>
                <w:szCs w:val="20"/>
                <w:color w:val="auto"/>
              </w:rPr>
            </w:pPr>
            <w:r>
              <w:rPr>
                <w:rFonts w:ascii="Arial" w:cs="Arial" w:eastAsia="Arial" w:hAnsi="Arial"/>
                <w:sz w:val="12"/>
                <w:szCs w:val="12"/>
                <w:b w:val="1"/>
                <w:bCs w:val="1"/>
                <w:color w:val="auto"/>
              </w:rPr>
              <w:t>and Option</w:t>
            </w:r>
          </w:p>
        </w:tc>
        <w:tc>
          <w:tcPr>
            <w:tcW w:w="0" w:type="dxa"/>
            <w:vAlign w:val="bottom"/>
          </w:tcPr>
          <w:p>
            <w:pPr>
              <w:spacing w:after="0"/>
              <w:rPr>
                <w:sz w:val="1"/>
                <w:szCs w:val="1"/>
                <w:color w:val="auto"/>
              </w:rPr>
            </w:pPr>
          </w:p>
        </w:tc>
      </w:tr>
      <w:tr>
        <w:trPr>
          <w:trHeight w:val="84"/>
        </w:trPr>
        <w:tc>
          <w:tcPr>
            <w:tcW w:w="3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680" w:type="dxa"/>
            <w:vAlign w:val="bottom"/>
            <w:tcBorders>
              <w:bottom w:val="single" w:sz="8" w:color="auto"/>
            </w:tcBorders>
          </w:tcPr>
          <w:p>
            <w:pPr>
              <w:ind w:left="1660"/>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Grant Date</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Threshold</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Target</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Maximum</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Threshold</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Target</w:t>
            </w: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Maximum</w:t>
            </w:r>
          </w:p>
        </w:tc>
        <w:tc>
          <w:tcPr>
            <w:tcW w:w="6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Units</w:t>
            </w:r>
          </w:p>
        </w:tc>
        <w:tc>
          <w:tcPr>
            <w:tcW w:w="6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Options</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Awards</w:t>
            </w:r>
          </w:p>
        </w:tc>
        <w:tc>
          <w:tcPr>
            <w:tcW w:w="6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Awards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William B. Shepro</w:t>
            </w:r>
          </w:p>
        </w:tc>
        <w:tc>
          <w:tcPr>
            <w:tcW w:w="6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59"/>
              <w:spacing w:after="0" w:line="129" w:lineRule="exact"/>
              <w:rPr>
                <w:sz w:val="20"/>
                <w:szCs w:val="20"/>
                <w:color w:val="auto"/>
              </w:rPr>
            </w:pPr>
            <w:r>
              <w:rPr>
                <w:rFonts w:ascii="Arial" w:cs="Arial" w:eastAsia="Arial" w:hAnsi="Arial"/>
                <w:sz w:val="12"/>
                <w:szCs w:val="12"/>
                <w:color w:val="auto"/>
              </w:rPr>
              <w:t>$599,625</w:t>
            </w:r>
          </w:p>
        </w:tc>
        <w:tc>
          <w:tcPr>
            <w:tcW w:w="820" w:type="dxa"/>
            <w:vAlign w:val="bottom"/>
            <w:gridSpan w:val="3"/>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$1,199,250</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w w:val="99"/>
              </w:rPr>
              <w:t>$1,798,875</w:t>
            </w:r>
          </w:p>
        </w:tc>
        <w:tc>
          <w:tcPr>
            <w:tcW w:w="600" w:type="dxa"/>
            <w:vAlign w:val="bottom"/>
            <w:shd w:val="clear" w:color="auto" w:fill="CCEEFF"/>
          </w:tcPr>
          <w:p>
            <w:pPr>
              <w:jc w:val="right"/>
              <w:ind w:right="19"/>
              <w:spacing w:after="0" w:line="129" w:lineRule="exact"/>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59"/>
              <w:spacing w:after="0" w:line="129"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59"/>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line="129"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(2)</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10,341</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12,926</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19,389</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12,927</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$1,004,131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(3)</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31,162</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41,490</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62,235</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$39.13</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$1,010,405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680" w:type="dxa"/>
            <w:vAlign w:val="bottom"/>
          </w:tcPr>
          <w:p>
            <w:pPr>
              <w:spacing w:after="0"/>
              <w:rPr>
                <w:sz w:val="20"/>
                <w:szCs w:val="20"/>
                <w:color w:val="auto"/>
              </w:rPr>
            </w:pPr>
            <w:r>
              <w:rPr>
                <w:rFonts w:ascii="Arial" w:cs="Arial" w:eastAsia="Arial" w:hAnsi="Arial"/>
                <w:sz w:val="12"/>
                <w:szCs w:val="12"/>
                <w:color w:val="auto"/>
              </w:rPr>
              <w:t>Kevin J. Wilcox</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$232,917</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$465,834</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$698,751</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720" w:type="dxa"/>
            <w:vAlign w:val="bottom"/>
            <w:gridSpan w:val="3"/>
          </w:tcPr>
          <w:p>
            <w:pPr>
              <w:jc w:val="right"/>
              <w:spacing w:after="0" w:line="190"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(2)</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2,413</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3,016</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4,524</w:t>
            </w:r>
          </w:p>
        </w:tc>
        <w:tc>
          <w:tcPr>
            <w:tcW w:w="60" w:type="dxa"/>
            <w:vAlign w:val="bottom"/>
          </w:tcPr>
          <w:p>
            <w:pPr>
              <w:spacing w:after="0"/>
              <w:rPr>
                <w:sz w:val="16"/>
                <w:szCs w:val="16"/>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3,016</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$234,283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80" w:type="dxa"/>
            <w:vAlign w:val="bottom"/>
          </w:tcPr>
          <w:p>
            <w:pPr>
              <w:spacing w:after="0"/>
              <w:rPr>
                <w:sz w:val="14"/>
                <w:szCs w:val="14"/>
                <w:color w:val="auto"/>
              </w:rPr>
            </w:pPr>
          </w:p>
        </w:tc>
        <w:tc>
          <w:tcPr>
            <w:tcW w:w="720" w:type="dxa"/>
            <w:vAlign w:val="bottom"/>
            <w:gridSpan w:val="3"/>
          </w:tcPr>
          <w:p>
            <w:pPr>
              <w:jc w:val="right"/>
              <w:spacing w:after="0" w:line="163"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(3)</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7,810</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9,763</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14,645</w:t>
            </w:r>
          </w:p>
        </w:tc>
        <w:tc>
          <w:tcPr>
            <w:tcW w:w="60" w:type="dxa"/>
            <w:vAlign w:val="bottom"/>
          </w:tcPr>
          <w:p>
            <w:pPr>
              <w:spacing w:after="0"/>
              <w:rPr>
                <w:sz w:val="14"/>
                <w:szCs w:val="14"/>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$39.13</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$236,032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Indroneel Chatterjee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line="27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9"/>
                <w:szCs w:val="9"/>
                <w:color w:val="auto"/>
              </w:rPr>
              <w:t>(4)</w:t>
            </w:r>
          </w:p>
        </w:tc>
        <w:tc>
          <w:tcPr>
            <w:tcW w:w="820" w:type="dxa"/>
            <w:vAlign w:val="bottom"/>
            <w:gridSpan w:val="3"/>
            <w:shd w:val="clear" w:color="auto" w:fill="CCEEFF"/>
          </w:tcPr>
          <w:p>
            <w:pPr>
              <w:jc w:val="right"/>
              <w:spacing w:after="0" w:line="27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9"/>
                <w:szCs w:val="9"/>
                <w:color w:val="auto"/>
              </w:rPr>
              <w:t>(4)</w:t>
            </w:r>
          </w:p>
        </w:tc>
        <w:tc>
          <w:tcPr>
            <w:tcW w:w="720" w:type="dxa"/>
            <w:vAlign w:val="bottom"/>
            <w:gridSpan w:val="2"/>
            <w:shd w:val="clear" w:color="auto" w:fill="CCEEFF"/>
          </w:tcPr>
          <w:p>
            <w:pPr>
              <w:jc w:val="right"/>
              <w:spacing w:after="0" w:line="27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9"/>
                <w:szCs w:val="9"/>
                <w:color w:val="auto"/>
              </w:rPr>
              <w:t>(4)</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2"/>
                <w:szCs w:val="12"/>
                <w:color w:val="auto"/>
              </w:rPr>
              <w:t>10/5/17</w:t>
            </w:r>
            <w:r>
              <w:rPr>
                <w:rFonts w:ascii="Arial" w:cs="Arial" w:eastAsia="Arial" w:hAnsi="Arial"/>
                <w:sz w:val="18"/>
                <w:szCs w:val="18"/>
                <w:color w:val="auto"/>
                <w:vertAlign w:val="superscript"/>
              </w:rPr>
              <w:t>(5)</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19,533</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$529,344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2"/>
                <w:szCs w:val="12"/>
                <w:color w:val="auto"/>
              </w:rPr>
              <w:t>10/5/17</w:t>
            </w:r>
            <w:r>
              <w:rPr>
                <w:rFonts w:ascii="Arial" w:cs="Arial" w:eastAsia="Arial" w:hAnsi="Arial"/>
                <w:sz w:val="18"/>
                <w:szCs w:val="18"/>
                <w:color w:val="auto"/>
                <w:vertAlign w:val="superscript"/>
              </w:rPr>
              <w:t>(6)</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20,000</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$27.29</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$325,734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680" w:type="dxa"/>
            <w:vAlign w:val="bottom"/>
          </w:tcPr>
          <w:p>
            <w:pPr>
              <w:spacing w:after="0"/>
              <w:rPr>
                <w:sz w:val="20"/>
                <w:szCs w:val="20"/>
                <w:color w:val="auto"/>
              </w:rPr>
            </w:pPr>
            <w:r>
              <w:rPr>
                <w:rFonts w:ascii="Arial" w:cs="Arial" w:eastAsia="Arial" w:hAnsi="Arial"/>
                <w:sz w:val="12"/>
                <w:szCs w:val="12"/>
                <w:color w:val="auto"/>
              </w:rPr>
              <w:t>Michelle D. Esterman</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$140,000</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$280,000</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$420,000</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720" w:type="dxa"/>
            <w:vAlign w:val="bottom"/>
            <w:gridSpan w:val="3"/>
          </w:tcPr>
          <w:p>
            <w:pPr>
              <w:jc w:val="right"/>
              <w:spacing w:after="0" w:line="190"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(2)</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1,447</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1,809</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2,714</w:t>
            </w:r>
          </w:p>
        </w:tc>
        <w:tc>
          <w:tcPr>
            <w:tcW w:w="60" w:type="dxa"/>
            <w:vAlign w:val="bottom"/>
          </w:tcPr>
          <w:p>
            <w:pPr>
              <w:spacing w:after="0"/>
              <w:rPr>
                <w:sz w:val="16"/>
                <w:szCs w:val="16"/>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1,810</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$140,562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80" w:type="dxa"/>
            <w:vAlign w:val="bottom"/>
          </w:tcPr>
          <w:p>
            <w:pPr>
              <w:spacing w:after="0"/>
              <w:rPr>
                <w:sz w:val="14"/>
                <w:szCs w:val="14"/>
                <w:color w:val="auto"/>
              </w:rPr>
            </w:pPr>
          </w:p>
        </w:tc>
        <w:tc>
          <w:tcPr>
            <w:tcW w:w="720" w:type="dxa"/>
            <w:vAlign w:val="bottom"/>
            <w:gridSpan w:val="3"/>
          </w:tcPr>
          <w:p>
            <w:pPr>
              <w:jc w:val="right"/>
              <w:spacing w:after="0" w:line="163"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(3)</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4,686</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5,858</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8,787</w:t>
            </w:r>
          </w:p>
        </w:tc>
        <w:tc>
          <w:tcPr>
            <w:tcW w:w="60" w:type="dxa"/>
            <w:vAlign w:val="bottom"/>
          </w:tcPr>
          <w:p>
            <w:pPr>
              <w:spacing w:after="0"/>
              <w:rPr>
                <w:sz w:val="14"/>
                <w:szCs w:val="14"/>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$39.13</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$141,625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3680" w:type="dxa"/>
            <w:vAlign w:val="bottom"/>
            <w:shd w:val="clear" w:color="auto" w:fill="CCEEFF"/>
          </w:tcPr>
          <w:p>
            <w:pPr>
              <w:spacing w:after="0"/>
              <w:rPr>
                <w:sz w:val="20"/>
                <w:szCs w:val="20"/>
                <w:color w:val="auto"/>
              </w:rPr>
            </w:pPr>
            <w:r>
              <w:rPr>
                <w:rFonts w:ascii="Arial" w:cs="Arial" w:eastAsia="Arial" w:hAnsi="Arial"/>
                <w:sz w:val="12"/>
                <w:szCs w:val="12"/>
                <w:color w:val="auto"/>
              </w:rPr>
              <w:t>Joseph A. Davila</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$158,333</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$316,666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$474,999</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(2)</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1,206</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1,508</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2,262</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1,508</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$117,141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(3)</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3,906</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4,882</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7,323</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$39.13</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$118,028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7/27/17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rPr>
              <w:t>(7)</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5,000</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$136,375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7/27/17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rPr>
              <w:t>(6)</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5,000</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$27.65</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$82,168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11/13/17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rPr>
              <w:t>(5)</w:t>
            </w: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15,000</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$381,525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680" w:type="dxa"/>
            <w:vAlign w:val="bottom"/>
          </w:tcPr>
          <w:p>
            <w:pPr>
              <w:spacing w:after="0"/>
              <w:rPr>
                <w:sz w:val="20"/>
                <w:szCs w:val="20"/>
                <w:color w:val="auto"/>
              </w:rPr>
            </w:pPr>
            <w:r>
              <w:rPr>
                <w:rFonts w:ascii="Arial" w:cs="Arial" w:eastAsia="Arial" w:hAnsi="Arial"/>
                <w:sz w:val="12"/>
                <w:szCs w:val="12"/>
                <w:color w:val="auto"/>
              </w:rPr>
              <w:t>Gregory J. Ritts</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$115,625</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$231,250</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$346,875</w:t>
            </w: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720" w:type="dxa"/>
            <w:vAlign w:val="bottom"/>
            <w:gridSpan w:val="3"/>
          </w:tcPr>
          <w:p>
            <w:pPr>
              <w:jc w:val="right"/>
              <w:spacing w:after="0" w:line="190"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(2)</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1,206</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1,508</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2,262</w:t>
            </w:r>
          </w:p>
        </w:tc>
        <w:tc>
          <w:tcPr>
            <w:tcW w:w="60" w:type="dxa"/>
            <w:vAlign w:val="bottom"/>
          </w:tcPr>
          <w:p>
            <w:pPr>
              <w:spacing w:after="0"/>
              <w:rPr>
                <w:sz w:val="16"/>
                <w:szCs w:val="16"/>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1,508</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$117,141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720" w:type="dxa"/>
            <w:vAlign w:val="bottom"/>
            <w:gridSpan w:val="3"/>
          </w:tcPr>
          <w:p>
            <w:pPr>
              <w:jc w:val="right"/>
              <w:spacing w:after="0" w:line="183" w:lineRule="exact"/>
              <w:rPr>
                <w:sz w:val="20"/>
                <w:szCs w:val="20"/>
                <w:color w:val="auto"/>
              </w:rPr>
            </w:pPr>
            <w:r>
              <w:rPr>
                <w:rFonts w:ascii="Arial" w:cs="Arial" w:eastAsia="Arial" w:hAnsi="Arial"/>
                <w:sz w:val="12"/>
                <w:szCs w:val="12"/>
                <w:color w:val="auto"/>
              </w:rPr>
              <w:t>4/7/17</w:t>
            </w:r>
            <w:r>
              <w:rPr>
                <w:rFonts w:ascii="Arial" w:cs="Arial" w:eastAsia="Arial" w:hAnsi="Arial"/>
                <w:sz w:val="18"/>
                <w:szCs w:val="18"/>
                <w:color w:val="auto"/>
                <w:vertAlign w:val="superscript"/>
              </w:rPr>
              <w:t>(3)</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3,906</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4,882</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7,323</w:t>
            </w:r>
          </w:p>
        </w:tc>
        <w:tc>
          <w:tcPr>
            <w:tcW w:w="60" w:type="dxa"/>
            <w:vAlign w:val="bottom"/>
          </w:tcPr>
          <w:p>
            <w:pPr>
              <w:spacing w:after="0"/>
              <w:rPr>
                <w:sz w:val="15"/>
                <w:szCs w:val="15"/>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$39.13</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$118,028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720" w:type="dxa"/>
            <w:vAlign w:val="bottom"/>
            <w:gridSpan w:val="3"/>
          </w:tcPr>
          <w:p>
            <w:pPr>
              <w:jc w:val="right"/>
              <w:spacing w:after="0" w:line="183" w:lineRule="exact"/>
              <w:rPr>
                <w:sz w:val="20"/>
                <w:szCs w:val="20"/>
                <w:color w:val="auto"/>
              </w:rPr>
            </w:pPr>
            <w:r>
              <w:rPr>
                <w:rFonts w:ascii="Arial" w:cs="Arial" w:eastAsia="Arial" w:hAnsi="Arial"/>
                <w:sz w:val="12"/>
                <w:szCs w:val="12"/>
                <w:color w:val="auto"/>
              </w:rPr>
              <w:t>7/27/17</w:t>
            </w:r>
            <w:r>
              <w:rPr>
                <w:rFonts w:ascii="Arial" w:cs="Arial" w:eastAsia="Arial" w:hAnsi="Arial"/>
                <w:sz w:val="18"/>
                <w:szCs w:val="18"/>
                <w:color w:val="auto"/>
                <w:vertAlign w:val="superscript"/>
              </w:rPr>
              <w:t>(7)</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5,000</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$136,375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720" w:type="dxa"/>
            <w:vAlign w:val="bottom"/>
            <w:gridSpan w:val="3"/>
          </w:tcPr>
          <w:p>
            <w:pPr>
              <w:jc w:val="right"/>
              <w:spacing w:after="0" w:line="183" w:lineRule="exact"/>
              <w:rPr>
                <w:sz w:val="20"/>
                <w:szCs w:val="20"/>
                <w:color w:val="auto"/>
              </w:rPr>
            </w:pPr>
            <w:r>
              <w:rPr>
                <w:rFonts w:ascii="Arial" w:cs="Arial" w:eastAsia="Arial" w:hAnsi="Arial"/>
                <w:sz w:val="12"/>
                <w:szCs w:val="12"/>
                <w:color w:val="auto"/>
              </w:rPr>
              <w:t>7/27/17</w:t>
            </w:r>
            <w:r>
              <w:rPr>
                <w:rFonts w:ascii="Arial" w:cs="Arial" w:eastAsia="Arial" w:hAnsi="Arial"/>
                <w:sz w:val="18"/>
                <w:szCs w:val="18"/>
                <w:color w:val="auto"/>
                <w:vertAlign w:val="superscript"/>
              </w:rPr>
              <w:t>(6)</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5,000</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$27.65</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$82,168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68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2"/>
                <w:szCs w:val="12"/>
                <w:color w:val="auto"/>
              </w:rPr>
              <w:t>11/13/17</w:t>
            </w:r>
            <w:r>
              <w:rPr>
                <w:rFonts w:ascii="Arial" w:cs="Arial" w:eastAsia="Arial" w:hAnsi="Arial"/>
                <w:sz w:val="18"/>
                <w:szCs w:val="18"/>
                <w:color w:val="auto"/>
                <w:vertAlign w:val="superscript"/>
              </w:rPr>
              <w:t>(5)</w:t>
            </w:r>
          </w:p>
        </w:tc>
        <w:tc>
          <w:tcPr>
            <w:tcW w:w="76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color w:val="auto"/>
              </w:rPr>
              <w:t>15,000</w:t>
            </w:r>
          </w:p>
        </w:tc>
        <w:tc>
          <w:tcPr>
            <w:tcW w:w="70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$381,525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48" w:right="500" w:hanging="448"/>
        <w:spacing w:after="0" w:line="197" w:lineRule="auto"/>
        <w:tabs>
          <w:tab w:leader="none" w:pos="448" w:val="left"/>
        </w:tabs>
        <w:numPr>
          <w:ilvl w:val="0"/>
          <w:numId w:val="58"/>
        </w:numPr>
        <w:rPr>
          <w:rFonts w:ascii="Arial" w:cs="Arial" w:eastAsia="Arial" w:hAnsi="Arial"/>
          <w:sz w:val="18"/>
          <w:szCs w:val="18"/>
          <w:color w:val="auto"/>
          <w:vertAlign w:val="superscript"/>
        </w:rPr>
      </w:pPr>
      <w:r>
        <w:rPr>
          <w:rFonts w:ascii="Arial" w:cs="Arial" w:eastAsia="Arial" w:hAnsi="Arial"/>
          <w:sz w:val="12"/>
          <w:szCs w:val="12"/>
          <w:color w:val="auto"/>
        </w:rPr>
        <w:t>These amounts represent the possible non-equity compensation that may have been earned by each respective executive officer in 2017 under the different achievement levels presented on their personal scorecards which are more fully discussed in our Compensation Discussion and Analysis. Performance that is below the threshold level generally results in no payout.</w:t>
      </w:r>
    </w:p>
    <w:p>
      <w:pPr>
        <w:spacing w:after="0" w:line="128" w:lineRule="exact"/>
        <w:rPr>
          <w:rFonts w:ascii="Arial" w:cs="Arial" w:eastAsia="Arial" w:hAnsi="Arial"/>
          <w:sz w:val="18"/>
          <w:szCs w:val="18"/>
          <w:color w:val="auto"/>
          <w:vertAlign w:val="superscript"/>
        </w:rPr>
      </w:pPr>
    </w:p>
    <w:p>
      <w:pPr>
        <w:ind w:left="448" w:right="140" w:hanging="448"/>
        <w:spacing w:after="0" w:line="209" w:lineRule="auto"/>
        <w:tabs>
          <w:tab w:leader="none" w:pos="448" w:val="left"/>
        </w:tabs>
        <w:numPr>
          <w:ilvl w:val="0"/>
          <w:numId w:val="58"/>
        </w:numPr>
        <w:rPr>
          <w:rFonts w:ascii="Arial" w:cs="Arial" w:eastAsia="Arial" w:hAnsi="Arial"/>
          <w:sz w:val="18"/>
          <w:szCs w:val="18"/>
          <w:color w:val="auto"/>
          <w:vertAlign w:val="superscript"/>
        </w:rPr>
      </w:pPr>
      <w:r>
        <w:rPr>
          <w:rFonts w:ascii="Arial" w:cs="Arial" w:eastAsia="Arial" w:hAnsi="Arial"/>
          <w:sz w:val="12"/>
          <w:szCs w:val="12"/>
          <w:color w:val="auto"/>
        </w:rPr>
        <w:t>Granted pursuant to our 2009 Equity Incentive Plan. The service-based restricted share awards vest in three annual installments on the first, second and third anniversaries of the grant date. The performance-based restricted shares were scheduled to vest based upon the Company's achievement against the 2017 Performance Criteria. In February 2018, the Compensation Committee confirmed that the 2017 Performance Criteria were below a threshold level and the 2017 performance-based restricted shares granted to each of the Named Executive Officers were cancelled and forfeited.</w:t>
      </w:r>
    </w:p>
    <w:p>
      <w:pPr>
        <w:spacing w:after="0" w:line="128" w:lineRule="exact"/>
        <w:rPr>
          <w:rFonts w:ascii="Arial" w:cs="Arial" w:eastAsia="Arial" w:hAnsi="Arial"/>
          <w:sz w:val="18"/>
          <w:szCs w:val="18"/>
          <w:color w:val="auto"/>
          <w:vertAlign w:val="superscript"/>
        </w:rPr>
      </w:pPr>
    </w:p>
    <w:p>
      <w:pPr>
        <w:ind w:left="448" w:right="20" w:hanging="448"/>
        <w:spacing w:after="0" w:line="229" w:lineRule="auto"/>
        <w:tabs>
          <w:tab w:leader="none" w:pos="448" w:val="left"/>
        </w:tabs>
        <w:numPr>
          <w:ilvl w:val="0"/>
          <w:numId w:val="58"/>
        </w:numPr>
        <w:rPr>
          <w:rFonts w:ascii="Arial" w:cs="Arial" w:eastAsia="Arial" w:hAnsi="Arial"/>
          <w:sz w:val="18"/>
          <w:szCs w:val="18"/>
          <w:color w:val="auto"/>
          <w:vertAlign w:val="superscript"/>
        </w:rPr>
      </w:pPr>
      <w:r>
        <w:rPr>
          <w:rFonts w:ascii="Arial" w:cs="Arial" w:eastAsia="Arial" w:hAnsi="Arial"/>
          <w:sz w:val="12"/>
          <w:szCs w:val="12"/>
          <w:color w:val="auto"/>
        </w:rPr>
        <w:t>Granted pursuant to our 2009 Equity Incentive Plan. The 2017 performance-based stock options were scheduled to vest based upon the Company's achievement against the 2017 Performance Criteria. In February 2018, the Compensation Committee confirmed that the 2017 Performance Criteria were below a threshold level, and the 2017 performance-based stock options granted to each of the Named Executive Officers were cancelled and forfeited. 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no additional service revenue stock options shall vest if the Company again achieves $1.5 billion in service revenue in a calendar year prior to 2021.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as otherwise set forth in the award agreements. Service revenue stock options that are determined not to be eligible for vesting will be cancelled and forfeited.</w:t>
      </w:r>
    </w:p>
    <w:p>
      <w:pPr>
        <w:spacing w:after="0" w:line="133" w:lineRule="exact"/>
        <w:rPr>
          <w:rFonts w:ascii="Arial" w:cs="Arial" w:eastAsia="Arial" w:hAnsi="Arial"/>
          <w:sz w:val="18"/>
          <w:szCs w:val="18"/>
          <w:color w:val="auto"/>
          <w:vertAlign w:val="superscript"/>
        </w:rPr>
      </w:pPr>
    </w:p>
    <w:p>
      <w:pPr>
        <w:ind w:left="448" w:right="400" w:hanging="448"/>
        <w:spacing w:after="0" w:line="209" w:lineRule="auto"/>
        <w:tabs>
          <w:tab w:leader="none" w:pos="448" w:val="left"/>
        </w:tabs>
        <w:numPr>
          <w:ilvl w:val="0"/>
          <w:numId w:val="58"/>
        </w:numPr>
        <w:rPr>
          <w:rFonts w:ascii="Arial" w:cs="Arial" w:eastAsia="Arial" w:hAnsi="Arial"/>
          <w:sz w:val="18"/>
          <w:szCs w:val="18"/>
          <w:color w:val="auto"/>
          <w:vertAlign w:val="superscript"/>
        </w:rPr>
      </w:pPr>
      <w:r>
        <w:rPr>
          <w:rFonts w:ascii="Arial" w:cs="Arial" w:eastAsia="Arial" w:hAnsi="Arial"/>
          <w:sz w:val="12"/>
          <w:szCs w:val="12"/>
          <w:color w:val="auto"/>
        </w:rPr>
        <w:t>Mr. Chatterjee joined the Company in October 2017 and, therefore, did not participate in the Company's 2017 annual non-equity incentive plan. However, pursuant to the terms of his employment agreement, Mr. Chatterjee was provided the opportunity to earn an incentive compensation award of $485,000, subject to meeting performance expectations. Please see the "Chief Financial Officer Compensation" section of our Compensation Discussion and Analysis.</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60" w:name="page61"/>
    <w:bookmarkEnd w:id="6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114300</wp:posOffset>
            </wp:positionV>
            <wp:extent cx="1504315" cy="1377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8" w:right="80" w:hanging="448"/>
        <w:spacing w:after="0" w:line="197" w:lineRule="auto"/>
        <w:tabs>
          <w:tab w:leader="none" w:pos="448"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Granted pursuant to our 2009 Equity Incentive Plan. Time-based restricted share awards are scheduled to vest in four annual installments on the first, second, third and fourth anniversaries of the grant date.</w:t>
      </w:r>
    </w:p>
    <w:p>
      <w:pPr>
        <w:spacing w:after="0" w:line="128" w:lineRule="exact"/>
        <w:rPr>
          <w:rFonts w:ascii="Arial" w:cs="Arial" w:eastAsia="Arial" w:hAnsi="Arial"/>
          <w:sz w:val="18"/>
          <w:szCs w:val="18"/>
          <w:color w:val="auto"/>
          <w:vertAlign w:val="superscript"/>
        </w:rPr>
      </w:pPr>
    </w:p>
    <w:p>
      <w:pPr>
        <w:ind w:left="448" w:hanging="448"/>
        <w:spacing w:after="0" w:line="215" w:lineRule="auto"/>
        <w:tabs>
          <w:tab w:leader="none" w:pos="448"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Granted pursuant to our 2009 Equity Incentive Plan. Market-based stock options which vest in equal increments, with one-third vesting immediately upon the achievement of certain performance criteria related to the Company's stock price and its annualized rate of return and the remaining two-thirds vesting over the next two (2) years. Two-thirds of the market-based options would commence vesting if the stock price realizes a compounded annual gain of at least twenty percent (20%) over the exercise price, so long as the stock price is at least double the exercise price. The remaining third of the market-based options would commence vesting if the stock price realizes a twenty-five percent (25%) compounded annual gain, so long as it is at least triple the exercise price.</w:t>
      </w:r>
    </w:p>
    <w:p>
      <w:pPr>
        <w:spacing w:after="0" w:line="69" w:lineRule="exact"/>
        <w:rPr>
          <w:rFonts w:ascii="Arial" w:cs="Arial" w:eastAsia="Arial" w:hAnsi="Arial"/>
          <w:sz w:val="18"/>
          <w:szCs w:val="18"/>
          <w:color w:val="auto"/>
          <w:vertAlign w:val="superscript"/>
        </w:rPr>
      </w:pPr>
    </w:p>
    <w:p>
      <w:pPr>
        <w:ind w:left="448" w:hanging="448"/>
        <w:spacing w:after="0"/>
        <w:tabs>
          <w:tab w:leader="none" w:pos="448"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Granted pursuant to our 2009 Equity Incentive Plan. Time-based restricted share awards are scheduled to vest in three annual installments on the first, second and third anniversaries of the grant date.</w:t>
      </w:r>
    </w:p>
    <w:p>
      <w:pPr>
        <w:spacing w:after="0" w:line="173" w:lineRule="exact"/>
        <w:rPr>
          <w:sz w:val="20"/>
          <w:szCs w:val="20"/>
          <w:color w:val="auto"/>
        </w:rPr>
      </w:pPr>
    </w:p>
    <w:p>
      <w:pPr>
        <w:jc w:val="center"/>
        <w:ind w:right="-127"/>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8"/>
          </w:cols>
          <w:pgMar w:left="232" w:top="142" w:right="33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114300</wp:posOffset>
            </wp:positionV>
            <wp:extent cx="1504315" cy="1377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regarding outstanding equity awards as of December 31, 2017 for the individuals named in the Summary Compensation Table.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2"/>
                <w:szCs w:val="12"/>
                <w:b w:val="1"/>
                <w:bCs w:val="1"/>
                <w:color w:val="auto"/>
              </w:rPr>
              <w:t>Option Awards</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2"/>
                <w:szCs w:val="12"/>
                <w:b w:val="1"/>
                <w:bCs w:val="1"/>
                <w:color w:val="auto"/>
              </w:rPr>
              <w:t>Stock Awards</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19"/>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2"/>
                <w:szCs w:val="12"/>
                <w:b w:val="1"/>
                <w:bCs w:val="1"/>
                <w:color w:val="auto"/>
              </w:rPr>
              <w:t>Equity</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7"/>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Incentive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Market</w:t>
            </w:r>
          </w:p>
        </w:tc>
      </w:tr>
      <w:tr>
        <w:trPr>
          <w:trHeight w:val="137"/>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Plan Awards: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Plan Awards:</w:t>
            </w:r>
          </w:p>
        </w:tc>
        <w:tc>
          <w:tcPr>
            <w:tcW w:w="100" w:type="dxa"/>
            <w:vAlign w:val="bottom"/>
          </w:tcPr>
          <w:p>
            <w:pPr>
              <w:spacing w:after="0"/>
              <w:rPr>
                <w:sz w:val="11"/>
                <w:szCs w:val="11"/>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rPr>
              <w:t>Value of</w:t>
            </w:r>
          </w:p>
        </w:tc>
      </w:tr>
      <w:tr>
        <w:trPr>
          <w:trHeight w:val="137"/>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Market</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rPr>
              <w:t>Unearned</w:t>
            </w:r>
          </w:p>
        </w:tc>
      </w:tr>
      <w:tr>
        <w:trPr>
          <w:trHeight w:val="137"/>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Value of</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Shares</w:t>
            </w:r>
          </w:p>
        </w:tc>
      </w:tr>
      <w:tr>
        <w:trPr>
          <w:trHeight w:val="137"/>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Securities</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That</w:t>
            </w:r>
          </w:p>
        </w:tc>
      </w:tr>
      <w:tr>
        <w:trPr>
          <w:trHeight w:val="137"/>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8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80" w:type="dxa"/>
            <w:vAlign w:val="bottom"/>
          </w:tcPr>
          <w:p>
            <w:pPr>
              <w:spacing w:after="0"/>
              <w:rPr>
                <w:sz w:val="11"/>
                <w:szCs w:val="11"/>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Option</w:t>
            </w: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Option</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That Have</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That Have</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Have</w:t>
            </w:r>
          </w:p>
        </w:tc>
      </w:tr>
      <w:tr>
        <w:trPr>
          <w:trHeight w:val="137"/>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8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Unearned</w:t>
            </w:r>
          </w:p>
        </w:tc>
        <w:tc>
          <w:tcPr>
            <w:tcW w:w="80" w:type="dxa"/>
            <w:vAlign w:val="bottom"/>
          </w:tcPr>
          <w:p>
            <w:pPr>
              <w:spacing w:after="0"/>
              <w:rPr>
                <w:sz w:val="11"/>
                <w:szCs w:val="11"/>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Exercise</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Expiration</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9"/>
              </w:rPr>
              <w:t>Not</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Not</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Unearned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Not</w:t>
            </w:r>
          </w:p>
        </w:tc>
      </w:tr>
      <w:tr>
        <w:trPr>
          <w:trHeight w:val="160"/>
        </w:trPr>
        <w:tc>
          <w:tcPr>
            <w:tcW w:w="196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w w:val="97"/>
              </w:rPr>
              <w:t>Unexercisable</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w w:val="96"/>
              </w:rPr>
              <w:t>Options</w:t>
            </w:r>
            <w:r>
              <w:rPr>
                <w:rFonts w:ascii="Arial" w:cs="Arial" w:eastAsia="Arial" w:hAnsi="Arial"/>
                <w:sz w:val="18"/>
                <w:szCs w:val="18"/>
                <w:b w:val="1"/>
                <w:bCs w:val="1"/>
                <w:color w:val="auto"/>
                <w:w w:val="96"/>
                <w:vertAlign w:val="superscript"/>
              </w:rPr>
              <w:t>(2)</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0"/>
              </w:rPr>
              <w:t>Price</w:t>
            </w:r>
            <w:r>
              <w:rPr>
                <w:rFonts w:ascii="Arial" w:cs="Arial" w:eastAsia="Arial" w:hAnsi="Arial"/>
                <w:sz w:val="18"/>
                <w:szCs w:val="18"/>
                <w:b w:val="1"/>
                <w:bCs w:val="1"/>
                <w:color w:val="auto"/>
                <w:w w:val="90"/>
                <w:vertAlign w:val="superscript"/>
              </w:rPr>
              <w:t>(3)</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10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2"/>
              </w:rPr>
              <w:t>Vested</w:t>
            </w:r>
            <w:r>
              <w:rPr>
                <w:rFonts w:ascii="Arial" w:cs="Arial" w:eastAsia="Arial" w:hAnsi="Arial"/>
                <w:sz w:val="18"/>
                <w:szCs w:val="18"/>
                <w:b w:val="1"/>
                <w:bCs w:val="1"/>
                <w:color w:val="auto"/>
                <w:w w:val="92"/>
                <w:vertAlign w:val="superscript"/>
              </w:rPr>
              <w:t>(4)</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Vested</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1"/>
              </w:rPr>
              <w:t>Shares</w:t>
            </w:r>
            <w:r>
              <w:rPr>
                <w:rFonts w:ascii="Arial" w:cs="Arial" w:eastAsia="Arial" w:hAnsi="Arial"/>
                <w:sz w:val="18"/>
                <w:szCs w:val="18"/>
                <w:b w:val="1"/>
                <w:bCs w:val="1"/>
                <w:color w:val="auto"/>
                <w:w w:val="91"/>
                <w:vertAlign w:val="superscript"/>
              </w:rPr>
              <w:t>(5)</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rPr>
              <w:t>Vested</w:t>
            </w:r>
          </w:p>
        </w:tc>
        <w:tc>
          <w:tcPr>
            <w:tcW w:w="180" w:type="dxa"/>
            <w:vAlign w:val="bottom"/>
          </w:tcPr>
          <w:p>
            <w:pPr>
              <w:spacing w:after="0"/>
              <w:rPr>
                <w:sz w:val="13"/>
                <w:szCs w:val="13"/>
                <w:color w:val="auto"/>
              </w:rPr>
            </w:pPr>
          </w:p>
        </w:tc>
      </w:tr>
      <w:tr>
        <w:trPr>
          <w:trHeight w:val="106"/>
        </w:trPr>
        <w:tc>
          <w:tcPr>
            <w:tcW w:w="196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William B. Shepro</w:t>
            </w:r>
          </w:p>
        </w:tc>
        <w:tc>
          <w:tcPr>
            <w:tcW w:w="820" w:type="dxa"/>
            <w:vAlign w:val="bottom"/>
            <w:gridSpan w:val="2"/>
            <w:shd w:val="clear" w:color="auto" w:fill="CCEEFF"/>
          </w:tcPr>
          <w:p>
            <w:pPr>
              <w:jc w:val="right"/>
              <w:ind w:right="79"/>
              <w:spacing w:after="0" w:line="106" w:lineRule="exact"/>
              <w:rPr>
                <w:sz w:val="20"/>
                <w:szCs w:val="20"/>
                <w:color w:val="auto"/>
              </w:rPr>
            </w:pPr>
            <w:r>
              <w:rPr>
                <w:rFonts w:ascii="Arial" w:cs="Arial" w:eastAsia="Arial" w:hAnsi="Arial"/>
                <w:sz w:val="12"/>
                <w:szCs w:val="12"/>
                <w:color w:val="auto"/>
              </w:rPr>
              <w:t>34,375</w:t>
            </w:r>
          </w:p>
        </w:tc>
        <w:tc>
          <w:tcPr>
            <w:tcW w:w="1040" w:type="dxa"/>
            <w:vAlign w:val="bottom"/>
            <w:gridSpan w:val="3"/>
            <w:shd w:val="clear" w:color="auto" w:fill="CCEEFF"/>
          </w:tcPr>
          <w:p>
            <w:pPr>
              <w:ind w:left="760"/>
              <w:spacing w:after="0" w:line="106" w:lineRule="exact"/>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34"/>
              <w:spacing w:after="0" w:line="106"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line="106" w:lineRule="exact"/>
              <w:rPr>
                <w:sz w:val="20"/>
                <w:szCs w:val="20"/>
                <w:color w:val="auto"/>
              </w:rPr>
            </w:pPr>
            <w:r>
              <w:rPr>
                <w:rFonts w:ascii="Arial" w:cs="Arial" w:eastAsia="Arial" w:hAnsi="Arial"/>
                <w:sz w:val="12"/>
                <w:szCs w:val="12"/>
                <w:color w:val="auto"/>
              </w:rPr>
              <w:t>$9.14</w:t>
            </w:r>
          </w:p>
        </w:tc>
        <w:tc>
          <w:tcPr>
            <w:tcW w:w="72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9"/>
                <w:szCs w:val="9"/>
                <w:color w:val="auto"/>
              </w:rPr>
              <w:t>7/14/2018</w:t>
            </w:r>
            <w:r>
              <w:rPr>
                <w:rFonts w:ascii="Arial" w:cs="Arial" w:eastAsia="Arial" w:hAnsi="Arial"/>
                <w:sz w:val="12"/>
                <w:szCs w:val="12"/>
                <w:color w:val="auto"/>
                <w:vertAlign w:val="superscript"/>
              </w:rPr>
              <w:t>(6)</w:t>
            </w:r>
          </w:p>
        </w:tc>
        <w:tc>
          <w:tcPr>
            <w:tcW w:w="760" w:type="dxa"/>
            <w:vAlign w:val="bottom"/>
            <w:shd w:val="clear" w:color="auto" w:fill="CCEEFF"/>
          </w:tcPr>
          <w:p>
            <w:pPr>
              <w:jc w:val="right"/>
              <w:ind w:right="120"/>
              <w:spacing w:after="0" w:line="106" w:lineRule="exact"/>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line="106"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line="10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82,814</w:t>
            </w:r>
          </w:p>
        </w:tc>
        <w:tc>
          <w:tcPr>
            <w:tcW w:w="1040" w:type="dxa"/>
            <w:vAlign w:val="bottom"/>
            <w:gridSpan w:val="3"/>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$9.14</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0"/>
                <w:szCs w:val="10"/>
                <w:color w:val="auto"/>
              </w:rPr>
              <w:t>7/14/2018</w:t>
            </w:r>
            <w:r>
              <w:rPr>
                <w:rFonts w:ascii="Arial" w:cs="Arial" w:eastAsia="Arial" w:hAnsi="Arial"/>
                <w:sz w:val="15"/>
                <w:szCs w:val="15"/>
                <w:color w:val="auto"/>
                <w:vertAlign w:val="superscript"/>
              </w:rPr>
              <w:t>(6)</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60"/>
        </w:trPr>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51,562</w:t>
            </w:r>
          </w:p>
        </w:tc>
        <w:tc>
          <w:tcPr>
            <w:tcW w:w="1040" w:type="dxa"/>
            <w:vAlign w:val="bottom"/>
            <w:gridSpan w:val="3"/>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$9.14</w:t>
            </w:r>
          </w:p>
        </w:tc>
        <w:tc>
          <w:tcPr>
            <w:tcW w:w="72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2"/>
                <w:szCs w:val="12"/>
                <w:color w:val="auto"/>
              </w:rPr>
              <w:t>7/14/2018</w:t>
            </w:r>
            <w:r>
              <w:rPr>
                <w:rFonts w:ascii="Arial" w:cs="Arial" w:eastAsia="Arial" w:hAnsi="Arial"/>
                <w:sz w:val="18"/>
                <w:szCs w:val="18"/>
                <w:color w:val="auto"/>
                <w:vertAlign w:val="superscript"/>
              </w:rPr>
              <w:t>(6)</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60,000</w:t>
            </w:r>
          </w:p>
        </w:tc>
        <w:tc>
          <w:tcPr>
            <w:tcW w:w="1040" w:type="dxa"/>
            <w:vAlign w:val="bottom"/>
            <w:gridSpan w:val="3"/>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$23.80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5/19/2020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120,000</w:t>
            </w:r>
          </w:p>
        </w:tc>
        <w:tc>
          <w:tcPr>
            <w:tcW w:w="1040" w:type="dxa"/>
            <w:vAlign w:val="bottom"/>
            <w:gridSpan w:val="3"/>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$23.80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5/19/2020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14"/>
        </w:trPr>
        <w:tc>
          <w:tcPr>
            <w:tcW w:w="1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60,000</w:t>
            </w: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ind w:left="680"/>
              <w:spacing w:after="0" w:line="115" w:lineRule="exact"/>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34"/>
              <w:spacing w:after="0" w:line="115"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line="115" w:lineRule="exact"/>
              <w:rPr>
                <w:sz w:val="20"/>
                <w:szCs w:val="20"/>
                <w:color w:val="auto"/>
              </w:rPr>
            </w:pPr>
            <w:r>
              <w:rPr>
                <w:rFonts w:ascii="Arial" w:cs="Arial" w:eastAsia="Arial" w:hAnsi="Arial"/>
                <w:sz w:val="12"/>
                <w:szCs w:val="12"/>
                <w:color w:val="auto"/>
              </w:rPr>
              <w:t>$23.80</w:t>
            </w: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5/19/2020</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0"/>
              <w:spacing w:after="0" w:line="115" w:lineRule="exact"/>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line="115"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line="11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34,933</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2"/>
              </w:rPr>
              <w:t>17,467</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w w:val="90"/>
              </w:rPr>
              <w:t>(7)</w:t>
            </w:r>
          </w:p>
        </w:tc>
        <w:tc>
          <w:tcPr>
            <w:tcW w:w="860" w:type="dxa"/>
            <w:vAlign w:val="bottom"/>
            <w:gridSpan w:val="3"/>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$18.79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4/15/2025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680"/>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
              <w:spacing w:after="0" w:line="138" w:lineRule="exact"/>
              <w:rPr>
                <w:sz w:val="20"/>
                <w:szCs w:val="20"/>
                <w:color w:val="auto"/>
              </w:rPr>
            </w:pPr>
            <w:r>
              <w:rPr>
                <w:rFonts w:ascii="Arial" w:cs="Arial" w:eastAsia="Arial" w:hAnsi="Arial"/>
                <w:sz w:val="10"/>
                <w:szCs w:val="10"/>
                <w:color w:val="auto"/>
              </w:rPr>
              <w:t>10,594</w:t>
            </w:r>
            <w:r>
              <w:rPr>
                <w:rFonts w:ascii="Arial" w:cs="Arial" w:eastAsia="Arial" w:hAnsi="Arial"/>
                <w:sz w:val="15"/>
                <w:szCs w:val="15"/>
                <w:color w:val="auto"/>
                <w:vertAlign w:val="superscript"/>
              </w:rPr>
              <w:t>(8)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680"/>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
              <w:spacing w:after="0" w:line="138" w:lineRule="exact"/>
              <w:rPr>
                <w:sz w:val="20"/>
                <w:szCs w:val="20"/>
                <w:color w:val="auto"/>
              </w:rPr>
            </w:pPr>
            <w:r>
              <w:rPr>
                <w:rFonts w:ascii="Arial" w:cs="Arial" w:eastAsia="Arial" w:hAnsi="Arial"/>
                <w:sz w:val="10"/>
                <w:szCs w:val="10"/>
                <w:color w:val="auto"/>
              </w:rPr>
              <w:t>10,593</w:t>
            </w:r>
            <w:r>
              <w:rPr>
                <w:rFonts w:ascii="Arial" w:cs="Arial" w:eastAsia="Arial" w:hAnsi="Arial"/>
                <w:sz w:val="15"/>
                <w:szCs w:val="15"/>
                <w:color w:val="auto"/>
                <w:vertAlign w:val="superscript"/>
              </w:rPr>
              <w:t>(8)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680"/>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20,303</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9"/>
                <w:szCs w:val="9"/>
                <w:color w:val="auto"/>
                <w:w w:val="90"/>
              </w:rPr>
              <w:t>(9)</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680"/>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37,733</w:t>
            </w:r>
            <w:r>
              <w:rPr>
                <w:rFonts w:ascii="Arial" w:cs="Arial" w:eastAsia="Arial" w:hAnsi="Arial"/>
                <w:sz w:val="15"/>
                <w:szCs w:val="15"/>
                <w:color w:val="auto"/>
                <w:vertAlign w:val="superscript"/>
              </w:rPr>
              <w:t>(10)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$1,056,524</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60"/>
        </w:trPr>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ind w:left="680"/>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60" w:lineRule="exact"/>
              <w:rPr>
                <w:sz w:val="20"/>
                <w:szCs w:val="20"/>
                <w:color w:val="auto"/>
              </w:rPr>
            </w:pPr>
            <w:r>
              <w:rPr>
                <w:rFonts w:ascii="Arial" w:cs="Arial" w:eastAsia="Arial" w:hAnsi="Arial"/>
                <w:sz w:val="12"/>
                <w:szCs w:val="12"/>
                <w:color w:val="auto"/>
              </w:rPr>
              <w:t>12,927</w:t>
            </w:r>
            <w:r>
              <w:rPr>
                <w:rFonts w:ascii="Arial" w:cs="Arial" w:eastAsia="Arial" w:hAnsi="Arial"/>
                <w:sz w:val="18"/>
                <w:szCs w:val="18"/>
                <w:color w:val="auto"/>
                <w:vertAlign w:val="superscript"/>
              </w:rPr>
              <w:t>(11)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$361,956</w:t>
            </w:r>
          </w:p>
        </w:tc>
        <w:tc>
          <w:tcPr>
            <w:tcW w:w="780" w:type="dxa"/>
            <w:vAlign w:val="bottom"/>
            <w:shd w:val="clear" w:color="auto" w:fill="CCEEFF"/>
          </w:tcPr>
          <w:p>
            <w:pPr>
              <w:jc w:val="right"/>
              <w:spacing w:after="0" w:line="160" w:lineRule="exact"/>
              <w:rPr>
                <w:sz w:val="20"/>
                <w:szCs w:val="20"/>
                <w:color w:val="auto"/>
              </w:rPr>
            </w:pPr>
            <w:r>
              <w:rPr>
                <w:rFonts w:ascii="Arial" w:cs="Arial" w:eastAsia="Arial" w:hAnsi="Arial"/>
                <w:sz w:val="12"/>
                <w:szCs w:val="12"/>
                <w:color w:val="auto"/>
              </w:rPr>
              <w:t>12,926</w:t>
            </w:r>
            <w:r>
              <w:rPr>
                <w:rFonts w:ascii="Arial" w:cs="Arial" w:eastAsia="Arial" w:hAnsi="Arial"/>
                <w:sz w:val="18"/>
                <w:szCs w:val="18"/>
                <w:color w:val="auto"/>
                <w:vertAlign w:val="superscript"/>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361,928</w:t>
            </w:r>
          </w:p>
        </w:tc>
        <w:tc>
          <w:tcPr>
            <w:tcW w:w="180" w:type="dxa"/>
            <w:vAlign w:val="bottom"/>
            <w:shd w:val="clear" w:color="auto" w:fill="CCEEFF"/>
          </w:tcPr>
          <w:p>
            <w:pPr>
              <w:spacing w:after="0"/>
              <w:rPr>
                <w:sz w:val="13"/>
                <w:szCs w:val="13"/>
                <w:color w:val="auto"/>
              </w:rPr>
            </w:pPr>
          </w:p>
        </w:tc>
      </w:tr>
      <w:tr>
        <w:trPr>
          <w:trHeight w:val="320"/>
        </w:trPr>
        <w:tc>
          <w:tcPr>
            <w:tcW w:w="1960" w:type="dxa"/>
            <w:vAlign w:val="bottom"/>
          </w:tcPr>
          <w:p>
            <w:pPr>
              <w:spacing w:after="0"/>
              <w:rPr>
                <w:sz w:val="20"/>
                <w:szCs w:val="20"/>
                <w:color w:val="auto"/>
              </w:rPr>
            </w:pPr>
            <w:r>
              <w:rPr>
                <w:rFonts w:ascii="Arial" w:cs="Arial" w:eastAsia="Arial" w:hAnsi="Arial"/>
                <w:sz w:val="12"/>
                <w:szCs w:val="12"/>
                <w:color w:val="auto"/>
              </w:rPr>
              <w:t>Kevin J. Wilcox</w:t>
            </w: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25,833</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$9.14</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7/14/2018</w:t>
            </w:r>
            <w:r>
              <w:rPr>
                <w:rFonts w:ascii="Arial" w:cs="Arial" w:eastAsia="Arial" w:hAnsi="Arial"/>
                <w:sz w:val="18"/>
                <w:szCs w:val="18"/>
                <w:color w:val="auto"/>
                <w:vertAlign w:val="superscript"/>
              </w:rPr>
              <w:t>(6)</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52,918</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$9.14</w:t>
            </w:r>
          </w:p>
        </w:tc>
        <w:tc>
          <w:tcPr>
            <w:tcW w:w="72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7/14/2018</w:t>
            </w:r>
            <w:r>
              <w:rPr>
                <w:rFonts w:ascii="Arial" w:cs="Arial" w:eastAsia="Arial" w:hAnsi="Arial"/>
                <w:sz w:val="15"/>
                <w:szCs w:val="15"/>
                <w:color w:val="auto"/>
                <w:vertAlign w:val="superscript"/>
              </w:rPr>
              <w:t>(6)</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64"/>
        </w:trPr>
        <w:tc>
          <w:tcPr>
            <w:tcW w:w="1960" w:type="dxa"/>
            <w:vAlign w:val="bottom"/>
          </w:tcPr>
          <w:p>
            <w:pPr>
              <w:spacing w:after="0"/>
              <w:rPr>
                <w:sz w:val="14"/>
                <w:szCs w:val="14"/>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38,750</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$9.14</w:t>
            </w:r>
          </w:p>
        </w:tc>
        <w:tc>
          <w:tcPr>
            <w:tcW w:w="720" w:type="dxa"/>
            <w:vAlign w:val="bottom"/>
            <w:gridSpan w:val="2"/>
          </w:tcPr>
          <w:p>
            <w:pPr>
              <w:jc w:val="right"/>
              <w:spacing w:after="0" w:line="164" w:lineRule="exact"/>
              <w:rPr>
                <w:sz w:val="20"/>
                <w:szCs w:val="20"/>
                <w:color w:val="auto"/>
              </w:rPr>
            </w:pPr>
            <w:r>
              <w:rPr>
                <w:rFonts w:ascii="Arial" w:cs="Arial" w:eastAsia="Arial" w:hAnsi="Arial"/>
                <w:sz w:val="12"/>
                <w:szCs w:val="12"/>
                <w:color w:val="auto"/>
              </w:rPr>
              <w:t>7/14/2018</w:t>
            </w:r>
            <w:r>
              <w:rPr>
                <w:rFonts w:ascii="Arial" w:cs="Arial" w:eastAsia="Arial" w:hAnsi="Arial"/>
                <w:sz w:val="18"/>
                <w:szCs w:val="18"/>
                <w:color w:val="auto"/>
                <w:vertAlign w:val="superscript"/>
              </w:rPr>
              <w:t>(6)</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30,000</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$23.80</w:t>
            </w:r>
          </w:p>
        </w:tc>
        <w:tc>
          <w:tcPr>
            <w:tcW w:w="620" w:type="dxa"/>
            <w:vAlign w:val="bottom"/>
          </w:tcPr>
          <w:p>
            <w:pPr>
              <w:jc w:val="right"/>
              <w:spacing w:after="0"/>
              <w:rPr>
                <w:sz w:val="20"/>
                <w:szCs w:val="20"/>
                <w:color w:val="auto"/>
              </w:rPr>
            </w:pPr>
            <w:r>
              <w:rPr>
                <w:rFonts w:ascii="Arial" w:cs="Arial" w:eastAsia="Arial" w:hAnsi="Arial"/>
                <w:sz w:val="12"/>
                <w:szCs w:val="12"/>
                <w:color w:val="auto"/>
              </w:rPr>
              <w:t>5/19/2020</w:t>
            </w:r>
          </w:p>
        </w:tc>
        <w:tc>
          <w:tcPr>
            <w:tcW w:w="100" w:type="dxa"/>
            <w:vAlign w:val="bottom"/>
          </w:tcPr>
          <w:p>
            <w:pPr>
              <w:spacing w:after="0"/>
              <w:rPr>
                <w:sz w:val="11"/>
                <w:szCs w:val="11"/>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60,000</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$23.80</w:t>
            </w:r>
          </w:p>
        </w:tc>
        <w:tc>
          <w:tcPr>
            <w:tcW w:w="620" w:type="dxa"/>
            <w:vAlign w:val="bottom"/>
          </w:tcPr>
          <w:p>
            <w:pPr>
              <w:jc w:val="right"/>
              <w:spacing w:after="0"/>
              <w:rPr>
                <w:sz w:val="20"/>
                <w:szCs w:val="20"/>
                <w:color w:val="auto"/>
              </w:rPr>
            </w:pPr>
            <w:r>
              <w:rPr>
                <w:rFonts w:ascii="Arial" w:cs="Arial" w:eastAsia="Arial" w:hAnsi="Arial"/>
                <w:sz w:val="12"/>
                <w:szCs w:val="12"/>
                <w:color w:val="auto"/>
              </w:rPr>
              <w:t>5/19/2020</w:t>
            </w:r>
          </w:p>
        </w:tc>
        <w:tc>
          <w:tcPr>
            <w:tcW w:w="100" w:type="dxa"/>
            <w:vAlign w:val="bottom"/>
          </w:tcPr>
          <w:p>
            <w:pPr>
              <w:spacing w:after="0"/>
              <w:rPr>
                <w:sz w:val="11"/>
                <w:szCs w:val="11"/>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10"/>
        </w:trPr>
        <w:tc>
          <w:tcPr>
            <w:tcW w:w="1960" w:type="dxa"/>
            <w:vAlign w:val="bottom"/>
          </w:tcPr>
          <w:p>
            <w:pPr>
              <w:spacing w:after="0"/>
              <w:rPr>
                <w:sz w:val="9"/>
                <w:szCs w:val="9"/>
                <w:color w:val="auto"/>
              </w:rPr>
            </w:pPr>
          </w:p>
        </w:tc>
        <w:tc>
          <w:tcPr>
            <w:tcW w:w="820" w:type="dxa"/>
            <w:vAlign w:val="bottom"/>
            <w:gridSpan w:val="2"/>
          </w:tcPr>
          <w:p>
            <w:pPr>
              <w:jc w:val="right"/>
              <w:ind w:right="79"/>
              <w:spacing w:after="0" w:line="111" w:lineRule="exact"/>
              <w:rPr>
                <w:sz w:val="20"/>
                <w:szCs w:val="20"/>
                <w:color w:val="auto"/>
              </w:rPr>
            </w:pPr>
            <w:r>
              <w:rPr>
                <w:rFonts w:ascii="Arial" w:cs="Arial" w:eastAsia="Arial" w:hAnsi="Arial"/>
                <w:sz w:val="12"/>
                <w:szCs w:val="12"/>
                <w:color w:val="auto"/>
              </w:rPr>
              <w:t>30,000</w:t>
            </w:r>
          </w:p>
        </w:tc>
        <w:tc>
          <w:tcPr>
            <w:tcW w:w="1040" w:type="dxa"/>
            <w:vAlign w:val="bottom"/>
            <w:gridSpan w:val="3"/>
          </w:tcPr>
          <w:p>
            <w:pPr>
              <w:ind w:left="760"/>
              <w:spacing w:after="0" w:line="111" w:lineRule="exact"/>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line="111" w:lineRule="exact"/>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line="111" w:lineRule="exact"/>
              <w:rPr>
                <w:sz w:val="20"/>
                <w:szCs w:val="20"/>
                <w:color w:val="auto"/>
              </w:rPr>
            </w:pPr>
            <w:r>
              <w:rPr>
                <w:rFonts w:ascii="Arial" w:cs="Arial" w:eastAsia="Arial" w:hAnsi="Arial"/>
                <w:sz w:val="12"/>
                <w:szCs w:val="12"/>
                <w:color w:val="auto"/>
              </w:rPr>
              <w:t>$23.80</w:t>
            </w:r>
          </w:p>
        </w:tc>
        <w:tc>
          <w:tcPr>
            <w:tcW w:w="620" w:type="dxa"/>
            <w:vAlign w:val="bottom"/>
          </w:tcPr>
          <w:p>
            <w:pPr>
              <w:jc w:val="right"/>
              <w:spacing w:after="0" w:line="111" w:lineRule="exact"/>
              <w:rPr>
                <w:sz w:val="20"/>
                <w:szCs w:val="20"/>
                <w:color w:val="auto"/>
              </w:rPr>
            </w:pPr>
            <w:r>
              <w:rPr>
                <w:rFonts w:ascii="Arial" w:cs="Arial" w:eastAsia="Arial" w:hAnsi="Arial"/>
                <w:sz w:val="12"/>
                <w:szCs w:val="12"/>
                <w:color w:val="auto"/>
              </w:rPr>
              <w:t>5/19/2020</w:t>
            </w:r>
          </w:p>
        </w:tc>
        <w:tc>
          <w:tcPr>
            <w:tcW w:w="100" w:type="dxa"/>
            <w:vAlign w:val="bottom"/>
          </w:tcPr>
          <w:p>
            <w:pPr>
              <w:spacing w:after="0"/>
              <w:rPr>
                <w:sz w:val="9"/>
                <w:szCs w:val="9"/>
                <w:color w:val="auto"/>
              </w:rPr>
            </w:pPr>
          </w:p>
        </w:tc>
        <w:tc>
          <w:tcPr>
            <w:tcW w:w="760" w:type="dxa"/>
            <w:vAlign w:val="bottom"/>
          </w:tcPr>
          <w:p>
            <w:pPr>
              <w:jc w:val="right"/>
              <w:ind w:right="120"/>
              <w:spacing w:after="0" w:line="111" w:lineRule="exact"/>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line="11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line="11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12,667</w:t>
            </w:r>
          </w:p>
        </w:tc>
        <w:tc>
          <w:tcPr>
            <w:tcW w:w="1040" w:type="dxa"/>
            <w:vAlign w:val="bottom"/>
            <w:gridSpan w:val="3"/>
          </w:tcPr>
          <w:p>
            <w:pPr>
              <w:jc w:val="right"/>
              <w:ind w:right="74"/>
              <w:spacing w:after="0" w:line="138" w:lineRule="exact"/>
              <w:rPr>
                <w:sz w:val="20"/>
                <w:szCs w:val="20"/>
                <w:color w:val="auto"/>
              </w:rPr>
            </w:pPr>
            <w:r>
              <w:rPr>
                <w:rFonts w:ascii="Arial" w:cs="Arial" w:eastAsia="Arial" w:hAnsi="Arial"/>
                <w:sz w:val="10"/>
                <w:szCs w:val="10"/>
                <w:color w:val="auto"/>
              </w:rPr>
              <w:t>6,333</w:t>
            </w:r>
            <w:r>
              <w:rPr>
                <w:rFonts w:ascii="Arial" w:cs="Arial" w:eastAsia="Arial" w:hAnsi="Arial"/>
                <w:sz w:val="15"/>
                <w:szCs w:val="15"/>
                <w:color w:val="auto"/>
                <w:vertAlign w:val="superscript"/>
              </w:rPr>
              <w:t>(7)</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$18.79</w:t>
            </w:r>
          </w:p>
        </w:tc>
        <w:tc>
          <w:tcPr>
            <w:tcW w:w="620" w:type="dxa"/>
            <w:vAlign w:val="bottom"/>
          </w:tcPr>
          <w:p>
            <w:pPr>
              <w:jc w:val="right"/>
              <w:spacing w:after="0"/>
              <w:rPr>
                <w:sz w:val="20"/>
                <w:szCs w:val="20"/>
                <w:color w:val="auto"/>
              </w:rPr>
            </w:pPr>
            <w:r>
              <w:rPr>
                <w:rFonts w:ascii="Arial" w:cs="Arial" w:eastAsia="Arial" w:hAnsi="Arial"/>
                <w:sz w:val="12"/>
                <w:szCs w:val="12"/>
                <w:color w:val="auto"/>
              </w:rPr>
              <w:t>4/15/2025</w:t>
            </w:r>
          </w:p>
        </w:tc>
        <w:tc>
          <w:tcPr>
            <w:tcW w:w="100" w:type="dxa"/>
            <w:vAlign w:val="bottom"/>
          </w:tcPr>
          <w:p>
            <w:pPr>
              <w:spacing w:after="0"/>
              <w:rPr>
                <w:sz w:val="11"/>
                <w:szCs w:val="11"/>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3,461</w:t>
            </w:r>
            <w:r>
              <w:rPr>
                <w:rFonts w:ascii="Arial" w:cs="Arial" w:eastAsia="Arial" w:hAnsi="Arial"/>
                <w:sz w:val="15"/>
                <w:szCs w:val="15"/>
                <w:color w:val="auto"/>
                <w:vertAlign w:val="superscript"/>
              </w:rPr>
              <w:t>(8)</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3,460</w:t>
            </w:r>
            <w:r>
              <w:rPr>
                <w:rFonts w:ascii="Arial" w:cs="Arial" w:eastAsia="Arial" w:hAnsi="Arial"/>
                <w:sz w:val="15"/>
                <w:szCs w:val="15"/>
                <w:color w:val="auto"/>
                <w:vertAlign w:val="superscript"/>
              </w:rPr>
              <w:t>(8)</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2,842</w:t>
            </w:r>
            <w:r>
              <w:rPr>
                <w:rFonts w:ascii="Arial" w:cs="Arial" w:eastAsia="Arial" w:hAnsi="Arial"/>
                <w:sz w:val="15"/>
                <w:szCs w:val="15"/>
                <w:color w:val="auto"/>
                <w:vertAlign w:val="superscript"/>
              </w:rPr>
              <w:t>(9)</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0"/>
                <w:szCs w:val="10"/>
                <w:color w:val="auto"/>
              </w:rPr>
              <w:t>13,667</w:t>
            </w:r>
            <w:r>
              <w:rPr>
                <w:rFonts w:ascii="Arial" w:cs="Arial" w:eastAsia="Arial" w:hAnsi="Arial"/>
                <w:sz w:val="15"/>
                <w:szCs w:val="15"/>
                <w:color w:val="auto"/>
                <w:vertAlign w:val="superscript"/>
              </w:rPr>
              <w:t>(10)</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$382,676</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60"/>
        </w:trPr>
        <w:tc>
          <w:tcPr>
            <w:tcW w:w="1960" w:type="dxa"/>
            <w:vAlign w:val="bottom"/>
          </w:tcPr>
          <w:p>
            <w:pPr>
              <w:spacing w:after="0"/>
              <w:rPr>
                <w:sz w:val="13"/>
                <w:szCs w:val="13"/>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60" w:lineRule="exact"/>
              <w:rPr>
                <w:sz w:val="20"/>
                <w:szCs w:val="20"/>
                <w:color w:val="auto"/>
              </w:rPr>
            </w:pPr>
            <w:r>
              <w:rPr>
                <w:rFonts w:ascii="Arial" w:cs="Arial" w:eastAsia="Arial" w:hAnsi="Arial"/>
                <w:sz w:val="12"/>
                <w:szCs w:val="12"/>
                <w:color w:val="auto"/>
              </w:rPr>
              <w:t>3,016</w:t>
            </w:r>
            <w:r>
              <w:rPr>
                <w:rFonts w:ascii="Arial" w:cs="Arial" w:eastAsia="Arial" w:hAnsi="Arial"/>
                <w:sz w:val="18"/>
                <w:szCs w:val="18"/>
                <w:color w:val="auto"/>
                <w:vertAlign w:val="superscript"/>
              </w:rPr>
              <w:t>(11)</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$84,448</w:t>
            </w:r>
          </w:p>
        </w:tc>
        <w:tc>
          <w:tcPr>
            <w:tcW w:w="780" w:type="dxa"/>
            <w:vAlign w:val="bottom"/>
          </w:tcPr>
          <w:p>
            <w:pPr>
              <w:jc w:val="right"/>
              <w:spacing w:after="0" w:line="160" w:lineRule="exact"/>
              <w:rPr>
                <w:sz w:val="20"/>
                <w:szCs w:val="20"/>
                <w:color w:val="auto"/>
              </w:rPr>
            </w:pPr>
            <w:r>
              <w:rPr>
                <w:rFonts w:ascii="Arial" w:cs="Arial" w:eastAsia="Arial" w:hAnsi="Arial"/>
                <w:sz w:val="12"/>
                <w:szCs w:val="12"/>
                <w:color w:val="auto"/>
              </w:rPr>
              <w:t>3,016</w:t>
            </w:r>
            <w:r>
              <w:rPr>
                <w:rFonts w:ascii="Arial" w:cs="Arial" w:eastAsia="Arial" w:hAnsi="Arial"/>
                <w:sz w:val="18"/>
                <w:szCs w:val="18"/>
                <w:color w:val="auto"/>
                <w:vertAlign w:val="superscript"/>
              </w:rPr>
              <w:t>(12)</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84,448</w:t>
            </w:r>
          </w:p>
        </w:tc>
        <w:tc>
          <w:tcPr>
            <w:tcW w:w="180" w:type="dxa"/>
            <w:vAlign w:val="bottom"/>
          </w:tcPr>
          <w:p>
            <w:pPr>
              <w:spacing w:after="0"/>
              <w:rPr>
                <w:sz w:val="13"/>
                <w:szCs w:val="13"/>
                <w:color w:val="auto"/>
              </w:rPr>
            </w:pPr>
          </w:p>
        </w:tc>
      </w:tr>
      <w:tr>
        <w:trPr>
          <w:trHeight w:val="320"/>
        </w:trPr>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rPr>
              <w:t>Indroneel Chatterjee</w:t>
            </w:r>
          </w:p>
        </w:tc>
        <w:tc>
          <w:tcPr>
            <w:tcW w:w="82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13,333</w:t>
            </w:r>
            <w:r>
              <w:rPr>
                <w:rFonts w:ascii="Arial" w:cs="Arial" w:eastAsia="Arial" w:hAnsi="Arial"/>
                <w:sz w:val="18"/>
                <w:szCs w:val="18"/>
                <w:color w:val="auto"/>
                <w:vertAlign w:val="superscript"/>
              </w:rPr>
              <w:t>(13)</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$27.29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10/5/2027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4"/>
                <w:szCs w:val="24"/>
                <w:color w:val="auto"/>
              </w:rPr>
            </w:pPr>
          </w:p>
        </w:tc>
      </w:tr>
      <w:tr>
        <w:trPr>
          <w:trHeight w:val="137"/>
        </w:trPr>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0"/>
                <w:szCs w:val="10"/>
                <w:color w:val="auto"/>
              </w:rPr>
              <w:t>6,667</w:t>
            </w:r>
            <w:r>
              <w:rPr>
                <w:rFonts w:ascii="Arial" w:cs="Arial" w:eastAsia="Arial" w:hAnsi="Arial"/>
                <w:sz w:val="15"/>
                <w:szCs w:val="15"/>
                <w:color w:val="auto"/>
                <w:vertAlign w:val="superscript"/>
              </w:rPr>
              <w:t>(14)</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$27.29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10/5/2027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r>
      <w:tr>
        <w:trPr>
          <w:trHeight w:val="160"/>
        </w:trPr>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60" w:lineRule="exact"/>
              <w:rPr>
                <w:sz w:val="20"/>
                <w:szCs w:val="20"/>
                <w:color w:val="auto"/>
              </w:rPr>
            </w:pPr>
            <w:r>
              <w:rPr>
                <w:rFonts w:ascii="Arial" w:cs="Arial" w:eastAsia="Arial" w:hAnsi="Arial"/>
                <w:sz w:val="12"/>
                <w:szCs w:val="12"/>
                <w:color w:val="auto"/>
              </w:rPr>
              <w:t>19,533</w:t>
            </w:r>
            <w:r>
              <w:rPr>
                <w:rFonts w:ascii="Arial" w:cs="Arial" w:eastAsia="Arial" w:hAnsi="Arial"/>
                <w:sz w:val="18"/>
                <w:szCs w:val="18"/>
                <w:color w:val="auto"/>
                <w:vertAlign w:val="superscript"/>
              </w:rPr>
              <w:t>(15)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$546,924</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r>
      <w:tr>
        <w:trPr>
          <w:trHeight w:val="347"/>
        </w:trPr>
        <w:tc>
          <w:tcPr>
            <w:tcW w:w="1960" w:type="dxa"/>
            <w:vAlign w:val="bottom"/>
          </w:tcPr>
          <w:p>
            <w:pPr>
              <w:spacing w:after="0"/>
              <w:rPr>
                <w:sz w:val="20"/>
                <w:szCs w:val="20"/>
                <w:color w:val="auto"/>
              </w:rPr>
            </w:pPr>
            <w:r>
              <w:rPr>
                <w:rFonts w:ascii="Arial" w:cs="Arial" w:eastAsia="Arial" w:hAnsi="Arial"/>
                <w:sz w:val="12"/>
                <w:szCs w:val="12"/>
                <w:color w:val="auto"/>
              </w:rPr>
              <w:t>Michelle D. Esterman</w:t>
            </w: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14,625</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$60.76</w:t>
            </w:r>
          </w:p>
        </w:tc>
        <w:tc>
          <w:tcPr>
            <w:tcW w:w="620" w:type="dxa"/>
            <w:vAlign w:val="bottom"/>
          </w:tcPr>
          <w:p>
            <w:pPr>
              <w:jc w:val="right"/>
              <w:spacing w:after="0"/>
              <w:rPr>
                <w:sz w:val="20"/>
                <w:szCs w:val="20"/>
                <w:color w:val="auto"/>
              </w:rPr>
            </w:pPr>
            <w:r>
              <w:rPr>
                <w:rFonts w:ascii="Arial" w:cs="Arial" w:eastAsia="Arial" w:hAnsi="Arial"/>
                <w:sz w:val="12"/>
                <w:szCs w:val="12"/>
                <w:color w:val="auto"/>
              </w:rPr>
              <w:t>3/12/2022</w:t>
            </w:r>
          </w:p>
        </w:tc>
        <w:tc>
          <w:tcPr>
            <w:tcW w:w="100" w:type="dxa"/>
            <w:vAlign w:val="bottom"/>
          </w:tcPr>
          <w:p>
            <w:pPr>
              <w:spacing w:after="0"/>
              <w:rPr>
                <w:sz w:val="24"/>
                <w:szCs w:val="24"/>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r>
      <w:tr>
        <w:trPr>
          <w:trHeight w:val="110"/>
        </w:trPr>
        <w:tc>
          <w:tcPr>
            <w:tcW w:w="1960" w:type="dxa"/>
            <w:vAlign w:val="bottom"/>
          </w:tcPr>
          <w:p>
            <w:pPr>
              <w:spacing w:after="0"/>
              <w:rPr>
                <w:sz w:val="9"/>
                <w:szCs w:val="9"/>
                <w:color w:val="auto"/>
              </w:rPr>
            </w:pPr>
          </w:p>
        </w:tc>
        <w:tc>
          <w:tcPr>
            <w:tcW w:w="820" w:type="dxa"/>
            <w:vAlign w:val="bottom"/>
            <w:gridSpan w:val="2"/>
          </w:tcPr>
          <w:p>
            <w:pPr>
              <w:jc w:val="right"/>
              <w:ind w:right="79"/>
              <w:spacing w:after="0" w:line="111" w:lineRule="exact"/>
              <w:rPr>
                <w:sz w:val="20"/>
                <w:szCs w:val="20"/>
                <w:color w:val="auto"/>
              </w:rPr>
            </w:pPr>
            <w:r>
              <w:rPr>
                <w:rFonts w:ascii="Arial" w:cs="Arial" w:eastAsia="Arial" w:hAnsi="Arial"/>
                <w:sz w:val="12"/>
                <w:szCs w:val="12"/>
                <w:color w:val="auto"/>
              </w:rPr>
              <w:t>29,250</w:t>
            </w:r>
          </w:p>
        </w:tc>
        <w:tc>
          <w:tcPr>
            <w:tcW w:w="1040" w:type="dxa"/>
            <w:vAlign w:val="bottom"/>
            <w:gridSpan w:val="3"/>
          </w:tcPr>
          <w:p>
            <w:pPr>
              <w:ind w:left="760"/>
              <w:spacing w:after="0" w:line="111" w:lineRule="exact"/>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line="111" w:lineRule="exact"/>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line="111" w:lineRule="exact"/>
              <w:rPr>
                <w:sz w:val="20"/>
                <w:szCs w:val="20"/>
                <w:color w:val="auto"/>
              </w:rPr>
            </w:pPr>
            <w:r>
              <w:rPr>
                <w:rFonts w:ascii="Arial" w:cs="Arial" w:eastAsia="Arial" w:hAnsi="Arial"/>
                <w:sz w:val="12"/>
                <w:szCs w:val="12"/>
                <w:color w:val="auto"/>
              </w:rPr>
              <w:t>$60.76</w:t>
            </w:r>
          </w:p>
        </w:tc>
        <w:tc>
          <w:tcPr>
            <w:tcW w:w="620" w:type="dxa"/>
            <w:vAlign w:val="bottom"/>
          </w:tcPr>
          <w:p>
            <w:pPr>
              <w:jc w:val="right"/>
              <w:spacing w:after="0" w:line="111" w:lineRule="exact"/>
              <w:rPr>
                <w:sz w:val="20"/>
                <w:szCs w:val="20"/>
                <w:color w:val="auto"/>
              </w:rPr>
            </w:pPr>
            <w:r>
              <w:rPr>
                <w:rFonts w:ascii="Arial" w:cs="Arial" w:eastAsia="Arial" w:hAnsi="Arial"/>
                <w:sz w:val="12"/>
                <w:szCs w:val="12"/>
                <w:color w:val="auto"/>
              </w:rPr>
              <w:t>3/12/2022</w:t>
            </w:r>
          </w:p>
        </w:tc>
        <w:tc>
          <w:tcPr>
            <w:tcW w:w="100" w:type="dxa"/>
            <w:vAlign w:val="bottom"/>
          </w:tcPr>
          <w:p>
            <w:pPr>
              <w:spacing w:after="0"/>
              <w:rPr>
                <w:sz w:val="9"/>
                <w:szCs w:val="9"/>
                <w:color w:val="auto"/>
              </w:rPr>
            </w:pPr>
          </w:p>
        </w:tc>
        <w:tc>
          <w:tcPr>
            <w:tcW w:w="760" w:type="dxa"/>
            <w:vAlign w:val="bottom"/>
          </w:tcPr>
          <w:p>
            <w:pPr>
              <w:jc w:val="right"/>
              <w:ind w:right="120"/>
              <w:spacing w:after="0" w:line="111" w:lineRule="exact"/>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line="11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line="11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14,625</w:t>
            </w:r>
            <w:r>
              <w:rPr>
                <w:rFonts w:ascii="Arial" w:cs="Arial" w:eastAsia="Arial" w:hAnsi="Arial"/>
                <w:sz w:val="15"/>
                <w:szCs w:val="15"/>
                <w:color w:val="auto"/>
                <w:vertAlign w:val="superscript"/>
              </w:rPr>
              <w:t>(16)</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$60.76</w:t>
            </w:r>
          </w:p>
        </w:tc>
        <w:tc>
          <w:tcPr>
            <w:tcW w:w="620" w:type="dxa"/>
            <w:vAlign w:val="bottom"/>
          </w:tcPr>
          <w:p>
            <w:pPr>
              <w:jc w:val="right"/>
              <w:spacing w:after="0"/>
              <w:rPr>
                <w:sz w:val="20"/>
                <w:szCs w:val="20"/>
                <w:color w:val="auto"/>
              </w:rPr>
            </w:pPr>
            <w:r>
              <w:rPr>
                <w:rFonts w:ascii="Arial" w:cs="Arial" w:eastAsia="Arial" w:hAnsi="Arial"/>
                <w:sz w:val="12"/>
                <w:szCs w:val="12"/>
                <w:color w:val="auto"/>
              </w:rPr>
              <w:t>3/12/2022</w:t>
            </w:r>
          </w:p>
        </w:tc>
        <w:tc>
          <w:tcPr>
            <w:tcW w:w="100" w:type="dxa"/>
            <w:vAlign w:val="bottom"/>
          </w:tcPr>
          <w:p>
            <w:pPr>
              <w:spacing w:after="0"/>
              <w:rPr>
                <w:sz w:val="11"/>
                <w:szCs w:val="11"/>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3,125</w:t>
            </w:r>
          </w:p>
        </w:tc>
        <w:tc>
          <w:tcPr>
            <w:tcW w:w="104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3,125</w:t>
            </w:r>
            <w:r>
              <w:rPr>
                <w:rFonts w:ascii="Arial" w:cs="Arial" w:eastAsia="Arial" w:hAnsi="Arial"/>
                <w:sz w:val="15"/>
                <w:szCs w:val="15"/>
                <w:color w:val="auto"/>
                <w:vertAlign w:val="superscript"/>
              </w:rPr>
              <w:t>(17)</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$21.89</w:t>
            </w:r>
          </w:p>
        </w:tc>
        <w:tc>
          <w:tcPr>
            <w:tcW w:w="620" w:type="dxa"/>
            <w:vAlign w:val="bottom"/>
          </w:tcPr>
          <w:p>
            <w:pPr>
              <w:jc w:val="right"/>
              <w:spacing w:after="0"/>
              <w:rPr>
                <w:sz w:val="20"/>
                <w:szCs w:val="20"/>
                <w:color w:val="auto"/>
              </w:rPr>
            </w:pPr>
            <w:r>
              <w:rPr>
                <w:rFonts w:ascii="Arial" w:cs="Arial" w:eastAsia="Arial" w:hAnsi="Arial"/>
                <w:sz w:val="12"/>
                <w:szCs w:val="12"/>
                <w:color w:val="auto"/>
              </w:rPr>
              <w:t>2/10/2025</w:t>
            </w:r>
          </w:p>
        </w:tc>
        <w:tc>
          <w:tcPr>
            <w:tcW w:w="100" w:type="dxa"/>
            <w:vAlign w:val="bottom"/>
          </w:tcPr>
          <w:p>
            <w:pPr>
              <w:spacing w:after="0"/>
              <w:rPr>
                <w:sz w:val="11"/>
                <w:szCs w:val="11"/>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3,125</w:t>
            </w:r>
          </w:p>
        </w:tc>
        <w:tc>
          <w:tcPr>
            <w:tcW w:w="104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9,375</w:t>
            </w:r>
            <w:r>
              <w:rPr>
                <w:rFonts w:ascii="Arial" w:cs="Arial" w:eastAsia="Arial" w:hAnsi="Arial"/>
                <w:sz w:val="15"/>
                <w:szCs w:val="15"/>
                <w:color w:val="auto"/>
                <w:vertAlign w:val="superscript"/>
              </w:rPr>
              <w:t>(18)</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$21.89</w:t>
            </w:r>
          </w:p>
        </w:tc>
        <w:tc>
          <w:tcPr>
            <w:tcW w:w="620" w:type="dxa"/>
            <w:vAlign w:val="bottom"/>
          </w:tcPr>
          <w:p>
            <w:pPr>
              <w:jc w:val="right"/>
              <w:spacing w:after="0"/>
              <w:rPr>
                <w:sz w:val="20"/>
                <w:szCs w:val="20"/>
                <w:color w:val="auto"/>
              </w:rPr>
            </w:pPr>
            <w:r>
              <w:rPr>
                <w:rFonts w:ascii="Arial" w:cs="Arial" w:eastAsia="Arial" w:hAnsi="Arial"/>
                <w:sz w:val="12"/>
                <w:szCs w:val="12"/>
                <w:color w:val="auto"/>
              </w:rPr>
              <w:t>2/10/2025</w:t>
            </w:r>
          </w:p>
        </w:tc>
        <w:tc>
          <w:tcPr>
            <w:tcW w:w="100" w:type="dxa"/>
            <w:vAlign w:val="bottom"/>
          </w:tcPr>
          <w:p>
            <w:pPr>
              <w:spacing w:after="0"/>
              <w:rPr>
                <w:sz w:val="11"/>
                <w:szCs w:val="11"/>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6,250</w:t>
            </w:r>
            <w:r>
              <w:rPr>
                <w:rFonts w:ascii="Arial" w:cs="Arial" w:eastAsia="Arial" w:hAnsi="Arial"/>
                <w:sz w:val="15"/>
                <w:szCs w:val="15"/>
                <w:color w:val="auto"/>
                <w:vertAlign w:val="superscript"/>
              </w:rPr>
              <w:t>(19)</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$21.89</w:t>
            </w:r>
          </w:p>
        </w:tc>
        <w:tc>
          <w:tcPr>
            <w:tcW w:w="620" w:type="dxa"/>
            <w:vAlign w:val="bottom"/>
          </w:tcPr>
          <w:p>
            <w:pPr>
              <w:jc w:val="right"/>
              <w:spacing w:after="0"/>
              <w:rPr>
                <w:sz w:val="20"/>
                <w:szCs w:val="20"/>
                <w:color w:val="auto"/>
              </w:rPr>
            </w:pPr>
            <w:r>
              <w:rPr>
                <w:rFonts w:ascii="Arial" w:cs="Arial" w:eastAsia="Arial" w:hAnsi="Arial"/>
                <w:sz w:val="12"/>
                <w:szCs w:val="12"/>
                <w:color w:val="auto"/>
              </w:rPr>
              <w:t>2/10/2025</w:t>
            </w:r>
          </w:p>
        </w:tc>
        <w:tc>
          <w:tcPr>
            <w:tcW w:w="100" w:type="dxa"/>
            <w:vAlign w:val="bottom"/>
          </w:tcPr>
          <w:p>
            <w:pPr>
              <w:spacing w:after="0"/>
              <w:rPr>
                <w:sz w:val="11"/>
                <w:szCs w:val="11"/>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8,933</w:t>
            </w:r>
          </w:p>
        </w:tc>
        <w:tc>
          <w:tcPr>
            <w:tcW w:w="1040" w:type="dxa"/>
            <w:vAlign w:val="bottom"/>
            <w:gridSpan w:val="3"/>
          </w:tcPr>
          <w:p>
            <w:pPr>
              <w:jc w:val="right"/>
              <w:ind w:right="74"/>
              <w:spacing w:after="0" w:line="138" w:lineRule="exact"/>
              <w:rPr>
                <w:sz w:val="20"/>
                <w:szCs w:val="20"/>
                <w:color w:val="auto"/>
              </w:rPr>
            </w:pPr>
            <w:r>
              <w:rPr>
                <w:rFonts w:ascii="Arial" w:cs="Arial" w:eastAsia="Arial" w:hAnsi="Arial"/>
                <w:sz w:val="10"/>
                <w:szCs w:val="10"/>
                <w:color w:val="auto"/>
              </w:rPr>
              <w:t>4,467</w:t>
            </w:r>
            <w:r>
              <w:rPr>
                <w:rFonts w:ascii="Arial" w:cs="Arial" w:eastAsia="Arial" w:hAnsi="Arial"/>
                <w:sz w:val="15"/>
                <w:szCs w:val="15"/>
                <w:color w:val="auto"/>
                <w:vertAlign w:val="superscript"/>
              </w:rPr>
              <w:t>(7)</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$18.79</w:t>
            </w:r>
          </w:p>
        </w:tc>
        <w:tc>
          <w:tcPr>
            <w:tcW w:w="620" w:type="dxa"/>
            <w:vAlign w:val="bottom"/>
          </w:tcPr>
          <w:p>
            <w:pPr>
              <w:jc w:val="right"/>
              <w:spacing w:after="0"/>
              <w:rPr>
                <w:sz w:val="20"/>
                <w:szCs w:val="20"/>
                <w:color w:val="auto"/>
              </w:rPr>
            </w:pPr>
            <w:r>
              <w:rPr>
                <w:rFonts w:ascii="Arial" w:cs="Arial" w:eastAsia="Arial" w:hAnsi="Arial"/>
                <w:sz w:val="12"/>
                <w:szCs w:val="12"/>
                <w:color w:val="auto"/>
              </w:rPr>
              <w:t>4/15/2025</w:t>
            </w:r>
          </w:p>
        </w:tc>
        <w:tc>
          <w:tcPr>
            <w:tcW w:w="100" w:type="dxa"/>
            <w:vAlign w:val="bottom"/>
          </w:tcPr>
          <w:p>
            <w:pPr>
              <w:spacing w:after="0"/>
              <w:rPr>
                <w:sz w:val="11"/>
                <w:szCs w:val="11"/>
                <w:color w:val="auto"/>
              </w:rPr>
            </w:pP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2,076</w:t>
            </w:r>
            <w:r>
              <w:rPr>
                <w:rFonts w:ascii="Arial" w:cs="Arial" w:eastAsia="Arial" w:hAnsi="Arial"/>
                <w:sz w:val="15"/>
                <w:szCs w:val="15"/>
                <w:color w:val="auto"/>
                <w:vertAlign w:val="superscript"/>
              </w:rPr>
              <w:t>(8)</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2,076</w:t>
            </w:r>
            <w:r>
              <w:rPr>
                <w:rFonts w:ascii="Arial" w:cs="Arial" w:eastAsia="Arial" w:hAnsi="Arial"/>
                <w:sz w:val="15"/>
                <w:szCs w:val="15"/>
                <w:color w:val="auto"/>
                <w:vertAlign w:val="superscript"/>
              </w:rPr>
              <w:t>(8)</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1,706</w:t>
            </w:r>
            <w:r>
              <w:rPr>
                <w:rFonts w:ascii="Arial" w:cs="Arial" w:eastAsia="Arial" w:hAnsi="Arial"/>
                <w:sz w:val="15"/>
                <w:szCs w:val="15"/>
                <w:color w:val="auto"/>
                <w:vertAlign w:val="superscript"/>
              </w:rPr>
              <w:t>(9)</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0"/>
                <w:szCs w:val="10"/>
                <w:color w:val="auto"/>
              </w:rPr>
              <w:t>9,667</w:t>
            </w:r>
            <w:r>
              <w:rPr>
                <w:rFonts w:ascii="Arial" w:cs="Arial" w:eastAsia="Arial" w:hAnsi="Arial"/>
                <w:sz w:val="15"/>
                <w:szCs w:val="15"/>
                <w:color w:val="auto"/>
                <w:vertAlign w:val="superscript"/>
              </w:rPr>
              <w:t>(10)</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$270,676</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r>
      <w:tr>
        <w:trPr>
          <w:trHeight w:val="233"/>
        </w:trPr>
        <w:tc>
          <w:tcPr>
            <w:tcW w:w="1960" w:type="dxa"/>
            <w:vAlign w:val="bottom"/>
          </w:tcPr>
          <w:p>
            <w:pPr>
              <w:spacing w:after="0"/>
              <w:rPr>
                <w:sz w:val="20"/>
                <w:szCs w:val="20"/>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ind w:left="760"/>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3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1,810</w:t>
            </w:r>
            <w:r>
              <w:rPr>
                <w:rFonts w:ascii="Arial" w:cs="Arial" w:eastAsia="Arial" w:hAnsi="Arial"/>
                <w:sz w:val="18"/>
                <w:szCs w:val="18"/>
                <w:color w:val="auto"/>
                <w:vertAlign w:val="superscript"/>
              </w:rPr>
              <w:t>(11)</w:t>
            </w:r>
          </w:p>
        </w:tc>
        <w:tc>
          <w:tcPr>
            <w:tcW w:w="800" w:type="dxa"/>
            <w:vAlign w:val="bottom"/>
            <w:gridSpan w:val="3"/>
          </w:tcPr>
          <w:p>
            <w:pPr>
              <w:jc w:val="right"/>
              <w:ind w:right="100"/>
              <w:spacing w:after="0"/>
              <w:rPr>
                <w:sz w:val="20"/>
                <w:szCs w:val="20"/>
                <w:color w:val="auto"/>
              </w:rPr>
            </w:pPr>
            <w:r>
              <w:rPr>
                <w:rFonts w:ascii="Arial" w:cs="Arial" w:eastAsia="Arial" w:hAnsi="Arial"/>
                <w:sz w:val="12"/>
                <w:szCs w:val="12"/>
                <w:color w:val="auto"/>
              </w:rPr>
              <w:t>$50,680</w:t>
            </w:r>
          </w:p>
        </w:tc>
        <w:tc>
          <w:tcPr>
            <w:tcW w:w="780" w:type="dxa"/>
            <w:vAlign w:val="bottom"/>
          </w:tcPr>
          <w:p>
            <w:pPr>
              <w:jc w:val="right"/>
              <w:spacing w:after="0"/>
              <w:rPr>
                <w:sz w:val="20"/>
                <w:szCs w:val="20"/>
                <w:color w:val="auto"/>
              </w:rPr>
            </w:pPr>
            <w:r>
              <w:rPr>
                <w:rFonts w:ascii="Arial" w:cs="Arial" w:eastAsia="Arial" w:hAnsi="Arial"/>
                <w:sz w:val="12"/>
                <w:szCs w:val="12"/>
                <w:color w:val="auto"/>
              </w:rPr>
              <w:t>1,809</w:t>
            </w:r>
            <w:r>
              <w:rPr>
                <w:rFonts w:ascii="Arial" w:cs="Arial" w:eastAsia="Arial" w:hAnsi="Arial"/>
                <w:sz w:val="18"/>
                <w:szCs w:val="18"/>
                <w:color w:val="auto"/>
                <w:vertAlign w:val="superscript"/>
              </w:rPr>
              <w:t>(12)</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50,652</w:t>
            </w:r>
          </w:p>
        </w:tc>
        <w:tc>
          <w:tcPr>
            <w:tcW w:w="180" w:type="dxa"/>
            <w:vAlign w:val="bottom"/>
          </w:tcPr>
          <w:p>
            <w:pPr>
              <w:spacing w:after="0"/>
              <w:rPr>
                <w:sz w:val="20"/>
                <w:szCs w:val="20"/>
                <w:color w:val="auto"/>
              </w:rPr>
            </w:pPr>
          </w:p>
        </w:tc>
      </w:tr>
    </w:tbl>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980"/>
          </w:cols>
          <w:pgMar w:left="240" w:top="142" w:right="67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114300</wp:posOffset>
            </wp:positionV>
            <wp:extent cx="1504315" cy="1377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2"/>
                <w:szCs w:val="12"/>
                <w:b w:val="1"/>
                <w:bCs w:val="1"/>
                <w:color w:val="auto"/>
              </w:rPr>
              <w:t>Option Awards</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2"/>
                <w:szCs w:val="12"/>
                <w:b w:val="1"/>
                <w:bCs w:val="1"/>
                <w:color w:val="auto"/>
              </w:rPr>
              <w:t>Stock Awards</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Market</w:t>
            </w: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Plan Awards: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Plan Awards:</w:t>
            </w:r>
          </w:p>
        </w:tc>
        <w:tc>
          <w:tcPr>
            <w:tcW w:w="100" w:type="dxa"/>
            <w:vAlign w:val="bottom"/>
          </w:tcPr>
          <w:p>
            <w:pPr>
              <w:spacing w:after="0"/>
              <w:rPr>
                <w:sz w:val="11"/>
                <w:szCs w:val="11"/>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Market</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Value of</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Securities</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That</w:t>
            </w: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1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100" w:type="dxa"/>
            <w:vAlign w:val="bottom"/>
          </w:tcPr>
          <w:p>
            <w:pPr>
              <w:spacing w:after="0"/>
              <w:rPr>
                <w:sz w:val="11"/>
                <w:szCs w:val="11"/>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Option</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Option</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That Have</w:t>
            </w:r>
          </w:p>
        </w:tc>
        <w:tc>
          <w:tcPr>
            <w:tcW w:w="8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That Have</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Have</w:t>
            </w: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Unearned</w:t>
            </w:r>
          </w:p>
        </w:tc>
        <w:tc>
          <w:tcPr>
            <w:tcW w:w="10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Exercise</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Expiration</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Not</w:t>
            </w:r>
          </w:p>
        </w:tc>
        <w:tc>
          <w:tcPr>
            <w:tcW w:w="80" w:type="dxa"/>
            <w:vAlign w:val="bottom"/>
          </w:tcPr>
          <w:p>
            <w:pPr>
              <w:spacing w:after="0"/>
              <w:rPr>
                <w:sz w:val="11"/>
                <w:szCs w:val="11"/>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Not</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Unearned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Not</w:t>
            </w:r>
          </w:p>
        </w:tc>
        <w:tc>
          <w:tcPr>
            <w:tcW w:w="0" w:type="dxa"/>
            <w:vAlign w:val="bottom"/>
          </w:tcPr>
          <w:p>
            <w:pPr>
              <w:spacing w:after="0"/>
              <w:rPr>
                <w:sz w:val="1"/>
                <w:szCs w:val="1"/>
                <w:color w:val="auto"/>
              </w:rPr>
            </w:pPr>
          </w:p>
        </w:tc>
      </w:tr>
      <w:tr>
        <w:trPr>
          <w:trHeight w:val="160"/>
        </w:trPr>
        <w:tc>
          <w:tcPr>
            <w:tcW w:w="2000" w:type="dxa"/>
            <w:vAlign w:val="bottom"/>
            <w:tcBorders>
              <w:bottom w:val="single" w:sz="8" w:color="auto"/>
            </w:tcBorders>
          </w:tcPr>
          <w:p>
            <w:pPr>
              <w:ind w:left="840"/>
              <w:spacing w:after="0"/>
              <w:rPr>
                <w:sz w:val="20"/>
                <w:szCs w:val="20"/>
                <w:color w:val="auto"/>
              </w:rPr>
            </w:pPr>
            <w:r>
              <w:rPr>
                <w:rFonts w:ascii="Arial" w:cs="Arial" w:eastAsia="Arial" w:hAnsi="Arial"/>
                <w:sz w:val="12"/>
                <w:szCs w:val="12"/>
                <w:b w:val="1"/>
                <w:bCs w:val="1"/>
                <w:color w:val="auto"/>
              </w:rPr>
              <w:t>Name</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w w:val="97"/>
              </w:rPr>
              <w:t>Unexercisable</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w w:val="93"/>
              </w:rPr>
              <w:t>Options</w:t>
            </w:r>
            <w:r>
              <w:rPr>
                <w:rFonts w:ascii="Arial" w:cs="Arial" w:eastAsia="Arial" w:hAnsi="Arial"/>
                <w:sz w:val="18"/>
                <w:szCs w:val="18"/>
                <w:b w:val="1"/>
                <w:bCs w:val="1"/>
                <w:color w:val="auto"/>
                <w:w w:val="93"/>
                <w:vertAlign w:val="superscript"/>
              </w:rPr>
              <w:t>(2)</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5"/>
              </w:rPr>
              <w:t>Price</w:t>
            </w:r>
            <w:r>
              <w:rPr>
                <w:rFonts w:ascii="Arial" w:cs="Arial" w:eastAsia="Arial" w:hAnsi="Arial"/>
                <w:sz w:val="18"/>
                <w:szCs w:val="18"/>
                <w:b w:val="1"/>
                <w:bCs w:val="1"/>
                <w:color w:val="auto"/>
                <w:w w:val="95"/>
                <w:vertAlign w:val="superscript"/>
              </w:rPr>
              <w:t>(3)</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center"/>
              <w:spacing w:after="0" w:line="160" w:lineRule="exact"/>
              <w:rPr>
                <w:sz w:val="20"/>
                <w:szCs w:val="20"/>
                <w:color w:val="auto"/>
              </w:rPr>
            </w:pPr>
            <w:r>
              <w:rPr>
                <w:rFonts w:ascii="Arial" w:cs="Arial" w:eastAsia="Arial" w:hAnsi="Arial"/>
                <w:sz w:val="12"/>
                <w:szCs w:val="12"/>
                <w:b w:val="1"/>
                <w:bCs w:val="1"/>
                <w:color w:val="auto"/>
                <w:w w:val="92"/>
              </w:rPr>
              <w:t>Vested</w:t>
            </w:r>
            <w:r>
              <w:rPr>
                <w:rFonts w:ascii="Arial" w:cs="Arial" w:eastAsia="Arial" w:hAnsi="Arial"/>
                <w:sz w:val="18"/>
                <w:szCs w:val="18"/>
                <w:b w:val="1"/>
                <w:bCs w:val="1"/>
                <w:color w:val="auto"/>
                <w:w w:val="92"/>
                <w:vertAlign w:val="superscript"/>
              </w:rPr>
              <w:t>(4)</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Vested</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2"/>
                <w:szCs w:val="12"/>
                <w:b w:val="1"/>
                <w:bCs w:val="1"/>
                <w:color w:val="auto"/>
                <w:w w:val="91"/>
              </w:rPr>
              <w:t>Shares</w:t>
            </w:r>
            <w:r>
              <w:rPr>
                <w:rFonts w:ascii="Arial" w:cs="Arial" w:eastAsia="Arial" w:hAnsi="Arial"/>
                <w:sz w:val="18"/>
                <w:szCs w:val="18"/>
                <w:b w:val="1"/>
                <w:bCs w:val="1"/>
                <w:color w:val="auto"/>
                <w:w w:val="91"/>
                <w:vertAlign w:val="superscript"/>
              </w:rPr>
              <w:t>(5)</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rPr>
              <w:t>Vested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Joseph A. Davila</w:t>
            </w:r>
          </w:p>
        </w:tc>
        <w:tc>
          <w:tcPr>
            <w:tcW w:w="820" w:type="dxa"/>
            <w:vAlign w:val="bottom"/>
            <w:gridSpan w:val="2"/>
            <w:shd w:val="clear" w:color="auto" w:fill="CCEEFF"/>
          </w:tcPr>
          <w:p>
            <w:pPr>
              <w:jc w:val="right"/>
              <w:ind w:right="79"/>
              <w:spacing w:after="0" w:line="129" w:lineRule="exact"/>
              <w:rPr>
                <w:sz w:val="20"/>
                <w:szCs w:val="20"/>
                <w:color w:val="auto"/>
              </w:rPr>
            </w:pPr>
            <w:r>
              <w:rPr>
                <w:rFonts w:ascii="Arial" w:cs="Arial" w:eastAsia="Arial" w:hAnsi="Arial"/>
                <w:sz w:val="12"/>
                <w:szCs w:val="12"/>
                <w:color w:val="auto"/>
              </w:rPr>
              <w:t>6,250</w:t>
            </w:r>
          </w:p>
        </w:tc>
        <w:tc>
          <w:tcPr>
            <w:tcW w:w="1040" w:type="dxa"/>
            <w:vAlign w:val="bottom"/>
            <w:gridSpan w:val="3"/>
            <w:shd w:val="clear" w:color="auto" w:fill="CCEEFF"/>
          </w:tcPr>
          <w:p>
            <w:pPr>
              <w:jc w:val="right"/>
              <w:ind w:right="174"/>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14"/>
              <w:spacing w:after="0" w:line="129"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$32.55</w:t>
            </w: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7/28/2021</w:t>
            </w:r>
          </w:p>
        </w:tc>
        <w:tc>
          <w:tcPr>
            <w:tcW w:w="760" w:type="dxa"/>
            <w:vAlign w:val="bottom"/>
            <w:gridSpan w:val="2"/>
            <w:shd w:val="clear" w:color="auto" w:fill="CCEEFF"/>
          </w:tcPr>
          <w:p>
            <w:pPr>
              <w:jc w:val="right"/>
              <w:ind w:right="134"/>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12,500</w:t>
            </w:r>
          </w:p>
        </w:tc>
        <w:tc>
          <w:tcPr>
            <w:tcW w:w="1040" w:type="dxa"/>
            <w:vAlign w:val="bottom"/>
            <w:gridSpan w:val="3"/>
            <w:shd w:val="clear" w:color="auto" w:fill="CCEEFF"/>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$32.55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7/28/2021</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6,250</w:t>
            </w:r>
          </w:p>
        </w:tc>
        <w:tc>
          <w:tcPr>
            <w:tcW w:w="1040" w:type="dxa"/>
            <w:vAlign w:val="bottom"/>
            <w:gridSpan w:val="3"/>
            <w:shd w:val="clear" w:color="auto" w:fill="CCEEFF"/>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$32.55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7/28/2021</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1,875</w:t>
            </w:r>
          </w:p>
        </w:tc>
        <w:tc>
          <w:tcPr>
            <w:tcW w:w="1040" w:type="dxa"/>
            <w:vAlign w:val="bottom"/>
            <w:gridSpan w:val="3"/>
            <w:shd w:val="clear" w:color="auto" w:fill="CCEEFF"/>
          </w:tcPr>
          <w:p>
            <w:pPr>
              <w:jc w:val="right"/>
              <w:ind w:right="174"/>
              <w:spacing w:after="0" w:line="115" w:lineRule="exact"/>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114"/>
              <w:spacing w:after="0" w:line="115"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line="115" w:lineRule="exact"/>
              <w:rPr>
                <w:sz w:val="20"/>
                <w:szCs w:val="20"/>
                <w:color w:val="auto"/>
              </w:rPr>
            </w:pPr>
            <w:r>
              <w:rPr>
                <w:rFonts w:ascii="Arial" w:cs="Arial" w:eastAsia="Arial" w:hAnsi="Arial"/>
                <w:sz w:val="12"/>
                <w:szCs w:val="12"/>
                <w:color w:val="auto"/>
              </w:rPr>
              <w:t>$95.12</w:t>
            </w:r>
          </w:p>
        </w:tc>
        <w:tc>
          <w:tcPr>
            <w:tcW w:w="72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2"/>
                <w:szCs w:val="12"/>
                <w:color w:val="auto"/>
              </w:rPr>
              <w:t>5/15/2023</w:t>
            </w:r>
          </w:p>
        </w:tc>
        <w:tc>
          <w:tcPr>
            <w:tcW w:w="760" w:type="dxa"/>
            <w:vAlign w:val="bottom"/>
            <w:gridSpan w:val="2"/>
            <w:shd w:val="clear" w:color="auto" w:fill="CCEEFF"/>
          </w:tcPr>
          <w:p>
            <w:pPr>
              <w:jc w:val="right"/>
              <w:ind w:right="134"/>
              <w:spacing w:after="0" w:line="115"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line="115"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line="11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1,406</w:t>
            </w:r>
          </w:p>
        </w:tc>
        <w:tc>
          <w:tcPr>
            <w:tcW w:w="1040" w:type="dxa"/>
            <w:vAlign w:val="bottom"/>
            <w:gridSpan w:val="3"/>
            <w:shd w:val="clear" w:color="auto" w:fill="CCEEFF"/>
          </w:tcPr>
          <w:p>
            <w:pPr>
              <w:jc w:val="right"/>
              <w:ind w:right="14"/>
              <w:spacing w:after="0" w:line="138" w:lineRule="exact"/>
              <w:rPr>
                <w:sz w:val="20"/>
                <w:szCs w:val="20"/>
                <w:color w:val="auto"/>
              </w:rPr>
            </w:pPr>
            <w:r>
              <w:rPr>
                <w:rFonts w:ascii="Arial" w:cs="Arial" w:eastAsia="Arial" w:hAnsi="Arial"/>
                <w:sz w:val="15"/>
                <w:szCs w:val="15"/>
                <w:color w:val="auto"/>
                <w:vertAlign w:val="subscript"/>
              </w:rPr>
              <w:t>469</w:t>
            </w:r>
            <w:r>
              <w:rPr>
                <w:rFonts w:ascii="Arial" w:cs="Arial" w:eastAsia="Arial" w:hAnsi="Arial"/>
                <w:sz w:val="7"/>
                <w:szCs w:val="7"/>
                <w:color w:val="auto"/>
              </w:rPr>
              <w:t>(20)</w:t>
            </w:r>
          </w:p>
        </w:tc>
        <w:tc>
          <w:tcPr>
            <w:tcW w:w="860" w:type="dxa"/>
            <w:vAlign w:val="bottom"/>
            <w:gridSpan w:val="3"/>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$105.11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5/15/2024</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4,688</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
              <w:spacing w:after="0" w:line="138" w:lineRule="exact"/>
              <w:rPr>
                <w:sz w:val="20"/>
                <w:szCs w:val="20"/>
                <w:color w:val="auto"/>
              </w:rPr>
            </w:pPr>
            <w:r>
              <w:rPr>
                <w:rFonts w:ascii="Arial" w:cs="Arial" w:eastAsia="Arial" w:hAnsi="Arial"/>
                <w:sz w:val="10"/>
                <w:szCs w:val="10"/>
                <w:color w:val="auto"/>
              </w:rPr>
              <w:t>1,562</w:t>
            </w:r>
            <w:r>
              <w:rPr>
                <w:rFonts w:ascii="Arial" w:cs="Arial" w:eastAsia="Arial" w:hAnsi="Arial"/>
                <w:sz w:val="15"/>
                <w:szCs w:val="15"/>
                <w:color w:val="auto"/>
                <w:vertAlign w:val="superscript"/>
              </w:rPr>
              <w:t>(21)</w:t>
            </w:r>
          </w:p>
        </w:tc>
        <w:tc>
          <w:tcPr>
            <w:tcW w:w="860" w:type="dxa"/>
            <w:vAlign w:val="bottom"/>
            <w:gridSpan w:val="3"/>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$72.78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11/11/2024</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0"/>
                <w:szCs w:val="10"/>
                <w:color w:val="auto"/>
              </w:rPr>
              <w:t>12,500</w:t>
            </w:r>
            <w:r>
              <w:rPr>
                <w:rFonts w:ascii="Arial" w:cs="Arial" w:eastAsia="Arial" w:hAnsi="Arial"/>
                <w:sz w:val="15"/>
                <w:szCs w:val="15"/>
                <w:color w:val="auto"/>
                <w:vertAlign w:val="superscript"/>
              </w:rPr>
              <w:t>(22)</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$72.78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11/11/2024</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shd w:val="clear" w:color="auto" w:fill="CCEEFF"/>
          </w:tcPr>
          <w:p>
            <w:pPr>
              <w:jc w:val="right"/>
              <w:ind w:right="74"/>
              <w:spacing w:after="0"/>
              <w:rPr>
                <w:sz w:val="20"/>
                <w:szCs w:val="20"/>
                <w:color w:val="auto"/>
              </w:rPr>
            </w:pPr>
            <w:r>
              <w:rPr>
                <w:rFonts w:ascii="Arial" w:cs="Arial" w:eastAsia="Arial" w:hAnsi="Arial"/>
                <w:sz w:val="9"/>
                <w:szCs w:val="9"/>
                <w:color w:val="auto"/>
                <w:w w:val="72"/>
              </w:rPr>
              <w:t>(7)</w:t>
            </w:r>
          </w:p>
        </w:tc>
        <w:tc>
          <w:tcPr>
            <w:tcW w:w="860" w:type="dxa"/>
            <w:vAlign w:val="bottom"/>
            <w:gridSpan w:val="3"/>
            <w:shd w:val="clear" w:color="auto" w:fill="CCEEFF"/>
          </w:tcPr>
          <w:p>
            <w:pPr>
              <w:jc w:val="right"/>
              <w:spacing w:after="0" w:line="160" w:lineRule="exact"/>
              <w:rPr>
                <w:sz w:val="20"/>
                <w:szCs w:val="20"/>
                <w:color w:val="auto"/>
              </w:rPr>
            </w:pPr>
            <w:r>
              <w:rPr>
                <w:rFonts w:ascii="Arial" w:cs="Arial" w:eastAsia="Arial" w:hAnsi="Arial"/>
                <w:sz w:val="12"/>
                <w:szCs w:val="12"/>
                <w:color w:val="auto"/>
              </w:rPr>
              <w:t>6,250</w:t>
            </w:r>
            <w:r>
              <w:rPr>
                <w:rFonts w:ascii="Arial" w:cs="Arial" w:eastAsia="Arial" w:hAnsi="Arial"/>
                <w:sz w:val="18"/>
                <w:szCs w:val="18"/>
                <w:color w:val="auto"/>
                <w:vertAlign w:val="superscript"/>
              </w:rPr>
              <w:t>(23)</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$72.78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11/11/2024</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79"/>
              <w:spacing w:after="0" w:line="115" w:lineRule="exact"/>
              <w:rPr>
                <w:sz w:val="20"/>
                <w:szCs w:val="20"/>
                <w:color w:val="auto"/>
              </w:rPr>
            </w:pPr>
            <w:r>
              <w:rPr>
                <w:rFonts w:ascii="Arial" w:cs="Arial" w:eastAsia="Arial" w:hAnsi="Arial"/>
                <w:sz w:val="12"/>
                <w:szCs w:val="12"/>
                <w:color w:val="auto"/>
              </w:rPr>
              <w:t>4,100</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2,600</w:t>
            </w:r>
          </w:p>
        </w:tc>
        <w:tc>
          <w:tcPr>
            <w:tcW w:w="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14"/>
              <w:spacing w:after="0" w:line="115"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80"/>
              <w:spacing w:after="0" w:line="115" w:lineRule="exact"/>
              <w:rPr>
                <w:sz w:val="20"/>
                <w:szCs w:val="20"/>
                <w:color w:val="auto"/>
              </w:rPr>
            </w:pPr>
            <w:r>
              <w:rPr>
                <w:rFonts w:ascii="Arial" w:cs="Arial" w:eastAsia="Arial" w:hAnsi="Arial"/>
                <w:sz w:val="12"/>
                <w:szCs w:val="12"/>
                <w:color w:val="auto"/>
              </w:rPr>
              <w:t>$18.79</w:t>
            </w:r>
          </w:p>
        </w:tc>
        <w:tc>
          <w:tcPr>
            <w:tcW w:w="72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2"/>
                <w:szCs w:val="12"/>
                <w:color w:val="auto"/>
              </w:rPr>
              <w:t>4/15/2025</w:t>
            </w:r>
          </w:p>
        </w:tc>
        <w:tc>
          <w:tcPr>
            <w:tcW w:w="760" w:type="dxa"/>
            <w:vAlign w:val="bottom"/>
            <w:gridSpan w:val="2"/>
            <w:shd w:val="clear" w:color="auto" w:fill="CCEEFF"/>
          </w:tcPr>
          <w:p>
            <w:pPr>
              <w:jc w:val="right"/>
              <w:ind w:right="134"/>
              <w:spacing w:after="0" w:line="115"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line="115"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line="11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1,731</w:t>
            </w:r>
          </w:p>
        </w:tc>
        <w:tc>
          <w:tcPr>
            <w:tcW w:w="160" w:type="dxa"/>
            <w:vAlign w:val="bottom"/>
            <w:shd w:val="clear" w:color="auto" w:fill="CCEEFF"/>
          </w:tcPr>
          <w:p>
            <w:pPr>
              <w:spacing w:after="0"/>
              <w:rPr>
                <w:sz w:val="20"/>
                <w:szCs w:val="20"/>
                <w:color w:val="auto"/>
              </w:rPr>
            </w:pPr>
            <w:r>
              <w:rPr>
                <w:rFonts w:ascii="Arial" w:cs="Arial" w:eastAsia="Arial" w:hAnsi="Arial"/>
                <w:sz w:val="9"/>
                <w:szCs w:val="9"/>
                <w:color w:val="auto"/>
              </w:rPr>
              <w:t>(8)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1,730</w:t>
            </w:r>
          </w:p>
        </w:tc>
        <w:tc>
          <w:tcPr>
            <w:tcW w:w="160" w:type="dxa"/>
            <w:vAlign w:val="bottom"/>
            <w:shd w:val="clear" w:color="auto" w:fill="CCEEFF"/>
          </w:tcPr>
          <w:p>
            <w:pPr>
              <w:spacing w:after="0"/>
              <w:rPr>
                <w:sz w:val="20"/>
                <w:szCs w:val="20"/>
                <w:color w:val="auto"/>
              </w:rPr>
            </w:pPr>
            <w:r>
              <w:rPr>
                <w:rFonts w:ascii="Arial" w:cs="Arial" w:eastAsia="Arial" w:hAnsi="Arial"/>
                <w:sz w:val="9"/>
                <w:szCs w:val="9"/>
                <w:color w:val="auto"/>
              </w:rPr>
              <w:t>(8)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1,421</w:t>
            </w:r>
          </w:p>
        </w:tc>
        <w:tc>
          <w:tcPr>
            <w:tcW w:w="160" w:type="dxa"/>
            <w:vAlign w:val="bottom"/>
            <w:shd w:val="clear" w:color="auto" w:fill="CCEEFF"/>
          </w:tcPr>
          <w:p>
            <w:pPr>
              <w:spacing w:after="0"/>
              <w:rPr>
                <w:sz w:val="20"/>
                <w:szCs w:val="20"/>
                <w:color w:val="auto"/>
              </w:rPr>
            </w:pPr>
            <w:r>
              <w:rPr>
                <w:rFonts w:ascii="Arial" w:cs="Arial" w:eastAsia="Arial" w:hAnsi="Arial"/>
                <w:sz w:val="9"/>
                <w:szCs w:val="9"/>
                <w:color w:val="auto"/>
              </w:rPr>
              <w:t>(9)</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3,333</w:t>
            </w:r>
          </w:p>
        </w:tc>
        <w:tc>
          <w:tcPr>
            <w:tcW w:w="160" w:type="dxa"/>
            <w:vAlign w:val="bottom"/>
            <w:shd w:val="clear" w:color="auto" w:fill="CCEEFF"/>
          </w:tcPr>
          <w:p>
            <w:pPr>
              <w:spacing w:after="0"/>
              <w:rPr>
                <w:sz w:val="20"/>
                <w:szCs w:val="20"/>
                <w:color w:val="auto"/>
              </w:rPr>
            </w:pPr>
            <w:r>
              <w:rPr>
                <w:rFonts w:ascii="Arial" w:cs="Arial" w:eastAsia="Arial" w:hAnsi="Arial"/>
                <w:sz w:val="9"/>
                <w:szCs w:val="9"/>
                <w:color w:val="auto"/>
                <w:w w:val="87"/>
              </w:rPr>
              <w:t>(24)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7/27/2027</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1,667</w:t>
            </w:r>
          </w:p>
        </w:tc>
        <w:tc>
          <w:tcPr>
            <w:tcW w:w="160" w:type="dxa"/>
            <w:vAlign w:val="bottom"/>
            <w:shd w:val="clear" w:color="auto" w:fill="CCEEFF"/>
          </w:tcPr>
          <w:p>
            <w:pPr>
              <w:spacing w:after="0"/>
              <w:rPr>
                <w:sz w:val="20"/>
                <w:szCs w:val="20"/>
                <w:color w:val="auto"/>
              </w:rPr>
            </w:pPr>
            <w:r>
              <w:rPr>
                <w:rFonts w:ascii="Arial" w:cs="Arial" w:eastAsia="Arial" w:hAnsi="Arial"/>
                <w:sz w:val="9"/>
                <w:szCs w:val="9"/>
                <w:color w:val="auto"/>
                <w:w w:val="87"/>
              </w:rPr>
              <w:t>(25)</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7/27/2027</w:t>
            </w:r>
          </w:p>
        </w:tc>
        <w:tc>
          <w:tcPr>
            <w:tcW w:w="76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0"/>
                <w:szCs w:val="10"/>
                <w:color w:val="auto"/>
              </w:rPr>
              <w:t>3,733</w:t>
            </w:r>
            <w:r>
              <w:rPr>
                <w:rFonts w:ascii="Arial" w:cs="Arial" w:eastAsia="Arial" w:hAnsi="Arial"/>
                <w:sz w:val="15"/>
                <w:szCs w:val="15"/>
                <w:color w:val="auto"/>
                <w:vertAlign w:val="superscript"/>
              </w:rPr>
              <w:t>(10)</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$104,524</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0"/>
                <w:szCs w:val="10"/>
                <w:color w:val="auto"/>
              </w:rPr>
              <w:t>1,508</w:t>
            </w:r>
            <w:r>
              <w:rPr>
                <w:rFonts w:ascii="Arial" w:cs="Arial" w:eastAsia="Arial" w:hAnsi="Arial"/>
                <w:sz w:val="15"/>
                <w:szCs w:val="15"/>
                <w:color w:val="auto"/>
                <w:vertAlign w:val="superscript"/>
              </w:rPr>
              <w:t>(11)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$42,224</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1,508</w:t>
            </w:r>
            <w:r>
              <w:rPr>
                <w:rFonts w:ascii="Arial" w:cs="Arial" w:eastAsia="Arial" w:hAnsi="Arial"/>
                <w:sz w:val="15"/>
                <w:szCs w:val="15"/>
                <w:color w:val="auto"/>
                <w:vertAlign w:val="superscript"/>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42,224</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w w:val="87"/>
              </w:rPr>
              <w:t>(26)</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$140,000</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w w:val="87"/>
              </w:rPr>
              <w:t>(27)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$420,000</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2000" w:type="dxa"/>
            <w:vAlign w:val="bottom"/>
          </w:tcPr>
          <w:p>
            <w:pPr>
              <w:spacing w:after="0"/>
              <w:rPr>
                <w:sz w:val="20"/>
                <w:szCs w:val="20"/>
                <w:color w:val="auto"/>
              </w:rPr>
            </w:pPr>
            <w:r>
              <w:rPr>
                <w:rFonts w:ascii="Arial" w:cs="Arial" w:eastAsia="Arial" w:hAnsi="Arial"/>
                <w:sz w:val="12"/>
                <w:szCs w:val="12"/>
                <w:color w:val="auto"/>
              </w:rPr>
              <w:t>Gregory J. Ritts</w:t>
            </w: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5,625</w:t>
            </w:r>
          </w:p>
        </w:tc>
        <w:tc>
          <w:tcPr>
            <w:tcW w:w="1040" w:type="dxa"/>
            <w:vAlign w:val="bottom"/>
            <w:gridSpan w:val="3"/>
          </w:tcPr>
          <w:p>
            <w:pPr>
              <w:jc w:val="right"/>
              <w:ind w:right="14"/>
              <w:spacing w:after="0"/>
              <w:rPr>
                <w:sz w:val="20"/>
                <w:szCs w:val="20"/>
                <w:color w:val="auto"/>
              </w:rPr>
            </w:pPr>
            <w:r>
              <w:rPr>
                <w:rFonts w:ascii="Arial" w:cs="Arial" w:eastAsia="Arial" w:hAnsi="Arial"/>
                <w:sz w:val="12"/>
                <w:szCs w:val="12"/>
                <w:color w:val="auto"/>
              </w:rPr>
              <w:t>1,875</w:t>
            </w:r>
            <w:r>
              <w:rPr>
                <w:rFonts w:ascii="Arial" w:cs="Arial" w:eastAsia="Arial" w:hAnsi="Arial"/>
                <w:sz w:val="18"/>
                <w:szCs w:val="18"/>
                <w:color w:val="auto"/>
                <w:vertAlign w:val="superscript"/>
              </w:rPr>
              <w:t>(28)</w:t>
            </w:r>
          </w:p>
        </w:tc>
        <w:tc>
          <w:tcPr>
            <w:tcW w:w="860" w:type="dxa"/>
            <w:vAlign w:val="bottom"/>
            <w:gridSpan w:val="3"/>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$96.87</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10/1/2024</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15,000</w:t>
            </w:r>
            <w:r>
              <w:rPr>
                <w:rFonts w:ascii="Arial" w:cs="Arial" w:eastAsia="Arial" w:hAnsi="Arial"/>
                <w:sz w:val="15"/>
                <w:szCs w:val="15"/>
                <w:color w:val="auto"/>
                <w:vertAlign w:val="superscript"/>
              </w:rPr>
              <w:t>(29)</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$96.87</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10/1/2024</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7,500</w:t>
            </w:r>
            <w:r>
              <w:rPr>
                <w:rFonts w:ascii="Arial" w:cs="Arial" w:eastAsia="Arial" w:hAnsi="Arial"/>
                <w:sz w:val="15"/>
                <w:szCs w:val="15"/>
                <w:color w:val="auto"/>
                <w:vertAlign w:val="superscript"/>
              </w:rPr>
              <w:t>(30)</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$96.87</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10/1/2024</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1,667</w:t>
            </w:r>
          </w:p>
        </w:tc>
        <w:tc>
          <w:tcPr>
            <w:tcW w:w="104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3,333</w:t>
            </w:r>
            <w:r>
              <w:rPr>
                <w:rFonts w:ascii="Arial" w:cs="Arial" w:eastAsia="Arial" w:hAnsi="Arial"/>
                <w:sz w:val="15"/>
                <w:szCs w:val="15"/>
                <w:color w:val="auto"/>
                <w:vertAlign w:val="superscript"/>
              </w:rPr>
              <w:t>(31)</w:t>
            </w:r>
          </w:p>
        </w:tc>
        <w:tc>
          <w:tcPr>
            <w:tcW w:w="860" w:type="dxa"/>
            <w:vAlign w:val="bottom"/>
            <w:gridSpan w:val="3"/>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$32.64</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8/29/2026</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3,333</w:t>
            </w:r>
            <w:r>
              <w:rPr>
                <w:rFonts w:ascii="Arial" w:cs="Arial" w:eastAsia="Arial" w:hAnsi="Arial"/>
                <w:sz w:val="15"/>
                <w:szCs w:val="15"/>
                <w:color w:val="auto"/>
                <w:vertAlign w:val="superscript"/>
              </w:rPr>
              <w:t>(32)</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$32.64</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8/29/2026</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1,667</w:t>
            </w:r>
            <w:r>
              <w:rPr>
                <w:rFonts w:ascii="Arial" w:cs="Arial" w:eastAsia="Arial" w:hAnsi="Arial"/>
                <w:sz w:val="15"/>
                <w:szCs w:val="15"/>
                <w:color w:val="auto"/>
                <w:vertAlign w:val="superscript"/>
              </w:rPr>
              <w:t>(33)</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$32.64</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8/29/2026</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5,200</w:t>
            </w:r>
          </w:p>
        </w:tc>
        <w:tc>
          <w:tcPr>
            <w:tcW w:w="1040" w:type="dxa"/>
            <w:vAlign w:val="bottom"/>
            <w:gridSpan w:val="3"/>
          </w:tcPr>
          <w:p>
            <w:pPr>
              <w:jc w:val="right"/>
              <w:ind w:right="74"/>
              <w:spacing w:after="0" w:line="138" w:lineRule="exact"/>
              <w:rPr>
                <w:sz w:val="20"/>
                <w:szCs w:val="20"/>
                <w:color w:val="auto"/>
              </w:rPr>
            </w:pPr>
            <w:r>
              <w:rPr>
                <w:rFonts w:ascii="Arial" w:cs="Arial" w:eastAsia="Arial" w:hAnsi="Arial"/>
                <w:sz w:val="10"/>
                <w:szCs w:val="10"/>
                <w:color w:val="auto"/>
              </w:rPr>
              <w:t>2,600</w:t>
            </w:r>
            <w:r>
              <w:rPr>
                <w:rFonts w:ascii="Arial" w:cs="Arial" w:eastAsia="Arial" w:hAnsi="Arial"/>
                <w:sz w:val="15"/>
                <w:szCs w:val="15"/>
                <w:color w:val="auto"/>
                <w:vertAlign w:val="superscript"/>
              </w:rPr>
              <w:t>(7)</w:t>
            </w:r>
          </w:p>
        </w:tc>
        <w:tc>
          <w:tcPr>
            <w:tcW w:w="860" w:type="dxa"/>
            <w:vAlign w:val="bottom"/>
            <w:gridSpan w:val="3"/>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$18.79</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4/15/2025</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1,731</w:t>
            </w:r>
            <w:r>
              <w:rPr>
                <w:rFonts w:ascii="Arial" w:cs="Arial" w:eastAsia="Arial" w:hAnsi="Arial"/>
                <w:sz w:val="15"/>
                <w:szCs w:val="15"/>
                <w:color w:val="auto"/>
                <w:vertAlign w:val="superscript"/>
              </w:rPr>
              <w:t>(8)</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1,730</w:t>
            </w:r>
            <w:r>
              <w:rPr>
                <w:rFonts w:ascii="Arial" w:cs="Arial" w:eastAsia="Arial" w:hAnsi="Arial"/>
                <w:sz w:val="15"/>
                <w:szCs w:val="15"/>
                <w:color w:val="auto"/>
                <w:vertAlign w:val="superscript"/>
              </w:rPr>
              <w:t>(8)</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4"/>
              <w:spacing w:after="0" w:line="138" w:lineRule="exact"/>
              <w:rPr>
                <w:sz w:val="20"/>
                <w:szCs w:val="20"/>
                <w:color w:val="auto"/>
              </w:rPr>
            </w:pPr>
            <w:r>
              <w:rPr>
                <w:rFonts w:ascii="Arial" w:cs="Arial" w:eastAsia="Arial" w:hAnsi="Arial"/>
                <w:sz w:val="10"/>
                <w:szCs w:val="10"/>
                <w:color w:val="auto"/>
              </w:rPr>
              <w:t>1,421</w:t>
            </w:r>
            <w:r>
              <w:rPr>
                <w:rFonts w:ascii="Arial" w:cs="Arial" w:eastAsia="Arial" w:hAnsi="Arial"/>
                <w:sz w:val="15"/>
                <w:szCs w:val="15"/>
                <w:color w:val="auto"/>
                <w:vertAlign w:val="superscript"/>
              </w:rPr>
              <w:t>(9)</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$39.13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4/7/2027</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3,333</w:t>
            </w:r>
            <w:r>
              <w:rPr>
                <w:rFonts w:ascii="Arial" w:cs="Arial" w:eastAsia="Arial" w:hAnsi="Arial"/>
                <w:sz w:val="15"/>
                <w:szCs w:val="15"/>
                <w:color w:val="auto"/>
                <w:vertAlign w:val="superscript"/>
              </w:rPr>
              <w:t>(24)</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$27.65</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7/27/2027</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1,667</w:t>
            </w:r>
            <w:r>
              <w:rPr>
                <w:rFonts w:ascii="Arial" w:cs="Arial" w:eastAsia="Arial" w:hAnsi="Arial"/>
                <w:sz w:val="15"/>
                <w:szCs w:val="15"/>
                <w:color w:val="auto"/>
                <w:vertAlign w:val="superscript"/>
              </w:rPr>
              <w:t>(25)</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$27.65</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7/27/2027</w:t>
            </w:r>
          </w:p>
        </w:tc>
        <w:tc>
          <w:tcPr>
            <w:tcW w:w="76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3,733</w:t>
            </w:r>
            <w:r>
              <w:rPr>
                <w:rFonts w:ascii="Arial" w:cs="Arial" w:eastAsia="Arial" w:hAnsi="Arial"/>
                <w:sz w:val="15"/>
                <w:szCs w:val="15"/>
                <w:color w:val="auto"/>
                <w:vertAlign w:val="superscript"/>
              </w:rPr>
              <w:t>(10)</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$104,524</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1,508</w:t>
            </w:r>
            <w:r>
              <w:rPr>
                <w:rFonts w:ascii="Arial" w:cs="Arial" w:eastAsia="Arial" w:hAnsi="Arial"/>
                <w:sz w:val="15"/>
                <w:szCs w:val="15"/>
                <w:color w:val="auto"/>
                <w:vertAlign w:val="superscript"/>
              </w:rPr>
              <w:t>(11)</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$42,224</w:t>
            </w:r>
          </w:p>
        </w:tc>
        <w:tc>
          <w:tcPr>
            <w:tcW w:w="780" w:type="dxa"/>
            <w:vAlign w:val="bottom"/>
          </w:tcPr>
          <w:p>
            <w:pPr>
              <w:jc w:val="right"/>
              <w:spacing w:after="0" w:line="138" w:lineRule="exact"/>
              <w:rPr>
                <w:sz w:val="20"/>
                <w:szCs w:val="20"/>
                <w:color w:val="auto"/>
              </w:rPr>
            </w:pPr>
            <w:r>
              <w:rPr>
                <w:rFonts w:ascii="Arial" w:cs="Arial" w:eastAsia="Arial" w:hAnsi="Arial"/>
                <w:sz w:val="10"/>
                <w:szCs w:val="10"/>
                <w:color w:val="auto"/>
              </w:rPr>
              <w:t>1,508</w:t>
            </w:r>
            <w:r>
              <w:rPr>
                <w:rFonts w:ascii="Arial" w:cs="Arial" w:eastAsia="Arial" w:hAnsi="Arial"/>
                <w:sz w:val="15"/>
                <w:szCs w:val="15"/>
                <w:color w:val="auto"/>
                <w:vertAlign w:val="superscript"/>
              </w:rPr>
              <w:t>(12)</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42,224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5,000</w:t>
            </w:r>
            <w:r>
              <w:rPr>
                <w:rFonts w:ascii="Arial" w:cs="Arial" w:eastAsia="Arial" w:hAnsi="Arial"/>
                <w:sz w:val="15"/>
                <w:szCs w:val="15"/>
                <w:color w:val="auto"/>
                <w:vertAlign w:val="superscript"/>
              </w:rPr>
              <w:t>(26)</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$140,000</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2000" w:type="dxa"/>
            <w:vAlign w:val="bottom"/>
          </w:tcPr>
          <w:p>
            <w:pPr>
              <w:spacing w:after="0"/>
              <w:rPr>
                <w:sz w:val="20"/>
                <w:szCs w:val="20"/>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174"/>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114"/>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15,000</w:t>
            </w:r>
            <w:r>
              <w:rPr>
                <w:rFonts w:ascii="Arial" w:cs="Arial" w:eastAsia="Arial" w:hAnsi="Arial"/>
                <w:sz w:val="18"/>
                <w:szCs w:val="18"/>
                <w:color w:val="auto"/>
                <w:vertAlign w:val="superscript"/>
              </w:rPr>
              <w:t>(27)</w:t>
            </w: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$420,000</w:t>
            </w:r>
          </w:p>
        </w:tc>
        <w:tc>
          <w:tcPr>
            <w:tcW w:w="78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600" w:hanging="464"/>
        <w:spacing w:after="0"/>
        <w:tabs>
          <w:tab w:leader="none" w:pos="16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Options awarded for which the performance hurdles have been achieved but remain subject to additional service-based criteria.</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Options awarded for which the performance hurdles have not been achieved.</w:t>
      </w:r>
    </w:p>
    <w:p>
      <w:pPr>
        <w:spacing w:after="0" w:line="12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The exercise price of each outstanding stock option of Altisource was adjusted to reflect the value of Altisource Asset Management Corporation and Front Yard Residential Corporation (formerly Altisource Residential Corporation) common stock distributed to Altisource shareholders in connection with the spin-off transactions completed on December 21, 2012.</w:t>
      </w:r>
    </w:p>
    <w:p>
      <w:pPr>
        <w:spacing w:after="0" w:line="143"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Restricted shares awarded but remain subject to additional service-based criteria.</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Restricted shares awarded for which the performance hurdles have not been achieved.</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These options were exercised on February 9, 2018.</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0"/>
        </w:numPr>
        <w:rPr>
          <w:rFonts w:ascii="Arial" w:cs="Arial" w:eastAsia="Arial" w:hAnsi="Arial"/>
          <w:sz w:val="18"/>
          <w:szCs w:val="18"/>
          <w:color w:val="auto"/>
          <w:vertAlign w:val="superscript"/>
        </w:rPr>
      </w:pPr>
      <w:r>
        <w:rPr>
          <w:rFonts w:ascii="Arial" w:cs="Arial" w:eastAsia="Arial" w:hAnsi="Arial"/>
          <w:sz w:val="12"/>
          <w:szCs w:val="12"/>
          <w:color w:val="auto"/>
        </w:rPr>
        <w:t>Options vested on April 15, 2018.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114300</wp:posOffset>
            </wp:positionV>
            <wp:extent cx="1504315" cy="1377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0" w:right="100" w:hanging="464"/>
        <w:spacing w:after="0" w:line="209"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The 2017 performance-based stock options were scheduled to vest based upon the Company's achievement against the 2017 Performance Criteria. In February 2018, the Compensation Committee confirmed that the 2017 Performance Criteria were below a threshold level and the 2017 performance-based stock options granted to each of the Named Executive Officers were cancelled and forfeited.</w:t>
      </w:r>
    </w:p>
    <w:p>
      <w:pPr>
        <w:spacing w:after="0" w:line="128" w:lineRule="exact"/>
        <w:rPr>
          <w:rFonts w:ascii="Arial" w:cs="Arial" w:eastAsia="Arial" w:hAnsi="Arial"/>
          <w:sz w:val="18"/>
          <w:szCs w:val="18"/>
          <w:color w:val="auto"/>
          <w:vertAlign w:val="superscript"/>
        </w:rPr>
      </w:pPr>
    </w:p>
    <w:p>
      <w:pPr>
        <w:ind w:left="1600" w:hanging="464"/>
        <w:spacing w:after="0" w:line="228"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The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no additional service revenue stock options shall vest if the Company again achieves $1.5 billion in service revenue in a calendar year prior to 2021. To the extent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as otherwise set forth in the award agreements. Service revenue stock options that are determined not to be eligible for vesting will be cancelled and forfeited.</w:t>
      </w:r>
    </w:p>
    <w:p>
      <w:pPr>
        <w:spacing w:after="0" w:line="73"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Restricted shares vest in two (2) equal installments; fifty percent (50%) vested on April 15, 2018 and fifty percent (50%) vests on April 15, 2019.</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Restricted shares vest in three (3) equal installments; one-third vested on April 7, 2018, one-third vests on April 7, 2019 and one-third vests on April 7, 2020.</w:t>
      </w:r>
    </w:p>
    <w:p>
      <w:pPr>
        <w:spacing w:after="0" w:line="128" w:lineRule="exact"/>
        <w:rPr>
          <w:rFonts w:ascii="Arial" w:cs="Arial" w:eastAsia="Arial" w:hAnsi="Arial"/>
          <w:sz w:val="18"/>
          <w:szCs w:val="18"/>
          <w:color w:val="auto"/>
          <w:vertAlign w:val="superscript"/>
        </w:rPr>
      </w:pPr>
    </w:p>
    <w:p>
      <w:pPr>
        <w:jc w:val="both"/>
        <w:ind w:left="1600" w:right="160" w:hanging="464"/>
        <w:spacing w:after="0" w:line="209"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Performance-based restricted shares are scheduled to vest based upon the Company's achievement against the 2017 Performance Criteria. In February 2018, the Compensation Committee confirmed that the 2017 Performance Criteria were below a threshold level and the 2017 performance-based restricted shares granted to each of the Named Executive Officers were cancelled and forfeited.</w:t>
      </w:r>
    </w:p>
    <w:p>
      <w:pPr>
        <w:spacing w:after="0" w:line="128" w:lineRule="exact"/>
        <w:rPr>
          <w:rFonts w:ascii="Arial" w:cs="Arial" w:eastAsia="Arial" w:hAnsi="Arial"/>
          <w:sz w:val="18"/>
          <w:szCs w:val="18"/>
          <w:color w:val="auto"/>
          <w:vertAlign w:val="superscript"/>
        </w:rPr>
      </w:pPr>
    </w:p>
    <w:p>
      <w:pPr>
        <w:ind w:left="1600" w:right="40" w:hanging="464"/>
        <w:spacing w:after="0" w:line="197"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One-third of options vest upon Altisource achieving a stock price of $54.58 and an annual rate of return of twenty percent (20%) over the exercise price with the balance vesting one-third each subsequent anniversary thereof.</w:t>
      </w:r>
    </w:p>
    <w:p>
      <w:pPr>
        <w:spacing w:after="0" w:line="128" w:lineRule="exact"/>
        <w:rPr>
          <w:rFonts w:ascii="Arial" w:cs="Arial" w:eastAsia="Arial" w:hAnsi="Arial"/>
          <w:sz w:val="18"/>
          <w:szCs w:val="18"/>
          <w:color w:val="auto"/>
          <w:vertAlign w:val="superscript"/>
        </w:rPr>
      </w:pPr>
    </w:p>
    <w:p>
      <w:pPr>
        <w:ind w:left="1600" w:right="80" w:hanging="464"/>
        <w:spacing w:after="0" w:line="197"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One-third of options vest upon Altisource achieving a stock price of $81.87 and an annual rate of return of twenty-five percent (25%) over the exercise price with the balance vesting one-third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Restricted shares vest in four (4) equal installments on October 5, 2018, October 5, 2019, October 5, 2020 and October 5, 2021.</w:t>
      </w:r>
    </w:p>
    <w:p>
      <w:pPr>
        <w:spacing w:after="0" w:line="128" w:lineRule="exact"/>
        <w:rPr>
          <w:rFonts w:ascii="Arial" w:cs="Arial" w:eastAsia="Arial" w:hAnsi="Arial"/>
          <w:sz w:val="18"/>
          <w:szCs w:val="18"/>
          <w:color w:val="auto"/>
          <w:vertAlign w:val="superscript"/>
        </w:rPr>
      </w:pPr>
    </w:p>
    <w:p>
      <w:pPr>
        <w:ind w:left="1600" w:hanging="464"/>
        <w:spacing w:after="0" w:line="197"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Twenty-five percent (25%) of options vest upon Altisource achieving a stock price of $182.28 and an annual rate of return of twenty-five percent (25%) over the exercise price with the balance vesting twenty-five percent (25%)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Options vest in two (2) equal installments; fifty percent (50%) vested on February 10, 2018 and fifty percent (50%) vests on February 10, 2019.</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Options vest in three (3) equal installments; one-third vested on April 12, 2018, one-third vests on April 12, 2019 and one-third vests on April 12, 2020.</w:t>
      </w:r>
    </w:p>
    <w:p>
      <w:pPr>
        <w:spacing w:after="0" w:line="128" w:lineRule="exact"/>
        <w:rPr>
          <w:rFonts w:ascii="Arial" w:cs="Arial" w:eastAsia="Arial" w:hAnsi="Arial"/>
          <w:sz w:val="18"/>
          <w:szCs w:val="18"/>
          <w:color w:val="auto"/>
          <w:vertAlign w:val="superscript"/>
        </w:rPr>
      </w:pPr>
    </w:p>
    <w:p>
      <w:pPr>
        <w:ind w:left="1600" w:right="60" w:hanging="464"/>
        <w:spacing w:after="0" w:line="197"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Twenty-five percent (25%) of options vest upon Altisource achieving a stock price of $65.67 and an annual rate of return of twenty-five percent (25%) over the exercise price with the balance vesting twenty-five percent (25%)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Options vested on May 15, 2018.</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Options vest on November 11, 2018.</w:t>
      </w:r>
    </w:p>
    <w:p>
      <w:pPr>
        <w:spacing w:after="0" w:line="128" w:lineRule="exact"/>
        <w:rPr>
          <w:rFonts w:ascii="Arial" w:cs="Arial" w:eastAsia="Arial" w:hAnsi="Arial"/>
          <w:sz w:val="18"/>
          <w:szCs w:val="18"/>
          <w:color w:val="auto"/>
          <w:vertAlign w:val="superscript"/>
        </w:rPr>
      </w:pPr>
    </w:p>
    <w:p>
      <w:pPr>
        <w:ind w:left="1600" w:right="220" w:hanging="464"/>
        <w:spacing w:after="0" w:line="197"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Twenty-five percent (25%) of options vest upon Altisource achieving a stock price of $145.56 and an annual rate of return of twenty percent (20%) over the exercise price with the balance vesting twenty-five percent (25%) each subsequent anniversary thereof.</w:t>
      </w:r>
    </w:p>
    <w:p>
      <w:pPr>
        <w:spacing w:after="0" w:line="128" w:lineRule="exact"/>
        <w:rPr>
          <w:rFonts w:ascii="Arial" w:cs="Arial" w:eastAsia="Arial" w:hAnsi="Arial"/>
          <w:sz w:val="18"/>
          <w:szCs w:val="18"/>
          <w:color w:val="auto"/>
          <w:vertAlign w:val="superscript"/>
        </w:rPr>
      </w:pPr>
    </w:p>
    <w:p>
      <w:pPr>
        <w:ind w:left="1600" w:hanging="464"/>
        <w:spacing w:after="0" w:line="197"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Twenty-five percent (25%) of options vest upon Altisource achieving a stock price of $218.34 and an annual rate of return of twenty-five percent (25%) over the exercise price with the balance vesting twenty-five percent (25%) each subsequent anniversary thereof.</w:t>
      </w:r>
    </w:p>
    <w:p>
      <w:pPr>
        <w:spacing w:after="0" w:line="128" w:lineRule="exact"/>
        <w:rPr>
          <w:rFonts w:ascii="Arial" w:cs="Arial" w:eastAsia="Arial" w:hAnsi="Arial"/>
          <w:sz w:val="18"/>
          <w:szCs w:val="18"/>
          <w:color w:val="auto"/>
          <w:vertAlign w:val="superscript"/>
        </w:rPr>
      </w:pPr>
    </w:p>
    <w:p>
      <w:pPr>
        <w:ind w:left="1600" w:right="40" w:hanging="464"/>
        <w:spacing w:after="0" w:line="197" w:lineRule="auto"/>
        <w:tabs>
          <w:tab w:leader="none" w:pos="1600" w:val="left"/>
        </w:tabs>
        <w:numPr>
          <w:ilvl w:val="0"/>
          <w:numId w:val="61"/>
        </w:numPr>
        <w:rPr>
          <w:rFonts w:ascii="Arial" w:cs="Arial" w:eastAsia="Arial" w:hAnsi="Arial"/>
          <w:sz w:val="18"/>
          <w:szCs w:val="18"/>
          <w:color w:val="auto"/>
          <w:vertAlign w:val="superscript"/>
        </w:rPr>
      </w:pPr>
      <w:r>
        <w:rPr>
          <w:rFonts w:ascii="Arial" w:cs="Arial" w:eastAsia="Arial" w:hAnsi="Arial"/>
          <w:sz w:val="12"/>
          <w:szCs w:val="12"/>
          <w:color w:val="auto"/>
        </w:rPr>
        <w:t>One-third of options vest upon Altisource achieving a stock price of $55.30 and an annual rate of return of twenty percent (20%) over the exercise price with the balance vesting one-third each subsequent anniversary thereof.</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114300</wp:posOffset>
            </wp:positionV>
            <wp:extent cx="1504315" cy="1377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0" w:right="120" w:hanging="464"/>
        <w:spacing w:after="0" w:line="197" w:lineRule="auto"/>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Restricted shares vest in three (3) equal installments; one-third vested on July 27, 2018, one-third vests on July 27, 2019 and one-third vests on July 27, 2020.</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Restricted shares vest in four (4) equal installments on November 13, 2018, November 13, 2019, November 13, 2020 and November 13, 2021.</w:t>
      </w:r>
    </w:p>
    <w:p>
      <w:pPr>
        <w:spacing w:after="0" w:line="67"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Options vest on October 1, 2018.</w:t>
      </w:r>
    </w:p>
    <w:p>
      <w:pPr>
        <w:spacing w:after="0" w:line="128" w:lineRule="exact"/>
        <w:rPr>
          <w:rFonts w:ascii="Arial" w:cs="Arial" w:eastAsia="Arial" w:hAnsi="Arial"/>
          <w:sz w:val="18"/>
          <w:szCs w:val="18"/>
          <w:color w:val="auto"/>
          <w:vertAlign w:val="superscript"/>
        </w:rPr>
      </w:pPr>
    </w:p>
    <w:p>
      <w:pPr>
        <w:ind w:left="1600" w:right="260" w:hanging="464"/>
        <w:spacing w:after="0" w:line="197" w:lineRule="auto"/>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28" w:lineRule="exact"/>
        <w:rPr>
          <w:rFonts w:ascii="Arial" w:cs="Arial" w:eastAsia="Arial" w:hAnsi="Arial"/>
          <w:sz w:val="18"/>
          <w:szCs w:val="18"/>
          <w:color w:val="auto"/>
          <w:vertAlign w:val="superscript"/>
        </w:rPr>
      </w:pPr>
    </w:p>
    <w:p>
      <w:pPr>
        <w:ind w:left="1600" w:right="40" w:hanging="464"/>
        <w:spacing w:after="0" w:line="197" w:lineRule="auto"/>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Twenty-five percent (25%) of options vest upon Altisource achieving a stock price of $290.61 and an annual rate of return of twenty-five percent (25%) over the exercise price with the balance vesting twenty-five percent (25%) each subsequent anniversary thereof.</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Options vest in two (2) equal installments on August 29, 2018 and August 29, 2019.</w:t>
      </w:r>
    </w:p>
    <w:p>
      <w:pPr>
        <w:spacing w:after="0" w:line="128" w:lineRule="exact"/>
        <w:rPr>
          <w:rFonts w:ascii="Arial" w:cs="Arial" w:eastAsia="Arial" w:hAnsi="Arial"/>
          <w:sz w:val="18"/>
          <w:szCs w:val="18"/>
          <w:color w:val="auto"/>
          <w:vertAlign w:val="superscript"/>
        </w:rPr>
      </w:pPr>
    </w:p>
    <w:p>
      <w:pPr>
        <w:ind w:left="1600" w:right="80" w:hanging="464"/>
        <w:spacing w:after="0" w:line="197" w:lineRule="auto"/>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One-third of options vest upon Altisource achieving a stock price of $65.28 and an annual rate of return of twenty percent (20%) over the exercise price with the balance vesting one-third each subsequent anniversary thereof.</w:t>
      </w:r>
    </w:p>
    <w:p>
      <w:pPr>
        <w:spacing w:after="0" w:line="128" w:lineRule="exact"/>
        <w:rPr>
          <w:rFonts w:ascii="Arial" w:cs="Arial" w:eastAsia="Arial" w:hAnsi="Arial"/>
          <w:sz w:val="18"/>
          <w:szCs w:val="18"/>
          <w:color w:val="auto"/>
          <w:vertAlign w:val="superscript"/>
        </w:rPr>
      </w:pPr>
    </w:p>
    <w:p>
      <w:pPr>
        <w:ind w:left="1600" w:right="120" w:hanging="464"/>
        <w:spacing w:after="0" w:line="197" w:lineRule="auto"/>
        <w:tabs>
          <w:tab w:leader="none" w:pos="160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 Exercises and Stock Vested during 2017</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regarding the exercise of stock options and vesting of restricted stock awards during the fiscal year ended December 31, 2017 for our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Named Executive Officers: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5"/>
                <w:szCs w:val="15"/>
                <w:b w:val="1"/>
                <w:bCs w:val="1"/>
                <w:color w:val="auto"/>
              </w:rPr>
              <w:t>Option Awards</w:t>
            </w:r>
          </w:p>
        </w:tc>
        <w:tc>
          <w:tcPr>
            <w:tcW w:w="20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5"/>
                <w:szCs w:val="15"/>
                <w:b w:val="1"/>
                <w:bCs w:val="1"/>
                <w:color w:val="auto"/>
              </w:rPr>
              <w:t>Stock Awards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9"/>
              </w:rPr>
              <w:t>Number of Shares</w:t>
            </w:r>
          </w:p>
        </w:tc>
        <w:tc>
          <w:tcPr>
            <w:tcW w:w="1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7"/>
              </w:rPr>
              <w:t>Value Realized</w:t>
            </w:r>
          </w:p>
        </w:tc>
        <w:tc>
          <w:tcPr>
            <w:tcW w:w="20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5"/>
                <w:szCs w:val="15"/>
                <w:b w:val="1"/>
                <w:bCs w:val="1"/>
                <w:color w:val="auto"/>
                <w:w w:val="99"/>
              </w:rPr>
              <w:t>Number of Shares</w:t>
            </w:r>
          </w:p>
        </w:tc>
        <w:tc>
          <w:tcPr>
            <w:tcW w:w="18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Value Realized</w:t>
            </w: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rPr>
              <w:t>Acquired on</w:t>
            </w: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8"/>
              </w:rPr>
              <w:t>Acquired on</w:t>
            </w: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Exercise</w:t>
            </w: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4"/>
                <w:szCs w:val="14"/>
                <w:b w:val="1"/>
                <w:bCs w:val="1"/>
                <w:color w:val="auto"/>
              </w:rPr>
              <w:t>on Exercise</w:t>
            </w:r>
            <w:r>
              <w:rPr>
                <w:rFonts w:ascii="Arial" w:cs="Arial" w:eastAsia="Arial" w:hAnsi="Arial"/>
                <w:sz w:val="23"/>
                <w:szCs w:val="23"/>
                <w:b w:val="1"/>
                <w:bCs w:val="1"/>
                <w:color w:val="auto"/>
                <w:vertAlign w:val="superscript"/>
              </w:rPr>
              <w:t>(1)</w:t>
            </w:r>
          </w:p>
        </w:tc>
        <w:tc>
          <w:tcPr>
            <w:tcW w:w="20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Vesting</w:t>
            </w: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right"/>
              <w:ind w:right="7"/>
              <w:spacing w:after="0" w:line="205" w:lineRule="exact"/>
              <w:rPr>
                <w:sz w:val="20"/>
                <w:szCs w:val="20"/>
                <w:color w:val="auto"/>
              </w:rPr>
            </w:pPr>
            <w:r>
              <w:rPr>
                <w:rFonts w:ascii="Arial" w:cs="Arial" w:eastAsia="Arial" w:hAnsi="Arial"/>
                <w:sz w:val="14"/>
                <w:szCs w:val="14"/>
                <w:b w:val="1"/>
                <w:bCs w:val="1"/>
                <w:color w:val="auto"/>
              </w:rPr>
              <w:t>on Vesting</w:t>
            </w:r>
            <w:r>
              <w:rPr>
                <w:rFonts w:ascii="Arial" w:cs="Arial" w:eastAsia="Arial" w:hAnsi="Arial"/>
                <w:sz w:val="23"/>
                <w:szCs w:val="23"/>
                <w:b w:val="1"/>
                <w:bCs w:val="1"/>
                <w:color w:val="auto"/>
                <w:vertAlign w:val="superscript"/>
              </w:rPr>
              <w:t>(2)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84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William B. Shepro</w:t>
            </w:r>
          </w:p>
        </w:tc>
        <w:tc>
          <w:tcPr>
            <w:tcW w:w="1280" w:type="dxa"/>
            <w:vAlign w:val="bottom"/>
            <w:shd w:val="clear" w:color="auto" w:fill="CCEEFF"/>
          </w:tcPr>
          <w:p>
            <w:pPr>
              <w:jc w:val="right"/>
              <w:ind w:right="190"/>
              <w:spacing w:after="0" w:line="164" w:lineRule="exact"/>
              <w:rPr>
                <w:sz w:val="20"/>
                <w:szCs w:val="20"/>
                <w:color w:val="auto"/>
              </w:rPr>
            </w:pPr>
            <w:r>
              <w:rPr>
                <w:rFonts w:ascii="Arial" w:cs="Arial" w:eastAsia="Arial" w:hAnsi="Arial"/>
                <w:sz w:val="12"/>
                <w:szCs w:val="12"/>
                <w:color w:val="auto"/>
              </w:rPr>
              <w:t>56,250</w:t>
            </w:r>
            <w:r>
              <w:rPr>
                <w:rFonts w:ascii="Arial" w:cs="Arial" w:eastAsia="Arial" w:hAnsi="Arial"/>
                <w:sz w:val="18"/>
                <w:szCs w:val="18"/>
                <w:color w:val="auto"/>
                <w:vertAlign w:val="superscript"/>
              </w:rPr>
              <w:t>(3)</w:t>
            </w:r>
          </w:p>
        </w:tc>
        <w:tc>
          <w:tcPr>
            <w:tcW w:w="1220" w:type="dxa"/>
            <w:vAlign w:val="bottom"/>
            <w:gridSpan w:val="2"/>
            <w:shd w:val="clear" w:color="auto" w:fill="CCEEFF"/>
          </w:tcPr>
          <w:p>
            <w:pPr>
              <w:jc w:val="right"/>
              <w:ind w:right="107"/>
              <w:spacing w:after="0" w:line="163" w:lineRule="exact"/>
              <w:rPr>
                <w:sz w:val="20"/>
                <w:szCs w:val="20"/>
                <w:color w:val="auto"/>
              </w:rPr>
            </w:pPr>
            <w:r>
              <w:rPr>
                <w:rFonts w:ascii="Arial" w:cs="Arial" w:eastAsia="Arial" w:hAnsi="Arial"/>
                <w:sz w:val="15"/>
                <w:szCs w:val="15"/>
                <w:color w:val="auto"/>
              </w:rPr>
              <w:t>$767,250</w:t>
            </w:r>
          </w:p>
        </w:tc>
        <w:tc>
          <w:tcPr>
            <w:tcW w:w="1480" w:type="dxa"/>
            <w:vAlign w:val="bottom"/>
            <w:gridSpan w:val="2"/>
            <w:shd w:val="clear" w:color="auto" w:fill="CCEEFF"/>
          </w:tcPr>
          <w:p>
            <w:pPr>
              <w:jc w:val="right"/>
              <w:ind w:right="186"/>
              <w:spacing w:after="0" w:line="164" w:lineRule="exact"/>
              <w:rPr>
                <w:sz w:val="20"/>
                <w:szCs w:val="20"/>
                <w:color w:val="auto"/>
              </w:rPr>
            </w:pPr>
            <w:r>
              <w:rPr>
                <w:rFonts w:ascii="Arial" w:cs="Arial" w:eastAsia="Arial" w:hAnsi="Arial"/>
                <w:sz w:val="12"/>
                <w:szCs w:val="12"/>
                <w:color w:val="auto"/>
              </w:rPr>
              <w:t>18,867</w:t>
            </w:r>
            <w:r>
              <w:rPr>
                <w:rFonts w:ascii="Arial" w:cs="Arial" w:eastAsia="Arial" w:hAnsi="Arial"/>
                <w:sz w:val="18"/>
                <w:szCs w:val="18"/>
                <w:color w:val="auto"/>
                <w:vertAlign w:val="superscript"/>
              </w:rPr>
              <w:t>(4)</w:t>
            </w:r>
          </w:p>
        </w:tc>
        <w:tc>
          <w:tcPr>
            <w:tcW w:w="1220" w:type="dxa"/>
            <w:vAlign w:val="bottom"/>
            <w:gridSpan w:val="2"/>
            <w:shd w:val="clear" w:color="auto" w:fill="CCEEFF"/>
          </w:tcPr>
          <w:p>
            <w:pPr>
              <w:jc w:val="right"/>
              <w:ind w:right="127"/>
              <w:spacing w:after="0" w:line="163" w:lineRule="exact"/>
              <w:rPr>
                <w:sz w:val="20"/>
                <w:szCs w:val="20"/>
                <w:color w:val="auto"/>
              </w:rPr>
            </w:pPr>
            <w:r>
              <w:rPr>
                <w:rFonts w:ascii="Arial" w:cs="Arial" w:eastAsia="Arial" w:hAnsi="Arial"/>
                <w:sz w:val="15"/>
                <w:szCs w:val="15"/>
                <w:color w:val="auto"/>
              </w:rPr>
              <w:t>$807,130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gridSpan w:val="2"/>
          </w:tcPr>
          <w:p>
            <w:pPr>
              <w:spacing w:after="0"/>
              <w:rPr>
                <w:sz w:val="20"/>
                <w:szCs w:val="20"/>
                <w:color w:val="auto"/>
              </w:rPr>
            </w:pPr>
            <w:r>
              <w:rPr>
                <w:rFonts w:ascii="Arial" w:cs="Arial" w:eastAsia="Arial" w:hAnsi="Arial"/>
                <w:sz w:val="15"/>
                <w:szCs w:val="15"/>
                <w:color w:val="auto"/>
              </w:rPr>
              <w:t>Kevin J. Wilcox</w:t>
            </w:r>
          </w:p>
        </w:tc>
        <w:tc>
          <w:tcPr>
            <w:tcW w:w="1280" w:type="dxa"/>
            <w:vAlign w:val="bottom"/>
          </w:tcPr>
          <w:p>
            <w:pPr>
              <w:jc w:val="right"/>
              <w:ind w:right="190"/>
              <w:spacing w:after="0" w:line="172" w:lineRule="exact"/>
              <w:rPr>
                <w:sz w:val="20"/>
                <w:szCs w:val="20"/>
                <w:color w:val="auto"/>
              </w:rPr>
            </w:pPr>
            <w:r>
              <w:rPr>
                <w:rFonts w:ascii="Arial" w:cs="Arial" w:eastAsia="Arial" w:hAnsi="Arial"/>
                <w:sz w:val="12"/>
                <w:szCs w:val="12"/>
                <w:color w:val="auto"/>
              </w:rPr>
              <w:t>39,167</w:t>
            </w:r>
            <w:r>
              <w:rPr>
                <w:rFonts w:ascii="Arial" w:cs="Arial" w:eastAsia="Arial" w:hAnsi="Arial"/>
                <w:sz w:val="19"/>
                <w:szCs w:val="19"/>
                <w:color w:val="auto"/>
                <w:vertAlign w:val="superscript"/>
              </w:rPr>
              <w:t>(5)</w:t>
            </w:r>
          </w:p>
        </w:tc>
        <w:tc>
          <w:tcPr>
            <w:tcW w:w="1220" w:type="dxa"/>
            <w:vAlign w:val="bottom"/>
            <w:gridSpan w:val="2"/>
          </w:tcPr>
          <w:p>
            <w:pPr>
              <w:jc w:val="right"/>
              <w:ind w:right="107"/>
              <w:spacing w:after="0"/>
              <w:rPr>
                <w:sz w:val="20"/>
                <w:szCs w:val="20"/>
                <w:color w:val="auto"/>
              </w:rPr>
            </w:pPr>
            <w:r>
              <w:rPr>
                <w:rFonts w:ascii="Arial" w:cs="Arial" w:eastAsia="Arial" w:hAnsi="Arial"/>
                <w:sz w:val="15"/>
                <w:szCs w:val="15"/>
                <w:color w:val="auto"/>
              </w:rPr>
              <w:t>$534,238</w:t>
            </w:r>
          </w:p>
        </w:tc>
        <w:tc>
          <w:tcPr>
            <w:tcW w:w="1480" w:type="dxa"/>
            <w:vAlign w:val="bottom"/>
            <w:gridSpan w:val="2"/>
          </w:tcPr>
          <w:p>
            <w:pPr>
              <w:jc w:val="right"/>
              <w:ind w:right="186"/>
              <w:spacing w:after="0" w:line="172" w:lineRule="exact"/>
              <w:rPr>
                <w:sz w:val="20"/>
                <w:szCs w:val="20"/>
                <w:color w:val="auto"/>
              </w:rPr>
            </w:pPr>
            <w:r>
              <w:rPr>
                <w:rFonts w:ascii="Arial" w:cs="Arial" w:eastAsia="Arial" w:hAnsi="Arial"/>
                <w:sz w:val="12"/>
                <w:szCs w:val="12"/>
                <w:color w:val="auto"/>
              </w:rPr>
              <w:t>6,833</w:t>
            </w:r>
            <w:r>
              <w:rPr>
                <w:rFonts w:ascii="Arial" w:cs="Arial" w:eastAsia="Arial" w:hAnsi="Arial"/>
                <w:sz w:val="19"/>
                <w:szCs w:val="19"/>
                <w:color w:val="auto"/>
                <w:vertAlign w:val="superscript"/>
              </w:rPr>
              <w:t>(6)</w:t>
            </w:r>
          </w:p>
        </w:tc>
        <w:tc>
          <w:tcPr>
            <w:tcW w:w="1220" w:type="dxa"/>
            <w:vAlign w:val="bottom"/>
            <w:gridSpan w:val="2"/>
          </w:tcPr>
          <w:p>
            <w:pPr>
              <w:jc w:val="right"/>
              <w:ind w:right="127"/>
              <w:spacing w:after="0"/>
              <w:rPr>
                <w:sz w:val="20"/>
                <w:szCs w:val="20"/>
                <w:color w:val="auto"/>
              </w:rPr>
            </w:pPr>
            <w:r>
              <w:rPr>
                <w:rFonts w:ascii="Arial" w:cs="Arial" w:eastAsia="Arial" w:hAnsi="Arial"/>
                <w:sz w:val="15"/>
                <w:szCs w:val="15"/>
                <w:color w:val="auto"/>
              </w:rPr>
              <w:t>$292,316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Indroneel Chatterjee</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480" w:type="dxa"/>
            <w:vAlign w:val="bottom"/>
            <w:gridSpan w:val="2"/>
            <w:shd w:val="clear" w:color="auto" w:fill="CCEEFF"/>
          </w:tcPr>
          <w:p>
            <w:pPr>
              <w:jc w:val="right"/>
              <w:ind w:right="346"/>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27"/>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gridSpan w:val="2"/>
          </w:tcPr>
          <w:p>
            <w:pPr>
              <w:spacing w:after="0"/>
              <w:rPr>
                <w:sz w:val="20"/>
                <w:szCs w:val="20"/>
                <w:color w:val="auto"/>
              </w:rPr>
            </w:pPr>
            <w:r>
              <w:rPr>
                <w:rFonts w:ascii="Arial" w:cs="Arial" w:eastAsia="Arial" w:hAnsi="Arial"/>
                <w:sz w:val="15"/>
                <w:szCs w:val="15"/>
                <w:color w:val="auto"/>
              </w:rPr>
              <w:t>Michelle D. Esterman</w:t>
            </w:r>
          </w:p>
        </w:tc>
        <w:tc>
          <w:tcPr>
            <w:tcW w:w="1280" w:type="dxa"/>
            <w:vAlign w:val="bottom"/>
          </w:tcPr>
          <w:p>
            <w:pPr>
              <w:jc w:val="right"/>
              <w:ind w:right="33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07"/>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ind w:right="186"/>
              <w:spacing w:after="0" w:line="172" w:lineRule="exact"/>
              <w:rPr>
                <w:sz w:val="20"/>
                <w:szCs w:val="20"/>
                <w:color w:val="auto"/>
              </w:rPr>
            </w:pPr>
            <w:r>
              <w:rPr>
                <w:rFonts w:ascii="Arial" w:cs="Arial" w:eastAsia="Arial" w:hAnsi="Arial"/>
                <w:sz w:val="12"/>
                <w:szCs w:val="12"/>
                <w:color w:val="auto"/>
              </w:rPr>
              <w:t>4,833</w:t>
            </w:r>
            <w:r>
              <w:rPr>
                <w:rFonts w:ascii="Arial" w:cs="Arial" w:eastAsia="Arial" w:hAnsi="Arial"/>
                <w:sz w:val="19"/>
                <w:szCs w:val="19"/>
                <w:color w:val="auto"/>
                <w:vertAlign w:val="superscript"/>
              </w:rPr>
              <w:t>(7)</w:t>
            </w:r>
          </w:p>
        </w:tc>
        <w:tc>
          <w:tcPr>
            <w:tcW w:w="1220" w:type="dxa"/>
            <w:vAlign w:val="bottom"/>
            <w:gridSpan w:val="2"/>
          </w:tcPr>
          <w:p>
            <w:pPr>
              <w:jc w:val="right"/>
              <w:ind w:right="127"/>
              <w:spacing w:after="0"/>
              <w:rPr>
                <w:sz w:val="20"/>
                <w:szCs w:val="20"/>
                <w:color w:val="auto"/>
              </w:rPr>
            </w:pPr>
            <w:r>
              <w:rPr>
                <w:rFonts w:ascii="Arial" w:cs="Arial" w:eastAsia="Arial" w:hAnsi="Arial"/>
                <w:sz w:val="15"/>
                <w:szCs w:val="15"/>
                <w:color w:val="auto"/>
              </w:rPr>
              <w:t>$206,756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Joseph A. Davila</w:t>
            </w:r>
          </w:p>
        </w:tc>
        <w:tc>
          <w:tcPr>
            <w:tcW w:w="1280" w:type="dxa"/>
            <w:vAlign w:val="bottom"/>
            <w:shd w:val="clear" w:color="auto" w:fill="CCEEFF"/>
          </w:tcPr>
          <w:p>
            <w:pPr>
              <w:jc w:val="right"/>
              <w:ind w:right="190"/>
              <w:spacing w:after="0" w:line="172" w:lineRule="exact"/>
              <w:rPr>
                <w:sz w:val="20"/>
                <w:szCs w:val="20"/>
                <w:color w:val="auto"/>
              </w:rPr>
            </w:pPr>
            <w:r>
              <w:rPr>
                <w:rFonts w:ascii="Arial" w:cs="Arial" w:eastAsia="Arial" w:hAnsi="Arial"/>
                <w:sz w:val="12"/>
                <w:szCs w:val="12"/>
                <w:color w:val="auto"/>
              </w:rPr>
              <w:t>1,100</w:t>
            </w:r>
            <w:r>
              <w:rPr>
                <w:rFonts w:ascii="Arial" w:cs="Arial" w:eastAsia="Arial" w:hAnsi="Arial"/>
                <w:sz w:val="19"/>
                <w:szCs w:val="19"/>
                <w:color w:val="auto"/>
                <w:vertAlign w:val="superscript"/>
              </w:rPr>
              <w:t>(8)</w:t>
            </w:r>
          </w:p>
        </w:tc>
        <w:tc>
          <w:tcPr>
            <w:tcW w:w="122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rPr>
              <w:t>$4,356</w:t>
            </w:r>
          </w:p>
        </w:tc>
        <w:tc>
          <w:tcPr>
            <w:tcW w:w="1480" w:type="dxa"/>
            <w:vAlign w:val="bottom"/>
            <w:gridSpan w:val="2"/>
            <w:shd w:val="clear" w:color="auto" w:fill="CCEEFF"/>
          </w:tcPr>
          <w:p>
            <w:pPr>
              <w:jc w:val="right"/>
              <w:ind w:right="186"/>
              <w:spacing w:after="0" w:line="172" w:lineRule="exact"/>
              <w:rPr>
                <w:sz w:val="20"/>
                <w:szCs w:val="20"/>
                <w:color w:val="auto"/>
              </w:rPr>
            </w:pPr>
            <w:r>
              <w:rPr>
                <w:rFonts w:ascii="Arial" w:cs="Arial" w:eastAsia="Arial" w:hAnsi="Arial"/>
                <w:sz w:val="12"/>
                <w:szCs w:val="12"/>
                <w:color w:val="auto"/>
              </w:rPr>
              <w:t>1,867</w:t>
            </w:r>
            <w:r>
              <w:rPr>
                <w:rFonts w:ascii="Arial" w:cs="Arial" w:eastAsia="Arial" w:hAnsi="Arial"/>
                <w:sz w:val="19"/>
                <w:szCs w:val="19"/>
                <w:color w:val="auto"/>
                <w:vertAlign w:val="superscript"/>
              </w:rPr>
              <w:t>(9)</w:t>
            </w:r>
          </w:p>
        </w:tc>
        <w:tc>
          <w:tcPr>
            <w:tcW w:w="1220" w:type="dxa"/>
            <w:vAlign w:val="bottom"/>
            <w:gridSpan w:val="2"/>
            <w:shd w:val="clear" w:color="auto" w:fill="CCEEFF"/>
          </w:tcPr>
          <w:p>
            <w:pPr>
              <w:jc w:val="right"/>
              <w:ind w:right="127"/>
              <w:spacing w:after="0"/>
              <w:rPr>
                <w:sz w:val="20"/>
                <w:szCs w:val="20"/>
                <w:color w:val="auto"/>
              </w:rPr>
            </w:pPr>
            <w:r>
              <w:rPr>
                <w:rFonts w:ascii="Arial" w:cs="Arial" w:eastAsia="Arial" w:hAnsi="Arial"/>
                <w:sz w:val="15"/>
                <w:szCs w:val="15"/>
                <w:color w:val="auto"/>
              </w:rPr>
              <w:t>$79,870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3840" w:type="dxa"/>
            <w:vAlign w:val="bottom"/>
            <w:gridSpan w:val="2"/>
          </w:tcPr>
          <w:p>
            <w:pPr>
              <w:spacing w:after="0"/>
              <w:rPr>
                <w:sz w:val="20"/>
                <w:szCs w:val="20"/>
                <w:color w:val="auto"/>
              </w:rPr>
            </w:pPr>
            <w:r>
              <w:rPr>
                <w:rFonts w:ascii="Arial" w:cs="Arial" w:eastAsia="Arial" w:hAnsi="Arial"/>
                <w:sz w:val="15"/>
                <w:szCs w:val="15"/>
                <w:color w:val="auto"/>
              </w:rPr>
              <w:t>Gregory J. Ritts</w:t>
            </w:r>
          </w:p>
        </w:tc>
        <w:tc>
          <w:tcPr>
            <w:tcW w:w="1280" w:type="dxa"/>
            <w:vAlign w:val="bottom"/>
          </w:tcPr>
          <w:p>
            <w:pPr>
              <w:jc w:val="right"/>
              <w:ind w:right="33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07"/>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ind w:right="126"/>
              <w:spacing w:after="0"/>
              <w:rPr>
                <w:sz w:val="20"/>
                <w:szCs w:val="20"/>
                <w:color w:val="auto"/>
              </w:rPr>
            </w:pPr>
            <w:r>
              <w:rPr>
                <w:rFonts w:ascii="Arial" w:cs="Arial" w:eastAsia="Arial" w:hAnsi="Arial"/>
                <w:sz w:val="15"/>
                <w:szCs w:val="15"/>
                <w:color w:val="auto"/>
              </w:rPr>
              <w:t>1,867</w:t>
            </w:r>
            <w:r>
              <w:rPr>
                <w:rFonts w:ascii="Arial" w:cs="Arial" w:eastAsia="Arial" w:hAnsi="Arial"/>
                <w:sz w:val="24"/>
                <w:szCs w:val="24"/>
                <w:color w:val="auto"/>
                <w:vertAlign w:val="superscript"/>
              </w:rPr>
              <w:t>(10)</w:t>
            </w:r>
          </w:p>
        </w:tc>
        <w:tc>
          <w:tcPr>
            <w:tcW w:w="1220" w:type="dxa"/>
            <w:vAlign w:val="bottom"/>
            <w:gridSpan w:val="2"/>
          </w:tcPr>
          <w:p>
            <w:pPr>
              <w:jc w:val="right"/>
              <w:ind w:right="127"/>
              <w:spacing w:after="0"/>
              <w:rPr>
                <w:sz w:val="20"/>
                <w:szCs w:val="20"/>
                <w:color w:val="auto"/>
              </w:rPr>
            </w:pPr>
            <w:r>
              <w:rPr>
                <w:rFonts w:ascii="Arial" w:cs="Arial" w:eastAsia="Arial" w:hAnsi="Arial"/>
                <w:sz w:val="15"/>
                <w:szCs w:val="15"/>
                <w:color w:val="auto"/>
              </w:rPr>
              <w:t>$79,870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00" w:right="120" w:hanging="464"/>
        <w:spacing w:after="0" w:line="197" w:lineRule="auto"/>
        <w:tabs>
          <w:tab w:leader="none" w:pos="160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Based on the actual market price of the Company's common stock at the time the stock options were exercised. The shares of the Company's common stock received in connection with the stock option exercises were acquired and held.</w:t>
      </w:r>
    </w:p>
    <w:p>
      <w:pPr>
        <w:spacing w:after="0" w:line="68" w:lineRule="exact"/>
        <w:rPr>
          <w:rFonts w:ascii="Arial" w:cs="Arial" w:eastAsia="Arial" w:hAnsi="Arial"/>
          <w:sz w:val="18"/>
          <w:szCs w:val="18"/>
          <w:color w:val="auto"/>
          <w:vertAlign w:val="superscript"/>
        </w:rPr>
      </w:pPr>
    </w:p>
    <w:p>
      <w:pPr>
        <w:ind w:left="1600" w:hanging="464"/>
        <w:spacing w:after="0"/>
        <w:tabs>
          <w:tab w:leader="none" w:pos="160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Based on the actual market price of the Company's common stock at the time the stock awards vested.</w:t>
      </w:r>
    </w:p>
    <w:p>
      <w:pPr>
        <w:spacing w:after="0" w:line="128" w:lineRule="exact"/>
        <w:rPr>
          <w:rFonts w:ascii="Arial" w:cs="Arial" w:eastAsia="Arial" w:hAnsi="Arial"/>
          <w:sz w:val="18"/>
          <w:szCs w:val="18"/>
          <w:color w:val="auto"/>
          <w:vertAlign w:val="superscript"/>
        </w:rPr>
      </w:pPr>
    </w:p>
    <w:p>
      <w:pPr>
        <w:ind w:left="1600" w:right="280" w:hanging="464"/>
        <w:spacing w:after="0" w:line="197" w:lineRule="auto"/>
        <w:tabs>
          <w:tab w:leader="none" w:pos="160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56,250 shares were acquired as a result of the exercise of 56,250 stock options awarded as part of the July 14, 2008 stock option grant that expired on July 14, 2018. Mr. Shepro elected to pay the exercise price and taxes associated with all 56,250 exercised options and retain the resulting 56,250 shares.</w:t>
      </w:r>
    </w:p>
    <w:p>
      <w:pPr>
        <w:spacing w:after="0" w:line="128" w:lineRule="exact"/>
        <w:rPr>
          <w:rFonts w:ascii="Arial" w:cs="Arial" w:eastAsia="Arial" w:hAnsi="Arial"/>
          <w:sz w:val="18"/>
          <w:szCs w:val="18"/>
          <w:color w:val="auto"/>
          <w:vertAlign w:val="superscript"/>
        </w:rPr>
      </w:pPr>
    </w:p>
    <w:p>
      <w:pPr>
        <w:ind w:left="1600" w:right="600" w:hanging="464"/>
        <w:spacing w:after="0" w:line="197" w:lineRule="auto"/>
        <w:tabs>
          <w:tab w:leader="none" w:pos="160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18,867 shares were acquired as a result of the vesting of 18,867 restricted shares awarded as part of the April 15, 2015 restricted share award, of which 8,901 shares were surrendered to pay for tax withholdings.</w:t>
      </w:r>
    </w:p>
    <w:p>
      <w:pPr>
        <w:spacing w:after="0" w:line="128" w:lineRule="exact"/>
        <w:rPr>
          <w:rFonts w:ascii="Arial" w:cs="Arial" w:eastAsia="Arial" w:hAnsi="Arial"/>
          <w:sz w:val="18"/>
          <w:szCs w:val="18"/>
          <w:color w:val="auto"/>
          <w:vertAlign w:val="superscript"/>
        </w:rPr>
      </w:pPr>
    </w:p>
    <w:p>
      <w:pPr>
        <w:ind w:left="1600" w:right="300" w:hanging="464"/>
        <w:spacing w:after="0" w:line="197" w:lineRule="auto"/>
        <w:tabs>
          <w:tab w:leader="none" w:pos="160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39,167 shares were acquired as a result of the exercise of 39,167 stock options awarded as part of the July 14, 2008 stock option grant that expired on July 14, 2018. Mr. Wilcox elected to pay the exercise price and taxes associated with all 39,167 exercised options and retain the resulting 39,167 shares.</w:t>
      </w:r>
    </w:p>
    <w:p>
      <w:pPr>
        <w:spacing w:after="0" w:line="128" w:lineRule="exact"/>
        <w:rPr>
          <w:rFonts w:ascii="Arial" w:cs="Arial" w:eastAsia="Arial" w:hAnsi="Arial"/>
          <w:sz w:val="18"/>
          <w:szCs w:val="18"/>
          <w:color w:val="auto"/>
          <w:vertAlign w:val="superscript"/>
        </w:rPr>
      </w:pPr>
    </w:p>
    <w:p>
      <w:pPr>
        <w:ind w:left="1600" w:right="40" w:hanging="464"/>
        <w:spacing w:after="0" w:line="197" w:lineRule="auto"/>
        <w:tabs>
          <w:tab w:leader="none" w:pos="160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6,833 shares were acquired as a result of the vesting of 6,833 restricted shares awarded as part of the April 15, 2015 restricted share award, of which 3,223 shares were surrendered to pay for tax withholdings.</w:t>
      </w:r>
    </w:p>
    <w:p>
      <w:pPr>
        <w:spacing w:after="0" w:line="128" w:lineRule="exact"/>
        <w:rPr>
          <w:rFonts w:ascii="Arial" w:cs="Arial" w:eastAsia="Arial" w:hAnsi="Arial"/>
          <w:sz w:val="18"/>
          <w:szCs w:val="18"/>
          <w:color w:val="auto"/>
          <w:vertAlign w:val="superscript"/>
        </w:rPr>
      </w:pPr>
    </w:p>
    <w:p>
      <w:pPr>
        <w:ind w:left="1600" w:right="40" w:hanging="464"/>
        <w:spacing w:after="0" w:line="197" w:lineRule="auto"/>
        <w:tabs>
          <w:tab w:leader="none" w:pos="160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4,833 shares were acquired as a result of the vesting of 4,833 restricted shares awarded as part of the April 15, 2015 restricted share award, of which 2,280 shares were surrendered to pay for tax withholdings.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5" w:name="page66"/>
    <w:bookmarkEnd w:id="6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114300</wp:posOffset>
            </wp:positionV>
            <wp:extent cx="1504315" cy="1377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0" w:hanging="464"/>
        <w:spacing w:after="0" w:line="197" w:lineRule="auto"/>
        <w:tabs>
          <w:tab w:leader="none" w:pos="1600" w:val="left"/>
        </w:tabs>
        <w:numPr>
          <w:ilvl w:val="0"/>
          <w:numId w:val="64"/>
        </w:numPr>
        <w:rPr>
          <w:rFonts w:ascii="Arial" w:cs="Arial" w:eastAsia="Arial" w:hAnsi="Arial"/>
          <w:sz w:val="18"/>
          <w:szCs w:val="18"/>
          <w:color w:val="auto"/>
          <w:vertAlign w:val="superscript"/>
        </w:rPr>
      </w:pPr>
      <w:r>
        <w:rPr>
          <w:rFonts w:ascii="Arial" w:cs="Arial" w:eastAsia="Arial" w:hAnsi="Arial"/>
          <w:sz w:val="12"/>
          <w:szCs w:val="12"/>
          <w:color w:val="auto"/>
        </w:rPr>
        <w:t>1,100 shares were acquired as a result of the exercise of 1,100 stock options awarded as part of the April 15, 2015 stock option grant that expires on April 15, 2025. Mr. Davila elected to pay the exercise price and taxes associated with all 1,100 exercised options and retain the resulting 1,100 shares.</w:t>
      </w:r>
    </w:p>
    <w:p>
      <w:pPr>
        <w:spacing w:after="0" w:line="128" w:lineRule="exact"/>
        <w:rPr>
          <w:rFonts w:ascii="Arial" w:cs="Arial" w:eastAsia="Arial" w:hAnsi="Arial"/>
          <w:sz w:val="18"/>
          <w:szCs w:val="18"/>
          <w:color w:val="auto"/>
          <w:vertAlign w:val="superscript"/>
        </w:rPr>
      </w:pPr>
    </w:p>
    <w:p>
      <w:pPr>
        <w:ind w:left="1600" w:right="20" w:hanging="464"/>
        <w:spacing w:after="0" w:line="197" w:lineRule="auto"/>
        <w:tabs>
          <w:tab w:leader="none" w:pos="1600" w:val="left"/>
        </w:tabs>
        <w:numPr>
          <w:ilvl w:val="0"/>
          <w:numId w:val="64"/>
        </w:numPr>
        <w:rPr>
          <w:rFonts w:ascii="Arial" w:cs="Arial" w:eastAsia="Arial" w:hAnsi="Arial"/>
          <w:sz w:val="18"/>
          <w:szCs w:val="18"/>
          <w:color w:val="auto"/>
          <w:vertAlign w:val="superscript"/>
        </w:rPr>
      </w:pPr>
      <w:r>
        <w:rPr>
          <w:rFonts w:ascii="Arial" w:cs="Arial" w:eastAsia="Arial" w:hAnsi="Arial"/>
          <w:sz w:val="12"/>
          <w:szCs w:val="12"/>
          <w:color w:val="auto"/>
        </w:rPr>
        <w:t>1,867 shares were acquired as a result of the vesting of 1,867 restricted shares awarded as part of the April 15, 2015 restricted share award, of which 880 shares were surrendered to pay for tax withholdings.</w:t>
      </w:r>
    </w:p>
    <w:p>
      <w:pPr>
        <w:spacing w:after="0" w:line="128" w:lineRule="exact"/>
        <w:rPr>
          <w:rFonts w:ascii="Arial" w:cs="Arial" w:eastAsia="Arial" w:hAnsi="Arial"/>
          <w:sz w:val="18"/>
          <w:szCs w:val="18"/>
          <w:color w:val="auto"/>
          <w:vertAlign w:val="superscript"/>
        </w:rPr>
      </w:pPr>
    </w:p>
    <w:p>
      <w:pPr>
        <w:ind w:left="1600" w:right="20" w:hanging="464"/>
        <w:spacing w:after="0" w:line="197" w:lineRule="auto"/>
        <w:tabs>
          <w:tab w:leader="none" w:pos="1600" w:val="left"/>
        </w:tabs>
        <w:numPr>
          <w:ilvl w:val="0"/>
          <w:numId w:val="64"/>
        </w:numPr>
        <w:rPr>
          <w:rFonts w:ascii="Arial" w:cs="Arial" w:eastAsia="Arial" w:hAnsi="Arial"/>
          <w:sz w:val="18"/>
          <w:szCs w:val="18"/>
          <w:color w:val="auto"/>
          <w:vertAlign w:val="superscript"/>
        </w:rPr>
      </w:pPr>
      <w:r>
        <w:rPr>
          <w:rFonts w:ascii="Arial" w:cs="Arial" w:eastAsia="Arial" w:hAnsi="Arial"/>
          <w:sz w:val="12"/>
          <w:szCs w:val="12"/>
          <w:color w:val="auto"/>
        </w:rPr>
        <w:t>1,867 shares were acquired as a result of the vesting of 1,867 restricted shares awarded as part of the April 15, 2015 restricted share award, of which 880 shares were surrendered to pay for tax withholdings.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200" w:lineRule="exact"/>
        <w:rPr>
          <w:sz w:val="20"/>
          <w:szCs w:val="20"/>
          <w:color w:val="auto"/>
        </w:rPr>
      </w:pPr>
    </w:p>
    <w:p>
      <w:pPr>
        <w:ind w:right="80"/>
        <w:spacing w:after="0"/>
        <w:rPr>
          <w:sz w:val="20"/>
          <w:szCs w:val="20"/>
          <w:color w:val="auto"/>
        </w:rPr>
      </w:pPr>
      <w:r>
        <w:rPr>
          <w:rFonts w:ascii="Arial" w:cs="Arial" w:eastAsia="Arial" w:hAnsi="Arial"/>
          <w:sz w:val="15"/>
          <w:szCs w:val="15"/>
          <w:color w:val="auto"/>
        </w:rPr>
        <w:t>As required by Luxembourg law, Altisource has entered into employment agreements with each of our Named Executive Officers, other than Ms. Esterman whose Luxembourg employment agreement ended following her relocation to the United States. The employment terms of each agreement continue indefinitely until the executive's separation from the Company or their relocation outside of Luxembourg.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below for additional details.</w:t>
      </w:r>
    </w:p>
    <w:p>
      <w:pPr>
        <w:spacing w:after="0" w:line="178"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In order to terminate the employment agreement, each party must provide notice in accordance with the time periods set forth in article L.124-1 of the Luxembourg Labor Code. In the event of termination by the Company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pursuant to, and in accordance with, the laws of the Grand Duchy of Luxembourg.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Termination or Change of Control</w:t>
      </w:r>
    </w:p>
    <w:p>
      <w:pPr>
        <w:spacing w:after="0" w:line="200" w:lineRule="exact"/>
        <w:rPr>
          <w:sz w:val="20"/>
          <w:szCs w:val="20"/>
          <w:color w:val="auto"/>
        </w:rPr>
      </w:pPr>
    </w:p>
    <w:p>
      <w:pPr>
        <w:jc w:val="both"/>
        <w:ind w:right="140"/>
        <w:spacing w:after="0" w:line="243" w:lineRule="auto"/>
        <w:rPr>
          <w:sz w:val="20"/>
          <w:szCs w:val="20"/>
          <w:color w:val="auto"/>
        </w:rPr>
      </w:pPr>
      <w:r>
        <w:rPr>
          <w:rFonts w:ascii="Arial" w:cs="Arial" w:eastAsia="Arial" w:hAnsi="Arial"/>
          <w:sz w:val="15"/>
          <w:szCs w:val="15"/>
          <w:color w:val="auto"/>
        </w:rPr>
        <w:t>Below is a description of the amounts payable to each Named Executive Officer assuming the executive's employment had terminated under various scenarios, or a change of control had occurred, on December 31, 2017. Due to the number of factors that affect the nature and amount of any benefits under the various scenarios, actual amounts paid or distributed may be different.</w:t>
      </w:r>
    </w:p>
    <w:p>
      <w:pPr>
        <w:spacing w:after="0" w:line="174" w:lineRule="exact"/>
        <w:rPr>
          <w:sz w:val="20"/>
          <w:szCs w:val="20"/>
          <w:color w:val="auto"/>
        </w:rPr>
      </w:pPr>
    </w:p>
    <w:p>
      <w:pPr>
        <w:ind w:right="60"/>
        <w:spacing w:after="0"/>
        <w:rPr>
          <w:sz w:val="20"/>
          <w:szCs w:val="20"/>
          <w:color w:val="auto"/>
        </w:rPr>
      </w:pPr>
      <w:r>
        <w:rPr>
          <w:rFonts w:ascii="Arial" w:cs="Arial" w:eastAsia="Arial" w:hAnsi="Arial"/>
          <w:sz w:val="15"/>
          <w:szCs w:val="15"/>
          <w:color w:val="auto"/>
        </w:rPr>
        <w:t>As discussed in our Compensation Discussion and Analysis, our Chief Executive Officer and other Named Executive Officers have entered into employment agreements with the Company. Under these agreements, if employment is terminated as a result of the executive officer's retirement or disability or termination without cause,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L.124-10 of the Luxembourg Labor Code) and, in some instances, where employment is terminated for "good reason" (as defined in the applicable employment agreement) by the executive officer, the Company shall make a cash payment of between four (4) and twelve (12) months' base salary in addition to certain notice and additional payments required under articles L.124-1 and L.124-7 of the Luxembourg Labor Code. In the case of the Chief Executive Officer and Chief Administration and Risk Officer, the Company shall also pay at least one (1) year's target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6" w:name="page67"/>
    <w:bookmarkEnd w:id="6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114300</wp:posOffset>
            </wp:positionV>
            <wp:extent cx="1504315" cy="1377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incentive compensation in such instance. Additionally, in the event that the Company terminates the employment of such executive officers other than for "Cause" after October 1 of the service year and before incentives are paid for the respective service year, these executive officers will be entitled to receive incentive compensation for such service year. If an executive officer is terminated by the Company for "Cause," the Company may terminate without notice and with no liability to make any further payment to the executive, other than amounts accrued and unpaid at the date of termination.</w:t>
      </w:r>
    </w:p>
    <w:p>
      <w:pPr>
        <w:spacing w:after="0" w:line="177" w:lineRule="exact"/>
        <w:rPr>
          <w:sz w:val="20"/>
          <w:szCs w:val="20"/>
          <w:color w:val="auto"/>
        </w:rPr>
      </w:pPr>
    </w:p>
    <w:p>
      <w:pPr>
        <w:ind w:left="8" w:right="60"/>
        <w:spacing w:after="0" w:line="241" w:lineRule="auto"/>
        <w:rPr>
          <w:sz w:val="20"/>
          <w:szCs w:val="20"/>
          <w:color w:val="auto"/>
        </w:rPr>
      </w:pPr>
      <w:r>
        <w:rPr>
          <w:rFonts w:ascii="Arial" w:cs="Arial" w:eastAsia="Arial" w:hAnsi="Arial"/>
          <w:sz w:val="15"/>
          <w:szCs w:val="15"/>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Typically,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175" w:lineRule="exact"/>
        <w:rPr>
          <w:sz w:val="20"/>
          <w:szCs w:val="20"/>
          <w:color w:val="auto"/>
        </w:rPr>
      </w:pPr>
    </w:p>
    <w:p>
      <w:pPr>
        <w:ind w:left="8"/>
        <w:spacing w:after="0" w:line="239" w:lineRule="auto"/>
        <w:rPr>
          <w:sz w:val="20"/>
          <w:szCs w:val="20"/>
          <w:color w:val="auto"/>
        </w:rPr>
      </w:pPr>
      <w:r>
        <w:rPr>
          <w:rFonts w:ascii="Arial" w:cs="Arial" w:eastAsia="Arial" w:hAnsi="Arial"/>
          <w:sz w:val="15"/>
          <w:szCs w:val="15"/>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corporate restructuring or a change of control transaction ("Transaction"), the Compensation Committee may, </w:t>
      </w:r>
      <w:r>
        <w:rPr>
          <w:rFonts w:ascii="Arial" w:cs="Arial" w:eastAsia="Arial" w:hAnsi="Arial"/>
          <w:sz w:val="15"/>
          <w:szCs w:val="15"/>
          <w:i w:val="1"/>
          <w:iCs w:val="1"/>
          <w:color w:val="auto"/>
        </w:rPr>
        <w:t>inter alia</w:t>
      </w:r>
      <w:r>
        <w:rPr>
          <w:rFonts w:ascii="Arial" w:cs="Arial" w:eastAsia="Arial" w:hAnsi="Arial"/>
          <w:sz w:val="15"/>
          <w:szCs w:val="15"/>
          <w:color w:val="auto"/>
        </w:rPr>
        <w:t>, adjust the vesting conditions of the options in its discretion, which could result in the immediate vesting of some or all of the options. Under the terms of the stock option awards granted to our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the executive officer has six (6) months within which to exercise vested stock options pursuant to our stock option agreements.</w:t>
      </w:r>
    </w:p>
    <w:p>
      <w:pPr>
        <w:spacing w:after="0" w:line="182" w:lineRule="exact"/>
        <w:rPr>
          <w:sz w:val="20"/>
          <w:szCs w:val="20"/>
          <w:color w:val="auto"/>
        </w:rPr>
      </w:pPr>
    </w:p>
    <w:p>
      <w:pPr>
        <w:ind w:left="8" w:right="280"/>
        <w:spacing w:after="0" w:line="255" w:lineRule="auto"/>
        <w:rPr>
          <w:sz w:val="20"/>
          <w:szCs w:val="20"/>
          <w:color w:val="auto"/>
        </w:rPr>
      </w:pPr>
      <w:r>
        <w:rPr>
          <w:rFonts w:ascii="Arial" w:cs="Arial" w:eastAsia="Arial" w:hAnsi="Arial"/>
          <w:sz w:val="14"/>
          <w:szCs w:val="14"/>
          <w:color w:val="auto"/>
        </w:rPr>
        <w:t>With respect to restricted shares granted to our Named Executive Officers, in some instances if the executive officer's employment is terminated due to death or disability, unvested restricted shares shall immediately vest, subject to the requirement that the executive officer has been employed with the Company for a period of at least two</w:t>
      </w:r>
    </w:p>
    <w:p>
      <w:pPr>
        <w:spacing w:after="0" w:line="1" w:lineRule="exact"/>
        <w:rPr>
          <w:sz w:val="20"/>
          <w:szCs w:val="20"/>
          <w:color w:val="auto"/>
        </w:rPr>
      </w:pPr>
    </w:p>
    <w:p>
      <w:pPr>
        <w:ind w:left="8" w:hanging="8"/>
        <w:spacing w:after="0" w:line="241" w:lineRule="auto"/>
        <w:tabs>
          <w:tab w:leader="none" w:pos="2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years on the date of death or disability. If the executive officer voluntarily resigns or his or her employment is terminated for "Cause," any unvested restricted shares will be forfeited. In some cases, if the Company terminates the executive officer's employment for reasons other than "Cause," as defined by the applicable award agreement, unvested restricted shares will vest within thirty (30) days of such termination. In addition, certain restricted share awards provide for the vesting of unvested restricted shares in the event of a transaction.</w:t>
      </w:r>
    </w:p>
    <w:p>
      <w:pPr>
        <w:spacing w:after="0" w:line="177"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Except as specified above, any portion of an equity award not vested will generally be forfeited unless alternate arrangements are made at the discretion of the Compensation Committee.</w:t>
      </w:r>
    </w:p>
    <w:p>
      <w:pPr>
        <w:spacing w:after="0" w:line="171" w:lineRule="exact"/>
        <w:rPr>
          <w:sz w:val="20"/>
          <w:szCs w:val="20"/>
          <w:color w:val="auto"/>
        </w:rPr>
      </w:pPr>
    </w:p>
    <w:p>
      <w:pPr>
        <w:ind w:left="8" w:right="160"/>
        <w:spacing w:after="0" w:line="247" w:lineRule="auto"/>
        <w:rPr>
          <w:sz w:val="20"/>
          <w:szCs w:val="20"/>
          <w:color w:val="auto"/>
        </w:rPr>
      </w:pPr>
      <w:r>
        <w:rPr>
          <w:rFonts w:ascii="Arial" w:cs="Arial" w:eastAsia="Arial" w:hAnsi="Arial"/>
          <w:sz w:val="15"/>
          <w:szCs w:val="15"/>
          <w:color w:val="auto"/>
        </w:rPr>
        <w:t>The following table estimates and summarizes the potential payments and benefits that each of our Named Executive Officers would have received if their employment had been terminated on December 31, 2017 under each of the circumstances described below, excluding benefits ordinarily available to all employees</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114300</wp:posOffset>
            </wp:positionV>
            <wp:extent cx="1504315" cy="1377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0431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(such as benefits mandated by Luxembourg law) and any relocation benefits that may be provided in connection with such termination.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38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William B.</w:t>
            </w:r>
          </w:p>
        </w:tc>
        <w:tc>
          <w:tcPr>
            <w:tcW w:w="8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Kevin J.</w:t>
            </w:r>
          </w:p>
        </w:tc>
        <w:tc>
          <w:tcPr>
            <w:tcW w:w="780" w:type="dxa"/>
            <w:vAlign w:val="bottom"/>
          </w:tcPr>
          <w:p>
            <w:pPr>
              <w:jc w:val="right"/>
              <w:ind w:right="63"/>
              <w:spacing w:after="0"/>
              <w:rPr>
                <w:sz w:val="20"/>
                <w:szCs w:val="20"/>
                <w:color w:val="auto"/>
              </w:rPr>
            </w:pPr>
            <w:r>
              <w:rPr>
                <w:rFonts w:ascii="Arial" w:cs="Arial" w:eastAsia="Arial" w:hAnsi="Arial"/>
                <w:sz w:val="12"/>
                <w:szCs w:val="12"/>
                <w:b w:val="1"/>
                <w:bCs w:val="1"/>
                <w:color w:val="auto"/>
              </w:rPr>
              <w:t>Indroneel</w:t>
            </w:r>
          </w:p>
        </w:tc>
        <w:tc>
          <w:tcPr>
            <w:tcW w:w="260" w:type="dxa"/>
            <w:vAlign w:val="bottom"/>
          </w:tcPr>
          <w:p>
            <w:pPr>
              <w:spacing w:after="0"/>
              <w:rPr>
                <w:sz w:val="12"/>
                <w:szCs w:val="12"/>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b w:val="1"/>
                <w:bCs w:val="1"/>
                <w:color w:val="auto"/>
              </w:rPr>
              <w:t>Michelle D.</w:t>
            </w:r>
          </w:p>
        </w:tc>
        <w:tc>
          <w:tcPr>
            <w:tcW w:w="2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Joseph A.</w:t>
            </w:r>
          </w:p>
        </w:tc>
        <w:tc>
          <w:tcPr>
            <w:tcW w:w="26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Gregory J.</w:t>
            </w:r>
          </w:p>
        </w:tc>
        <w:tc>
          <w:tcPr>
            <w:tcW w:w="0" w:type="dxa"/>
            <w:vAlign w:val="bottom"/>
          </w:tcPr>
          <w:p>
            <w:pPr>
              <w:spacing w:after="0"/>
              <w:rPr>
                <w:sz w:val="1"/>
                <w:szCs w:val="1"/>
                <w:color w:val="auto"/>
              </w:rPr>
            </w:pPr>
          </w:p>
        </w:tc>
      </w:tr>
      <w:tr>
        <w:trPr>
          <w:trHeight w:val="147"/>
        </w:trPr>
        <w:tc>
          <w:tcPr>
            <w:tcW w:w="338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Shepro</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Wilcox</w:t>
            </w:r>
          </w:p>
        </w:tc>
        <w:tc>
          <w:tcPr>
            <w:tcW w:w="780" w:type="dxa"/>
            <w:vAlign w:val="bottom"/>
          </w:tcPr>
          <w:p>
            <w:pPr>
              <w:jc w:val="right"/>
              <w:ind w:right="43"/>
              <w:spacing w:after="0"/>
              <w:rPr>
                <w:sz w:val="20"/>
                <w:szCs w:val="20"/>
                <w:color w:val="auto"/>
              </w:rPr>
            </w:pPr>
            <w:r>
              <w:rPr>
                <w:rFonts w:ascii="Arial" w:cs="Arial" w:eastAsia="Arial" w:hAnsi="Arial"/>
                <w:sz w:val="12"/>
                <w:szCs w:val="12"/>
                <w:b w:val="1"/>
                <w:bCs w:val="1"/>
                <w:color w:val="auto"/>
              </w:rPr>
              <w:t>Chatterjee</w:t>
            </w:r>
          </w:p>
        </w:tc>
        <w:tc>
          <w:tcPr>
            <w:tcW w:w="260" w:type="dxa"/>
            <w:vAlign w:val="bottom"/>
          </w:tcPr>
          <w:p>
            <w:pPr>
              <w:spacing w:after="0"/>
              <w:rPr>
                <w:sz w:val="12"/>
                <w:szCs w:val="12"/>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b w:val="1"/>
                <w:bCs w:val="1"/>
                <w:color w:val="auto"/>
              </w:rPr>
              <w:t>Esterman</w:t>
            </w:r>
          </w:p>
        </w:tc>
        <w:tc>
          <w:tcPr>
            <w:tcW w:w="2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rPr>
              <w:t>Davila</w:t>
            </w:r>
          </w:p>
        </w:tc>
        <w:tc>
          <w:tcPr>
            <w:tcW w:w="26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Ritts</w:t>
            </w:r>
          </w:p>
        </w:tc>
        <w:tc>
          <w:tcPr>
            <w:tcW w:w="0" w:type="dxa"/>
            <w:vAlign w:val="bottom"/>
          </w:tcPr>
          <w:p>
            <w:pPr>
              <w:spacing w:after="0"/>
              <w:rPr>
                <w:sz w:val="1"/>
                <w:szCs w:val="1"/>
                <w:color w:val="auto"/>
              </w:rPr>
            </w:pP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Death or Disability</w:t>
            </w: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80" w:type="dxa"/>
            <w:vAlign w:val="bottom"/>
          </w:tcPr>
          <w:p>
            <w:pPr>
              <w:ind w:left="240"/>
              <w:spacing w:after="0"/>
              <w:rPr>
                <w:sz w:val="20"/>
                <w:szCs w:val="20"/>
                <w:color w:val="auto"/>
              </w:rPr>
            </w:pPr>
            <w:r>
              <w:rPr>
                <w:rFonts w:ascii="Arial" w:cs="Arial" w:eastAsia="Arial" w:hAnsi="Arial"/>
                <w:sz w:val="12"/>
                <w:szCs w:val="12"/>
                <w:color w:val="auto"/>
              </w:rPr>
              <w:t>Accelerated vesting of options and restricted shares</w:t>
            </w:r>
          </w:p>
        </w:tc>
        <w:tc>
          <w:tcPr>
            <w:tcW w:w="880" w:type="dxa"/>
            <w:vAlign w:val="bottom"/>
            <w:gridSpan w:val="2"/>
          </w:tcPr>
          <w:p>
            <w:pPr>
              <w:ind w:left="20"/>
              <w:spacing w:after="0" w:line="138" w:lineRule="exact"/>
              <w:rPr>
                <w:sz w:val="20"/>
                <w:szCs w:val="20"/>
                <w:color w:val="auto"/>
              </w:rPr>
            </w:pPr>
            <w:r>
              <w:rPr>
                <w:rFonts w:ascii="Arial" w:cs="Arial" w:eastAsia="Arial" w:hAnsi="Arial"/>
                <w:sz w:val="10"/>
                <w:szCs w:val="10"/>
                <w:color w:val="auto"/>
              </w:rPr>
              <w:t>$1,579,351</w:t>
            </w:r>
            <w:r>
              <w:rPr>
                <w:rFonts w:ascii="Arial" w:cs="Arial" w:eastAsia="Arial" w:hAnsi="Arial"/>
                <w:sz w:val="15"/>
                <w:szCs w:val="15"/>
                <w:color w:val="auto"/>
                <w:vertAlign w:val="superscript"/>
              </w:rPr>
              <w:t>(1)</w:t>
            </w:r>
          </w:p>
        </w:tc>
        <w:tc>
          <w:tcPr>
            <w:tcW w:w="88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$525,451</w:t>
            </w:r>
            <w:r>
              <w:rPr>
                <w:rFonts w:ascii="Arial" w:cs="Arial" w:eastAsia="Arial" w:hAnsi="Arial"/>
                <w:sz w:val="15"/>
                <w:szCs w:val="15"/>
                <w:color w:val="auto"/>
                <w:vertAlign w:val="superscript"/>
              </w:rPr>
              <w:t>(1)</w:t>
            </w:r>
          </w:p>
        </w:tc>
        <w:tc>
          <w:tcPr>
            <w:tcW w:w="780" w:type="dxa"/>
            <w:vAlign w:val="bottom"/>
          </w:tcPr>
          <w:p>
            <w:pPr>
              <w:jc w:val="right"/>
              <w:ind w:right="83"/>
              <w:spacing w:after="0" w:line="138" w:lineRule="exact"/>
              <w:rPr>
                <w:sz w:val="20"/>
                <w:szCs w:val="20"/>
                <w:color w:val="auto"/>
              </w:rPr>
            </w:pPr>
            <w:r>
              <w:rPr>
                <w:rFonts w:ascii="Arial" w:cs="Arial" w:eastAsia="Arial" w:hAnsi="Arial"/>
                <w:sz w:val="10"/>
                <w:szCs w:val="10"/>
                <w:color w:val="auto"/>
              </w:rPr>
              <w:t>$546,924</w:t>
            </w:r>
            <w:r>
              <w:rPr>
                <w:rFonts w:ascii="Arial" w:cs="Arial" w:eastAsia="Arial" w:hAnsi="Arial"/>
                <w:sz w:val="15"/>
                <w:szCs w:val="15"/>
                <w:color w:val="auto"/>
                <w:vertAlign w:val="superscript"/>
              </w:rPr>
              <w:t>(1)</w:t>
            </w:r>
          </w:p>
        </w:tc>
        <w:tc>
          <w:tcPr>
            <w:tcW w:w="1040" w:type="dxa"/>
            <w:vAlign w:val="bottom"/>
            <w:gridSpan w:val="2"/>
          </w:tcPr>
          <w:p>
            <w:pPr>
              <w:jc w:val="right"/>
              <w:ind w:right="79"/>
              <w:spacing w:after="0" w:line="138" w:lineRule="exact"/>
              <w:rPr>
                <w:sz w:val="20"/>
                <w:szCs w:val="20"/>
                <w:color w:val="auto"/>
              </w:rPr>
            </w:pPr>
            <w:r>
              <w:rPr>
                <w:rFonts w:ascii="Arial" w:cs="Arial" w:eastAsia="Arial" w:hAnsi="Arial"/>
                <w:sz w:val="10"/>
                <w:szCs w:val="10"/>
                <w:color w:val="auto"/>
              </w:rPr>
              <w:t>$381,591</w:t>
            </w:r>
            <w:r>
              <w:rPr>
                <w:rFonts w:ascii="Arial" w:cs="Arial" w:eastAsia="Arial" w:hAnsi="Arial"/>
                <w:sz w:val="15"/>
                <w:szCs w:val="15"/>
                <w:color w:val="auto"/>
                <w:vertAlign w:val="superscript"/>
              </w:rPr>
              <w:t>(1)</w:t>
            </w:r>
          </w:p>
        </w:tc>
        <w:tc>
          <w:tcPr>
            <w:tcW w:w="1020" w:type="dxa"/>
            <w:vAlign w:val="bottom"/>
            <w:gridSpan w:val="2"/>
          </w:tcPr>
          <w:p>
            <w:pPr>
              <w:ind w:left="260"/>
              <w:spacing w:after="0" w:line="138" w:lineRule="exact"/>
              <w:rPr>
                <w:sz w:val="20"/>
                <w:szCs w:val="20"/>
                <w:color w:val="auto"/>
              </w:rPr>
            </w:pPr>
            <w:r>
              <w:rPr>
                <w:rFonts w:ascii="Arial" w:cs="Arial" w:eastAsia="Arial" w:hAnsi="Arial"/>
                <w:sz w:val="10"/>
                <w:szCs w:val="10"/>
                <w:color w:val="auto"/>
              </w:rPr>
              <w:t>$730,694</w:t>
            </w:r>
            <w:r>
              <w:rPr>
                <w:rFonts w:ascii="Arial" w:cs="Arial" w:eastAsia="Arial" w:hAnsi="Arial"/>
                <w:sz w:val="15"/>
                <w:szCs w:val="15"/>
                <w:color w:val="auto"/>
                <w:vertAlign w:val="superscript"/>
              </w:rPr>
              <w:t>(1)</w:t>
            </w:r>
          </w:p>
        </w:tc>
        <w:tc>
          <w:tcPr>
            <w:tcW w:w="1040" w:type="dxa"/>
            <w:vAlign w:val="bottom"/>
            <w:gridSpan w:val="2"/>
          </w:tcPr>
          <w:p>
            <w:pPr>
              <w:ind w:left="280"/>
              <w:spacing w:after="0" w:line="138" w:lineRule="exact"/>
              <w:rPr>
                <w:sz w:val="20"/>
                <w:szCs w:val="20"/>
                <w:color w:val="auto"/>
              </w:rPr>
            </w:pPr>
            <w:r>
              <w:rPr>
                <w:rFonts w:ascii="Arial" w:cs="Arial" w:eastAsia="Arial" w:hAnsi="Arial"/>
                <w:sz w:val="10"/>
                <w:szCs w:val="10"/>
                <w:color w:val="auto"/>
              </w:rPr>
              <w:t>$730,694</w:t>
            </w:r>
            <w:r>
              <w:rPr>
                <w:rFonts w:ascii="Arial" w:cs="Arial" w:eastAsia="Arial" w:hAnsi="Arial"/>
                <w:sz w:val="15"/>
                <w:szCs w:val="15"/>
                <w:color w:val="auto"/>
                <w:vertAlign w:val="superscript"/>
              </w:rPr>
              <w:t>(1)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3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Retirement by the Named Executive Officer</w:t>
            </w: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80" w:type="dxa"/>
            <w:vAlign w:val="bottom"/>
          </w:tcPr>
          <w:p>
            <w:pPr>
              <w:ind w:left="240"/>
              <w:spacing w:after="0"/>
              <w:rPr>
                <w:sz w:val="20"/>
                <w:szCs w:val="20"/>
                <w:color w:val="auto"/>
              </w:rPr>
            </w:pPr>
            <w:r>
              <w:rPr>
                <w:rFonts w:ascii="Arial" w:cs="Arial" w:eastAsia="Arial" w:hAnsi="Arial"/>
                <w:sz w:val="12"/>
                <w:szCs w:val="12"/>
                <w:color w:val="auto"/>
              </w:rPr>
              <w:t>Accelerated vesting of options</w:t>
            </w:r>
          </w:p>
        </w:tc>
        <w:tc>
          <w:tcPr>
            <w:tcW w:w="880" w:type="dxa"/>
            <w:vAlign w:val="bottom"/>
            <w:gridSpan w:val="2"/>
          </w:tcPr>
          <w:p>
            <w:pPr>
              <w:ind w:left="120"/>
              <w:spacing w:after="0" w:line="138" w:lineRule="exact"/>
              <w:rPr>
                <w:sz w:val="20"/>
                <w:szCs w:val="20"/>
                <w:color w:val="auto"/>
              </w:rPr>
            </w:pPr>
            <w:r>
              <w:rPr>
                <w:rFonts w:ascii="Arial" w:cs="Arial" w:eastAsia="Arial" w:hAnsi="Arial"/>
                <w:sz w:val="10"/>
                <w:szCs w:val="10"/>
                <w:color w:val="auto"/>
              </w:rPr>
              <w:t>$281,523</w:t>
            </w:r>
            <w:r>
              <w:rPr>
                <w:rFonts w:ascii="Arial" w:cs="Arial" w:eastAsia="Arial" w:hAnsi="Arial"/>
                <w:sz w:val="15"/>
                <w:szCs w:val="15"/>
                <w:color w:val="auto"/>
                <w:vertAlign w:val="superscript"/>
              </w:rPr>
              <w:t>(1),(2)</w:t>
            </w:r>
          </w:p>
        </w:tc>
        <w:tc>
          <w:tcPr>
            <w:tcW w:w="1660" w:type="dxa"/>
            <w:vAlign w:val="bottom"/>
            <w:gridSpan w:val="3"/>
          </w:tcPr>
          <w:p>
            <w:pPr>
              <w:jc w:val="right"/>
              <w:spacing w:after="0" w:line="138" w:lineRule="exact"/>
              <w:rPr>
                <w:sz w:val="20"/>
                <w:szCs w:val="20"/>
                <w:color w:val="auto"/>
              </w:rPr>
            </w:pPr>
            <w:r>
              <w:rPr>
                <w:rFonts w:ascii="Arial" w:cs="Arial" w:eastAsia="Arial" w:hAnsi="Arial"/>
                <w:sz w:val="10"/>
                <w:szCs w:val="10"/>
                <w:color w:val="auto"/>
              </w:rPr>
              <w:t>$86,467</w:t>
            </w:r>
            <w:r>
              <w:rPr>
                <w:rFonts w:ascii="Arial" w:cs="Arial" w:eastAsia="Arial" w:hAnsi="Arial"/>
                <w:sz w:val="15"/>
                <w:szCs w:val="15"/>
                <w:color w:val="auto"/>
                <w:vertAlign w:val="superscript"/>
              </w:rPr>
              <w:t>(1),(2)</w:t>
            </w:r>
            <w:r>
              <w:rPr>
                <w:rFonts w:ascii="Arial" w:cs="Arial" w:eastAsia="Arial" w:hAnsi="Arial"/>
                <w:sz w:val="10"/>
                <w:szCs w:val="10"/>
                <w:color w:val="auto"/>
              </w:rPr>
              <w:t xml:space="preserve"> $136,724</w:t>
            </w:r>
            <w:r>
              <w:rPr>
                <w:rFonts w:ascii="Arial" w:cs="Arial" w:eastAsia="Arial" w:hAnsi="Arial"/>
                <w:sz w:val="15"/>
                <w:szCs w:val="15"/>
                <w:color w:val="auto"/>
                <w:vertAlign w:val="superscript"/>
              </w:rPr>
              <w:t>(1),(2)</w:t>
            </w:r>
          </w:p>
        </w:tc>
        <w:tc>
          <w:tcPr>
            <w:tcW w:w="1040" w:type="dxa"/>
            <w:vAlign w:val="bottom"/>
            <w:gridSpan w:val="2"/>
          </w:tcPr>
          <w:p>
            <w:pPr>
              <w:jc w:val="right"/>
              <w:spacing w:after="0" w:line="138" w:lineRule="exact"/>
              <w:rPr>
                <w:sz w:val="20"/>
                <w:szCs w:val="20"/>
                <w:color w:val="auto"/>
              </w:rPr>
            </w:pPr>
            <w:r>
              <w:rPr>
                <w:rFonts w:ascii="Arial" w:cs="Arial" w:eastAsia="Arial" w:hAnsi="Arial"/>
                <w:sz w:val="10"/>
                <w:szCs w:val="10"/>
                <w:color w:val="auto"/>
              </w:rPr>
              <w:t>$77,119</w:t>
            </w:r>
            <w:r>
              <w:rPr>
                <w:rFonts w:ascii="Arial" w:cs="Arial" w:eastAsia="Arial" w:hAnsi="Arial"/>
                <w:sz w:val="15"/>
                <w:szCs w:val="15"/>
                <w:color w:val="auto"/>
                <w:vertAlign w:val="superscript"/>
              </w:rPr>
              <w:t>(1),(2)</w:t>
            </w:r>
          </w:p>
        </w:tc>
        <w:tc>
          <w:tcPr>
            <w:tcW w:w="1020" w:type="dxa"/>
            <w:vAlign w:val="bottom"/>
            <w:gridSpan w:val="2"/>
          </w:tcPr>
          <w:p>
            <w:pPr>
              <w:ind w:left="260"/>
              <w:spacing w:after="0" w:line="138" w:lineRule="exact"/>
              <w:rPr>
                <w:sz w:val="20"/>
                <w:szCs w:val="20"/>
                <w:color w:val="auto"/>
              </w:rPr>
            </w:pPr>
            <w:r>
              <w:rPr>
                <w:rFonts w:ascii="Arial" w:cs="Arial" w:eastAsia="Arial" w:hAnsi="Arial"/>
                <w:sz w:val="10"/>
                <w:szCs w:val="10"/>
                <w:color w:val="auto"/>
              </w:rPr>
              <w:t>$189,706</w:t>
            </w:r>
            <w:r>
              <w:rPr>
                <w:rFonts w:ascii="Arial" w:cs="Arial" w:eastAsia="Arial" w:hAnsi="Arial"/>
                <w:sz w:val="15"/>
                <w:szCs w:val="15"/>
                <w:color w:val="auto"/>
                <w:vertAlign w:val="superscript"/>
              </w:rPr>
              <w:t>(1),(2)</w:t>
            </w:r>
          </w:p>
        </w:tc>
        <w:tc>
          <w:tcPr>
            <w:tcW w:w="1040" w:type="dxa"/>
            <w:vAlign w:val="bottom"/>
            <w:gridSpan w:val="2"/>
          </w:tcPr>
          <w:p>
            <w:pPr>
              <w:ind w:left="280"/>
              <w:spacing w:after="0" w:line="138" w:lineRule="exact"/>
              <w:rPr>
                <w:sz w:val="20"/>
                <w:szCs w:val="20"/>
                <w:color w:val="auto"/>
              </w:rPr>
            </w:pPr>
            <w:r>
              <w:rPr>
                <w:rFonts w:ascii="Arial" w:cs="Arial" w:eastAsia="Arial" w:hAnsi="Arial"/>
                <w:sz w:val="10"/>
                <w:szCs w:val="10"/>
                <w:color w:val="auto"/>
              </w:rPr>
              <w:t>$189,706</w:t>
            </w:r>
            <w:r>
              <w:rPr>
                <w:rFonts w:ascii="Arial" w:cs="Arial" w:eastAsia="Arial" w:hAnsi="Arial"/>
                <w:sz w:val="15"/>
                <w:szCs w:val="15"/>
                <w:color w:val="auto"/>
                <w:vertAlign w:val="superscript"/>
              </w:rPr>
              <w:t>(1),(2)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3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Termination by the Company other than for "Cause"</w:t>
            </w: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80" w:type="dxa"/>
            <w:vAlign w:val="bottom"/>
          </w:tcPr>
          <w:p>
            <w:pPr>
              <w:ind w:left="240"/>
              <w:spacing w:after="0"/>
              <w:rPr>
                <w:sz w:val="20"/>
                <w:szCs w:val="20"/>
                <w:color w:val="auto"/>
              </w:rPr>
            </w:pPr>
            <w:r>
              <w:rPr>
                <w:rFonts w:ascii="Arial" w:cs="Arial" w:eastAsia="Arial" w:hAnsi="Arial"/>
                <w:sz w:val="12"/>
                <w:szCs w:val="12"/>
                <w:color w:val="auto"/>
              </w:rPr>
              <w:t>Severance payment</w:t>
            </w:r>
          </w:p>
        </w:tc>
        <w:tc>
          <w:tcPr>
            <w:tcW w:w="880" w:type="dxa"/>
            <w:vAlign w:val="bottom"/>
            <w:gridSpan w:val="2"/>
          </w:tcPr>
          <w:p>
            <w:pPr>
              <w:ind w:left="20"/>
              <w:spacing w:after="0" w:line="138" w:lineRule="exact"/>
              <w:rPr>
                <w:sz w:val="20"/>
                <w:szCs w:val="20"/>
                <w:color w:val="auto"/>
              </w:rPr>
            </w:pPr>
            <w:r>
              <w:rPr>
                <w:rFonts w:ascii="Arial" w:cs="Arial" w:eastAsia="Arial" w:hAnsi="Arial"/>
                <w:sz w:val="10"/>
                <w:szCs w:val="10"/>
                <w:color w:val="auto"/>
              </w:rPr>
              <w:t>$3,627,733</w:t>
            </w:r>
            <w:r>
              <w:rPr>
                <w:rFonts w:ascii="Arial" w:cs="Arial" w:eastAsia="Arial" w:hAnsi="Arial"/>
                <w:sz w:val="15"/>
                <w:szCs w:val="15"/>
                <w:color w:val="auto"/>
                <w:vertAlign w:val="superscript"/>
              </w:rPr>
              <w:t>(3)</w:t>
            </w:r>
          </w:p>
        </w:tc>
        <w:tc>
          <w:tcPr>
            <w:tcW w:w="88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$1,582,758</w:t>
            </w:r>
            <w:r>
              <w:rPr>
                <w:rFonts w:ascii="Arial" w:cs="Arial" w:eastAsia="Arial" w:hAnsi="Arial"/>
                <w:sz w:val="15"/>
                <w:szCs w:val="15"/>
                <w:color w:val="auto"/>
                <w:vertAlign w:val="superscript"/>
              </w:rPr>
              <w:t>(3)</w:t>
            </w:r>
          </w:p>
        </w:tc>
        <w:tc>
          <w:tcPr>
            <w:tcW w:w="780" w:type="dxa"/>
            <w:vAlign w:val="bottom"/>
          </w:tcPr>
          <w:p>
            <w:pPr>
              <w:jc w:val="right"/>
              <w:ind w:right="83"/>
              <w:spacing w:after="0" w:line="138" w:lineRule="exact"/>
              <w:rPr>
                <w:sz w:val="20"/>
                <w:szCs w:val="20"/>
                <w:color w:val="auto"/>
              </w:rPr>
            </w:pPr>
            <w:r>
              <w:rPr>
                <w:rFonts w:ascii="Arial" w:cs="Arial" w:eastAsia="Arial" w:hAnsi="Arial"/>
                <w:sz w:val="10"/>
                <w:szCs w:val="10"/>
                <w:color w:val="auto"/>
              </w:rPr>
              <w:t>$158,333</w:t>
            </w:r>
            <w:r>
              <w:rPr>
                <w:rFonts w:ascii="Arial" w:cs="Arial" w:eastAsia="Arial" w:hAnsi="Arial"/>
                <w:sz w:val="15"/>
                <w:szCs w:val="15"/>
                <w:color w:val="auto"/>
                <w:vertAlign w:val="superscript"/>
              </w:rPr>
              <w:t>(4)</w:t>
            </w:r>
          </w:p>
        </w:tc>
        <w:tc>
          <w:tcPr>
            <w:tcW w:w="1040" w:type="dxa"/>
            <w:vAlign w:val="bottom"/>
            <w:gridSpan w:val="2"/>
          </w:tcPr>
          <w:p>
            <w:pPr>
              <w:jc w:val="right"/>
              <w:ind w:right="199"/>
              <w:spacing w:after="0"/>
              <w:rPr>
                <w:sz w:val="20"/>
                <w:szCs w:val="20"/>
                <w:color w:val="auto"/>
              </w:rPr>
            </w:pPr>
            <w:r>
              <w:rPr>
                <w:rFonts w:ascii="Arial" w:cs="Arial" w:eastAsia="Arial" w:hAnsi="Arial"/>
                <w:sz w:val="12"/>
                <w:szCs w:val="12"/>
                <w:color w:val="auto"/>
              </w:rPr>
              <w:t>-</w:t>
            </w:r>
          </w:p>
        </w:tc>
        <w:tc>
          <w:tcPr>
            <w:tcW w:w="1020" w:type="dxa"/>
            <w:vAlign w:val="bottom"/>
            <w:gridSpan w:val="2"/>
          </w:tcPr>
          <w:p>
            <w:pPr>
              <w:ind w:left="260"/>
              <w:spacing w:after="0" w:line="138" w:lineRule="exact"/>
              <w:rPr>
                <w:sz w:val="20"/>
                <w:szCs w:val="20"/>
                <w:color w:val="auto"/>
              </w:rPr>
            </w:pPr>
            <w:r>
              <w:rPr>
                <w:rFonts w:ascii="Arial" w:cs="Arial" w:eastAsia="Arial" w:hAnsi="Arial"/>
                <w:sz w:val="10"/>
                <w:szCs w:val="10"/>
                <w:color w:val="auto"/>
              </w:rPr>
              <w:t>$141,667</w:t>
            </w:r>
            <w:r>
              <w:rPr>
                <w:rFonts w:ascii="Arial" w:cs="Arial" w:eastAsia="Arial" w:hAnsi="Arial"/>
                <w:sz w:val="15"/>
                <w:szCs w:val="15"/>
                <w:color w:val="auto"/>
                <w:vertAlign w:val="superscript"/>
              </w:rPr>
              <w:t>(4)</w:t>
            </w:r>
          </w:p>
        </w:tc>
        <w:tc>
          <w:tcPr>
            <w:tcW w:w="1040" w:type="dxa"/>
            <w:vAlign w:val="bottom"/>
            <w:gridSpan w:val="2"/>
          </w:tcPr>
          <w:p>
            <w:pPr>
              <w:ind w:left="280"/>
              <w:spacing w:after="0" w:line="138" w:lineRule="exact"/>
              <w:rPr>
                <w:sz w:val="20"/>
                <w:szCs w:val="20"/>
                <w:color w:val="auto"/>
              </w:rPr>
            </w:pPr>
            <w:r>
              <w:rPr>
                <w:rFonts w:ascii="Arial" w:cs="Arial" w:eastAsia="Arial" w:hAnsi="Arial"/>
                <w:sz w:val="10"/>
                <w:szCs w:val="10"/>
                <w:color w:val="auto"/>
              </w:rPr>
              <w:t>$145,208</w:t>
            </w:r>
            <w:r>
              <w:rPr>
                <w:rFonts w:ascii="Arial" w:cs="Arial" w:eastAsia="Arial" w:hAnsi="Arial"/>
                <w:sz w:val="15"/>
                <w:szCs w:val="15"/>
                <w:color w:val="auto"/>
                <w:vertAlign w:val="superscript"/>
              </w:rPr>
              <w:t>(4)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Accelerated vesting of restricted shares</w:t>
            </w:r>
          </w:p>
        </w:tc>
        <w:tc>
          <w:tcPr>
            <w:tcW w:w="8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0"/>
                <w:szCs w:val="10"/>
                <w:color w:val="auto"/>
              </w:rPr>
              <w:t>$1,177,176</w:t>
            </w:r>
            <w:r>
              <w:rPr>
                <w:rFonts w:ascii="Arial" w:cs="Arial" w:eastAsia="Arial" w:hAnsi="Arial"/>
                <w:sz w:val="15"/>
                <w:szCs w:val="15"/>
                <w:color w:val="auto"/>
                <w:vertAlign w:val="superscript"/>
              </w:rPr>
              <w:t>(1),(2)</w:t>
            </w:r>
          </w:p>
        </w:tc>
        <w:tc>
          <w:tcPr>
            <w:tcW w:w="8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0"/>
                <w:szCs w:val="10"/>
                <w:color w:val="auto"/>
              </w:rPr>
              <w:t>$410,816</w:t>
            </w:r>
            <w:r>
              <w:rPr>
                <w:rFonts w:ascii="Arial" w:cs="Arial" w:eastAsia="Arial" w:hAnsi="Arial"/>
                <w:sz w:val="15"/>
                <w:szCs w:val="15"/>
                <w:color w:val="auto"/>
                <w:vertAlign w:val="superscript"/>
              </w:rPr>
              <w:t>(1),(2)</w:t>
            </w:r>
          </w:p>
        </w:tc>
        <w:tc>
          <w:tcPr>
            <w:tcW w:w="780" w:type="dxa"/>
            <w:vAlign w:val="bottom"/>
            <w:shd w:val="clear" w:color="auto" w:fill="CCEEFF"/>
          </w:tcPr>
          <w:p>
            <w:pPr>
              <w:jc w:val="right"/>
              <w:ind w:right="83"/>
              <w:spacing w:after="0" w:line="138" w:lineRule="exact"/>
              <w:rPr>
                <w:sz w:val="20"/>
                <w:szCs w:val="20"/>
                <w:color w:val="auto"/>
              </w:rPr>
            </w:pPr>
            <w:r>
              <w:rPr>
                <w:rFonts w:ascii="Arial" w:cs="Arial" w:eastAsia="Arial" w:hAnsi="Arial"/>
                <w:sz w:val="10"/>
                <w:szCs w:val="10"/>
                <w:color w:val="auto"/>
              </w:rPr>
              <w:t>$136,724</w:t>
            </w:r>
            <w:r>
              <w:rPr>
                <w:rFonts w:ascii="Arial" w:cs="Arial" w:eastAsia="Arial" w:hAnsi="Arial"/>
                <w:sz w:val="15"/>
                <w:szCs w:val="15"/>
                <w:color w:val="auto"/>
                <w:vertAlign w:val="superscript"/>
              </w:rPr>
              <w:t>(1)</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0"/>
                <w:szCs w:val="10"/>
                <w:color w:val="auto"/>
              </w:rPr>
              <w:t>$287,560</w:t>
            </w:r>
            <w:r>
              <w:rPr>
                <w:rFonts w:ascii="Arial" w:cs="Arial" w:eastAsia="Arial" w:hAnsi="Arial"/>
                <w:sz w:val="15"/>
                <w:szCs w:val="15"/>
                <w:color w:val="auto"/>
                <w:vertAlign w:val="superscript"/>
              </w:rPr>
              <w:t>(1),(2)</w:t>
            </w:r>
          </w:p>
        </w:tc>
        <w:tc>
          <w:tcPr>
            <w:tcW w:w="10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0"/>
                <w:szCs w:val="10"/>
                <w:color w:val="auto"/>
              </w:rPr>
              <w:t>$270,284</w:t>
            </w:r>
            <w:r>
              <w:rPr>
                <w:rFonts w:ascii="Arial" w:cs="Arial" w:eastAsia="Arial" w:hAnsi="Arial"/>
                <w:sz w:val="15"/>
                <w:szCs w:val="15"/>
                <w:color w:val="auto"/>
                <w:vertAlign w:val="superscript"/>
              </w:rPr>
              <w:t>(1),(2)</w:t>
            </w:r>
          </w:p>
        </w:tc>
        <w:tc>
          <w:tcPr>
            <w:tcW w:w="10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0"/>
                <w:szCs w:val="10"/>
                <w:color w:val="auto"/>
              </w:rPr>
              <w:t>$270,284</w:t>
            </w:r>
            <w:r>
              <w:rPr>
                <w:rFonts w:ascii="Arial" w:cs="Arial" w:eastAsia="Arial" w:hAnsi="Arial"/>
                <w:sz w:val="15"/>
                <w:szCs w:val="15"/>
                <w:color w:val="auto"/>
                <w:vertAlign w:val="superscript"/>
              </w:rPr>
              <w:t>(1),(2)</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3380" w:type="dxa"/>
            <w:vAlign w:val="bottom"/>
          </w:tcPr>
          <w:p>
            <w:pPr>
              <w:spacing w:after="0"/>
              <w:rPr>
                <w:sz w:val="20"/>
                <w:szCs w:val="20"/>
                <w:color w:val="auto"/>
              </w:rPr>
            </w:pPr>
            <w:r>
              <w:rPr>
                <w:rFonts w:ascii="Arial" w:cs="Arial" w:eastAsia="Arial" w:hAnsi="Arial"/>
                <w:sz w:val="12"/>
                <w:szCs w:val="12"/>
                <w:b w:val="1"/>
                <w:bCs w:val="1"/>
                <w:color w:val="auto"/>
              </w:rPr>
              <w:t>Termination by the Named Executive Officer for "Good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80" w:type="dxa"/>
            <w:vAlign w:val="bottom"/>
          </w:tcPr>
          <w:p>
            <w:pPr>
              <w:ind w:left="120"/>
              <w:spacing w:after="0"/>
              <w:rPr>
                <w:sz w:val="20"/>
                <w:szCs w:val="20"/>
                <w:color w:val="auto"/>
              </w:rPr>
            </w:pPr>
            <w:r>
              <w:rPr>
                <w:rFonts w:ascii="Arial" w:cs="Arial" w:eastAsia="Arial" w:hAnsi="Arial"/>
                <w:sz w:val="12"/>
                <w:szCs w:val="12"/>
                <w:b w:val="1"/>
                <w:bCs w:val="1"/>
                <w:color w:val="auto"/>
              </w:rPr>
              <w:t>Reason" with ninety (90) days' notice, and failure by</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80" w:type="dxa"/>
            <w:vAlign w:val="bottom"/>
          </w:tcPr>
          <w:p>
            <w:pPr>
              <w:ind w:left="120"/>
              <w:spacing w:after="0"/>
              <w:rPr>
                <w:sz w:val="20"/>
                <w:szCs w:val="20"/>
                <w:color w:val="auto"/>
              </w:rPr>
            </w:pPr>
            <w:r>
              <w:rPr>
                <w:rFonts w:ascii="Arial" w:cs="Arial" w:eastAsia="Arial" w:hAnsi="Arial"/>
                <w:sz w:val="12"/>
                <w:szCs w:val="12"/>
                <w:b w:val="1"/>
                <w:bCs w:val="1"/>
                <w:color w:val="auto"/>
              </w:rPr>
              <w:t>the Company to correct such "Good Reason" within</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380" w:type="dxa"/>
            <w:vAlign w:val="bottom"/>
          </w:tcPr>
          <w:p>
            <w:pPr>
              <w:ind w:left="120"/>
              <w:spacing w:after="0"/>
              <w:rPr>
                <w:sz w:val="20"/>
                <w:szCs w:val="20"/>
                <w:color w:val="auto"/>
              </w:rPr>
            </w:pPr>
            <w:r>
              <w:rPr>
                <w:rFonts w:ascii="Arial" w:cs="Arial" w:eastAsia="Arial" w:hAnsi="Arial"/>
                <w:sz w:val="12"/>
                <w:szCs w:val="12"/>
                <w:b w:val="1"/>
                <w:bCs w:val="1"/>
                <w:color w:val="auto"/>
              </w:rPr>
              <w:t>ninety (90) days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Severance payment</w:t>
            </w:r>
          </w:p>
        </w:tc>
        <w:tc>
          <w:tcPr>
            <w:tcW w:w="8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0"/>
                <w:szCs w:val="10"/>
                <w:color w:val="auto"/>
              </w:rPr>
              <w:t>$3,627,733</w:t>
            </w:r>
            <w:r>
              <w:rPr>
                <w:rFonts w:ascii="Arial" w:cs="Arial" w:eastAsia="Arial" w:hAnsi="Arial"/>
                <w:sz w:val="15"/>
                <w:szCs w:val="15"/>
                <w:color w:val="auto"/>
                <w:vertAlign w:val="superscript"/>
              </w:rPr>
              <w:t>(3)</w:t>
            </w:r>
          </w:p>
        </w:tc>
        <w:tc>
          <w:tcPr>
            <w:tcW w:w="8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$1,582,758</w:t>
            </w:r>
            <w:r>
              <w:rPr>
                <w:rFonts w:ascii="Arial" w:cs="Arial" w:eastAsia="Arial" w:hAnsi="Arial"/>
                <w:sz w:val="15"/>
                <w:szCs w:val="15"/>
                <w:color w:val="auto"/>
                <w:vertAlign w:val="superscript"/>
              </w:rPr>
              <w:t>(3)</w:t>
            </w: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3380" w:type="dxa"/>
            <w:vAlign w:val="bottom"/>
          </w:tcPr>
          <w:p>
            <w:pPr>
              <w:spacing w:after="0"/>
              <w:rPr>
                <w:sz w:val="20"/>
                <w:szCs w:val="20"/>
                <w:color w:val="auto"/>
              </w:rPr>
            </w:pPr>
            <w:r>
              <w:rPr>
                <w:rFonts w:ascii="Arial" w:cs="Arial" w:eastAsia="Arial" w:hAnsi="Arial"/>
                <w:sz w:val="12"/>
                <w:szCs w:val="12"/>
                <w:b w:val="1"/>
                <w:bCs w:val="1"/>
                <w:color w:val="auto"/>
              </w:rPr>
              <w:t>Change of Control</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Accelerated vesting of options and restricted</w:t>
            </w:r>
          </w:p>
        </w:tc>
        <w:tc>
          <w:tcPr>
            <w:tcW w:w="8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$1,418,480</w:t>
            </w:r>
            <w:r>
              <w:rPr>
                <w:rFonts w:ascii="Arial" w:cs="Arial" w:eastAsia="Arial" w:hAnsi="Arial"/>
                <w:sz w:val="18"/>
                <w:szCs w:val="18"/>
                <w:color w:val="auto"/>
                <w:vertAlign w:val="superscript"/>
              </w:rPr>
              <w:t>(5)</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3"/>
              <w:spacing w:after="0"/>
              <w:rPr>
                <w:sz w:val="20"/>
                <w:szCs w:val="20"/>
                <w:color w:val="auto"/>
              </w:rPr>
            </w:pPr>
            <w:r>
              <w:rPr>
                <w:rFonts w:ascii="Arial" w:cs="Arial" w:eastAsia="Arial" w:hAnsi="Arial"/>
                <w:sz w:val="12"/>
                <w:szCs w:val="12"/>
                <w:color w:val="auto"/>
                <w:w w:val="95"/>
              </w:rPr>
              <w:t>$546,924</w:t>
            </w:r>
            <w:r>
              <w:rPr>
                <w:rFonts w:ascii="Arial" w:cs="Arial" w:eastAsia="Arial" w:hAnsi="Arial"/>
                <w:sz w:val="18"/>
                <w:szCs w:val="18"/>
                <w:color w:val="auto"/>
                <w:w w:val="95"/>
                <w:vertAlign w:val="superscript"/>
              </w:rPr>
              <w:t>(5)</w:t>
            </w:r>
          </w:p>
        </w:tc>
        <w:tc>
          <w:tcPr>
            <w:tcW w:w="1040" w:type="dxa"/>
            <w:vAlign w:val="bottom"/>
            <w:gridSpan w:val="2"/>
            <w:vMerge w:val="restart"/>
            <w:shd w:val="clear" w:color="auto" w:fill="CCEEFF"/>
          </w:tcPr>
          <w:p>
            <w:pPr>
              <w:jc w:val="right"/>
              <w:ind w:right="79"/>
              <w:spacing w:after="0"/>
              <w:rPr>
                <w:sz w:val="20"/>
                <w:szCs w:val="20"/>
                <w:color w:val="auto"/>
              </w:rPr>
            </w:pPr>
            <w:r>
              <w:rPr>
                <w:rFonts w:ascii="Arial" w:cs="Arial" w:eastAsia="Arial" w:hAnsi="Arial"/>
                <w:sz w:val="12"/>
                <w:szCs w:val="12"/>
                <w:color w:val="auto"/>
              </w:rPr>
              <w:t>$435,919</w:t>
            </w:r>
            <w:r>
              <w:rPr>
                <w:rFonts w:ascii="Arial" w:cs="Arial" w:eastAsia="Arial" w:hAnsi="Arial"/>
                <w:sz w:val="18"/>
                <w:szCs w:val="18"/>
                <w:color w:val="auto"/>
                <w:vertAlign w:val="superscript"/>
              </w:rPr>
              <w:t>(5)</w:t>
            </w:r>
          </w:p>
        </w:tc>
        <w:tc>
          <w:tcPr>
            <w:tcW w:w="1020" w:type="dxa"/>
            <w:vAlign w:val="bottom"/>
            <w:gridSpan w:val="2"/>
            <w:vMerge w:val="restart"/>
            <w:shd w:val="clear" w:color="auto" w:fill="CCEEFF"/>
          </w:tcPr>
          <w:p>
            <w:pPr>
              <w:ind w:left="260"/>
              <w:spacing w:after="0"/>
              <w:rPr>
                <w:sz w:val="20"/>
                <w:szCs w:val="20"/>
                <w:color w:val="auto"/>
              </w:rPr>
            </w:pPr>
            <w:r>
              <w:rPr>
                <w:rFonts w:ascii="Arial" w:cs="Arial" w:eastAsia="Arial" w:hAnsi="Arial"/>
                <w:sz w:val="12"/>
                <w:szCs w:val="12"/>
                <w:color w:val="auto"/>
              </w:rPr>
              <w:t>$706,748</w:t>
            </w:r>
            <w:r>
              <w:rPr>
                <w:rFonts w:ascii="Arial" w:cs="Arial" w:eastAsia="Arial" w:hAnsi="Arial"/>
                <w:sz w:val="18"/>
                <w:szCs w:val="18"/>
                <w:color w:val="auto"/>
                <w:vertAlign w:val="superscript"/>
              </w:rPr>
              <w:t>(5)</w:t>
            </w:r>
          </w:p>
        </w:tc>
        <w:tc>
          <w:tcPr>
            <w:tcW w:w="10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$706,748</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ind w:left="360"/>
              <w:spacing w:after="0" w:line="133" w:lineRule="exact"/>
              <w:rPr>
                <w:sz w:val="20"/>
                <w:szCs w:val="20"/>
                <w:color w:val="auto"/>
              </w:rPr>
            </w:pPr>
            <w:r>
              <w:rPr>
                <w:rFonts w:ascii="Arial" w:cs="Arial" w:eastAsia="Arial" w:hAnsi="Arial"/>
                <w:sz w:val="12"/>
                <w:szCs w:val="12"/>
                <w:color w:val="auto"/>
              </w:rPr>
              <w:t>shares</w:t>
            </w:r>
          </w:p>
        </w:tc>
        <w:tc>
          <w:tcPr>
            <w:tcW w:w="880" w:type="dxa"/>
            <w:vAlign w:val="bottom"/>
            <w:gridSpan w:val="2"/>
            <w:vMerge w:val="continue"/>
            <w:shd w:val="clear" w:color="auto" w:fill="CCEEFF"/>
          </w:tcPr>
          <w:p>
            <w:pPr>
              <w:spacing w:after="0"/>
              <w:rPr>
                <w:sz w:val="11"/>
                <w:szCs w:val="11"/>
                <w:color w:val="auto"/>
              </w:rPr>
            </w:pPr>
          </w:p>
        </w:tc>
        <w:tc>
          <w:tcPr>
            <w:tcW w:w="88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$467,124</w:t>
            </w:r>
          </w:p>
        </w:tc>
        <w:tc>
          <w:tcPr>
            <w:tcW w:w="780" w:type="dxa"/>
            <w:vAlign w:val="bottom"/>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right="220" w:hanging="464"/>
        <w:spacing w:after="0" w:line="209" w:lineRule="auto"/>
        <w:tabs>
          <w:tab w:leader="none" w:pos="1600" w:val="left"/>
        </w:tabs>
        <w:numPr>
          <w:ilvl w:val="0"/>
          <w:numId w:val="66"/>
        </w:numPr>
        <w:rPr>
          <w:rFonts w:ascii="Arial" w:cs="Arial" w:eastAsia="Arial" w:hAnsi="Arial"/>
          <w:sz w:val="18"/>
          <w:szCs w:val="18"/>
          <w:color w:val="auto"/>
          <w:vertAlign w:val="superscript"/>
        </w:rPr>
      </w:pPr>
      <w:r>
        <w:rPr>
          <w:rFonts w:ascii="Arial" w:cs="Arial" w:eastAsia="Arial" w:hAnsi="Arial"/>
          <w:sz w:val="12"/>
          <w:szCs w:val="12"/>
          <w:color w:val="auto"/>
        </w:rPr>
        <w:t>Represents amounts that would have been received in connection with the accelerated vesting of Altisource restricted shares and/or service-based options upon the occurrence of death, disability, retirement or termination by the Company other than for "Cause." For Mr. Chatterjee, the amount assumes the Compensation Committee authorizes accelerated vesting despite having less than two (2) years of service as of December 31, 2017.</w:t>
      </w:r>
    </w:p>
    <w:p>
      <w:pPr>
        <w:spacing w:after="0" w:line="128" w:lineRule="exact"/>
        <w:rPr>
          <w:rFonts w:ascii="Arial" w:cs="Arial" w:eastAsia="Arial" w:hAnsi="Arial"/>
          <w:sz w:val="18"/>
          <w:szCs w:val="18"/>
          <w:color w:val="auto"/>
          <w:vertAlign w:val="superscript"/>
        </w:rPr>
      </w:pPr>
    </w:p>
    <w:p>
      <w:pPr>
        <w:ind w:left="1600" w:hanging="464"/>
        <w:spacing w:after="0" w:line="215" w:lineRule="auto"/>
        <w:tabs>
          <w:tab w:leader="none" w:pos="1600" w:val="left"/>
        </w:tabs>
        <w:numPr>
          <w:ilvl w:val="0"/>
          <w:numId w:val="66"/>
        </w:numPr>
        <w:rPr>
          <w:rFonts w:ascii="Arial" w:cs="Arial" w:eastAsia="Arial" w:hAnsi="Arial"/>
          <w:sz w:val="18"/>
          <w:szCs w:val="18"/>
          <w:color w:val="auto"/>
          <w:vertAlign w:val="superscript"/>
        </w:rPr>
      </w:pPr>
      <w:r>
        <w:rPr>
          <w:rFonts w:ascii="Arial" w:cs="Arial" w:eastAsia="Arial" w:hAnsi="Arial"/>
          <w:sz w:val="12"/>
          <w:szCs w:val="12"/>
          <w:color w:val="auto"/>
        </w:rPr>
        <w:t>The awards for the April 7, 2017 performance-based restricted shares and 2017 performance-based stock options granted to these executives provide for accelerated vesting of awards following certain termination events, but only following a determination that the performance criteria were met for the relevant period. In February 2018, the Compensation Committee confirmed that the relevant performance criteria for 2017 were below a threshold level, and therefore these restricted shares and options were cancelled and forfeited. As a result, these restricted shares and options are not included.</w:t>
      </w:r>
    </w:p>
    <w:p>
      <w:pPr>
        <w:spacing w:after="0" w:line="130" w:lineRule="exact"/>
        <w:rPr>
          <w:rFonts w:ascii="Arial" w:cs="Arial" w:eastAsia="Arial" w:hAnsi="Arial"/>
          <w:sz w:val="18"/>
          <w:szCs w:val="18"/>
          <w:color w:val="auto"/>
          <w:vertAlign w:val="superscript"/>
        </w:rPr>
      </w:pPr>
    </w:p>
    <w:p>
      <w:pPr>
        <w:ind w:left="1600" w:hanging="464"/>
        <w:spacing w:after="0" w:line="209" w:lineRule="auto"/>
        <w:tabs>
          <w:tab w:leader="none" w:pos="1600" w:val="left"/>
        </w:tabs>
        <w:numPr>
          <w:ilvl w:val="0"/>
          <w:numId w:val="66"/>
        </w:numPr>
        <w:rPr>
          <w:rFonts w:ascii="Arial" w:cs="Arial" w:eastAsia="Arial" w:hAnsi="Arial"/>
          <w:sz w:val="18"/>
          <w:szCs w:val="18"/>
          <w:color w:val="auto"/>
          <w:vertAlign w:val="superscript"/>
        </w:rPr>
      </w:pPr>
      <w:r>
        <w:rPr>
          <w:rFonts w:ascii="Arial" w:cs="Arial" w:eastAsia="Arial" w:hAnsi="Arial"/>
          <w:sz w:val="12"/>
          <w:szCs w:val="12"/>
          <w:color w:val="auto"/>
        </w:rPr>
        <w:t>Represents one (1) year of base salary, plus one (1) year of target incentive compensation, plus actual incentive compensation that would have been earned for the 2017 service year. Pursuant to their employment agreements, Messrs. Shepro and Wilcox are only entitled to receive actual incentive compensation earned in the event employment is terminated after October for the service year and before incentives are paid for such service year.</w:t>
      </w:r>
    </w:p>
    <w:p>
      <w:pPr>
        <w:spacing w:after="0" w:line="128" w:lineRule="exact"/>
        <w:rPr>
          <w:rFonts w:ascii="Arial" w:cs="Arial" w:eastAsia="Arial" w:hAnsi="Arial"/>
          <w:sz w:val="18"/>
          <w:szCs w:val="18"/>
          <w:color w:val="auto"/>
          <w:vertAlign w:val="superscript"/>
        </w:rPr>
      </w:pPr>
    </w:p>
    <w:p>
      <w:pPr>
        <w:ind w:left="1600" w:right="120" w:hanging="464"/>
        <w:spacing w:after="0" w:line="197" w:lineRule="auto"/>
        <w:tabs>
          <w:tab w:leader="none" w:pos="1600" w:val="left"/>
        </w:tabs>
        <w:numPr>
          <w:ilvl w:val="0"/>
          <w:numId w:val="66"/>
        </w:numPr>
        <w:rPr>
          <w:rFonts w:ascii="Arial" w:cs="Arial" w:eastAsia="Arial" w:hAnsi="Arial"/>
          <w:sz w:val="18"/>
          <w:szCs w:val="18"/>
          <w:color w:val="auto"/>
          <w:vertAlign w:val="superscript"/>
        </w:rPr>
      </w:pPr>
      <w:r>
        <w:rPr>
          <w:rFonts w:ascii="Arial" w:cs="Arial" w:eastAsia="Arial" w:hAnsi="Arial"/>
          <w:sz w:val="12"/>
          <w:szCs w:val="12"/>
          <w:color w:val="auto"/>
        </w:rPr>
        <w:t>Represents four (4) months' base salary as provided under the executive's employment agreement, the receipt of which is contingent upon the executive's execution of a Separation Agreement with the Company.</w:t>
      </w:r>
    </w:p>
    <w:p>
      <w:pPr>
        <w:spacing w:after="0" w:line="128" w:lineRule="exact"/>
        <w:rPr>
          <w:rFonts w:ascii="Arial" w:cs="Arial" w:eastAsia="Arial" w:hAnsi="Arial"/>
          <w:sz w:val="18"/>
          <w:szCs w:val="18"/>
          <w:color w:val="auto"/>
          <w:vertAlign w:val="superscript"/>
        </w:rPr>
      </w:pPr>
    </w:p>
    <w:p>
      <w:pPr>
        <w:ind w:left="1600" w:right="600" w:hanging="464"/>
        <w:spacing w:after="0" w:line="197" w:lineRule="auto"/>
        <w:tabs>
          <w:tab w:leader="none" w:pos="1600" w:val="left"/>
        </w:tabs>
        <w:numPr>
          <w:ilvl w:val="0"/>
          <w:numId w:val="66"/>
        </w:numPr>
        <w:rPr>
          <w:rFonts w:ascii="Arial" w:cs="Arial" w:eastAsia="Arial" w:hAnsi="Arial"/>
          <w:sz w:val="18"/>
          <w:szCs w:val="18"/>
          <w:color w:val="auto"/>
          <w:vertAlign w:val="superscript"/>
        </w:rPr>
      </w:pPr>
      <w:r>
        <w:rPr>
          <w:rFonts w:ascii="Arial" w:cs="Arial" w:eastAsia="Arial" w:hAnsi="Arial"/>
          <w:sz w:val="12"/>
          <w:szCs w:val="12"/>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8" w:name="page69"/>
    <w:bookmarkEnd w:id="6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757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left="8" w:right="80"/>
        <w:spacing w:after="0" w:line="241" w:lineRule="auto"/>
        <w:rPr>
          <w:sz w:val="20"/>
          <w:szCs w:val="20"/>
          <w:color w:val="auto"/>
        </w:rPr>
      </w:pPr>
      <w:r>
        <w:rPr>
          <w:rFonts w:ascii="Arial" w:cs="Arial" w:eastAsia="Arial" w:hAnsi="Arial"/>
          <w:sz w:val="15"/>
          <w:szCs w:val="15"/>
          <w:color w:val="auto"/>
        </w:rPr>
        <w:t>As previously disclosed in our proxy statements for our 2016, 2017 and 2018 annual meetings of shareholders and our Current Report on Form 8-K filed with the SEC on March 28, 2016, management and the Audit Committee of our Board of Directors completed a competitive process to review the appointment of the Company's independent registered public accounting firm for the year ended December 31, 2016. The Audit Committee invited several firms to participate in this process, including Deloitte &amp; Touche LLP, the Company's independent registered public accounting firm since September 22, 2009.</w:t>
      </w:r>
    </w:p>
    <w:p>
      <w:pPr>
        <w:spacing w:after="0" w:line="177"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As a result of this process and following careful deliberation, on March 24, 2016, the Audit Committee approved the engagement of Mayer Hoffman McCann P.C. ("Mayer Hoffman") as the Company's independent registered public accounting firm, conditioned and effective upon completion of their client acceptance process, subject to approval by our shareholders, for the year ending December 31, 2016. On March 25, 2016, Mayer Hoffman advised the Company that it had successfully completed its client acceptance procedures and the Company dismissed Deloitte from its role as the Company's independent registered public accounting firm.</w:t>
      </w:r>
    </w:p>
    <w:p>
      <w:pPr>
        <w:spacing w:after="0" w:line="177"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Deloitte's audit reports on the Company's consolidated financial statements as of and for the years ended December 31, 2015 and 2014 did not contain an adverse opinion or a disclaimer of opinion and were not qualified or modified as to audit scope or accounting principles. Such reports included an explanatory paragraph related to the concentration of revenue with Ocwen and an emphasis of a matter paragraph related to uncertainties faced by Ocwen.</w:t>
      </w:r>
    </w:p>
    <w:p>
      <w:pPr>
        <w:spacing w:after="0" w:line="174" w:lineRule="exact"/>
        <w:rPr>
          <w:sz w:val="20"/>
          <w:szCs w:val="20"/>
          <w:color w:val="auto"/>
        </w:rPr>
      </w:pPr>
    </w:p>
    <w:p>
      <w:pPr>
        <w:ind w:left="8"/>
        <w:spacing w:after="0" w:line="239" w:lineRule="auto"/>
        <w:rPr>
          <w:sz w:val="20"/>
          <w:szCs w:val="20"/>
          <w:color w:val="auto"/>
        </w:rPr>
      </w:pPr>
      <w:r>
        <w:rPr>
          <w:rFonts w:ascii="Arial" w:cs="Arial" w:eastAsia="Arial" w:hAnsi="Arial"/>
          <w:sz w:val="15"/>
          <w:szCs w:val="15"/>
          <w:color w:val="auto"/>
        </w:rPr>
        <w:t>During the years ended December 31, 2015 and 2014, and the subsequent interim period through March 24, 2016, there were (i) no disagreements with Deloitte on any matter of accounting principles or practices, financial statement disclosure, or auditing scope or procedure, which disagreements, if not resolved to the satisfaction of Deloitte, would have caused Deloitte to make reference to the subject matter of the disagreements in its reports on the financial statements for such years, and (ii) no "reportable events" as defined in Item 304(a)(1)(v) of Regulation S-K except that the Company's internal control over financial reporting was not effective as of December 31, 2015 due to the existence of a material weakness in the Company's internal control over financial reporting related to the review of impairment indicators of long-lived assets, including premises and equipment and intangible assets, and the impairment analysis of indefinite-lived assets, primarily goodwill. Deloitte discussed this matter with the Audit Committee. As a result of the material weakness, Deloitte's audit report dated March 15, 2016 on the effectiveness of the Company's internal control over financial reporting as of December 31, 2015 expressed an adverse opinion. The Company authorized Deloitte to fully respond to the inquiries of Mayer Hoffman, the successor independent registered public accounting firm, concerning this matter.</w:t>
      </w:r>
    </w:p>
    <w:p>
      <w:pPr>
        <w:spacing w:after="0" w:line="182" w:lineRule="exact"/>
        <w:rPr>
          <w:sz w:val="20"/>
          <w:szCs w:val="20"/>
          <w:color w:val="auto"/>
        </w:rPr>
      </w:pPr>
    </w:p>
    <w:p>
      <w:pPr>
        <w:jc w:val="both"/>
        <w:ind w:left="8" w:right="60"/>
        <w:spacing w:after="0" w:line="243" w:lineRule="auto"/>
        <w:rPr>
          <w:sz w:val="20"/>
          <w:szCs w:val="20"/>
          <w:color w:val="auto"/>
        </w:rPr>
      </w:pPr>
      <w:r>
        <w:rPr>
          <w:rFonts w:ascii="Arial" w:cs="Arial" w:eastAsia="Arial" w:hAnsi="Arial"/>
          <w:sz w:val="15"/>
          <w:szCs w:val="15"/>
          <w:color w:val="auto"/>
        </w:rPr>
        <w:t>The Company provided Deloitte with a copy of its Current Report on Form 8-K prior to its filing with the SEC. The Company requested that Deloitte furnish the Company with a letter addressed to the SEC stating whether or not Deloitte agreed with the above statements that are related to Deloitte. A copy of Deloitte's letter, dated March 28, 2016, was attached as Exhibit 16.1 to the Company's Current Report on Form 8-K filed on March 28, 2016.</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5"/>
          <w:szCs w:val="15"/>
          <w:color w:val="auto"/>
        </w:rPr>
        <w:t>During the year ended December 31, 2015 and through March 24, 2016, neither the Company nor anyone on its behalf consulted with Mayer Hoffman with respect to either</w:t>
      </w:r>
    </w:p>
    <w:p>
      <w:pPr>
        <w:jc w:val="both"/>
        <w:ind w:left="8" w:right="340" w:hanging="8"/>
        <w:spacing w:after="0" w:line="241" w:lineRule="auto"/>
        <w:tabs>
          <w:tab w:leader="none" w:pos="182"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application of accounting principles to a specified transaction, either completed or proposed, or the type of audit opinion that might be rendered on the Company's consolidated financial statements, and no written report or oral advice was provided by Mayer Hoffman to the Company that Mayer Hoffman concluded was an important factor considered by the Company in reaching a decision as to any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175" w:lineRule="exact"/>
        <w:rPr>
          <w:sz w:val="20"/>
          <w:szCs w:val="20"/>
          <w:color w:val="auto"/>
        </w:rPr>
      </w:pPr>
    </w:p>
    <w:p>
      <w:pPr>
        <w:ind w:left="8" w:right="200"/>
        <w:spacing w:after="0" w:line="282" w:lineRule="auto"/>
        <w:rPr>
          <w:sz w:val="20"/>
          <w:szCs w:val="20"/>
          <w:color w:val="auto"/>
        </w:rPr>
      </w:pPr>
      <w:r>
        <w:rPr>
          <w:rFonts w:ascii="Arial" w:cs="Arial" w:eastAsia="Arial" w:hAnsi="Arial"/>
          <w:sz w:val="14"/>
          <w:szCs w:val="14"/>
          <w:color w:val="auto"/>
        </w:rPr>
        <w:t>Our shareholders previously approved the appointment of Mayer Hoffman as our independent registered certified public accounting firm for the years ended December 31, 2016, December 31, 2017 and December 31, 2018, and the appointment of Atwell S.à r.l. ("Atwell") as our certified auditor (</w:t>
      </w:r>
      <w:r>
        <w:rPr>
          <w:rFonts w:ascii="Arial" w:cs="Arial" w:eastAsia="Arial" w:hAnsi="Arial"/>
          <w:sz w:val="14"/>
          <w:szCs w:val="14"/>
          <w:i w:val="1"/>
          <w:iCs w:val="1"/>
          <w:color w:val="auto"/>
        </w:rPr>
        <w:t>Réviseur d'Entreprises</w:t>
      </w:r>
      <w:r>
        <w:rPr>
          <w:rFonts w:ascii="Arial" w:cs="Arial" w:eastAsia="Arial" w:hAnsi="Arial"/>
          <w:sz w:val="14"/>
          <w:szCs w:val="14"/>
          <w:color w:val="auto"/>
        </w:rPr>
        <w:t>) for the same periods.</w:t>
      </w:r>
    </w:p>
    <w:p>
      <w:pPr>
        <w:spacing w:after="0" w:line="148"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 xml:space="preserve">In connection with these responsibilities, the Audit Committee met with management and the independent registered certified public accounting firm to review and discuss the December 31, 2017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cs="Arial" w:eastAsia="Arial" w:hAnsi="Arial"/>
          <w:sz w:val="15"/>
          <w:szCs w:val="15"/>
          <w:i w:val="1"/>
          <w:iCs w:val="1"/>
          <w:color w:val="auto"/>
        </w:rPr>
        <w:t>Communications with Audit</w:t>
      </w:r>
      <w:r>
        <w:rPr>
          <w:rFonts w:ascii="Arial" w:cs="Arial" w:eastAsia="Arial" w:hAnsi="Arial"/>
          <w:sz w:val="15"/>
          <w:szCs w:val="15"/>
          <w:color w:val="auto"/>
        </w:rPr>
        <w:t xml:space="preserve"> </w:t>
      </w:r>
      <w:r>
        <w:rPr>
          <w:rFonts w:ascii="Arial" w:cs="Arial" w:eastAsia="Arial" w:hAnsi="Arial"/>
          <w:sz w:val="15"/>
          <w:szCs w:val="15"/>
          <w:i w:val="1"/>
          <w:iCs w:val="1"/>
          <w:color w:val="auto"/>
        </w:rPr>
        <w:t>Committees</w:t>
      </w:r>
      <w:r>
        <w:rPr>
          <w:rFonts w:ascii="Arial" w:cs="Arial" w:eastAsia="Arial" w:hAnsi="Arial"/>
          <w:sz w:val="15"/>
          <w:szCs w:val="15"/>
          <w:color w:val="auto"/>
        </w:rPr>
        <w:t>. The Audit Committee has also received written disclosures from the Company's independent registered certified public accounting firm, as required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requirements of the PCAOB, and discussed with the independent registered certified public accounting firm that firm's independence.</w:t>
      </w:r>
    </w:p>
    <w:p>
      <w:pPr>
        <w:spacing w:after="0" w:line="175" w:lineRule="exact"/>
        <w:rPr>
          <w:sz w:val="20"/>
          <w:szCs w:val="20"/>
          <w:color w:val="auto"/>
        </w:rPr>
      </w:pPr>
    </w:p>
    <w:p>
      <w:pPr>
        <w:ind w:right="720"/>
        <w:spacing w:after="0" w:line="243" w:lineRule="auto"/>
        <w:rPr>
          <w:sz w:val="20"/>
          <w:szCs w:val="20"/>
          <w:color w:val="auto"/>
        </w:rPr>
      </w:pPr>
      <w:r>
        <w:rPr>
          <w:rFonts w:ascii="Arial" w:cs="Arial" w:eastAsia="Arial" w:hAnsi="Arial"/>
          <w:sz w:val="15"/>
          <w:szCs w:val="15"/>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2017 audited consolidated financial statements in Altisource's Annual Report on Form 10-K for the year ended December 31, 2017.</w:t>
      </w:r>
    </w:p>
    <w:p>
      <w:pPr>
        <w:spacing w:after="0" w:line="156"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Audit Committee:</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Roland Müller-Ineichen, Chairman</w:t>
      </w:r>
    </w:p>
    <w:p>
      <w:pPr>
        <w:ind w:left="6860"/>
        <w:spacing w:after="0"/>
        <w:rPr>
          <w:sz w:val="20"/>
          <w:szCs w:val="20"/>
          <w:color w:val="auto"/>
        </w:rPr>
      </w:pPr>
      <w:r>
        <w:rPr>
          <w:rFonts w:ascii="Arial" w:cs="Arial" w:eastAsia="Arial" w:hAnsi="Arial"/>
          <w:sz w:val="15"/>
          <w:szCs w:val="15"/>
          <w:color w:val="auto"/>
        </w:rPr>
        <w:t>W. Michael Linn, Director</w:t>
      </w:r>
    </w:p>
    <w:p>
      <w:pPr>
        <w:ind w:left="6860"/>
        <w:spacing w:after="0"/>
        <w:rPr>
          <w:sz w:val="20"/>
          <w:szCs w:val="20"/>
          <w:color w:val="auto"/>
        </w:rPr>
      </w:pPr>
      <w:r>
        <w:rPr>
          <w:rFonts w:ascii="Arial" w:cs="Arial" w:eastAsia="Arial" w:hAnsi="Arial"/>
          <w:sz w:val="15"/>
          <w:szCs w:val="15"/>
          <w:color w:val="auto"/>
        </w:rPr>
        <w:t>Joseph L. Morettini, Director</w:t>
      </w:r>
    </w:p>
    <w:p>
      <w:pPr>
        <w:ind w:left="6860"/>
        <w:spacing w:after="0"/>
        <w:rPr>
          <w:sz w:val="20"/>
          <w:szCs w:val="20"/>
          <w:color w:val="auto"/>
        </w:rPr>
      </w:pPr>
      <w:r>
        <w:rPr>
          <w:rFonts w:ascii="Arial" w:cs="Arial" w:eastAsia="Arial" w:hAnsi="Arial"/>
          <w:sz w:val="15"/>
          <w:szCs w:val="15"/>
          <w:color w:val="auto"/>
        </w:rPr>
        <w:t>Timo Vättö, Director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August 14, 2018</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right="340"/>
        <w:spacing w:after="0" w:line="247" w:lineRule="auto"/>
        <w:rPr>
          <w:sz w:val="20"/>
          <w:szCs w:val="20"/>
          <w:color w:val="auto"/>
        </w:rPr>
      </w:pPr>
      <w:r>
        <w:rPr>
          <w:rFonts w:ascii="Arial" w:cs="Arial" w:eastAsia="Arial" w:hAnsi="Arial"/>
          <w:sz w:val="15"/>
          <w:szCs w:val="15"/>
          <w:color w:val="auto"/>
        </w:rPr>
        <w:t>The following table shows the aggregate fees billed to Altisource for professional services by Mayer Hoffman, Atwell, Deloitte &amp; Touche LLP, the member firms of Deloitte Touche Tohmatsu and their respective affiliates in fiscal years 2016 and 2017:</w:t>
      </w:r>
    </w:p>
    <w:p>
      <w:pPr>
        <w:spacing w:after="0" w:line="153" w:lineRule="exact"/>
        <w:rPr>
          <w:sz w:val="20"/>
          <w:szCs w:val="20"/>
          <w:color w:val="auto"/>
        </w:rPr>
      </w:pPr>
    </w:p>
    <w:tbl>
      <w:tblPr>
        <w:tblLayout w:type="fixed"/>
        <w:tblInd w:w="2280" w:type="dxa"/>
        <w:tblCellMar>
          <w:top w:w="0" w:type="dxa"/>
          <w:left w:w="0" w:type="dxa"/>
          <w:bottom w:w="0" w:type="dxa"/>
          <w:right w:w="0" w:type="dxa"/>
        </w:tblCellMar>
      </w:tblPr>
      <w:tr>
        <w:trPr>
          <w:trHeight w:val="187"/>
        </w:trPr>
        <w:tc>
          <w:tcPr>
            <w:tcW w:w="7100" w:type="dxa"/>
            <w:vAlign w:val="bottom"/>
            <w:tcBorders>
              <w:bottom w:val="single" w:sz="8" w:color="auto"/>
            </w:tcBorders>
          </w:tcPr>
          <w:p>
            <w:pPr>
              <w:ind w:left="3220"/>
              <w:spacing w:after="0"/>
              <w:rPr>
                <w:sz w:val="20"/>
                <w:szCs w:val="20"/>
                <w:color w:val="auto"/>
              </w:rPr>
            </w:pPr>
            <w:r>
              <w:rPr>
                <w:rFonts w:ascii="Arial" w:cs="Arial" w:eastAsia="Arial" w:hAnsi="Arial"/>
                <w:sz w:val="15"/>
                <w:szCs w:val="15"/>
                <w:b w:val="1"/>
                <w:bCs w:val="1"/>
                <w:color w:val="auto"/>
              </w:rPr>
              <w:t>Category</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2016</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2017</w:t>
            </w:r>
          </w:p>
        </w:tc>
        <w:tc>
          <w:tcPr>
            <w:tcW w:w="180" w:type="dxa"/>
            <w:vAlign w:val="bottom"/>
          </w:tcPr>
          <w:p>
            <w:pPr>
              <w:spacing w:after="0"/>
              <w:rPr>
                <w:sz w:val="16"/>
                <w:szCs w:val="16"/>
                <w:color w:val="auto"/>
              </w:rPr>
            </w:pPr>
          </w:p>
        </w:tc>
      </w:tr>
      <w:tr>
        <w:trPr>
          <w:trHeight w:val="163"/>
        </w:trPr>
        <w:tc>
          <w:tcPr>
            <w:tcW w:w="71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Audit Fees</w:t>
            </w:r>
          </w:p>
        </w:tc>
        <w:tc>
          <w:tcPr>
            <w:tcW w:w="94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$2,336,043</w:t>
            </w:r>
          </w:p>
        </w:tc>
        <w:tc>
          <w:tcPr>
            <w:tcW w:w="94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$1,298,615</w:t>
            </w:r>
          </w:p>
        </w:tc>
        <w:tc>
          <w:tcPr>
            <w:tcW w:w="180" w:type="dxa"/>
            <w:vAlign w:val="bottom"/>
            <w:shd w:val="clear" w:color="auto" w:fill="CCEEFF"/>
          </w:tcPr>
          <w:p>
            <w:pPr>
              <w:spacing w:after="0"/>
              <w:rPr>
                <w:sz w:val="14"/>
                <w:szCs w:val="14"/>
                <w:color w:val="auto"/>
              </w:rPr>
            </w:pPr>
          </w:p>
        </w:tc>
      </w:tr>
      <w:tr>
        <w:trPr>
          <w:trHeight w:val="172"/>
        </w:trPr>
        <w:tc>
          <w:tcPr>
            <w:tcW w:w="7100" w:type="dxa"/>
            <w:vAlign w:val="bottom"/>
          </w:tcPr>
          <w:p>
            <w:pPr>
              <w:spacing w:after="0"/>
              <w:rPr>
                <w:sz w:val="20"/>
                <w:szCs w:val="20"/>
                <w:color w:val="auto"/>
              </w:rPr>
            </w:pPr>
            <w:r>
              <w:rPr>
                <w:rFonts w:ascii="Arial" w:cs="Arial" w:eastAsia="Arial" w:hAnsi="Arial"/>
                <w:sz w:val="15"/>
                <w:szCs w:val="15"/>
                <w:color w:val="auto"/>
              </w:rPr>
              <w:t>Audit-Related Fees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172"/>
        </w:trPr>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Tax Fees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$127,494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$102,840</w:t>
            </w:r>
          </w:p>
        </w:tc>
        <w:tc>
          <w:tcPr>
            <w:tcW w:w="180" w:type="dxa"/>
            <w:vAlign w:val="bottom"/>
            <w:shd w:val="clear" w:color="auto" w:fill="CCEEFF"/>
          </w:tcPr>
          <w:p>
            <w:pPr>
              <w:spacing w:after="0"/>
              <w:rPr>
                <w:sz w:val="14"/>
                <w:szCs w:val="14"/>
                <w:color w:val="auto"/>
              </w:rPr>
            </w:pPr>
          </w:p>
        </w:tc>
      </w:tr>
      <w:tr>
        <w:trPr>
          <w:trHeight w:val="172"/>
        </w:trPr>
        <w:tc>
          <w:tcPr>
            <w:tcW w:w="7100" w:type="dxa"/>
            <w:vAlign w:val="bottom"/>
          </w:tcPr>
          <w:p>
            <w:pPr>
              <w:spacing w:after="0"/>
              <w:rPr>
                <w:sz w:val="20"/>
                <w:szCs w:val="20"/>
                <w:color w:val="auto"/>
              </w:rPr>
            </w:pPr>
            <w:r>
              <w:rPr>
                <w:rFonts w:ascii="Arial" w:cs="Arial" w:eastAsia="Arial" w:hAnsi="Arial"/>
                <w:sz w:val="15"/>
                <w:szCs w:val="15"/>
                <w:color w:val="auto"/>
              </w:rPr>
              <w:t>All Other Fees</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$76,290</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$2,695</w:t>
            </w:r>
          </w:p>
        </w:tc>
        <w:tc>
          <w:tcPr>
            <w:tcW w:w="180" w:type="dxa"/>
            <w:vAlign w:val="bottom"/>
          </w:tcPr>
          <w:p>
            <w:pPr>
              <w:spacing w:after="0"/>
              <w:rPr>
                <w:sz w:val="14"/>
                <w:szCs w:val="14"/>
                <w:color w:val="auto"/>
              </w:rPr>
            </w:pPr>
          </w:p>
        </w:tc>
      </w:tr>
      <w:tr>
        <w:trPr>
          <w:trHeight w:val="163"/>
        </w:trPr>
        <w:tc>
          <w:tcPr>
            <w:tcW w:w="71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Total</w:t>
            </w:r>
          </w:p>
        </w:tc>
        <w:tc>
          <w:tcPr>
            <w:tcW w:w="94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$2,539,827</w:t>
            </w:r>
          </w:p>
        </w:tc>
        <w:tc>
          <w:tcPr>
            <w:tcW w:w="1120" w:type="dxa"/>
            <w:vAlign w:val="bottom"/>
            <w:gridSpan w:val="3"/>
            <w:shd w:val="clear" w:color="auto" w:fill="CCEEFF"/>
          </w:tcPr>
          <w:p>
            <w:pPr>
              <w:jc w:val="right"/>
              <w:ind w:right="40"/>
              <w:spacing w:after="0" w:line="164" w:lineRule="exact"/>
              <w:rPr>
                <w:sz w:val="20"/>
                <w:szCs w:val="20"/>
                <w:color w:val="auto"/>
              </w:rPr>
            </w:pPr>
            <w:r>
              <w:rPr>
                <w:rFonts w:ascii="Arial" w:cs="Arial" w:eastAsia="Arial" w:hAnsi="Arial"/>
                <w:sz w:val="12"/>
                <w:szCs w:val="12"/>
                <w:color w:val="auto"/>
              </w:rPr>
              <w:t>$1,404,150</w:t>
            </w:r>
            <w:r>
              <w:rPr>
                <w:rFonts w:ascii="Arial" w:cs="Arial" w:eastAsia="Arial" w:hAnsi="Arial"/>
                <w:sz w:val="18"/>
                <w:szCs w:val="18"/>
                <w:color w:val="auto"/>
                <w:vertAlign w:val="superscript"/>
              </w:rPr>
              <w:t>(1)</w:t>
            </w:r>
          </w:p>
        </w:tc>
      </w:tr>
    </w:tbl>
    <w:p>
      <w:pPr>
        <w:spacing w:after="0" w:line="186" w:lineRule="exact"/>
        <w:rPr>
          <w:sz w:val="20"/>
          <w:szCs w:val="20"/>
          <w:color w:val="auto"/>
        </w:rPr>
      </w:pPr>
    </w:p>
    <w:p>
      <w:pPr>
        <w:ind w:left="2740" w:right="160" w:hanging="459"/>
        <w:spacing w:after="0" w:line="198" w:lineRule="auto"/>
        <w:tabs>
          <w:tab w:leader="none" w:pos="2740" w:val="left"/>
        </w:tabs>
        <w:numPr>
          <w:ilvl w:val="0"/>
          <w:numId w:val="68"/>
        </w:numPr>
        <w:rPr>
          <w:rFonts w:ascii="Arial" w:cs="Arial" w:eastAsia="Arial" w:hAnsi="Arial"/>
          <w:sz w:val="25"/>
          <w:szCs w:val="25"/>
          <w:color w:val="auto"/>
          <w:vertAlign w:val="superscript"/>
        </w:rPr>
      </w:pPr>
      <w:r>
        <w:rPr>
          <w:rFonts w:ascii="Arial" w:cs="Arial" w:eastAsia="Arial" w:hAnsi="Arial"/>
          <w:sz w:val="15"/>
          <w:szCs w:val="15"/>
          <w:color w:val="auto"/>
        </w:rPr>
        <w:t>Represents $1,097,443 billed by Mayer Hoffman ($1,089,943 for audit fees and $7,500 for tax fees); $122,672 billed by Atwell (for audit fees); and $184,035 billed by Deloitte ($86,000 primarily related to 2017 audit fees billed in 2017 and 2018, $95,340 for tax fees and $2,695 for other fees).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Fees</w:t>
      </w:r>
    </w:p>
    <w:p>
      <w:pPr>
        <w:spacing w:after="0" w:line="200" w:lineRule="exact"/>
        <w:rPr>
          <w:sz w:val="20"/>
          <w:szCs w:val="20"/>
          <w:color w:val="auto"/>
        </w:rPr>
      </w:pPr>
    </w:p>
    <w:p>
      <w:pPr>
        <w:ind w:right="220"/>
        <w:spacing w:after="0" w:line="241" w:lineRule="auto"/>
        <w:rPr>
          <w:sz w:val="20"/>
          <w:szCs w:val="20"/>
          <w:color w:val="auto"/>
        </w:rPr>
      </w:pPr>
      <w:r>
        <w:rPr>
          <w:rFonts w:ascii="Arial" w:cs="Arial" w:eastAsia="Arial" w:hAnsi="Arial"/>
          <w:sz w:val="15"/>
          <w:szCs w:val="15"/>
          <w:color w:val="auto"/>
        </w:rPr>
        <w:t>This category includes the aggregate fees and expenses billed for professional services rendered for the audits of Altisource's consolidated financial statements for fiscal years 2016 and 2017, for the reviews of the financial statements included in Altisource's quarterly reports on Form 10-Q during fiscal years 2016 and 2017 and for services that are normally provided by the independent registered certified public accounting firm and affiliates in connection with statutory and regulatory filings or engagements for the relevant fiscal year.</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Audit-Related Fees</w:t>
      </w:r>
    </w:p>
    <w:p>
      <w:pPr>
        <w:spacing w:after="0" w:line="200"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This category includes the aggregate fees billed by the independent registered certified public accounting firm for fiscal years 2016 and 2017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Fees</w:t>
      </w:r>
    </w:p>
    <w:p>
      <w:pPr>
        <w:spacing w:after="0" w:line="200" w:lineRule="exact"/>
        <w:rPr>
          <w:sz w:val="20"/>
          <w:szCs w:val="20"/>
          <w:color w:val="auto"/>
        </w:rPr>
      </w:pPr>
    </w:p>
    <w:p>
      <w:pPr>
        <w:ind w:right="220"/>
        <w:spacing w:after="0" w:line="247" w:lineRule="auto"/>
        <w:rPr>
          <w:sz w:val="20"/>
          <w:szCs w:val="20"/>
          <w:color w:val="auto"/>
        </w:rPr>
      </w:pPr>
      <w:r>
        <w:rPr>
          <w:rFonts w:ascii="Arial" w:cs="Arial" w:eastAsia="Arial" w:hAnsi="Arial"/>
          <w:sz w:val="15"/>
          <w:szCs w:val="15"/>
          <w:color w:val="auto"/>
        </w:rPr>
        <w:t>This category includes the aggregate fees billed for fiscal years 2016 and 2017 for professional services rendered by the independent registered certified public accounting firm for tax compliance, tax planning and tax advice.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Other Fees</w:t>
      </w:r>
    </w:p>
    <w:p>
      <w:pPr>
        <w:spacing w:after="0" w:line="200"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This category includes the aggregate fees billed for fiscal years 2016 and 2017 for products and services provided by the independent registered certified public accounting firm that are not reported above under "Audit Fees," "Audit-Related Fees" or "Tax Fees."</w:t>
      </w:r>
    </w:p>
    <w:p>
      <w:pPr>
        <w:spacing w:after="0" w:line="171" w:lineRule="exact"/>
        <w:rPr>
          <w:sz w:val="20"/>
          <w:szCs w:val="20"/>
          <w:color w:val="auto"/>
        </w:rPr>
      </w:pPr>
    </w:p>
    <w:p>
      <w:pPr>
        <w:ind w:right="300"/>
        <w:spacing w:after="0" w:line="247" w:lineRule="auto"/>
        <w:rPr>
          <w:sz w:val="20"/>
          <w:szCs w:val="20"/>
          <w:color w:val="auto"/>
        </w:rPr>
      </w:pPr>
      <w:r>
        <w:rPr>
          <w:rFonts w:ascii="Arial" w:cs="Arial" w:eastAsia="Arial" w:hAnsi="Arial"/>
          <w:sz w:val="15"/>
          <w:szCs w:val="15"/>
          <w:color w:val="auto"/>
        </w:rPr>
        <w:t>The Audit Committee considered the compatibility of the non-audit-related services provided by and fees paid to Deloitte &amp; Touche LLP and Mayer Hoffman in fiscal years 2016 and 2017, as applicable, and determined that such services and fees are compatible with their independence.</w:t>
      </w:r>
    </w:p>
    <w:p>
      <w:pPr>
        <w:spacing w:after="0" w:line="171"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114300</wp:posOffset>
            </wp:positionV>
            <wp:extent cx="1424305" cy="1377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2430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80"/>
        <w:spacing w:after="0" w:line="247" w:lineRule="auto"/>
        <w:rPr>
          <w:sz w:val="20"/>
          <w:szCs w:val="20"/>
          <w:color w:val="auto"/>
        </w:rPr>
      </w:pPr>
      <w:r>
        <w:rPr>
          <w:rFonts w:ascii="Arial" w:cs="Arial" w:eastAsia="Arial" w:hAnsi="Arial"/>
          <w:sz w:val="15"/>
          <w:szCs w:val="15"/>
          <w:color w:val="auto"/>
        </w:rPr>
        <w:t>fiscal years 2016 and 2017, all services associated with the independent registered certified public accounting firm were pre-approved by the Audit Committee or by the Chairman of the Audit Committee pursuant to authority delegated to him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Mayer Hoffman utilizes substantially all of its personnel, who work under the control of Mayer Hoffman shareholders, from wholly-owned subsidiaries of CBIZ, Inc.</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 Pre-Approval Policy</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Audit Committee has pre-approved certain audit services, audit-related services and non-audit services to be performed by the independent auditors in its Pre-Approval Policy. Except for the services pre-approved pursuant to this policy, all permissible audit, audit-related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does not delegate to management its responsibilities to pre-approve services performed by the independent auditor.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Any situation that potentially qualifies as a conflict of interest is to be immediately disclosed to the head of the internal audit function and/or the Chief Legal and Compliance Officer to assess the nature and extent of any concern as well as the appropriate next steps. The head of the internal audit function or the Chief Legal and Compliance Officer will notify the Chairman of the Board of Directors or the Chairman of the Audit Committee, as appropriate, if any such situation requires Board of Directors or Audit Committee review.</w:t>
      </w:r>
    </w:p>
    <w:p>
      <w:pPr>
        <w:spacing w:after="0" w:line="175"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 xml:space="preserve">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 (iii) an immediate family member of any of the foregoing persons or (iv) an entity in which an individual identified in (i) or (ii) has a direct or indirect material interest. Pursuant to these policies, transactions with a Related Person that meet the threshold for disclosure under the relevant SEC rules ("Related Person Transactions") must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and (x)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cs="Arial" w:eastAsia="Arial" w:hAnsi="Arial"/>
          <w:sz w:val="15"/>
          <w:szCs w:val="15"/>
          <w:i w:val="1"/>
          <w:iCs w:val="1"/>
          <w:color w:val="auto"/>
        </w:rPr>
        <w:t>Related Party</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w:t>
      </w:r>
      <w:r>
        <w:rPr>
          <w:rFonts w:ascii="Arial" w:cs="Arial" w:eastAsia="Arial" w:hAnsi="Arial"/>
          <w:sz w:val="15"/>
          <w:szCs w:val="15"/>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We have significant business relationships with and provide services to Ocwen and Front Yard Residential Corporation (formerly Altisource Residential Corporation) ("RESI"). We also provide certain services to Altisource Asset Management Corporation ("AAMC"). Our largest shareholder William C. Erbey, owns or controls common stock in each of these companies. As of December 31, 2017, based on public filings, Mr. Erbey reported beneficially owning or controlling approximately thirty-four percent (34%) of the common stock of Altisource, approximately fifteen percent (15%) of the common stock of Ocwen, approximately forty-six percent (46%) of the common stock of AAMC and less than five percent (5%) of the common stock of RESI. Based on public filings through August 9, 2018, Mr. Erbey reported beneficially owning or controlling approximately eight percent (8%) of the common stock of Ocwen. As a result of his ownership interests in Ocwen and AAMC, we currently disclose our transactions with these entities. Because AAMC is RESI's external manager, we currently also disclose Altisource's transactions with RESI.</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Ocwen</w:t>
      </w:r>
    </w:p>
    <w:p>
      <w:pPr>
        <w:spacing w:after="0" w:line="200" w:lineRule="exact"/>
        <w:rPr>
          <w:sz w:val="20"/>
          <w:szCs w:val="20"/>
          <w:color w:val="auto"/>
        </w:rPr>
      </w:pPr>
    </w:p>
    <w:p>
      <w:pPr>
        <w:jc w:val="both"/>
        <w:ind w:right="260"/>
        <w:spacing w:after="0" w:line="243" w:lineRule="auto"/>
        <w:rPr>
          <w:sz w:val="20"/>
          <w:szCs w:val="20"/>
          <w:color w:val="auto"/>
        </w:rPr>
      </w:pPr>
      <w:r>
        <w:rPr>
          <w:rFonts w:ascii="Arial" w:cs="Arial" w:eastAsia="Arial" w:hAnsi="Arial"/>
          <w:sz w:val="15"/>
          <w:szCs w:val="15"/>
          <w:color w:val="auto"/>
        </w:rPr>
        <w:t>For the year ended December 31, 2017, the Company generated segment revenue from Ocwen of $535.2 million for the Mortgage Market, $0.6 million for the Real Estate Market and $6.2 million for Other Businesses, Corporate and Eliminations. Services provided to Ocwen during such period and reported in the Mortgage Market segment included real estate asset management and sales, residential property valuation,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114300</wp:posOffset>
            </wp:positionV>
            <wp:extent cx="3386455" cy="1377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86455" cy="137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trustee management services, property preservation and inspection services, insurance services, mortgage charge-off collections and certain software applications. Services provided to Ocwen during such period and reported in the Real Estate Market included rental property management. Services provided to Ocwen during such period and reported in Other Businesses, Corporate and Eliminations included information technology infrastructure management. Altisource derived fifty-eight percent (58%) of its revenues in 2017 directly from Ocwen and revenue earned from loans serviced by Ocwen when Ocwen designates us as the service provider.</w:t>
      </w:r>
    </w:p>
    <w:p>
      <w:pPr>
        <w:spacing w:after="0" w:line="177" w:lineRule="exact"/>
        <w:rPr>
          <w:sz w:val="20"/>
          <w:szCs w:val="20"/>
          <w:color w:val="auto"/>
        </w:rPr>
      </w:pPr>
    </w:p>
    <w:p>
      <w:pPr>
        <w:jc w:val="both"/>
        <w:ind w:right="220"/>
        <w:spacing w:after="0" w:line="243" w:lineRule="auto"/>
        <w:rPr>
          <w:sz w:val="20"/>
          <w:szCs w:val="20"/>
          <w:color w:val="auto"/>
        </w:rPr>
      </w:pPr>
      <w:r>
        <w:rPr>
          <w:rFonts w:ascii="Arial" w:cs="Arial" w:eastAsia="Arial" w:hAnsi="Arial"/>
          <w:sz w:val="15"/>
          <w:szCs w:val="15"/>
          <w:color w:val="auto"/>
        </w:rPr>
        <w:t>The Company earns additional revenue related to the portfolios serviced by Ocwen when a party other than Ocwen or the mortgage servicing rights ("MSR") owner selects Altisource as the service provider. For the year ended December 31, 2017, the Company recognized revenue of $148.5 million related to the portfolios serviced by Ocwen when a party other than Ocwen or the MSR owner selects Altisource as the service provider.</w:t>
      </w:r>
    </w:p>
    <w:p>
      <w:pPr>
        <w:spacing w:after="0" w:line="174" w:lineRule="exact"/>
        <w:rPr>
          <w:sz w:val="20"/>
          <w:szCs w:val="20"/>
          <w:color w:val="auto"/>
        </w:rPr>
      </w:pPr>
    </w:p>
    <w:p>
      <w:pPr>
        <w:jc w:val="both"/>
        <w:ind w:right="240"/>
        <w:spacing w:after="0" w:line="243" w:lineRule="auto"/>
        <w:rPr>
          <w:sz w:val="20"/>
          <w:szCs w:val="20"/>
          <w:color w:val="auto"/>
        </w:rPr>
      </w:pPr>
      <w:r>
        <w:rPr>
          <w:rFonts w:ascii="Arial" w:cs="Arial" w:eastAsia="Arial" w:hAnsi="Arial"/>
          <w:sz w:val="15"/>
          <w:szCs w:val="15"/>
          <w:color w:val="auto"/>
        </w:rPr>
        <w:t>At times, we have used Ocwen's contractors and/or employees to support Altisource-related services. Ocwen also provides certain valuation services to Altisource. Ocwen generally bills us for these contractors and/or employees based on their fully-allocated cost. For the year ended December 31, 2017, Ocwen billed us $0.2 million for these items.</w:t>
      </w:r>
    </w:p>
    <w:p>
      <w:pPr>
        <w:spacing w:after="0" w:line="174" w:lineRule="exact"/>
        <w:rPr>
          <w:sz w:val="20"/>
          <w:szCs w:val="20"/>
          <w:color w:val="auto"/>
        </w:rPr>
      </w:pPr>
    </w:p>
    <w:p>
      <w:pPr>
        <w:ind w:right="180"/>
        <w:spacing w:after="0" w:line="243" w:lineRule="auto"/>
        <w:rPr>
          <w:sz w:val="20"/>
          <w:szCs w:val="20"/>
          <w:color w:val="auto"/>
        </w:rPr>
      </w:pPr>
      <w:r>
        <w:rPr>
          <w:rFonts w:ascii="Arial" w:cs="Arial" w:eastAsia="Arial" w:hAnsi="Arial"/>
          <w:sz w:val="15"/>
          <w:szCs w:val="15"/>
          <w:color w:val="auto"/>
        </w:rPr>
        <w:t>In 2017, we provided certain other services to Ocwen and Ocwen provided certain other services to us in connection with support services agreements. These services related to office facilities and related services. Billings for these services were generally based on the office rent per square foot and other facility-related costs. For the year ended December 31, 2017, we billed Ocwen $0.3 million for these items and Ocwen billed us $0.1 million for these items.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AAMC</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We have an agreement with AAMC pursuant to which we may provide services such as finance, human resources, facilities, technology and insurance risk management.</w:t>
      </w:r>
    </w:p>
    <w:p>
      <w:pPr>
        <w:spacing w:after="0"/>
        <w:rPr>
          <w:sz w:val="20"/>
          <w:szCs w:val="20"/>
          <w:color w:val="auto"/>
        </w:rPr>
      </w:pPr>
      <w:r>
        <w:rPr>
          <w:rFonts w:ascii="Arial" w:cs="Arial" w:eastAsia="Arial" w:hAnsi="Arial"/>
          <w:sz w:val="15"/>
          <w:szCs w:val="15"/>
          <w:color w:val="auto"/>
        </w:rPr>
        <w:t>Further, we have separate agreements for certain services related to income tax matters, trademark licenses and technology products and services.</w:t>
      </w:r>
    </w:p>
    <w:p>
      <w:pPr>
        <w:spacing w:after="0" w:line="182" w:lineRule="exact"/>
        <w:rPr>
          <w:sz w:val="20"/>
          <w:szCs w:val="20"/>
          <w:color w:val="auto"/>
        </w:rPr>
      </w:pPr>
    </w:p>
    <w:p>
      <w:pPr>
        <w:ind w:right="660"/>
        <w:spacing w:after="0" w:line="247" w:lineRule="auto"/>
        <w:rPr>
          <w:sz w:val="20"/>
          <w:szCs w:val="20"/>
          <w:color w:val="auto"/>
        </w:rPr>
      </w:pPr>
      <w:r>
        <w:rPr>
          <w:rFonts w:ascii="Arial" w:cs="Arial" w:eastAsia="Arial" w:hAnsi="Arial"/>
          <w:sz w:val="15"/>
          <w:szCs w:val="15"/>
          <w:color w:val="auto"/>
        </w:rPr>
        <w:t>For the year ended December 31, 2017, we billed AAMC $0.1 million under the services agreements, which is reflected in revenue in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RESI</w:t>
      </w:r>
    </w:p>
    <w:p>
      <w:pPr>
        <w:spacing w:after="0" w:line="200" w:lineRule="exact"/>
        <w:rPr>
          <w:sz w:val="20"/>
          <w:szCs w:val="20"/>
          <w:color w:val="auto"/>
        </w:rPr>
      </w:pPr>
    </w:p>
    <w:p>
      <w:pPr>
        <w:ind w:right="240"/>
        <w:spacing w:after="0" w:line="247" w:lineRule="auto"/>
        <w:rPr>
          <w:sz w:val="20"/>
          <w:szCs w:val="20"/>
          <w:color w:val="auto"/>
        </w:rPr>
      </w:pPr>
      <w:r>
        <w:rPr>
          <w:rFonts w:ascii="Arial" w:cs="Arial" w:eastAsia="Arial" w:hAnsi="Arial"/>
          <w:sz w:val="15"/>
          <w:szCs w:val="15"/>
          <w:color w:val="auto"/>
        </w:rPr>
        <w:t>We have service agreements, which extend through 2027, to provide RESI with renovation and construction management, rental property management, real estate owned asset management, title insurance, settlement and valuation services.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For the year ended December 31, 2017, we generated revenue from RESI of $43.2 million for services provided under these services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and Executive Officers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 xml:space="preserve">In 2017, the Company entered into one Related Person Transaction requiring disclosure involving our directors or executive officers. The Company previously engaged the law firm of Jones Day to provide tax-related legal services to the Company and to represent the Company, our Chief Executive Officer and our then-Chief Financial Officer in the </w:t>
      </w:r>
      <w:r>
        <w:rPr>
          <w:rFonts w:ascii="Arial" w:cs="Arial" w:eastAsia="Arial" w:hAnsi="Arial"/>
          <w:sz w:val="15"/>
          <w:szCs w:val="15"/>
          <w:i w:val="1"/>
          <w:iCs w:val="1"/>
          <w:color w:val="auto"/>
        </w:rPr>
        <w:t>West Palm Beach Firefighters' Pension Fund v. Altisource Portfolio Solutions S.A., William C. Erbey, William B. Shepro, and Michelle D. Esterman</w:t>
      </w:r>
      <w:r>
        <w:rPr>
          <w:rFonts w:ascii="Arial" w:cs="Arial" w:eastAsia="Arial" w:hAnsi="Arial"/>
          <w:sz w:val="15"/>
          <w:szCs w:val="15"/>
          <w:color w:val="auto"/>
        </w:rPr>
        <w:t xml:space="preserve"> litigation. Geoffrey Ritts, an equity partner at Jones Day, is the brother of Mr. Ritts, our Chief Legal and Compliance Officer, and was involved in the representation of the Company in the litigation. The total billings by Jones Day in 2017 were $352,973.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4" w:name="page75"/>
    <w:bookmarkEnd w:id="7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757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left="8"/>
        <w:spacing w:after="0" w:line="255" w:lineRule="auto"/>
        <w:rPr>
          <w:sz w:val="20"/>
          <w:szCs w:val="20"/>
          <w:color w:val="auto"/>
        </w:rPr>
      </w:pPr>
      <w:r>
        <w:rPr>
          <w:rFonts w:ascii="Arial" w:cs="Arial" w:eastAsia="Arial" w:hAnsi="Arial"/>
          <w:sz w:val="14"/>
          <w:szCs w:val="14"/>
          <w:color w:val="auto"/>
        </w:rPr>
        <w:t>Pursuant to SEC rules, any proposal that a shareholder desires to have included in our proxy materials relating to our 2019 annual meeting of shareholders must be received at our registered office no later than December 4, 2018. In addition to any shareholders' rights under the Luxembourg Company Law and the Company's Articles of Incorporation, for any proposal that is not submitted for inclusion in the proxy statement for the 2019 annual meeting of shareholders, but is instead sought to be presented directly at the 2019 annual meeting of shareholders, SEC rules permit the persons appointed as proxies to vote shares represented by valid proxies in their discretion if we</w:t>
      </w:r>
    </w:p>
    <w:p>
      <w:pPr>
        <w:spacing w:after="0" w:line="2" w:lineRule="exact"/>
        <w:rPr>
          <w:sz w:val="20"/>
          <w:szCs w:val="20"/>
          <w:color w:val="auto"/>
        </w:rPr>
      </w:pPr>
    </w:p>
    <w:p>
      <w:pPr>
        <w:ind w:left="8" w:right="100" w:hanging="8"/>
        <w:spacing w:after="0" w:line="247" w:lineRule="auto"/>
        <w:tabs>
          <w:tab w:leader="none" w:pos="182"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receive the proposal no later than February 17, 2019 and advise shareholders in the 2019 proxy statement about the nature of the matter and how the persons appointed as proxies intend to vote on such matter or (ii) receive notice of the proposal after February 17, 2019.</w:t>
      </w:r>
    </w:p>
    <w:p>
      <w:pPr>
        <w:spacing w:after="0" w:line="171" w:lineRule="exact"/>
        <w:rPr>
          <w:sz w:val="20"/>
          <w:szCs w:val="20"/>
          <w:color w:val="auto"/>
        </w:rPr>
      </w:pPr>
    </w:p>
    <w:p>
      <w:pPr>
        <w:ind w:left="8" w:right="280"/>
        <w:spacing w:after="0" w:line="247" w:lineRule="auto"/>
        <w:rPr>
          <w:sz w:val="20"/>
          <w:szCs w:val="20"/>
          <w:color w:val="auto"/>
        </w:rPr>
      </w:pPr>
      <w:r>
        <w:rPr>
          <w:rFonts w:ascii="Arial" w:cs="Arial" w:eastAsia="Arial" w:hAnsi="Arial"/>
          <w:sz w:val="15"/>
          <w:szCs w:val="15"/>
          <w:color w:val="auto"/>
        </w:rPr>
        <w:t>Notice of intent to present a proposal at the 2019 annual meeting of shareholders should be directed to our Corporate Secretary at Altisource Portfolio Solutions S.A., 40, avenue Monterey, L-2163 Luxembourg City, Grand Duchy of Luxembourg. Any shareholder proposal must be sent by certified mail, return-receipt requested.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757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 xml:space="preserve">A copy of our annual report to shareholders on Form 10-K for the year ended December 31, 2017 was made available to shareholders on February 22, 2018. The annual report can be found on our website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under Investor Relations. We will furnish without charge to each person whose proxy is solicited and to any beneficial owner entitled to vote at the Special Meeting, on written request, a copy of our annual report on Form 10-K for the year ended December 31, 2017, required to be filed by us with the SEC under the Exchange Act. Such requests should be directed to Investor Relations, Altisource Portfolio Solutions S.A., 40, avenue Monterey, L-2163 Luxembourg City, Grand Duchy of Luxembourg.</w:t>
      </w:r>
    </w:p>
    <w:p>
      <w:pPr>
        <w:spacing w:after="0" w:line="175"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6757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Proxies will be solicited on behalf of the Board of Directors by mail or electronic means, and we will pay the solicitation costs. Copies of the annual report for 2017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174" w:lineRule="exact"/>
        <w:rPr>
          <w:sz w:val="20"/>
          <w:szCs w:val="20"/>
          <w:color w:val="auto"/>
        </w:rPr>
      </w:pPr>
    </w:p>
    <w:p>
      <w:pPr>
        <w:ind w:right="220"/>
        <w:spacing w:after="0" w:line="243" w:lineRule="auto"/>
        <w:rPr>
          <w:sz w:val="20"/>
          <w:szCs w:val="20"/>
          <w:color w:val="auto"/>
        </w:rPr>
      </w:pPr>
      <w:r>
        <w:rPr>
          <w:rFonts w:ascii="Arial" w:cs="Arial" w:eastAsia="Arial" w:hAnsi="Arial"/>
          <w:sz w:val="15"/>
          <w:szCs w:val="15"/>
          <w:color w:val="auto"/>
        </w:rPr>
        <w:t>The shares represented by all valid proxies will be voted in the manner specified. Where specific choices are not indicated, except with respect to "broker non-votes," each proxy received for the Special Meeting will be voted "FOR" the nominee for Director named in this proxy statement. Should any matter not described above be properly presented at the meeting, the persons appointed as proxies will vote according to their discretion.</w:t>
      </w:r>
    </w:p>
    <w:p>
      <w:pPr>
        <w:spacing w:after="0" w:line="174" w:lineRule="exact"/>
        <w:rPr>
          <w:sz w:val="20"/>
          <w:szCs w:val="20"/>
          <w:color w:val="auto"/>
        </w:rPr>
      </w:pPr>
    </w:p>
    <w:p>
      <w:pPr>
        <w:ind w:right="140"/>
        <w:spacing w:after="0"/>
        <w:rPr>
          <w:sz w:val="20"/>
          <w:szCs w:val="20"/>
          <w:color w:val="auto"/>
        </w:rPr>
      </w:pPr>
      <w:r>
        <w:rPr>
          <w:rFonts w:ascii="Arial" w:cs="Arial" w:eastAsia="Arial" w:hAnsi="Arial"/>
          <w:sz w:val="15"/>
          <w:szCs w:val="15"/>
          <w:color w:val="auto"/>
        </w:rPr>
        <w:t>If you are the beneficial owner, but not the record holder of shares of our common stock and have requested a copy of this proxy statement, your bank or broker may only deliver one (1) copy of this proxy statement and our 2017 annual report to multiple shareholders who share an address unless the bank or broker has received contrary instructions from one (1) or more of the shareholders. Shareholders at an address to which a single copy of this proxy statement and our 2017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77"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 xml:space="preserve">This proxy statement and our 2017 annual report are available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xml:space="preserve">. In addition, this proxy statement and our 2017 annual report are available at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94697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697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697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o"/>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o"/>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o"/>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5"/>
    </w:lvl>
  </w:abstractNum>
  <w:abstractNum w:abstractNumId="7">
    <w:nsid w:val="2463B9EA"/>
    <w:multiLevelType w:val="hybridMultilevel"/>
    <w:lvl w:ilvl="0">
      <w:lvlJc w:val="left"/>
      <w:lvlText w:val="(%1)"/>
      <w:numFmt w:val="decimal"/>
    </w:lvl>
    <w:lvl w:ilvl="1">
      <w:lvlJc w:val="left"/>
      <w:lvlText w:val="o"/>
      <w:numFmt w:val="bullet"/>
      <w:start w:val="1"/>
    </w:lvl>
  </w:abstractNum>
  <w:abstractNum w:abstractNumId="8">
    <w:nsid w:val="5E884ADC"/>
    <w:multiLevelType w:val="hybridMultilevel"/>
    <w:lvl w:ilvl="0">
      <w:lvlJc w:val="left"/>
      <w:lvlText w:val="(%1)"/>
      <w:numFmt w:val="decimal"/>
      <w:start w:val="2"/>
    </w:lvl>
  </w:abstractNum>
  <w:abstractNum w:abstractNumId="9">
    <w:nsid w:val="51EAD36B"/>
    <w:multiLevelType w:val="hybridMultilevel"/>
    <w:lvl w:ilvl="0">
      <w:lvlJc w:val="left"/>
      <w:lvlText w:val="(%1)"/>
      <w:numFmt w:val="decimal"/>
      <w:start w:val="4"/>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lowerRoman"/>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4"/>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2"/>
    </w:lvl>
  </w:abstractNum>
  <w:abstractNum w:abstractNumId="26">
    <w:nsid w:val="7644A45C"/>
    <w:multiLevelType w:val="hybridMultilevel"/>
    <w:lvl w:ilvl="0">
      <w:lvlJc w:val="left"/>
      <w:lvlText w:val="(%1)"/>
      <w:numFmt w:val="decimal"/>
      <w:start w:val="6"/>
    </w:lvl>
  </w:abstractNum>
  <w:abstractNum w:abstractNumId="27">
    <w:nsid w:val="32FFF902"/>
    <w:multiLevelType w:val="hybridMultilevel"/>
    <w:lvl w:ilvl="0">
      <w:lvlJc w:val="left"/>
      <w:lvlText w:val="(%1)"/>
      <w:numFmt w:val="decimal"/>
      <w:start w:val="1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3"/>
    </w:lvl>
  </w:abstractNum>
  <w:abstractNum w:abstractNumId="37">
    <w:nsid w:val="520EEDD1"/>
    <w:multiLevelType w:val="hybridMultilevel"/>
    <w:lvl w:ilvl="0">
      <w:lvlJc w:val="left"/>
      <w:lvlText w:val="%1."/>
      <w:numFmt w:val="lowerRoman"/>
      <w:start w:val="1"/>
    </w:lvl>
  </w:abstractNum>
  <w:abstractNum w:abstractNumId="38">
    <w:nsid w:val="374A3FE6"/>
    <w:multiLevelType w:val="hybridMultilevel"/>
    <w:lvl w:ilvl="0">
      <w:lvlJc w:val="left"/>
      <w:lvlText w:val="%1."/>
      <w:numFmt w:val="lowerRoman"/>
      <w:start w:val="2"/>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lowerRoman"/>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lowerRoman"/>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4"/>
    </w:lvl>
  </w:abstractNum>
  <w:abstractNum w:abstractNumId="54">
    <w:nsid w:val="61574095"/>
    <w:multiLevelType w:val="hybridMultilevel"/>
    <w:lvl w:ilvl="0">
      <w:lvlJc w:val="left"/>
      <w:lvlText w:val="(%1)"/>
      <w:numFmt w:val="decimal"/>
      <w:start w:val="14"/>
    </w:lvl>
  </w:abstractNum>
  <w:abstractNum w:abstractNumId="55">
    <w:nsid w:val="7E0C57B1"/>
    <w:multiLevelType w:val="hybridMultilevel"/>
    <w:lvl w:ilvl="0">
      <w:lvlJc w:val="left"/>
      <w:lvlText w:val="(%1)"/>
      <w:numFmt w:val="decimal"/>
      <w:start w:val="25"/>
    </w:lvl>
  </w:abstractNum>
  <w:abstractNum w:abstractNumId="56">
    <w:nsid w:val="77AE35EB"/>
    <w:multiLevelType w:val="hybridMultilevel"/>
    <w:lvl w:ilvl="0">
      <w:lvlJc w:val="left"/>
      <w:lvlText w:val="(%1)"/>
      <w:numFmt w:val="decimal"/>
      <w:start w:val="37"/>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5"/>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8"/>
    </w:lvl>
  </w:abstractNum>
  <w:abstractNum w:abstractNumId="61">
    <w:nsid w:val="25A70BF7"/>
    <w:multiLevelType w:val="hybridMultilevel"/>
    <w:lvl w:ilvl="0">
      <w:lvlJc w:val="left"/>
      <w:lvlText w:val="(%1)"/>
      <w:numFmt w:val="decimal"/>
      <w:start w:val="25"/>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8"/>
    </w:lvl>
  </w:abstractNum>
  <w:abstractNum w:abstractNumId="64">
    <w:nsid w:val="1F48EAA1"/>
    <w:multiLevelType w:val="hybridMultilevel"/>
    <w:lvl w:ilvl="0">
      <w:lvlJc w:val="left"/>
      <w:lvlText w:val="(%1)"/>
      <w:numFmt w:val="decimal"/>
      <w:start w:val="2"/>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lowerRoman"/>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2019-12-07T15:22:02Z</dcterms:created>
  <dcterms:modified xsi:type="dcterms:W3CDTF">2019-12-07T15:22:02Z</dcterms:modified>
</cp:coreProperties>
</file>