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ALTISOURCE PORTFOLIO SOLUTIONS S.A.</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3980"/>
          </w:cols>
          <w:pgMar w:left="240" w:top="122" w:right="279" w:bottom="1440" w:gutter="0" w:footer="0" w:header="0"/>
          <w:type w:val="continuous"/>
        </w:sectPr>
      </w:pPr>
    </w:p>
    <w:p>
      <w:pPr>
        <w:spacing w:after="0" w:line="1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2, rue Jean Bertholet</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L-1233 Luxembourg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w:t>
      </w:r>
    </w:p>
    <w:p>
      <w:pPr>
        <w:spacing w:after="0" w:line="103"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w:t>
      </w:r>
      <w:r>
        <w:rPr>
          <w:rFonts w:ascii="MS PGothic" w:cs="MS PGothic" w:eastAsia="MS PGothic" w:hAnsi="MS PGothic"/>
          <w:sz w:val="18"/>
          <w:szCs w:val="18"/>
          <w:color w:val="auto"/>
        </w:rPr>
        <w:t>☑</w:t>
      </w:r>
    </w:p>
    <w:p>
      <w:pPr>
        <w:spacing w:after="0" w:line="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380"/>
          </w:cols>
          <w:pgMar w:left="240" w:top="122" w:right="279" w:bottom="1440" w:gutter="0" w:footer="0" w:header="0"/>
          <w:type w:val="continuous"/>
        </w:sectPr>
      </w:pP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20" w:space="720"/>
            <w:col w:w="3340" w:space="460"/>
            <w:col w:w="2240"/>
          </w:cols>
          <w:pgMar w:left="240" w:top="122" w:right="27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2">
            <w:col w:w="8620" w:space="280"/>
            <w:col w:w="2480"/>
          </w:cols>
          <w:pgMar w:left="240" w:top="122" w:right="279" w:bottom="1440" w:gutter="0" w:footer="0" w:header="0"/>
          <w:type w:val="continuous"/>
        </w:sectPr>
      </w:pPr>
    </w:p>
    <w:p>
      <w:pPr>
        <w:spacing w:after="0"/>
        <w:rPr>
          <w:sz w:val="20"/>
          <w:szCs w:val="20"/>
          <w:color w:val="auto"/>
        </w:rPr>
      </w:pPr>
      <w:r>
        <w:rPr>
          <w:rFonts w:ascii="Arial" w:cs="Arial" w:eastAsia="Arial" w:hAnsi="Arial"/>
          <w:sz w:val="16"/>
          <w:szCs w:val="16"/>
          <w:color w:val="auto"/>
        </w:rPr>
        <w:t>As of April 30, 2010, there were 25,227,551 outstanding shares of the registrant’s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0" w:type="dxa"/>
            <w:vAlign w:val="bottom"/>
            <w:gridSpan w:val="10"/>
            <w:vMerge w:val="restart"/>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PART I — Financial Information</w:t>
              </w:r>
            </w:hyperlink>
          </w:p>
        </w:tc>
        <w:tc>
          <w:tcPr>
            <w:tcW w:w="8440" w:type="dxa"/>
            <w:vAlign w:val="bottom"/>
            <w:gridSpan w:val="31"/>
            <w:vMerge w:val="restart"/>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2400" w:type="dxa"/>
            <w:vAlign w:val="bottom"/>
            <w:tcBorders>
              <w:bottom w:val="single" w:sz="8" w:color="0000EE"/>
            </w:tcBorders>
            <w:gridSpan w:val="10"/>
            <w:vMerge w:val="continue"/>
          </w:tcPr>
          <w:p>
            <w:pPr>
              <w:spacing w:after="0"/>
              <w:rPr>
                <w:sz w:val="13"/>
                <w:szCs w:val="13"/>
                <w:color w:val="auto"/>
              </w:rPr>
            </w:pPr>
          </w:p>
        </w:tc>
        <w:tc>
          <w:tcPr>
            <w:tcW w:w="8440" w:type="dxa"/>
            <w:vAlign w:val="bottom"/>
            <w:gridSpan w:val="31"/>
            <w:vMerge w:val="continue"/>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540" w:type="dxa"/>
            <w:vAlign w:val="bottom"/>
            <w:gridSpan w:val="3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Interim Condensed Consolidated Financial Statements</w:t>
              </w:r>
            </w:hyperlink>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7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460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Borders>
              <w:top w:val="single" w:sz="8" w:color="0000EE"/>
            </w:tcBorders>
            <w:gridSpan w:val="20"/>
          </w:tcPr>
          <w:p>
            <w:pP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 of Equity</w:t>
              </w:r>
            </w:hyperlink>
          </w:p>
        </w:tc>
        <w:tc>
          <w:tcPr>
            <w:tcW w:w="4680" w:type="dxa"/>
            <w:vAlign w:val="bottom"/>
            <w:gridSpan w:val="1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454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 1 — Organization and Basis of Presentation</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 2 — Transactions with Related Parties</w:t>
              </w:r>
            </w:hyperlink>
          </w:p>
        </w:tc>
        <w:tc>
          <w:tcPr>
            <w:tcW w:w="4780" w:type="dxa"/>
            <w:vAlign w:val="bottom"/>
            <w:gridSpan w:val="1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Note 3 — Acquisition of MPA</w:t>
              </w:r>
            </w:hyperlink>
          </w:p>
        </w:tc>
        <w:tc>
          <w:tcPr>
            <w:tcW w:w="940" w:type="dxa"/>
            <w:vAlign w:val="bottom"/>
            <w:tcBorders>
              <w:top w:val="single" w:sz="8" w:color="0000EE"/>
            </w:tcBorders>
            <w:gridSpan w:val="7"/>
          </w:tcPr>
          <w:p>
            <w:pPr>
              <w:spacing w:after="0"/>
              <w:rPr>
                <w:sz w:val="17"/>
                <w:szCs w:val="17"/>
                <w:color w:val="auto"/>
              </w:rPr>
            </w:pPr>
          </w:p>
        </w:tc>
        <w:tc>
          <w:tcPr>
            <w:tcW w:w="5180" w:type="dxa"/>
            <w:vAlign w:val="bottom"/>
            <w:gridSpan w:val="1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Note 4 — Accounts Receivable, Net</w:t>
              </w:r>
            </w:hyperlink>
          </w:p>
        </w:tc>
        <w:tc>
          <w:tcPr>
            <w:tcW w:w="5700" w:type="dxa"/>
            <w:vAlign w:val="bottom"/>
            <w:gridSpan w:val="1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Note 5 — Prepaid Expenses and Other Current Assets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Note 6— Premises and Equipment, net</w:t>
              </w:r>
            </w:hyperlink>
          </w:p>
        </w:tc>
        <w:tc>
          <w:tcPr>
            <w:tcW w:w="1060" w:type="dxa"/>
            <w:vAlign w:val="bottom"/>
            <w:tcBorders>
              <w:top w:val="single" w:sz="8" w:color="0000EE"/>
            </w:tcBorders>
            <w:gridSpan w:val="10"/>
          </w:tcPr>
          <w:p>
            <w:pPr>
              <w:spacing w:after="0"/>
              <w:rPr>
                <w:sz w:val="17"/>
                <w:szCs w:val="17"/>
                <w:color w:val="auto"/>
              </w:rPr>
            </w:pPr>
          </w:p>
        </w:tc>
        <w:tc>
          <w:tcPr>
            <w:tcW w:w="4440" w:type="dxa"/>
            <w:vAlign w:val="bottom"/>
            <w:gridSpan w:val="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Note 7 — Goodwill and Intangible, net</w:t>
              </w:r>
            </w:hyperlink>
          </w:p>
        </w:tc>
        <w:tc>
          <w:tcPr>
            <w:tcW w:w="5500" w:type="dxa"/>
            <w:vAlign w:val="bottom"/>
            <w:gridSpan w:val="1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Note 8 — Accounts Payable, Accrued Expenses and Other Current Liabilities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Note 9 — Equity Based Compensation</w:t>
              </w:r>
            </w:hyperlink>
          </w:p>
        </w:tc>
        <w:tc>
          <w:tcPr>
            <w:tcW w:w="2780" w:type="dxa"/>
            <w:vAlign w:val="bottom"/>
            <w:tcBorders>
              <w:top w:val="single" w:sz="8" w:color="0000EE"/>
            </w:tcBorders>
            <w:gridSpan w:val="15"/>
          </w:tcPr>
          <w:p>
            <w:pPr>
              <w:spacing w:after="0"/>
              <w:rPr>
                <w:sz w:val="17"/>
                <w:szCs w:val="17"/>
                <w:color w:val="auto"/>
              </w:rPr>
            </w:pPr>
          </w:p>
        </w:tc>
        <w:tc>
          <w:tcPr>
            <w:tcW w:w="274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Note 10 — Commitments and Contingencies</w:t>
              </w:r>
            </w:hyperlink>
          </w:p>
        </w:tc>
        <w:tc>
          <w:tcPr>
            <w:tcW w:w="5060" w:type="dxa"/>
            <w:vAlign w:val="bottom"/>
            <w:gridSpan w:val="1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Note 11 — Earnings Per Share</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top w:val="single" w:sz="8" w:color="0000EE"/>
            </w:tcBorders>
            <w:gridSpan w:val="10"/>
          </w:tcPr>
          <w:p>
            <w:pPr>
              <w:spacing w:after="0" w:line="196"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Note 12— Cost of Revenue</w:t>
              </w:r>
            </w:hyperlink>
          </w:p>
        </w:tc>
        <w:tc>
          <w:tcPr>
            <w:tcW w:w="6120" w:type="dxa"/>
            <w:vAlign w:val="bottom"/>
            <w:gridSpan w:val="2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Note 13 — Selling, General and Administrative Expenses</w:t>
              </w:r>
            </w:hyperlink>
          </w:p>
        </w:tc>
        <w:tc>
          <w:tcPr>
            <w:tcW w:w="416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Note 14 — Other Income (Expense), Net</w:t>
              </w:r>
            </w:hyperlink>
          </w:p>
        </w:tc>
        <w:tc>
          <w:tcPr>
            <w:tcW w:w="5360" w:type="dxa"/>
            <w:vAlign w:val="bottom"/>
            <w:gridSpan w:val="1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Note 15 — Segment Reporting</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8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8540" w:type="dxa"/>
            <w:vAlign w:val="bottom"/>
            <w:gridSpan w:val="32"/>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Management’s Discussion and Analysis of Financial Condition and Results of Operations (see Table of Contents at</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front of section)</w:t>
              </w:r>
            </w:hyperlink>
          </w:p>
        </w:tc>
        <w:tc>
          <w:tcPr>
            <w:tcW w:w="24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0" w:type="dxa"/>
            <w:vAlign w:val="bottom"/>
            <w:gridSpan w:val="1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Item 3</w:t>
              </w:r>
            </w:hyperlink>
          </w:p>
        </w:tc>
        <w:tc>
          <w:tcPr>
            <w:tcW w:w="520" w:type="dxa"/>
            <w:vAlign w:val="bottom"/>
            <w:gridSpan w:val="3"/>
          </w:tcPr>
          <w:p>
            <w:pPr>
              <w:spacing w:after="0"/>
              <w:rPr>
                <w:sz w:val="24"/>
                <w:szCs w:val="24"/>
                <w:color w:val="auto"/>
              </w:rPr>
            </w:pPr>
          </w:p>
        </w:tc>
        <w:tc>
          <w:tcPr>
            <w:tcW w:w="4320" w:type="dxa"/>
            <w:vAlign w:val="bottom"/>
            <w:tcBorders>
              <w:bottom w:val="single" w:sz="8" w:color="0000EE"/>
            </w:tcBorders>
            <w:gridSpan w:val="27"/>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Quantitative and Qualitative Disclosures about Market Risk</w:t>
              </w:r>
            </w:hyperlink>
          </w:p>
        </w:tc>
        <w:tc>
          <w:tcPr>
            <w:tcW w:w="422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Item 4</w:t>
              </w:r>
            </w:hyperlink>
          </w:p>
        </w:tc>
        <w:tc>
          <w:tcPr>
            <w:tcW w:w="520" w:type="dxa"/>
            <w:vAlign w:val="bottom"/>
            <w:gridSpan w:val="3"/>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6760" w:type="dxa"/>
            <w:vAlign w:val="bottom"/>
            <w:gridSpan w:val="2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22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PART II — Other Information</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 1</w:t>
              </w:r>
            </w:hyperlink>
          </w:p>
        </w:tc>
        <w:tc>
          <w:tcPr>
            <w:tcW w:w="520" w:type="dxa"/>
            <w:vAlign w:val="bottom"/>
            <w:gridSpan w:val="3"/>
          </w:tcPr>
          <w:p>
            <w:pPr>
              <w:spacing w:after="0"/>
              <w:rPr>
                <w:sz w:val="24"/>
                <w:szCs w:val="24"/>
                <w:color w:val="auto"/>
              </w:rPr>
            </w:pP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7200" w:type="dxa"/>
            <w:vAlign w:val="bottom"/>
            <w:gridSpan w:val="2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Item 1A</w:t>
              </w:r>
            </w:hyperlink>
          </w:p>
        </w:tc>
        <w:tc>
          <w:tcPr>
            <w:tcW w:w="400" w:type="dxa"/>
            <w:vAlign w:val="bottom"/>
            <w:gridSpan w:val="2"/>
          </w:tcPr>
          <w:p>
            <w:pPr>
              <w:spacing w:after="0"/>
              <w:rPr>
                <w:sz w:val="24"/>
                <w:szCs w:val="24"/>
                <w:color w:val="auto"/>
              </w:rPr>
            </w:pPr>
          </w:p>
        </w:tc>
        <w:tc>
          <w:tcPr>
            <w:tcW w:w="8540" w:type="dxa"/>
            <w:vAlign w:val="bottom"/>
            <w:gridSpan w:val="3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40" w:type="dxa"/>
            <w:vAlign w:val="bottom"/>
            <w:gridSpan w:val="17"/>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 2</w:t>
              </w:r>
            </w:hyperlink>
          </w:p>
        </w:tc>
        <w:tc>
          <w:tcPr>
            <w:tcW w:w="12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4360" w:type="dxa"/>
            <w:vAlign w:val="bottom"/>
            <w:tcBorders>
              <w:bottom w:val="single" w:sz="8" w:color="0000EE"/>
            </w:tcBorders>
            <w:gridSpan w:val="28"/>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418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 3</w:t>
              </w:r>
            </w:hyperlink>
          </w:p>
        </w:tc>
        <w:tc>
          <w:tcPr>
            <w:tcW w:w="520" w:type="dxa"/>
            <w:vAlign w:val="bottom"/>
            <w:gridSpan w:val="3"/>
          </w:tcPr>
          <w:p>
            <w:pPr>
              <w:spacing w:after="0"/>
              <w:rPr>
                <w:sz w:val="24"/>
                <w:szCs w:val="24"/>
                <w:color w:val="auto"/>
              </w:rPr>
            </w:pPr>
          </w:p>
        </w:tc>
        <w:tc>
          <w:tcPr>
            <w:tcW w:w="8540" w:type="dxa"/>
            <w:vAlign w:val="bottom"/>
            <w:gridSpan w:val="3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 4</w:t>
              </w:r>
            </w:hyperlink>
          </w:p>
        </w:tc>
        <w:tc>
          <w:tcPr>
            <w:tcW w:w="520" w:type="dxa"/>
            <w:vAlign w:val="bottom"/>
            <w:gridSpan w:val="3"/>
          </w:tcPr>
          <w:p>
            <w:pPr>
              <w:spacing w:after="0"/>
              <w:rPr>
                <w:sz w:val="24"/>
                <w:szCs w:val="24"/>
                <w:color w:val="auto"/>
              </w:rPr>
            </w:pPr>
          </w:p>
        </w:tc>
        <w:tc>
          <w:tcPr>
            <w:tcW w:w="18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(Removed and Reserved)</w:t>
              </w:r>
            </w:hyperlink>
          </w:p>
        </w:tc>
        <w:tc>
          <w:tcPr>
            <w:tcW w:w="480" w:type="dxa"/>
            <w:vAlign w:val="bottom"/>
            <w:tcBorders>
              <w:top w:val="single" w:sz="8" w:color="0000EE"/>
            </w:tcBorders>
            <w:gridSpan w:val="2"/>
          </w:tcPr>
          <w:p>
            <w:pPr>
              <w:spacing w:after="0"/>
              <w:rPr>
                <w:sz w:val="24"/>
                <w:szCs w:val="24"/>
                <w:color w:val="auto"/>
              </w:rPr>
            </w:pPr>
          </w:p>
        </w:tc>
        <w:tc>
          <w:tcPr>
            <w:tcW w:w="6220" w:type="dxa"/>
            <w:vAlign w:val="bottom"/>
            <w:gridSpan w:val="2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 5</w:t>
              </w:r>
            </w:hyperlink>
          </w:p>
        </w:tc>
        <w:tc>
          <w:tcPr>
            <w:tcW w:w="520" w:type="dxa"/>
            <w:vAlign w:val="bottom"/>
            <w:gridSpan w:val="3"/>
          </w:tcPr>
          <w:p>
            <w:pPr>
              <w:spacing w:after="0"/>
              <w:rPr>
                <w:sz w:val="24"/>
                <w:szCs w:val="24"/>
                <w:color w:val="auto"/>
              </w:rPr>
            </w:pPr>
          </w:p>
        </w:tc>
        <w:tc>
          <w:tcPr>
            <w:tcW w:w="1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7220" w:type="dxa"/>
            <w:vAlign w:val="bottom"/>
            <w:gridSpan w:val="2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8540" w:type="dxa"/>
            <w:vAlign w:val="bottom"/>
            <w:gridSpan w:val="3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130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460" w:type="dxa"/>
            <w:vAlign w:val="bottom"/>
            <w:tcBorders>
              <w:top w:val="single" w:sz="8" w:color="0000EE"/>
            </w:tcBorders>
          </w:tcPr>
          <w:p>
            <w:pPr>
              <w:spacing w:after="0"/>
              <w:rPr>
                <w:sz w:val="24"/>
                <w:szCs w:val="24"/>
                <w:color w:val="auto"/>
              </w:rPr>
            </w:pPr>
          </w:p>
        </w:tc>
        <w:tc>
          <w:tcPr>
            <w:tcW w:w="540" w:type="dxa"/>
            <w:vAlign w:val="bottom"/>
            <w:gridSpan w:val="4"/>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EX-31.1</w:t>
            </w:r>
          </w:p>
        </w:tc>
        <w:tc>
          <w:tcPr>
            <w:tcW w:w="440" w:type="dxa"/>
            <w:vAlign w:val="bottom"/>
            <w:tcBorders>
              <w:top w:val="single" w:sz="8" w:color="0000EE"/>
            </w:tcBorders>
          </w:tcPr>
          <w:p>
            <w:pPr>
              <w:spacing w:after="0"/>
              <w:rPr>
                <w:sz w:val="17"/>
                <w:szCs w:val="17"/>
                <w:color w:val="auto"/>
              </w:rPr>
            </w:pPr>
          </w:p>
        </w:tc>
        <w:tc>
          <w:tcPr>
            <w:tcW w:w="120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EX-31.2</w:t>
            </w:r>
          </w:p>
        </w:tc>
        <w:tc>
          <w:tcPr>
            <w:tcW w:w="16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240" w:type="dxa"/>
            <w:vAlign w:val="bottom"/>
            <w:gridSpan w:val="8"/>
          </w:tcPr>
          <w:p>
            <w:pPr>
              <w:spacing w:after="0" w:line="196" w:lineRule="exact"/>
              <w:rPr>
                <w:sz w:val="20"/>
                <w:szCs w:val="20"/>
                <w:color w:val="auto"/>
              </w:rPr>
            </w:pPr>
            <w:r>
              <w:rPr>
                <w:rFonts w:ascii="Arial" w:cs="Arial" w:eastAsia="Arial" w:hAnsi="Arial"/>
                <w:sz w:val="18"/>
                <w:szCs w:val="18"/>
                <w:color w:val="0000EE"/>
              </w:rPr>
              <w:t>EX-32.1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20"/>
          </w:tcPr>
          <w:p>
            <w:pPr>
              <w:ind w:left="3360"/>
              <w:spacing w:after="0"/>
              <w:rPr>
                <w:sz w:val="20"/>
                <w:szCs w:val="20"/>
                <w:color w:val="auto"/>
              </w:rPr>
            </w:pPr>
            <w:r>
              <w:rPr>
                <w:rFonts w:ascii="Arial" w:cs="Arial" w:eastAsia="Arial" w:hAnsi="Arial"/>
                <w:sz w:val="18"/>
                <w:szCs w:val="18"/>
                <w:color w:val="auto"/>
                <w:w w:val="79"/>
              </w:rPr>
              <w:t>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536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19,620</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29,649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Deferred Tax Assets, net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54,255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65,403</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Premises and Equipment, net</w:t>
            </w:r>
          </w:p>
        </w:tc>
        <w:tc>
          <w:tcPr>
            <w:tcW w:w="100" w:type="dxa"/>
            <w:vAlign w:val="bottom"/>
          </w:tcPr>
          <w:p>
            <w:pPr>
              <w:spacing w:after="0"/>
              <w:rPr>
                <w:sz w:val="24"/>
                <w:szCs w:val="2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13,516</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76,130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19,505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165,098</w:t>
            </w:r>
          </w:p>
        </w:tc>
        <w:tc>
          <w:tcPr>
            <w:tcW w:w="320" w:type="dxa"/>
            <w:vAlign w:val="bottom"/>
          </w:tcPr>
          <w:p>
            <w:pPr>
              <w:spacing w:after="0"/>
              <w:rPr>
                <w:sz w:val="24"/>
                <w:szCs w:val="24"/>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600"/>
              <w:spacing w:after="0"/>
              <w:rPr>
                <w:sz w:val="20"/>
                <w:szCs w:val="20"/>
                <w:color w:val="auto"/>
              </w:rPr>
            </w:pPr>
            <w:r>
              <w:rPr>
                <w:rFonts w:ascii="Arial" w:cs="Arial" w:eastAsia="Arial" w:hAnsi="Arial"/>
                <w:sz w:val="18"/>
                <w:szCs w:val="18"/>
                <w:color w:val="auto"/>
              </w:rPr>
              <w:t>LIABILITIES AND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33,398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Capital Lease Obligations — Current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40,457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 Non-current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3,130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tcPr>
          <w:p>
            <w:pPr>
              <w:ind w:left="400"/>
              <w:spacing w:after="0" w:line="201" w:lineRule="exact"/>
              <w:rPr>
                <w:sz w:val="20"/>
                <w:szCs w:val="20"/>
                <w:color w:val="auto"/>
              </w:rPr>
            </w:pPr>
            <w:r>
              <w:rPr>
                <w:rFonts w:ascii="Arial" w:cs="Arial" w:eastAsia="Arial" w:hAnsi="Arial"/>
                <w:sz w:val="18"/>
                <w:szCs w:val="18"/>
                <w:color w:val="auto"/>
                <w:w w:val="99"/>
              </w:rPr>
              <w:t>Common Stock; ($1.00 par value; 100,000 shares authorized; 25,205 shares issued and outstanding in 2010;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24,145 shares issued and outstanding in 2009)</w:t>
            </w:r>
          </w:p>
        </w:tc>
        <w:tc>
          <w:tcPr>
            <w:tcW w:w="100" w:type="dxa"/>
            <w:vAlign w:val="bottom"/>
          </w:tcPr>
          <w:p>
            <w:pPr>
              <w:spacing w:after="0"/>
              <w:rPr>
                <w:sz w:val="20"/>
                <w:szCs w:val="20"/>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25,205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17,972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74,764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Altisource Equity</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117,941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119,578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165,098</w:t>
            </w:r>
          </w:p>
        </w:tc>
        <w:tc>
          <w:tcPr>
            <w:tcW w:w="320" w:type="dxa"/>
            <w:vAlign w:val="bottom"/>
          </w:tcPr>
          <w:p>
            <w:pPr>
              <w:spacing w:after="0"/>
              <w:rPr>
                <w:sz w:val="24"/>
                <w:szCs w:val="24"/>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6"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Three Months Ended</w:t>
      </w:r>
    </w:p>
    <w:p>
      <w:pPr>
        <w:jc w:val="center"/>
        <w:ind w:left="916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60,974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 of Revenue</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38,390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22,584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13,033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432"/>
        </w:trPr>
        <w:tc>
          <w:tcPr>
            <w:tcW w:w="67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Income Tax Provision</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(2,385)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432"/>
        </w:trPr>
        <w:tc>
          <w:tcPr>
            <w:tcW w:w="67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(787)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80" w:type="dxa"/>
            <w:vAlign w:val="bottom"/>
            <w:gridSpan w:val="2"/>
            <w:vMerge w:val="continue"/>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Basic</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24,690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25,663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24,050</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80" w:type="dxa"/>
            <w:vAlign w:val="bottom"/>
            <w:gridSpan w:val="2"/>
            <w:vMerge w:val="continue"/>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28,736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Additional Paid-in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Non-Controlling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2120" w:type="dxa"/>
            <w:vAlign w:val="bottom"/>
            <w:gridSpan w:val="3"/>
          </w:tcPr>
          <w:p>
            <w:pPr>
              <w:ind w:left="400"/>
              <w:spacing w:after="0"/>
              <w:rPr>
                <w:sz w:val="20"/>
                <w:szCs w:val="20"/>
                <w:color w:val="auto"/>
              </w:rPr>
            </w:pPr>
            <w:r>
              <w:rPr>
                <w:rFonts w:ascii="Arial" w:cs="Arial" w:eastAsia="Arial" w:hAnsi="Arial"/>
                <w:sz w:val="14"/>
                <w:szCs w:val="14"/>
                <w:color w:val="auto"/>
              </w:rPr>
              <w:t>Common Stock</w:t>
            </w:r>
          </w:p>
        </w:tc>
        <w:tc>
          <w:tcPr>
            <w:tcW w:w="1460" w:type="dxa"/>
            <w:vAlign w:val="bottom"/>
            <w:gridSpan w:val="3"/>
          </w:tcPr>
          <w:p>
            <w:pPr>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color w:val="auto"/>
              </w:rPr>
              <w:t>Capital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color w:val="auto"/>
                <w:w w:val="97"/>
              </w:rPr>
              <w:t>Comprehensive Income</w:t>
            </w:r>
          </w:p>
        </w:tc>
      </w:tr>
      <w:tr>
        <w:trPr>
          <w:trHeight w:val="191"/>
        </w:trPr>
        <w:tc>
          <w:tcPr>
            <w:tcW w:w="24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December 31,</w:t>
            </w:r>
          </w:p>
        </w:tc>
        <w:tc>
          <w:tcPr>
            <w:tcW w:w="8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24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2009</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24,145</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$ 24,145</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11,665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50,538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86,348</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6,307</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7,094</w:t>
            </w:r>
          </w:p>
        </w:tc>
        <w:tc>
          <w:tcPr>
            <w:tcW w:w="24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MPA</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959</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27,168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Contributions from Non-</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00" w:type="dxa"/>
            <w:vAlign w:val="bottom"/>
          </w:tcPr>
          <w:p>
            <w:pPr>
              <w:ind w:left="220"/>
              <w:spacing w:after="0"/>
              <w:rPr>
                <w:sz w:val="20"/>
                <w:szCs w:val="20"/>
                <w:color w:val="auto"/>
              </w:rPr>
            </w:pPr>
            <w:r>
              <w:rPr>
                <w:rFonts w:ascii="Arial" w:cs="Arial" w:eastAsia="Arial" w:hAnsi="Arial"/>
                <w:sz w:val="18"/>
                <w:szCs w:val="18"/>
                <w:color w:val="auto"/>
              </w:rPr>
              <w:t>controlling Interest</w:t>
            </w: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400" w:type="dxa"/>
            <w:vAlign w:val="bottom"/>
          </w:tcPr>
          <w:p>
            <w:pPr>
              <w:ind w:left="220"/>
              <w:spacing w:after="0"/>
              <w:rPr>
                <w:sz w:val="20"/>
                <w:szCs w:val="20"/>
                <w:color w:val="auto"/>
              </w:rPr>
            </w:pPr>
            <w:r>
              <w:rPr>
                <w:rFonts w:ascii="Arial" w:cs="Arial" w:eastAsia="Arial" w:hAnsi="Arial"/>
                <w:sz w:val="18"/>
                <w:szCs w:val="18"/>
                <w:color w:val="auto"/>
              </w:rPr>
              <w:t>Holders</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w:t>
            </w: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controlling Interest</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(2,420)</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101</w:t>
            </w:r>
          </w:p>
        </w:tc>
        <w:tc>
          <w:tcPr>
            <w:tcW w:w="128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1,014</w:t>
            </w: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1,115</w:t>
            </w: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400" w:type="dxa"/>
            <w:vAlign w:val="bottom"/>
          </w:tcPr>
          <w:p>
            <w:pPr>
              <w:spacing w:after="0"/>
              <w:rPr>
                <w:sz w:val="20"/>
                <w:szCs w:val="20"/>
                <w:color w:val="auto"/>
              </w:rPr>
            </w:pPr>
            <w:r>
              <w:rPr>
                <w:rFonts w:ascii="Arial" w:cs="Arial" w:eastAsia="Arial" w:hAnsi="Arial"/>
                <w:sz w:val="18"/>
                <w:szCs w:val="18"/>
                <w:b w:val="1"/>
                <w:bCs w:val="1"/>
                <w:color w:val="auto"/>
              </w:rPr>
              <w:t>Balance, March 31, 2010</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25,205</w:t>
            </w:r>
          </w:p>
        </w:tc>
        <w:tc>
          <w:tcPr>
            <w:tcW w:w="1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$ 25,205</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17,972</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74,764</w:t>
            </w:r>
          </w:p>
        </w:tc>
        <w:tc>
          <w:tcPr>
            <w:tcW w:w="3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1,637</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86"/>
              </w:rPr>
              <w:t>119,578</w:t>
            </w:r>
          </w:p>
        </w:tc>
        <w:tc>
          <w:tcPr>
            <w:tcW w:w="7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Borders>
              <w:bottom w:val="single" w:sz="8" w:color="auto"/>
            </w:tcBorders>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6"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Three Months Ended</w:t>
      </w:r>
    </w:p>
    <w:p>
      <w:pPr>
        <w:jc w:val="center"/>
        <w:ind w:left="916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ASH</w:t>
            </w:r>
            <w:r>
              <w:rPr>
                <w:rFonts w:ascii="Arial" w:cs="Arial" w:eastAsia="Arial" w:hAnsi="Arial"/>
                <w:sz w:val="18"/>
                <w:szCs w:val="18"/>
                <w:color w:val="auto"/>
              </w:rPr>
              <w:t xml:space="preserve"> F</w:t>
            </w:r>
            <w:r>
              <w:rPr>
                <w:rFonts w:ascii="Arial" w:cs="Arial" w:eastAsia="Arial" w:hAnsi="Arial"/>
                <w:sz w:val="12"/>
                <w:szCs w:val="12"/>
                <w:color w:val="auto"/>
              </w:rPr>
              <w:t>LOWS FROM</w:t>
            </w:r>
            <w:r>
              <w:rPr>
                <w:rFonts w:ascii="Arial" w:cs="Arial" w:eastAsia="Arial" w:hAnsi="Arial"/>
                <w:sz w:val="18"/>
                <w:szCs w:val="18"/>
                <w:color w:val="auto"/>
              </w:rPr>
              <w:t xml:space="preserve"> O</w:t>
            </w:r>
            <w:r>
              <w:rPr>
                <w:rFonts w:ascii="Arial" w:cs="Arial" w:eastAsia="Arial" w:hAnsi="Arial"/>
                <w:sz w:val="12"/>
                <w:szCs w:val="12"/>
                <w:color w:val="auto"/>
              </w:rPr>
              <w:t>PERATING</w:t>
            </w:r>
            <w:r>
              <w:rPr>
                <w:rFonts w:ascii="Arial" w:cs="Arial" w:eastAsia="Arial" w:hAnsi="Arial"/>
                <w:sz w:val="18"/>
                <w:szCs w:val="18"/>
                <w:color w:val="auto"/>
              </w:rPr>
              <w:t xml:space="preserve"> A</w:t>
            </w:r>
            <w:r>
              <w:rPr>
                <w:rFonts w:ascii="Arial" w:cs="Arial" w:eastAsia="Arial" w:hAnsi="Arial"/>
                <w:sz w:val="12"/>
                <w:szCs w:val="12"/>
                <w:color w:val="auto"/>
              </w:rPr>
              <w:t>CTIVITIES</w:t>
            </w:r>
            <w:r>
              <w:rPr>
                <w:rFonts w:ascii="Arial" w:cs="Arial" w:eastAsia="Arial" w:hAnsi="Arial"/>
                <w:sz w:val="18"/>
                <w:szCs w:val="18"/>
                <w:color w:val="auto"/>
              </w:rPr>
              <w: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7,094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Acquisition:</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4,863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and Non-current Liabilities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71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40" w:type="dxa"/>
            <w:vAlign w:val="bottom"/>
            <w:gridSpan w:val="2"/>
          </w:tcPr>
          <w:p>
            <w:pPr>
              <w:spacing w:after="0"/>
              <w:rPr>
                <w:sz w:val="20"/>
                <w:szCs w:val="20"/>
                <w:color w:val="auto"/>
              </w:rPr>
            </w:pPr>
            <w:r>
              <w:rPr>
                <w:rFonts w:ascii="Arial" w:cs="Arial" w:eastAsia="Arial" w:hAnsi="Arial"/>
                <w:sz w:val="18"/>
                <w:szCs w:val="18"/>
                <w:color w:val="auto"/>
              </w:rPr>
              <w:t>Net Cash Flow from Operating Activities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19,685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ASH</w:t>
            </w:r>
            <w:r>
              <w:rPr>
                <w:rFonts w:ascii="Arial" w:cs="Arial" w:eastAsia="Arial" w:hAnsi="Arial"/>
                <w:sz w:val="18"/>
                <w:szCs w:val="18"/>
                <w:color w:val="auto"/>
              </w:rPr>
              <w:t xml:space="preserve"> F</w:t>
            </w:r>
            <w:r>
              <w:rPr>
                <w:rFonts w:ascii="Arial" w:cs="Arial" w:eastAsia="Arial" w:hAnsi="Arial"/>
                <w:sz w:val="12"/>
                <w:szCs w:val="12"/>
                <w:color w:val="auto"/>
              </w:rPr>
              <w:t>LOWS FROM</w:t>
            </w:r>
            <w:r>
              <w:rPr>
                <w:rFonts w:ascii="Arial" w:cs="Arial" w:eastAsia="Arial" w:hAnsi="Arial"/>
                <w:sz w:val="18"/>
                <w:szCs w:val="18"/>
                <w:color w:val="auto"/>
              </w:rPr>
              <w:t xml:space="preserve"> I</w:t>
            </w:r>
            <w:r>
              <w:rPr>
                <w:rFonts w:ascii="Arial" w:cs="Arial" w:eastAsia="Arial" w:hAnsi="Arial"/>
                <w:sz w:val="12"/>
                <w:szCs w:val="12"/>
                <w:color w:val="auto"/>
              </w:rPr>
              <w:t>NVESTING</w:t>
            </w:r>
            <w:r>
              <w:rPr>
                <w:rFonts w:ascii="Arial" w:cs="Arial" w:eastAsia="Arial" w:hAnsi="Arial"/>
                <w:sz w:val="18"/>
                <w:szCs w:val="18"/>
                <w:color w:val="auto"/>
              </w:rPr>
              <w:t xml:space="preserve"> A</w:t>
            </w:r>
            <w:r>
              <w:rPr>
                <w:rFonts w:ascii="Arial" w:cs="Arial" w:eastAsia="Arial" w:hAnsi="Arial"/>
                <w:sz w:val="12"/>
                <w:szCs w:val="12"/>
                <w:color w:val="auto"/>
              </w:rPr>
              <w:t>CTIVITIES</w:t>
            </w:r>
            <w:r>
              <w:rPr>
                <w:rFonts w:ascii="Arial" w:cs="Arial" w:eastAsia="Arial" w:hAnsi="Arial"/>
                <w:sz w:val="18"/>
                <w:szCs w:val="18"/>
                <w:color w:val="auto"/>
              </w:rPr>
              <w: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Additions to Premises and Equipment, net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(3,613)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 net of cash acquired</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(25,462)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40" w:type="dxa"/>
            <w:vAlign w:val="bottom"/>
            <w:gridSpan w:val="2"/>
          </w:tcPr>
          <w:p>
            <w:pPr>
              <w:spacing w:after="0"/>
              <w:rPr>
                <w:sz w:val="20"/>
                <w:szCs w:val="20"/>
                <w:color w:val="auto"/>
              </w:rPr>
            </w:pPr>
            <w:r>
              <w:rPr>
                <w:rFonts w:ascii="Arial" w:cs="Arial" w:eastAsia="Arial" w:hAnsi="Arial"/>
                <w:sz w:val="18"/>
                <w:szCs w:val="18"/>
                <w:color w:val="auto"/>
              </w:rPr>
              <w:t>Net Cash Flow from Investing Activities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(29,075)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ASH</w:t>
            </w:r>
            <w:r>
              <w:rPr>
                <w:rFonts w:ascii="Arial" w:cs="Arial" w:eastAsia="Arial" w:hAnsi="Arial"/>
                <w:sz w:val="18"/>
                <w:szCs w:val="18"/>
                <w:color w:val="auto"/>
              </w:rPr>
              <w:t xml:space="preserve"> F</w:t>
            </w:r>
            <w:r>
              <w:rPr>
                <w:rFonts w:ascii="Arial" w:cs="Arial" w:eastAsia="Arial" w:hAnsi="Arial"/>
                <w:sz w:val="12"/>
                <w:szCs w:val="12"/>
                <w:color w:val="auto"/>
              </w:rPr>
              <w:t>LOWS FROM</w:t>
            </w:r>
            <w:r>
              <w:rPr>
                <w:rFonts w:ascii="Arial" w:cs="Arial" w:eastAsia="Arial" w:hAnsi="Arial"/>
                <w:sz w:val="18"/>
                <w:szCs w:val="18"/>
                <w:color w:val="auto"/>
              </w:rPr>
              <w:t xml:space="preserve"> F</w:t>
            </w:r>
            <w:r>
              <w:rPr>
                <w:rFonts w:ascii="Arial" w:cs="Arial" w:eastAsia="Arial" w:hAnsi="Arial"/>
                <w:sz w:val="12"/>
                <w:szCs w:val="12"/>
                <w:color w:val="auto"/>
              </w:rPr>
              <w:t>INANCING</w:t>
            </w:r>
            <w:r>
              <w:rPr>
                <w:rFonts w:ascii="Arial" w:cs="Arial" w:eastAsia="Arial" w:hAnsi="Arial"/>
                <w:sz w:val="18"/>
                <w:szCs w:val="18"/>
                <w:color w:val="auto"/>
              </w:rPr>
              <w:t xml:space="preserve"> A</w:t>
            </w:r>
            <w:r>
              <w:rPr>
                <w:rFonts w:ascii="Arial" w:cs="Arial" w:eastAsia="Arial" w:hAnsi="Arial"/>
                <w:sz w:val="12"/>
                <w:szCs w:val="12"/>
                <w:color w:val="auto"/>
              </w:rPr>
              <w:t>CTIVITIES</w:t>
            </w:r>
            <w:r>
              <w:rPr>
                <w:rFonts w:ascii="Arial" w:cs="Arial" w:eastAsia="Arial" w:hAnsi="Arial"/>
                <w:sz w:val="18"/>
                <w:szCs w:val="18"/>
                <w:color w:val="auto"/>
              </w:rPr>
              <w: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Line of Credit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Proceeds from Stock Option Exercises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1,115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Contributions from Non-controlling Interests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Distribution to Ocwen</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0"/>
        </w:trPr>
        <w:tc>
          <w:tcPr>
            <w:tcW w:w="71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40" w:type="dxa"/>
            <w:vAlign w:val="bottom"/>
            <w:gridSpan w:val="2"/>
          </w:tcPr>
          <w:p>
            <w:pPr>
              <w:spacing w:after="0"/>
              <w:rPr>
                <w:sz w:val="20"/>
                <w:szCs w:val="20"/>
                <w:color w:val="auto"/>
              </w:rPr>
            </w:pPr>
            <w:r>
              <w:rPr>
                <w:rFonts w:ascii="Arial" w:cs="Arial" w:eastAsia="Arial" w:hAnsi="Arial"/>
                <w:sz w:val="18"/>
                <w:szCs w:val="18"/>
                <w:color w:val="auto"/>
              </w:rPr>
              <w:t>Net Cash Flow from Financing Activities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(1,446)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(10,836)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30,456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19,620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40" w:type="dxa"/>
            <w:vAlign w:val="bottom"/>
            <w:gridSpan w:val="2"/>
            <w:vMerge w:val="continue"/>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Income Taxes Paid</w:t>
            </w: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Shares issued in connection with acquisition</w:t>
            </w: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23,900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Reduction in Income Tax Payable from Tax Amortizable Goodwill</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21" w:lineRule="exact"/>
        <w:rPr>
          <w:sz w:val="20"/>
          <w:szCs w:val="20"/>
          <w:color w:val="auto"/>
        </w:rPr>
      </w:pPr>
    </w:p>
    <w:p>
      <w:pPr>
        <w:ind w:right="40" w:firstLine="215"/>
        <w:spacing w:after="0" w:line="259" w:lineRule="auto"/>
        <w:rPr>
          <w:sz w:val="20"/>
          <w:szCs w:val="20"/>
          <w:color w:val="auto"/>
        </w:rPr>
      </w:pPr>
      <w:r>
        <w:rPr>
          <w:rFonts w:ascii="Arial" w:cs="Arial" w:eastAsia="Arial" w:hAnsi="Arial"/>
          <w:sz w:val="18"/>
          <w:szCs w:val="18"/>
          <w:color w:val="auto"/>
        </w:rPr>
        <w:t>Altisource Portfolio Solutions S.A. (which may be referred to as Altisource, the Company, we, us or our), together with its subsidiaries is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the Company provides solutions that improve clients’ performance and maximizes their returns.</w:t>
      </w:r>
    </w:p>
    <w:p>
      <w:pPr>
        <w:spacing w:after="0" w:line="79" w:lineRule="exact"/>
        <w:rPr>
          <w:sz w:val="20"/>
          <w:szCs w:val="20"/>
          <w:color w:val="auto"/>
        </w:rPr>
      </w:pPr>
    </w:p>
    <w:p>
      <w:pPr>
        <w:ind w:right="300" w:firstLine="222"/>
        <w:spacing w:after="0" w:line="286" w:lineRule="auto"/>
        <w:rPr>
          <w:sz w:val="20"/>
          <w:szCs w:val="20"/>
          <w:color w:val="auto"/>
        </w:rPr>
      </w:pPr>
      <w:r>
        <w:rPr>
          <w:rFonts w:ascii="Arial" w:cs="Arial" w:eastAsia="Arial" w:hAnsi="Arial"/>
          <w:sz w:val="17"/>
          <w:szCs w:val="17"/>
          <w:color w:val="auto"/>
        </w:rPr>
        <w:t>We are publicly traded on the NASDAQ Global Select market under the symbol ASPS. We were incorporated under the laws of Luxembourg on November 4, 1999 as Ocwen Luxembourg S.à.r.l., renamed Altisource Portfolio Solutions S.à.r.l. on May 12, 2009 and converted into Altisource Portfolio Solutions S.A. on June 5, 2009. We became a publicly traded company as of August 10, 2009, see “Separation” below.</w:t>
      </w:r>
    </w:p>
    <w:p>
      <w:pPr>
        <w:spacing w:after="0" w:line="57"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In February 2010, we acquired all of the outstanding membership interests of The Mortgage Partnership of America, L.L.C. (“MPA”). MPA was formed as a Delaware limited liability company with the purpose of being the manager of Best Partners Mortgage Cooperative, Inc. (“BPMC”) doing business as Lenders One Mortgage Cooperative (“Lenders One”). Lenders One is a national alliance of independent mortgage bankers (“Members”) that provides its Members with education and training along with revenue enhancing, cost reducing, and market share expanding opportunities (see Note 3).</w:t>
      </w:r>
    </w:p>
    <w:p>
      <w:pPr>
        <w:spacing w:after="0" w:line="46"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We conduct our operations through three reporting segments: Mortgage Services, Financial Services and Technology Products. In addition, we report our corporate related expenditures as a separate segment (see Note 15 for a description of our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On August 10, 2009 (the “Separation Date”), we became a stand-alone public company in connection with our separation from Ocwen Financial Corporation (“Ocwen”) (the “Separation”). Prior to the Separation, our businesses were wholly-owned subsidiaries of Ocwen. On the Separation Date, Ocwen distributed all of the Altisource common stock to Ocwen’s shareholders (the “Distribution”). Ocwen’s stockholders received one share of Altisource common stock for every three shares of Ocwen common stock held as of August 4, 2009 (the “Record Date”). In addition, holders of Ocwen’s 3.25% Contingent Convertible Unsecured Senior Notes due 2024 received one share of Altisource common stock deemed held on an as if converted basis. For such notes, the conversion ratio of 82.1693 shares of Ocwen common stock for every $1,000 in aggregate principal amount of notes held on the Record Date was calculated first and then we applied the distribution ratio of one share of Altisource common stock for every three shares of Ocwen common stock on an as converted basis to determine the number of shares each note holder received.</w:t>
      </w:r>
    </w:p>
    <w:p>
      <w:pPr>
        <w:spacing w:after="0" w:line="71"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In connection with the Separation, we entered into various agreements with Ocwen that define our relationship after the Separation including a separation agreement, a tax matters agreement, an employee matters agreement, an intellectual property agreement, a data center and disaster recovery agreement, a technology products services agreement, a transition services agreement and certain long-term servicing contracts (collectively, the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Our historical financial statements include the assets and liabilities (accounted for at the historical values carried by Ocwen prior to the Separation), revenues and expenses directly attributable to our operations. Beginning August 10, 2009, after our assets and liabilities were formally contributed by Ocwen pursuant to the terms of a separation agreement, our financial statements have been presented on a consolidated basis for financial reporting purposes. Our condensed consolidated financial statements include the assets and liabilities, revenues and expenses directly attributable to our operations. All significant inter-company and inter-segment transactions and accounts have been eliminated upon consolidation. Certain amounts disclosed in prior period statements have been reclassified to conform to the current period presentation.</w:t>
      </w:r>
    </w:p>
    <w:p>
      <w:pPr>
        <w:spacing w:after="0" w:line="70"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For periods prior to the Separation Date, these condensed consolidated financial statements include allocations of expenses from Ocwen for corporate functions including insurance, employee benefit plan expense and allocations for certain centralized administration costs for executive management, treasury, real estate, accounting, auditing, tax, risk management, internal audit, human resources and benefits administration (See Note 2).</w:t>
      </w:r>
    </w:p>
    <w:p>
      <w:pPr>
        <w:spacing w:after="0" w:line="39" w:lineRule="exact"/>
        <w:rPr>
          <w:sz w:val="20"/>
          <w:szCs w:val="20"/>
          <w:color w:val="auto"/>
        </w:rPr>
      </w:pPr>
    </w:p>
    <w:p>
      <w:pPr>
        <w:ind w:right="800" w:firstLine="222"/>
        <w:spacing w:after="0" w:line="277" w:lineRule="auto"/>
        <w:rPr>
          <w:sz w:val="20"/>
          <w:szCs w:val="20"/>
          <w:color w:val="auto"/>
        </w:rPr>
      </w:pPr>
      <w:r>
        <w:rPr>
          <w:rFonts w:ascii="Arial" w:cs="Arial" w:eastAsia="Arial" w:hAnsi="Arial"/>
          <w:sz w:val="18"/>
          <w:szCs w:val="18"/>
          <w:color w:val="auto"/>
        </w:rPr>
        <w:t>The condensed consolidated financial statements for the three months ended March 31, 2009 also do not necessarily reflect what the Company’s condensed consolidated results of operations, financial position and cash flows would have been had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0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operated as an independent company during that period. For instance, as an independent public company, we incur costs in excess of those allocated by Ocwen for maintaining a separate Board of Directors, obtaining a separate audit, relocating certain executive management and hiring additional personnel.</w:t>
      </w:r>
    </w:p>
    <w:p>
      <w:pPr>
        <w:spacing w:after="0" w:line="73"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Prior to our acquisition, MPA and Lenders One entered into a management agreement that ends on December 31, 2025. MPA was formed to act on behalf of Lenders One and its Members principally to negotiate favorable terms on products and services. For providing these services MPA receives payment from Lenders One based upon the benefits achieved for the Members. The management agreement provides MPA with broad powers such as recruiting members for Lenders One, collection of fees and other obligations from Members of Lenders One, processing of all rebates owed to Lenders One, day-to-day operation of Lenders One and negotiation of contracts with vendors including signing contracts on behalf of Lenders One.</w:t>
      </w:r>
    </w:p>
    <w:p>
      <w:pPr>
        <w:spacing w:after="0" w:line="64"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of Lenders One, represents a variable interest in a variable interest entity. MPA determined that they are the primary beneficiary of Lenders One as they have the power to direct the activities that most significantly impact Lenders One’s economic performance and the obligation to absorb losses or the right to receive benefits from Lenders One. As a result, Lenders One is presented in the accompanying condensed consolidated financial statements as of March 31, 2010 on a consolidated basis with the interests of the Members reflected as Non-controlling Interest on the Condensed Consolidated Balance Sheets. At March 31, 2010, Lenders One had total assets of $3.5 million and liabilities of $0.1 million.</w:t>
      </w:r>
    </w:p>
    <w:p>
      <w:pPr>
        <w:spacing w:after="0" w:line="85"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We have prepared our condensed consolidated financial statements in accordance with accounting principles generally accepted in the United States of America (“GAAP”) for interim financial information and with the instructions to Form 10-Q and Article 10 of SEC Regulation S-X. Accordingly, they do not include all of the information and notes required by GAAP for complete condensed consolidated financial statements. In the opinion of management, all normal recurring adjustments considered necessary to fairly state the results for the interim periods presented have been included. The preparation of condensed consolidated financial statements in conformity with GAAP requires management to make estimates and assumptions that affect the reported amounts of assets and liabilities and disclosure of contingent assets and liabilities at the date of our condensed consolidated financial statements, as well as the reported amounts of revenues and expenses during the reporting period. Actual results could differ from these estimates.</w:t>
      </w:r>
    </w:p>
    <w:p>
      <w:pPr>
        <w:spacing w:after="0" w:line="59"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These condensed consolidated financial statements should be read in conjunction with the consolidated financial statements and notes thereto contained in our Form 10-K filed with the SEC on March 17, 2010, which contains a summary of our significant accounting policies. Certain footnote detail is also omitted from the condensed consolidated financial statements unless there is a material change from the information included in the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Our reporting currency is the U.S. dollar. Other foreign currency assets and liabilities that are considered monetary items are translated at exchange rates in effect at the balance sheet date. Foreign currency revenues and expenses are translated at transaction date exchange rates. These exchange gains and losses are included in the determination of net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40" w:firstLine="222"/>
        <w:spacing w:after="0" w:line="342" w:lineRule="auto"/>
        <w:rPr>
          <w:sz w:val="20"/>
          <w:szCs w:val="20"/>
          <w:color w:val="auto"/>
        </w:rPr>
      </w:pPr>
      <w:r>
        <w:rPr>
          <w:rFonts w:ascii="Arial" w:cs="Arial" w:eastAsia="Arial" w:hAnsi="Arial"/>
          <w:sz w:val="16"/>
          <w:szCs w:val="16"/>
          <w:color w:val="auto"/>
        </w:rPr>
        <w:t>The fair value of financial instruments, which primarily include Cash and Cash Equivalents, Accounts Receivable and Accounts Payable and Accrued Expenses at March 31, 2010 and December 31, 2009 are carried at amounts that approximate their fair value due to the short-term nature of these amounts.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03" w:lineRule="exact"/>
        <w:rPr>
          <w:sz w:val="20"/>
          <w:szCs w:val="20"/>
          <w:color w:val="auto"/>
        </w:rPr>
      </w:pPr>
    </w:p>
    <w:p>
      <w:pPr>
        <w:ind w:right="140" w:firstLine="215"/>
        <w:spacing w:after="0" w:line="257" w:lineRule="auto"/>
        <w:rPr>
          <w:sz w:val="20"/>
          <w:szCs w:val="20"/>
          <w:color w:val="auto"/>
        </w:rPr>
      </w:pPr>
      <w:r>
        <w:rPr>
          <w:rFonts w:ascii="Arial" w:cs="Arial" w:eastAsia="Arial" w:hAnsi="Arial"/>
          <w:sz w:val="18"/>
          <w:szCs w:val="18"/>
          <w:color w:val="auto"/>
        </w:rPr>
        <w:t xml:space="preserve">Additionally, a put option arrangement was issued to the predecessor owners of MPA in conjunction with the acquisition (see Note 3). The arrangement allows the holders to put a portion of the Altisource shares issued as consideration to Altisource at a predetermined price. Altisource calculated the fair value of this put option arrangement of $1.3 million by utilizing a Black-Scholes option pricing model. The fair value calculation is deemed to be a Level 2 calculation under the guidelines set forth under FASB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The fair value of the put was valued using the following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40" w:type="dxa"/>
            <w:vAlign w:val="bottom"/>
          </w:tcPr>
          <w:p>
            <w:pPr>
              <w:spacing w:after="0"/>
              <w:rPr>
                <w:sz w:val="14"/>
                <w:szCs w:val="14"/>
                <w:color w:val="auto"/>
              </w:rPr>
            </w:pPr>
          </w:p>
        </w:tc>
        <w:tc>
          <w:tcPr>
            <w:tcW w:w="1480" w:type="dxa"/>
            <w:vAlign w:val="bottom"/>
            <w:gridSpan w:val="3"/>
          </w:tcPr>
          <w:p>
            <w:pPr>
              <w:ind w:left="300"/>
              <w:spacing w:after="0"/>
              <w:rPr>
                <w:sz w:val="20"/>
                <w:szCs w:val="20"/>
                <w:color w:val="auto"/>
              </w:rPr>
            </w:pPr>
            <w:r>
              <w:rPr>
                <w:rFonts w:ascii="Arial" w:cs="Arial" w:eastAsia="Arial" w:hAnsi="Arial"/>
                <w:sz w:val="14"/>
                <w:szCs w:val="14"/>
                <w:color w:val="auto"/>
              </w:rPr>
              <w:t>Assumptions</w:t>
            </w:r>
          </w:p>
        </w:tc>
      </w:tr>
      <w:tr>
        <w:trPr>
          <w:trHeight w:val="210"/>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0.345%</w:t>
            </w: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- 1.914%</w:t>
            </w:r>
          </w:p>
        </w:tc>
        <w:tc>
          <w:tcPr>
            <w:tcW w:w="100" w:type="dxa"/>
            <w:vAlign w:val="bottom"/>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700" w:type="dxa"/>
            <w:vAlign w:val="bottom"/>
          </w:tcPr>
          <w:p>
            <w:pPr>
              <w:ind w:left="20"/>
              <w:spacing w:after="0"/>
              <w:rPr>
                <w:sz w:val="20"/>
                <w:szCs w:val="20"/>
                <w:color w:val="auto"/>
              </w:rPr>
            </w:pPr>
            <w:r>
              <w:rPr>
                <w:rFonts w:ascii="Arial" w:cs="Arial" w:eastAsia="Arial" w:hAnsi="Arial"/>
                <w:sz w:val="18"/>
                <w:szCs w:val="18"/>
                <w:color w:val="auto"/>
              </w:rPr>
              <w:t>- 55%</w:t>
            </w:r>
          </w:p>
        </w:tc>
        <w:tc>
          <w:tcPr>
            <w:tcW w:w="10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380" w:type="dxa"/>
            <w:vAlign w:val="bottom"/>
            <w:gridSpan w:val="2"/>
          </w:tcPr>
          <w:p>
            <w:pPr>
              <w:jc w:val="center"/>
              <w:ind w:left="13"/>
              <w:spacing w:after="0"/>
              <w:rPr>
                <w:sz w:val="20"/>
                <w:szCs w:val="20"/>
                <w:color w:val="auto"/>
              </w:rPr>
            </w:pPr>
            <w:r>
              <w:rPr>
                <w:rFonts w:ascii="Arial" w:cs="Arial" w:eastAsia="Arial" w:hAnsi="Arial"/>
                <w:sz w:val="18"/>
                <w:szCs w:val="18"/>
                <w:color w:val="auto"/>
                <w:w w:val="92"/>
              </w:rPr>
              <w:t>1-4</w:t>
            </w:r>
          </w:p>
        </w:tc>
        <w:tc>
          <w:tcPr>
            <w:tcW w:w="10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14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30"/>
        </w:trPr>
        <w:tc>
          <w:tcPr>
            <w:tcW w:w="9940" w:type="dxa"/>
            <w:vAlign w:val="bottom"/>
          </w:tcPr>
          <w:p>
            <w:pPr>
              <w:spacing w:after="0"/>
              <w:rPr>
                <w:sz w:val="20"/>
                <w:szCs w:val="20"/>
                <w:color w:val="auto"/>
              </w:rPr>
            </w:pPr>
            <w:r>
              <w:rPr>
                <w:rFonts w:ascii="Arial" w:cs="Arial" w:eastAsia="Arial" w:hAnsi="Arial"/>
                <w:sz w:val="18"/>
                <w:szCs w:val="18"/>
                <w:color w:val="auto"/>
              </w:rPr>
              <w:t>Fair Value</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   0.74 - $3.90</w:t>
            </w:r>
          </w:p>
        </w:tc>
        <w:tc>
          <w:tcPr>
            <w:tcW w:w="100" w:type="dxa"/>
            <w:vAlign w:val="bottom"/>
          </w:tcPr>
          <w:p>
            <w:pPr>
              <w:spacing w:after="0"/>
              <w:rPr>
                <w:sz w:val="20"/>
                <w:szCs w:val="20"/>
                <w:color w:val="auto"/>
              </w:rPr>
            </w:pPr>
          </w:p>
        </w:tc>
      </w:tr>
    </w:tbl>
    <w:p>
      <w:pPr>
        <w:spacing w:after="0" w:line="79"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The put option agreement is a written derivative valued similar to stock options and is included within “Other Non-current Liabilities” on the Condensed Consolidated Balance Sheet. The fair value of the put option agreements will be determined each quarter until such puts are either exercised or forfeited with any changes in value included as a component of “Other Income (Expense), net” in the Condensed Consolidated Statements of Operations. There were no significant changes to the fair value from its valuation at the acquisition date through the end of the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121"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Ocwen remains our largest customer. Following the Separation, Ocwen is contractually obligated to purchase certain Mortgage Services and Technology Products from us under service agreements. These agreements extend for eight years from the Separation Date, subject to termination under certain provisions; Ocwen is not restricted from redeveloping these services. We have agreed with Ocwen to settle intercompany amounts on a weekly basis beginning in 2010.</w:t>
      </w:r>
    </w:p>
    <w:p>
      <w:pPr>
        <w:spacing w:after="0" w:line="79" w:lineRule="exact"/>
        <w:rPr>
          <w:sz w:val="20"/>
          <w:szCs w:val="20"/>
          <w:color w:val="auto"/>
        </w:rPr>
      </w:pPr>
    </w:p>
    <w:p>
      <w:pPr>
        <w:jc w:val="both"/>
        <w:ind w:right="160" w:firstLine="222"/>
        <w:spacing w:after="0" w:line="286" w:lineRule="auto"/>
        <w:rPr>
          <w:sz w:val="20"/>
          <w:szCs w:val="20"/>
          <w:color w:val="auto"/>
        </w:rPr>
      </w:pPr>
      <w:r>
        <w:rPr>
          <w:rFonts w:ascii="Arial" w:cs="Arial" w:eastAsia="Arial" w:hAnsi="Arial"/>
          <w:sz w:val="17"/>
          <w:szCs w:val="17"/>
          <w:color w:val="auto"/>
        </w:rPr>
        <w:t>We consider certain services to be derived from Ocwen’s loan servicing portfolio rather than provided to Ocwen because such services are charged to the mortgagee and/or the investor and are not expenses to Ocwen. Ocwen, or services derived from Ocwen’s loan servicing portfolio, as a percentage of each of our segment revenues and as a percentage of consolidated revenues was as follows for the three months ended March 31:</w:t>
      </w:r>
    </w:p>
    <w:p>
      <w:pPr>
        <w:spacing w:after="0" w:line="161" w:lineRule="exact"/>
        <w:rPr>
          <w:sz w:val="20"/>
          <w:szCs w:val="20"/>
          <w:color w:val="auto"/>
        </w:rPr>
      </w:pPr>
    </w:p>
    <w:p>
      <w:pPr>
        <w:jc w:val="center"/>
        <w:ind w:left="9020"/>
        <w:spacing w:after="0"/>
        <w:rPr>
          <w:sz w:val="20"/>
          <w:szCs w:val="20"/>
          <w:color w:val="auto"/>
        </w:rPr>
      </w:pPr>
      <w:r>
        <w:rPr>
          <w:rFonts w:ascii="Arial" w:cs="Arial" w:eastAsia="Arial" w:hAnsi="Arial"/>
          <w:sz w:val="14"/>
          <w:szCs w:val="14"/>
          <w:color w:val="auto"/>
        </w:rPr>
        <w:t>Three Months Ended</w:t>
      </w:r>
    </w:p>
    <w:p>
      <w:pPr>
        <w:jc w:val="center"/>
        <w:ind w:left="902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9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2009</w:t>
            </w:r>
          </w:p>
        </w:tc>
        <w:tc>
          <w:tcPr>
            <w:tcW w:w="160" w:type="dxa"/>
            <w:vAlign w:val="bottom"/>
          </w:tcPr>
          <w:p>
            <w:pPr>
              <w:spacing w:after="0"/>
              <w:rPr>
                <w:sz w:val="12"/>
                <w:szCs w:val="12"/>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Technology Products</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&lt; 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&lt; 1</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Consolidated Revenues</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bl>
    <w:p>
      <w:pPr>
        <w:spacing w:after="0" w:line="79"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We record revenues we earn from Ocwen under the various long-term servicing contracts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being charged by our competitors.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Corporate Costs</w:t>
      </w:r>
    </w:p>
    <w:p>
      <w:pPr>
        <w:spacing w:after="0" w:line="121"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For the three months ended March 31, 2009, these condensed consolidated financial statements include allocations of expenses from Ocwen for corporate functions including insurance, employee benefit plan expense and allocations for certain centralized administration costs for executive management, treasury, real estate, accounting, auditing, tax, risk management, internal audit, human resources and benefits administration. Ocwen determined these allocations using proportional cost allocation methods including the use of relevant operating profit, fixed assets, sales and payroll measurements. Specifically, personnel and all associated costs, including compensation, benefits, occupancy and other costs, were allocated based on the estimated percentage of time spent by the individual in the various departments. External costs such as audit fees, legal fees, business insurance and other were allocated based on a combination of the sales, fixed assets and operating profits of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0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department whichever is most appropriate given the nature of the expense. Total corporate costs allocated to the Company, were $1.9 million for the three months ended March 31, 2009. The charges for these functions are included primarily in Selling, General and Administrative Expenses in the Condensed Consolidated Statements of Operations. However, these amounts may not be representative of the costs necessary for the Company to operate as a separate standalone company.</w:t>
      </w:r>
    </w:p>
    <w:p>
      <w:pPr>
        <w:spacing w:after="0" w:line="7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In addition, prior to the Separation, Ocwen had allocated interest expense to us based upon our portion of assets to Ocwen’s total assets which is included in “Other Income (Expense) Net” in the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w:t>
      </w:r>
    </w:p>
    <w:p>
      <w:pPr>
        <w:spacing w:after="0" w:line="121"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In connection with the Separation, Altisource and Ocwen entered into a transition services agreement that provides to each other services in such areas as human resources, vendor management, corporate services, six sigma, quality assurance, quantitative analytics, treasury, accounting, risk management, legal, strategic planning, compliance and other areas where we, and Ocwen, may need transitional assistance and support following the Separation. For the quarter ended March 31, 2010, Altisource billed Ocwen $0.4 million and Ocwen billed Altisource $0.3 million for services provided under this agreement. These amounts are reflected as a component of Selling, General and Administrative expenses in the Condensed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 OF MPA</w:t>
      </w:r>
    </w:p>
    <w:p>
      <w:pPr>
        <w:spacing w:after="0" w:line="12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In February 2010, we acquired all of the outstanding membership interests of MPA pursuant to a Purchase and Sale Agreement. MPA serves as the manager of Lenders One, a national alliance of independent mortgage bankers. The alliance was established in 2000 and as of December 31, 2009 consists of more than 155 members.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Consideration for the transaction consisted of cash, common stock and put option agreements: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Consideration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Put Option Agreements at Fair Value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222"/>
        <w:spacing w:after="0" w:line="297" w:lineRule="auto"/>
        <w:rPr>
          <w:sz w:val="20"/>
          <w:szCs w:val="20"/>
          <w:color w:val="auto"/>
        </w:rPr>
      </w:pPr>
      <w:r>
        <w:rPr>
          <w:rFonts w:ascii="Arial" w:cs="Arial" w:eastAsia="Arial" w:hAnsi="Arial"/>
          <w:sz w:val="16"/>
          <w:szCs w:val="16"/>
          <w:color w:val="auto"/>
        </w:rPr>
        <w:t>The common stock consisted of 959,085 shares of Altisource’s common stock valued at $24.92 per share (based on the last closing price of Altisource common stock on February 11, 2010), a portion of which (314,135 shares) will be held in escrow to secure MPA’s indemnification obligations under the Purchase and Sale Agreement. In addition, we entered into three put option agreements with certain of the sellers whereby each seller has the right, with respect to an aggregate of 0.5 million shares of our common stock, to put up to 25% of eligible shares each year for a total of four years at a price equal to $16.84 per share. The working capital adjustment included above is an estimate that is expected to be trued-up and paid within the second quarter of 2010.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preliminary allocation of the purchase price is estimated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Premises and Equipment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Allocation of Purchase Price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25"/>
        <w:spacing w:after="0" w:line="342" w:lineRule="auto"/>
        <w:rPr>
          <w:sz w:val="20"/>
          <w:szCs w:val="20"/>
          <w:color w:val="auto"/>
        </w:rPr>
      </w:pPr>
      <w:r>
        <w:rPr>
          <w:rFonts w:ascii="Arial" w:cs="Arial" w:eastAsia="Arial" w:hAnsi="Arial"/>
          <w:sz w:val="16"/>
          <w:szCs w:val="16"/>
          <w:color w:val="auto"/>
        </w:rPr>
        <w:t>Management continues to evaluate the allocation of purchase price associated with the acquisition. Management has also tentatively assigned the following lives to identified assets acquired as a result of the acquisition (we expect to conclude on the fair value of assets and associated lives during 2010):</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5300" w:type="dxa"/>
            <w:vAlign w:val="bottom"/>
            <w:gridSpan w:val="3"/>
          </w:tcPr>
          <w:p>
            <w:pPr>
              <w:ind w:left="4340"/>
              <w:spacing w:after="0"/>
              <w:rPr>
                <w:sz w:val="20"/>
                <w:szCs w:val="20"/>
                <w:color w:val="auto"/>
              </w:rPr>
            </w:pPr>
            <w:r>
              <w:rPr>
                <w:rFonts w:ascii="Arial" w:cs="Arial" w:eastAsia="Arial" w:hAnsi="Arial"/>
                <w:sz w:val="14"/>
                <w:szCs w:val="14"/>
                <w:color w:val="auto"/>
              </w:rPr>
              <w:t>Estimated Life</w:t>
            </w:r>
          </w:p>
        </w:tc>
      </w:tr>
      <w:tr>
        <w:trPr>
          <w:trHeight w:val="167"/>
        </w:trPr>
        <w:tc>
          <w:tcPr>
            <w:tcW w:w="6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 Years)</w:t>
            </w:r>
          </w:p>
        </w:tc>
        <w:tc>
          <w:tcPr>
            <w:tcW w:w="100" w:type="dxa"/>
            <w:vAlign w:val="bottom"/>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5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Management Agreement</w:t>
            </w:r>
          </w:p>
        </w:tc>
        <w:tc>
          <w:tcPr>
            <w:tcW w:w="530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5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Non-compete</w:t>
            </w:r>
          </w:p>
        </w:tc>
        <w:tc>
          <w:tcPr>
            <w:tcW w:w="53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Indefinite</w:t>
            </w:r>
          </w:p>
        </w:tc>
      </w:tr>
    </w:tbl>
    <w:p>
      <w:pPr>
        <w:spacing w:after="0" w:line="94" w:lineRule="exact"/>
        <w:rPr>
          <w:sz w:val="20"/>
          <w:szCs w:val="20"/>
          <w:color w:val="auto"/>
        </w:rPr>
      </w:pPr>
    </w:p>
    <w:p>
      <w:pPr>
        <w:jc w:val="both"/>
        <w:ind w:right="120" w:firstLine="222"/>
        <w:spacing w:after="0" w:line="286" w:lineRule="auto"/>
        <w:rPr>
          <w:sz w:val="20"/>
          <w:szCs w:val="20"/>
          <w:color w:val="auto"/>
        </w:rPr>
      </w:pPr>
      <w:r>
        <w:rPr>
          <w:rFonts w:ascii="Arial" w:cs="Arial" w:eastAsia="Arial" w:hAnsi="Arial"/>
          <w:sz w:val="17"/>
          <w:szCs w:val="17"/>
          <w:color w:val="auto"/>
        </w:rPr>
        <w:t>The goodwill arising from the acquisition, which was assigned to our Mortgage Services segment, consists of various components primarily including in-place workforce and anticipated revenue synergies given MPA’s market presence and future enhancements to our services. All goodwill and intangible assets related to the acquisition of the MPA assets are expected to be amortizable and deductible for income tax purposes.</w:t>
      </w:r>
    </w:p>
    <w:p>
      <w:pPr>
        <w:spacing w:after="0" w:line="5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We entered into employee agreements with certain key employees of MPA who also received the majority of our shares issued in connection with the acquisition.</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Revenue and Net Income Attributable to Non-controlling Interests from MPA of $2.3 million and $0.8 million, respectively, are included in the Company’s Condensed Consolidated Statements of Operations. Acquisition transaction costs are included in Selling, General and Administrative and Expenses in the Condensed Consolidated Statements of Operations.</w:t>
      </w:r>
    </w:p>
    <w:p>
      <w:pPr>
        <w:spacing w:after="0" w:line="73"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tables present the unaudited pro forma Condensed and Consolidated Results of Operations as if the acquisition of MPA had occurred at the beginning of the period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140" w:type="dxa"/>
            <w:vAlign w:val="bottom"/>
            <w:gridSpan w:val="3"/>
          </w:tcPr>
          <w:p>
            <w:pPr>
              <w:jc w:val="right"/>
              <w:ind w:right="388"/>
              <w:spacing w:after="0"/>
              <w:rPr>
                <w:sz w:val="20"/>
                <w:szCs w:val="20"/>
                <w:color w:val="auto"/>
              </w:rPr>
            </w:pPr>
            <w:r>
              <w:rPr>
                <w:rFonts w:ascii="Arial" w:cs="Arial" w:eastAsia="Arial" w:hAnsi="Arial"/>
                <w:sz w:val="14"/>
                <w:szCs w:val="14"/>
                <w:color w:val="auto"/>
              </w:rPr>
              <w:t>Three Months Ended</w:t>
            </w:r>
          </w:p>
        </w:tc>
      </w:tr>
      <w:tr>
        <w:trPr>
          <w:trHeight w:val="167"/>
        </w:trPr>
        <w:tc>
          <w:tcPr>
            <w:tcW w:w="41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color w:val="auto"/>
              </w:rPr>
              <w:t>March 31, 2010</w:t>
            </w:r>
          </w:p>
        </w:tc>
      </w:tr>
      <w:tr>
        <w:trPr>
          <w:trHeight w:val="142"/>
        </w:trPr>
        <w:tc>
          <w:tcPr>
            <w:tcW w:w="41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As Reported</w:t>
            </w:r>
          </w:p>
        </w:tc>
        <w:tc>
          <w:tcPr>
            <w:tcW w:w="580" w:type="dxa"/>
            <w:vAlign w:val="bottom"/>
          </w:tcPr>
          <w:p>
            <w:pPr>
              <w:spacing w:after="0"/>
              <w:rPr>
                <w:sz w:val="12"/>
                <w:szCs w:val="12"/>
                <w:color w:val="auto"/>
              </w:rPr>
            </w:pPr>
          </w:p>
        </w:tc>
        <w:tc>
          <w:tcPr>
            <w:tcW w:w="78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Pro Forma</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$ 60,974</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$ 62,618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5880" w:type="dxa"/>
            <w:vAlign w:val="bottom"/>
            <w:gridSpan w:val="2"/>
          </w:tcPr>
          <w:p>
            <w:pPr>
              <w:jc w:val="right"/>
              <w:ind w:right="28"/>
              <w:spacing w:after="0"/>
              <w:rPr>
                <w:sz w:val="20"/>
                <w:szCs w:val="20"/>
                <w:color w:val="auto"/>
              </w:rPr>
            </w:pPr>
            <w:r>
              <w:rPr>
                <w:rFonts w:ascii="Arial" w:cs="Arial" w:eastAsia="Arial" w:hAnsi="Arial"/>
                <w:sz w:val="18"/>
                <w:szCs w:val="18"/>
                <w:color w:val="auto"/>
              </w:rPr>
              <w:t>6,307</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6,179</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58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0.25</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0.24</w:t>
            </w:r>
          </w:p>
        </w:tc>
      </w:tr>
      <w:tr>
        <w:trPr>
          <w:trHeight w:val="405"/>
        </w:trPr>
        <w:tc>
          <w:tcPr>
            <w:tcW w:w="4180" w:type="dxa"/>
            <w:vAlign w:val="bottom"/>
          </w:tcPr>
          <w:p>
            <w:pPr>
              <w:spacing w:after="0"/>
              <w:rPr>
                <w:sz w:val="24"/>
                <w:szCs w:val="24"/>
                <w:color w:val="auto"/>
              </w:rPr>
            </w:pPr>
          </w:p>
        </w:tc>
        <w:tc>
          <w:tcPr>
            <w:tcW w:w="5100" w:type="dxa"/>
            <w:vAlign w:val="bottom"/>
          </w:tcPr>
          <w:p>
            <w:pPr>
              <w:jc w:val="right"/>
              <w:ind w:right="3390"/>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6"/>
        </w:trPr>
        <w:tc>
          <w:tcPr>
            <w:tcW w:w="418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4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color w:val="auto"/>
                <w:w w:val="98"/>
              </w:rPr>
              <w:t>March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5"/>
              </w:rPr>
              <w:t>As Reported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$ 42,619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$ 47,023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1480" w:type="dxa"/>
            <w:vAlign w:val="bottom"/>
            <w:gridSpan w:val="4"/>
          </w:tcPr>
          <w:p>
            <w:pPr>
              <w:jc w:val="right"/>
              <w:ind w:right="28"/>
              <w:spacing w:after="0"/>
              <w:rPr>
                <w:sz w:val="20"/>
                <w:szCs w:val="20"/>
                <w:color w:val="auto"/>
              </w:rPr>
            </w:pPr>
            <w:r>
              <w:rPr>
                <w:rFonts w:ascii="Arial" w:cs="Arial" w:eastAsia="Arial" w:hAnsi="Arial"/>
                <w:sz w:val="18"/>
                <w:szCs w:val="18"/>
                <w:color w:val="auto"/>
              </w:rPr>
              <w:t>4,439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148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0.18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NOTE 4 —ACCOUNTS RECEIVABLE, NET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Accounts Receivable, net consists of the following:</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gridSpan w:val="3"/>
          </w:tcPr>
          <w:p>
            <w:pPr>
              <w:jc w:val="center"/>
              <w:ind w:right="168"/>
              <w:spacing w:after="0"/>
              <w:rPr>
                <w:sz w:val="20"/>
                <w:szCs w:val="20"/>
                <w:color w:val="auto"/>
              </w:rPr>
            </w:pPr>
            <w:r>
              <w:rPr>
                <w:rFonts w:ascii="Arial" w:cs="Arial" w:eastAsia="Arial" w:hAnsi="Arial"/>
                <w:sz w:val="14"/>
                <w:szCs w:val="14"/>
                <w:color w:val="auto"/>
                <w:w w:val="93"/>
              </w:rPr>
              <w:t>March 31,</w:t>
            </w:r>
          </w:p>
        </w:tc>
        <w:tc>
          <w:tcPr>
            <w:tcW w:w="4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gridSpan w:val="3"/>
          </w:tcPr>
          <w:p>
            <w:pPr>
              <w:jc w:val="right"/>
              <w:ind w:right="108"/>
              <w:spacing w:after="0"/>
              <w:rPr>
                <w:sz w:val="20"/>
                <w:szCs w:val="20"/>
                <w:color w:val="auto"/>
              </w:rPr>
            </w:pPr>
            <w:r>
              <w:rPr>
                <w:rFonts w:ascii="Arial" w:cs="Arial" w:eastAsia="Arial" w:hAnsi="Arial"/>
                <w:sz w:val="14"/>
                <w:szCs w:val="14"/>
                <w:color w:val="auto"/>
              </w:rPr>
              <w:t>2010</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Third-party Accounts Receivable</w:t>
            </w:r>
          </w:p>
        </w:tc>
        <w:tc>
          <w:tcPr>
            <w:tcW w:w="148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$ 12,741</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Unbilled Fees</w:t>
            </w:r>
          </w:p>
        </w:tc>
        <w:tc>
          <w:tcPr>
            <w:tcW w:w="1480" w:type="dxa"/>
            <w:vAlign w:val="bottom"/>
            <w:gridSpan w:val="4"/>
          </w:tcPr>
          <w:p>
            <w:pPr>
              <w:jc w:val="right"/>
              <w:ind w:right="168"/>
              <w:spacing w:after="0"/>
              <w:rPr>
                <w:sz w:val="20"/>
                <w:szCs w:val="20"/>
                <w:color w:val="auto"/>
              </w:rPr>
            </w:pPr>
            <w:r>
              <w:rPr>
                <w:rFonts w:ascii="Arial" w:cs="Arial" w:eastAsia="Arial" w:hAnsi="Arial"/>
                <w:sz w:val="18"/>
                <w:szCs w:val="18"/>
                <w:color w:val="auto"/>
              </w:rPr>
              <w:t>16,177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Ocwen</w:t>
            </w:r>
          </w:p>
        </w:tc>
        <w:tc>
          <w:tcPr>
            <w:tcW w:w="148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1,217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Pr>
          <w:p>
            <w:pPr>
              <w:spacing w:after="0"/>
              <w:rPr>
                <w:sz w:val="18"/>
                <w:szCs w:val="18"/>
                <w:color w:val="auto"/>
              </w:rPr>
            </w:pPr>
          </w:p>
        </w:tc>
        <w:tc>
          <w:tcPr>
            <w:tcW w:w="900" w:type="dxa"/>
            <w:vAlign w:val="bottom"/>
            <w:gridSpan w:val="3"/>
          </w:tcPr>
          <w:p>
            <w:pPr>
              <w:jc w:val="right"/>
              <w:ind w:right="168"/>
              <w:spacing w:after="0"/>
              <w:rPr>
                <w:sz w:val="20"/>
                <w:szCs w:val="20"/>
                <w:color w:val="auto"/>
              </w:rPr>
            </w:pPr>
            <w:r>
              <w:rPr>
                <w:rFonts w:ascii="Arial" w:cs="Arial" w:eastAsia="Arial" w:hAnsi="Arial"/>
                <w:sz w:val="18"/>
                <w:szCs w:val="18"/>
                <w:color w:val="auto"/>
              </w:rPr>
              <w:t>632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30,767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80" w:type="dxa"/>
            <w:vAlign w:val="bottom"/>
            <w:gridSpan w:val="4"/>
          </w:tcPr>
          <w:p>
            <w:pPr>
              <w:jc w:val="right"/>
              <w:ind w:right="108"/>
              <w:spacing w:after="0"/>
              <w:rPr>
                <w:sz w:val="20"/>
                <w:szCs w:val="20"/>
                <w:color w:val="auto"/>
              </w:rPr>
            </w:pPr>
            <w:r>
              <w:rPr>
                <w:rFonts w:ascii="Arial" w:cs="Arial" w:eastAsia="Arial" w:hAnsi="Arial"/>
                <w:sz w:val="18"/>
                <w:szCs w:val="18"/>
                <w:color w:val="auto"/>
              </w:rPr>
              <w:t>(1,118)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$ 29,649</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One of our customers in the Financial Services segment accounted for 11% and 23% of consolidated revenues in the three months ended March 31, 2010 and 2009, respectively. No single customer accounted for more than 10% of accounts receivable at March 31, 2010.</w:t>
      </w:r>
    </w:p>
    <w:p>
      <w:pPr>
        <w:spacing w:after="0" w:line="166" w:lineRule="exact"/>
        <w:rPr>
          <w:sz w:val="20"/>
          <w:szCs w:val="20"/>
          <w:color w:val="auto"/>
        </w:rPr>
      </w:pPr>
    </w:p>
    <w:p>
      <w:pPr>
        <w:jc w:val="center"/>
        <w:ind w:right="5940"/>
        <w:spacing w:after="0"/>
        <w:rPr>
          <w:sz w:val="20"/>
          <w:szCs w:val="20"/>
          <w:color w:val="auto"/>
        </w:rPr>
      </w:pPr>
      <w:r>
        <w:rPr>
          <w:rFonts w:ascii="Arial" w:cs="Arial" w:eastAsia="Arial" w:hAnsi="Arial"/>
          <w:sz w:val="17"/>
          <w:szCs w:val="17"/>
          <w:b w:val="1"/>
          <w:bCs w:val="1"/>
          <w:color w:val="auto"/>
        </w:rPr>
        <w:t>NOTE 5 — PREPAID EXPENSES AND OTHER CURRENT ASSETS</w:t>
      </w:r>
    </w:p>
    <w:p>
      <w:pPr>
        <w:spacing w:after="0" w:line="133" w:lineRule="exact"/>
        <w:rPr>
          <w:sz w:val="20"/>
          <w:szCs w:val="20"/>
          <w:color w:val="auto"/>
        </w:rPr>
      </w:pPr>
    </w:p>
    <w:p>
      <w:pPr>
        <w:jc w:val="center"/>
        <w:ind w:right="5940"/>
        <w:spacing w:after="0"/>
        <w:rPr>
          <w:sz w:val="20"/>
          <w:szCs w:val="20"/>
          <w:color w:val="auto"/>
        </w:rPr>
      </w:pPr>
      <w:r>
        <w:rPr>
          <w:rFonts w:ascii="Arial" w:cs="Arial" w:eastAsia="Arial" w:hAnsi="Arial"/>
          <w:sz w:val="17"/>
          <w:szCs w:val="17"/>
          <w:color w:val="auto"/>
        </w:rPr>
        <w:t>Prepaid Expenses and Other Current Assets consists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color w:val="auto"/>
                <w:w w:val="93"/>
              </w:rPr>
              <w:t>March 31,</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4"/>
              <w:spacing w:after="0"/>
              <w:rPr>
                <w:sz w:val="20"/>
                <w:szCs w:val="20"/>
                <w:color w:val="auto"/>
              </w:rPr>
            </w:pPr>
            <w:r>
              <w:rPr>
                <w:rFonts w:ascii="Arial" w:cs="Arial" w:eastAsia="Arial" w:hAnsi="Arial"/>
                <w:sz w:val="14"/>
                <w:szCs w:val="14"/>
                <w:color w:val="auto"/>
                <w:w w:val="96"/>
              </w:rPr>
              <w:t>2010</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1,742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3,630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PREMISES AND EQUIPMENT, NET</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560" w:type="dxa"/>
            <w:vAlign w:val="bottom"/>
          </w:tcPr>
          <w:p>
            <w:pPr>
              <w:jc w:val="right"/>
              <w:ind w:right="390"/>
              <w:spacing w:after="0"/>
              <w:rPr>
                <w:sz w:val="20"/>
                <w:szCs w:val="20"/>
                <w:color w:val="auto"/>
              </w:rPr>
            </w:pPr>
            <w:r>
              <w:rPr>
                <w:rFonts w:ascii="Arial" w:cs="Arial" w:eastAsia="Arial" w:hAnsi="Arial"/>
                <w:sz w:val="18"/>
                <w:szCs w:val="18"/>
                <w:color w:val="auto"/>
                <w:w w:val="92"/>
              </w:rPr>
              <w:t>Premises and Equipment, net which include amounts recorded under capital leases, consists of the following:</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color w:val="auto"/>
                <w:w w:val="93"/>
              </w:rPr>
              <w:t>March 31,</w:t>
            </w:r>
          </w:p>
        </w:tc>
        <w:tc>
          <w:tcPr>
            <w:tcW w:w="30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4"/>
              <w:spacing w:after="0"/>
              <w:rPr>
                <w:sz w:val="20"/>
                <w:szCs w:val="20"/>
                <w:color w:val="auto"/>
              </w:rPr>
            </w:pPr>
            <w:r>
              <w:rPr>
                <w:rFonts w:ascii="Arial" w:cs="Arial" w:eastAsia="Arial" w:hAnsi="Arial"/>
                <w:sz w:val="14"/>
                <w:szCs w:val="14"/>
                <w:color w:val="auto"/>
                <w:w w:val="96"/>
              </w:rPr>
              <w:t>2010</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$ 24,801</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11,552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2,731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3,441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42,525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(29,009)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(27,490)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$ 13,516</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jc w:val="right"/>
              <w:ind w:right="269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5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03"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Depreciation and amortization expense, inclusive of capital lease obligations, amounted to $1.5 million and $1.4 million for the three months ended March 31, 2010 and 2009, respectively, and is included in Cost of Revenue for operating assets and in Selling, General and Administrative expense for non-operating assets in the accompanying Condensed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Goodwill during the year ended March 31, 2010 and December 31, 2009 are summarized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color w:val="auto"/>
              </w:rPr>
              <w:t>Mortgage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color w:val="auto"/>
                <w:w w:val="96"/>
              </w:rPr>
              <w:t>Financial</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w w:val="93"/>
              </w:rPr>
              <w:t>Technology</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Services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Products</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7,706</w:t>
            </w:r>
          </w:p>
        </w:tc>
        <w:tc>
          <w:tcPr>
            <w:tcW w:w="7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1,618</w:t>
            </w:r>
          </w:p>
        </w:tc>
        <w:tc>
          <w:tcPr>
            <w:tcW w:w="14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Acquisition of MPA</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10,181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100"/>
              <w:spacing w:after="0"/>
              <w:rPr>
                <w:sz w:val="20"/>
                <w:szCs w:val="20"/>
                <w:color w:val="auto"/>
              </w:rPr>
            </w:pPr>
            <w:r>
              <w:rPr>
                <w:rFonts w:ascii="Arial" w:cs="Arial" w:eastAsia="Arial" w:hAnsi="Arial"/>
                <w:sz w:val="18"/>
                <w:szCs w:val="18"/>
                <w:color w:val="auto"/>
              </w:rPr>
              <w:t>10,181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10,181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7,706</w:t>
            </w:r>
          </w:p>
        </w:tc>
        <w:tc>
          <w:tcPr>
            <w:tcW w:w="7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1,618</w:t>
            </w:r>
          </w:p>
        </w:tc>
        <w:tc>
          <w:tcPr>
            <w:tcW w:w="14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$ 19,505</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Intangible Assets, Net</w:t>
            </w: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740" w:type="dxa"/>
            <w:vAlign w:val="bottom"/>
            <w:gridSpan w:val="3"/>
          </w:tcPr>
          <w:p>
            <w:pPr>
              <w:ind w:left="220"/>
              <w:spacing w:after="0"/>
              <w:rPr>
                <w:sz w:val="20"/>
                <w:szCs w:val="20"/>
                <w:color w:val="auto"/>
              </w:rPr>
            </w:pPr>
            <w:r>
              <w:rPr>
                <w:rFonts w:ascii="Arial" w:cs="Arial" w:eastAsia="Arial" w:hAnsi="Arial"/>
                <w:sz w:val="18"/>
                <w:szCs w:val="18"/>
                <w:color w:val="auto"/>
                <w:w w:val="94"/>
              </w:rPr>
              <w:t>Intangible Assets, net consists of the following:</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Weighted</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Estimated</w:t>
            </w:r>
          </w:p>
        </w:tc>
        <w:tc>
          <w:tcPr>
            <w:tcW w:w="2380" w:type="dxa"/>
            <w:vAlign w:val="bottom"/>
            <w:gridSpan w:val="5"/>
            <w:vMerge w:val="restart"/>
          </w:tcPr>
          <w:p>
            <w:pPr>
              <w:ind w:left="500"/>
              <w:spacing w:after="0"/>
              <w:rPr>
                <w:sz w:val="20"/>
                <w:szCs w:val="20"/>
                <w:color w:val="auto"/>
              </w:rPr>
            </w:pPr>
            <w:r>
              <w:rPr>
                <w:rFonts w:ascii="Arial" w:cs="Arial" w:eastAsia="Arial" w:hAnsi="Arial"/>
                <w:sz w:val="14"/>
                <w:szCs w:val="14"/>
                <w:color w:val="auto"/>
              </w:rPr>
              <w:t>Gross Carrying Amount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7"/>
            <w:vMerge w:val="restart"/>
          </w:tcPr>
          <w:p>
            <w:pPr>
              <w:jc w:val="right"/>
              <w:ind w:right="400"/>
              <w:spacing w:after="0"/>
              <w:rPr>
                <w:sz w:val="20"/>
                <w:szCs w:val="20"/>
                <w:color w:val="auto"/>
              </w:rPr>
            </w:pPr>
            <w:r>
              <w:rPr>
                <w:rFonts w:ascii="Arial" w:cs="Arial" w:eastAsia="Arial" w:hAnsi="Arial"/>
                <w:sz w:val="14"/>
                <w:szCs w:val="14"/>
                <w:color w:val="auto"/>
              </w:rPr>
              <w:t>Accumulated Amortization</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vMerge w:val="restart"/>
          </w:tcPr>
          <w:p>
            <w:pPr>
              <w:ind w:left="300"/>
              <w:spacing w:after="0"/>
              <w:rPr>
                <w:sz w:val="20"/>
                <w:szCs w:val="20"/>
                <w:color w:val="auto"/>
              </w:rPr>
            </w:pPr>
            <w:r>
              <w:rPr>
                <w:rFonts w:ascii="Arial" w:cs="Arial" w:eastAsia="Arial" w:hAnsi="Arial"/>
                <w:sz w:val="14"/>
                <w:szCs w:val="14"/>
                <w:color w:val="auto"/>
              </w:rPr>
              <w:t>Net Book Value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4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5"/>
              </w:rPr>
              <w:t>Useful</w:t>
            </w:r>
          </w:p>
        </w:tc>
        <w:tc>
          <w:tcPr>
            <w:tcW w:w="2380" w:type="dxa"/>
            <w:vAlign w:val="bottom"/>
            <w:tcBorders>
              <w:bottom w:val="single" w:sz="8" w:color="auto"/>
            </w:tcBorders>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7"/>
            <w:vMerge w:val="continue"/>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04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rPr>
              <w:t>Life</w:t>
            </w:r>
          </w:p>
        </w:tc>
        <w:tc>
          <w:tcPr>
            <w:tcW w:w="940" w:type="dxa"/>
            <w:vAlign w:val="bottom"/>
          </w:tcPr>
          <w:p>
            <w:pPr>
              <w:jc w:val="right"/>
              <w:ind w:right="97"/>
              <w:spacing w:after="0" w:line="123" w:lineRule="exact"/>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0"/>
                <w:szCs w:val="10"/>
                <w:color w:val="auto"/>
              </w:rPr>
            </w:pPr>
          </w:p>
        </w:tc>
        <w:tc>
          <w:tcPr>
            <w:tcW w:w="1180" w:type="dxa"/>
            <w:vAlign w:val="bottom"/>
            <w:gridSpan w:val="3"/>
          </w:tcPr>
          <w:p>
            <w:pPr>
              <w:ind w:left="180"/>
              <w:spacing w:after="0" w:line="123" w:lineRule="exact"/>
              <w:rPr>
                <w:sz w:val="20"/>
                <w:szCs w:val="20"/>
                <w:color w:val="auto"/>
              </w:rPr>
            </w:pPr>
            <w:r>
              <w:rPr>
                <w:rFonts w:ascii="Arial" w:cs="Arial" w:eastAsia="Arial" w:hAnsi="Arial"/>
                <w:sz w:val="14"/>
                <w:szCs w:val="14"/>
                <w:color w:val="auto"/>
              </w:rPr>
              <w:t>December 31,</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ind w:left="80"/>
              <w:spacing w:after="0" w:line="123" w:lineRule="exact"/>
              <w:rPr>
                <w:sz w:val="20"/>
                <w:szCs w:val="20"/>
                <w:color w:val="auto"/>
              </w:rPr>
            </w:pPr>
            <w:r>
              <w:rPr>
                <w:rFonts w:ascii="Arial" w:cs="Arial" w:eastAsia="Arial" w:hAnsi="Arial"/>
                <w:sz w:val="14"/>
                <w:szCs w:val="14"/>
                <w:color w:val="auto"/>
              </w:rPr>
              <w:t>March 31,</w:t>
            </w:r>
          </w:p>
        </w:tc>
        <w:tc>
          <w:tcPr>
            <w:tcW w:w="280" w:type="dxa"/>
            <w:vAlign w:val="bottom"/>
          </w:tcPr>
          <w:p>
            <w:pPr>
              <w:spacing w:after="0"/>
              <w:rPr>
                <w:sz w:val="10"/>
                <w:szCs w:val="10"/>
                <w:color w:val="auto"/>
              </w:rPr>
            </w:pPr>
          </w:p>
        </w:tc>
        <w:tc>
          <w:tcPr>
            <w:tcW w:w="1080" w:type="dxa"/>
            <w:vAlign w:val="bottom"/>
            <w:gridSpan w:val="4"/>
          </w:tcPr>
          <w:p>
            <w:pPr>
              <w:ind w:left="140"/>
              <w:spacing w:after="0" w:line="123" w:lineRule="exact"/>
              <w:rPr>
                <w:sz w:val="20"/>
                <w:szCs w:val="20"/>
                <w:color w:val="auto"/>
              </w:rPr>
            </w:pPr>
            <w:r>
              <w:rPr>
                <w:rFonts w:ascii="Arial" w:cs="Arial" w:eastAsia="Arial" w:hAnsi="Arial"/>
                <w:sz w:val="14"/>
                <w:szCs w:val="14"/>
                <w:color w:val="auto"/>
              </w:rPr>
              <w:t>December 31,</w:t>
            </w:r>
          </w:p>
        </w:tc>
        <w:tc>
          <w:tcPr>
            <w:tcW w:w="260" w:type="dxa"/>
            <w:vAlign w:val="bottom"/>
          </w:tcPr>
          <w:p>
            <w:pPr>
              <w:spacing w:after="0"/>
              <w:rPr>
                <w:sz w:val="10"/>
                <w:szCs w:val="10"/>
                <w:color w:val="auto"/>
              </w:rPr>
            </w:pPr>
          </w:p>
        </w:tc>
        <w:tc>
          <w:tcPr>
            <w:tcW w:w="960" w:type="dxa"/>
            <w:vAlign w:val="bottom"/>
            <w:gridSpan w:val="4"/>
          </w:tcPr>
          <w:p>
            <w:pPr>
              <w:jc w:val="right"/>
              <w:ind w:right="180"/>
              <w:spacing w:after="0" w:line="123" w:lineRule="exact"/>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0"/>
                <w:szCs w:val="10"/>
                <w:color w:val="auto"/>
              </w:rPr>
            </w:pPr>
          </w:p>
        </w:tc>
        <w:tc>
          <w:tcPr>
            <w:tcW w:w="1180" w:type="dxa"/>
            <w:vAlign w:val="bottom"/>
            <w:gridSpan w:val="3"/>
          </w:tcPr>
          <w:p>
            <w:pPr>
              <w:ind w:left="180"/>
              <w:spacing w:after="0" w:line="12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(Years)</w:t>
            </w:r>
          </w:p>
        </w:tc>
        <w:tc>
          <w:tcPr>
            <w:tcW w:w="940" w:type="dxa"/>
            <w:vAlign w:val="bottom"/>
          </w:tcPr>
          <w:p>
            <w:pPr>
              <w:jc w:val="right"/>
              <w:ind w:right="237"/>
              <w:spacing w:after="0"/>
              <w:rPr>
                <w:sz w:val="20"/>
                <w:szCs w:val="20"/>
                <w:color w:val="auto"/>
              </w:rPr>
            </w:pPr>
            <w:r>
              <w:rPr>
                <w:rFonts w:ascii="Arial" w:cs="Arial" w:eastAsia="Arial" w:hAnsi="Arial"/>
                <w:sz w:val="14"/>
                <w:szCs w:val="14"/>
                <w:color w:val="auto"/>
              </w:rPr>
              <w:t>2010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75"/>
              <w:spacing w:after="0"/>
              <w:rPr>
                <w:sz w:val="20"/>
                <w:szCs w:val="20"/>
                <w:color w:val="auto"/>
              </w:rPr>
            </w:pPr>
            <w:r>
              <w:rPr>
                <w:rFonts w:ascii="Arial" w:cs="Arial" w:eastAsia="Arial" w:hAnsi="Arial"/>
                <w:sz w:val="14"/>
                <w:szCs w:val="14"/>
                <w:color w:val="auto"/>
              </w:rPr>
              <w:t>2009</w:t>
            </w:r>
          </w:p>
        </w:tc>
        <w:tc>
          <w:tcPr>
            <w:tcW w:w="140" w:type="dxa"/>
            <w:vAlign w:val="bottom"/>
          </w:tcPr>
          <w:p>
            <w:pPr>
              <w:spacing w:after="0"/>
              <w:rPr>
                <w:sz w:val="14"/>
                <w:szCs w:val="14"/>
                <w:color w:val="auto"/>
              </w:rPr>
            </w:pPr>
          </w:p>
        </w:tc>
        <w:tc>
          <w:tcPr>
            <w:tcW w:w="1200" w:type="dxa"/>
            <w:vAlign w:val="bottom"/>
            <w:gridSpan w:val="4"/>
          </w:tcPr>
          <w:p>
            <w:pPr>
              <w:jc w:val="right"/>
              <w:ind w:right="234"/>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1340" w:type="dxa"/>
            <w:vAlign w:val="bottom"/>
            <w:gridSpan w:val="3"/>
          </w:tcPr>
          <w:p>
            <w:pPr>
              <w:jc w:val="right"/>
              <w:ind w:right="256"/>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Definite-lived Intangible Assets</w:t>
            </w: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780" w:type="dxa"/>
            <w:vAlign w:val="bottom"/>
          </w:tcPr>
          <w:p>
            <w:pPr>
              <w:jc w:val="right"/>
              <w:ind w:right="221"/>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940" w:type="dxa"/>
            <w:vAlign w:val="bottom"/>
          </w:tcPr>
          <w:p>
            <w:pPr>
              <w:jc w:val="right"/>
              <w:ind w:right="117"/>
              <w:spacing w:after="0"/>
              <w:rPr>
                <w:sz w:val="20"/>
                <w:szCs w:val="20"/>
                <w:color w:val="auto"/>
              </w:rPr>
            </w:pPr>
            <w:r>
              <w:rPr>
                <w:rFonts w:ascii="Arial" w:cs="Arial" w:eastAsia="Arial" w:hAnsi="Arial"/>
                <w:sz w:val="18"/>
                <w:szCs w:val="18"/>
                <w:color w:val="auto"/>
              </w:rPr>
              <w:t>$10,200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2,800</w:t>
            </w:r>
          </w:p>
        </w:tc>
        <w:tc>
          <w:tcPr>
            <w:tcW w:w="180" w:type="dxa"/>
            <w:vAlign w:val="bottom"/>
          </w:tcPr>
          <w:p>
            <w:pPr>
              <w:spacing w:after="0"/>
              <w:rPr>
                <w:sz w:val="18"/>
                <w:szCs w:val="18"/>
                <w:color w:val="auto"/>
              </w:rPr>
            </w:pPr>
          </w:p>
        </w:tc>
        <w:tc>
          <w:tcPr>
            <w:tcW w:w="1100" w:type="dxa"/>
            <w:vAlign w:val="bottom"/>
            <w:gridSpan w:val="4"/>
          </w:tcPr>
          <w:p>
            <w:pPr>
              <w:jc w:val="right"/>
              <w:ind w:right="36"/>
              <w:spacing w:after="0"/>
              <w:rPr>
                <w:sz w:val="20"/>
                <w:szCs w:val="20"/>
                <w:color w:val="auto"/>
              </w:rPr>
            </w:pPr>
            <w:r>
              <w:rPr>
                <w:rFonts w:ascii="Arial" w:cs="Arial" w:eastAsia="Arial" w:hAnsi="Arial"/>
                <w:sz w:val="18"/>
                <w:szCs w:val="18"/>
                <w:color w:val="auto"/>
              </w:rPr>
              <w:t>$1,669</w:t>
            </w:r>
          </w:p>
        </w:tc>
        <w:tc>
          <w:tcPr>
            <w:tcW w:w="160" w:type="dxa"/>
            <w:vAlign w:val="bottom"/>
          </w:tcPr>
          <w:p>
            <w:pPr>
              <w:spacing w:after="0"/>
              <w:rPr>
                <w:sz w:val="18"/>
                <w:szCs w:val="18"/>
                <w:color w:val="auto"/>
              </w:rPr>
            </w:pPr>
          </w:p>
        </w:tc>
        <w:tc>
          <w:tcPr>
            <w:tcW w:w="1220" w:type="dxa"/>
            <w:vAlign w:val="bottom"/>
            <w:gridSpan w:val="4"/>
          </w:tcPr>
          <w:p>
            <w:pPr>
              <w:jc w:val="right"/>
              <w:ind w:right="115"/>
              <w:spacing w:after="0"/>
              <w:rPr>
                <w:sz w:val="20"/>
                <w:szCs w:val="20"/>
                <w:color w:val="auto"/>
              </w:rPr>
            </w:pPr>
            <w:r>
              <w:rPr>
                <w:rFonts w:ascii="Arial" w:cs="Arial" w:eastAsia="Arial" w:hAnsi="Arial"/>
                <w:sz w:val="18"/>
                <w:szCs w:val="18"/>
                <w:color w:val="auto"/>
              </w:rPr>
              <w:t>$1,447</w:t>
            </w:r>
          </w:p>
        </w:tc>
        <w:tc>
          <w:tcPr>
            <w:tcW w:w="140" w:type="dxa"/>
            <w:vAlign w:val="bottom"/>
          </w:tcPr>
          <w:p>
            <w:pPr>
              <w:spacing w:after="0"/>
              <w:rPr>
                <w:sz w:val="18"/>
                <w:szCs w:val="18"/>
                <w:color w:val="auto"/>
              </w:rPr>
            </w:pPr>
          </w:p>
        </w:tc>
        <w:tc>
          <w:tcPr>
            <w:tcW w:w="1200" w:type="dxa"/>
            <w:vAlign w:val="bottom"/>
            <w:gridSpan w:val="4"/>
          </w:tcPr>
          <w:p>
            <w:pPr>
              <w:jc w:val="right"/>
              <w:ind w:right="114"/>
              <w:spacing w:after="0"/>
              <w:rPr>
                <w:sz w:val="20"/>
                <w:szCs w:val="20"/>
                <w:color w:val="auto"/>
              </w:rPr>
            </w:pPr>
            <w:r>
              <w:rPr>
                <w:rFonts w:ascii="Arial" w:cs="Arial" w:eastAsia="Arial" w:hAnsi="Arial"/>
                <w:sz w:val="18"/>
                <w:szCs w:val="18"/>
                <w:color w:val="auto"/>
              </w:rPr>
              <w:t>$ 8,531</w:t>
            </w:r>
          </w:p>
        </w:tc>
        <w:tc>
          <w:tcPr>
            <w:tcW w:w="20" w:type="dxa"/>
            <w:vAlign w:val="bottom"/>
          </w:tcPr>
          <w:p>
            <w:pPr>
              <w:spacing w:after="0"/>
              <w:rPr>
                <w:sz w:val="18"/>
                <w:szCs w:val="18"/>
                <w:color w:val="auto"/>
              </w:rPr>
            </w:pPr>
          </w:p>
        </w:tc>
        <w:tc>
          <w:tcPr>
            <w:tcW w:w="1340" w:type="dxa"/>
            <w:vAlign w:val="bottom"/>
            <w:gridSpan w:val="3"/>
          </w:tcPr>
          <w:p>
            <w:pPr>
              <w:jc w:val="right"/>
              <w:ind w:right="156"/>
              <w:spacing w:after="0"/>
              <w:rPr>
                <w:sz w:val="20"/>
                <w:szCs w:val="20"/>
                <w:color w:val="auto"/>
              </w:rPr>
            </w:pPr>
            <w:r>
              <w:rPr>
                <w:rFonts w:ascii="Arial" w:cs="Arial" w:eastAsia="Arial" w:hAnsi="Arial"/>
                <w:sz w:val="18"/>
                <w:szCs w:val="18"/>
                <w:color w:val="auto"/>
              </w:rPr>
              <w:t>$ 1,353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Lists</w:t>
            </w:r>
          </w:p>
        </w:tc>
        <w:tc>
          <w:tcPr>
            <w:tcW w:w="78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37,700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7"/>
              </w:rPr>
              <w:t>37,700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5,862</w:t>
            </w: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15"/>
              <w:spacing w:after="0"/>
              <w:rPr>
                <w:sz w:val="20"/>
                <w:szCs w:val="20"/>
                <w:color w:val="auto"/>
              </w:rPr>
            </w:pPr>
            <w:r>
              <w:rPr>
                <w:rFonts w:ascii="Arial" w:cs="Arial" w:eastAsia="Arial" w:hAnsi="Arial"/>
                <w:sz w:val="18"/>
                <w:szCs w:val="18"/>
                <w:color w:val="auto"/>
              </w:rPr>
              <w:t>5,334</w:t>
            </w:r>
          </w:p>
        </w:tc>
        <w:tc>
          <w:tcPr>
            <w:tcW w:w="1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14"/>
              <w:spacing w:after="0"/>
              <w:rPr>
                <w:sz w:val="20"/>
                <w:szCs w:val="20"/>
                <w:color w:val="auto"/>
              </w:rPr>
            </w:pPr>
            <w:r>
              <w:rPr>
                <w:rFonts w:ascii="Arial" w:cs="Arial" w:eastAsia="Arial" w:hAnsi="Arial"/>
                <w:sz w:val="18"/>
                <w:szCs w:val="18"/>
                <w:color w:val="auto"/>
              </w:rPr>
              <w:t>31,838</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32,366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Operating Agreement</w:t>
            </w:r>
          </w:p>
        </w:tc>
        <w:tc>
          <w:tcPr>
            <w:tcW w:w="780" w:type="dxa"/>
            <w:vAlign w:val="bottom"/>
          </w:tcPr>
          <w:p>
            <w:pPr>
              <w:jc w:val="right"/>
              <w:ind w:right="221"/>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940" w:type="dxa"/>
            <w:vAlign w:val="bottom"/>
          </w:tcPr>
          <w:p>
            <w:pPr>
              <w:jc w:val="right"/>
              <w:ind w:right="117"/>
              <w:spacing w:after="0"/>
              <w:rPr>
                <w:sz w:val="20"/>
                <w:szCs w:val="20"/>
                <w:color w:val="auto"/>
              </w:rPr>
            </w:pPr>
            <w:r>
              <w:rPr>
                <w:rFonts w:ascii="Arial" w:cs="Arial" w:eastAsia="Arial" w:hAnsi="Arial"/>
                <w:sz w:val="18"/>
                <w:szCs w:val="18"/>
                <w:color w:val="auto"/>
              </w:rPr>
              <w:t>35,000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14"/>
              <w:spacing w:after="0"/>
              <w:rPr>
                <w:sz w:val="20"/>
                <w:szCs w:val="20"/>
                <w:color w:val="auto"/>
              </w:rPr>
            </w:pPr>
            <w:r>
              <w:rPr>
                <w:rFonts w:ascii="Arial" w:cs="Arial" w:eastAsia="Arial" w:hAnsi="Arial"/>
                <w:sz w:val="18"/>
                <w:szCs w:val="18"/>
                <w:color w:val="auto"/>
              </w:rPr>
              <w:t>34,611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 Agreement</w:t>
            </w:r>
          </w:p>
        </w:tc>
        <w:tc>
          <w:tcPr>
            <w:tcW w:w="78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1,200</w:t>
            </w:r>
          </w:p>
        </w:tc>
        <w:tc>
          <w:tcPr>
            <w:tcW w:w="2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4"/>
            <w:shd w:val="clear" w:color="auto" w:fill="CCEEFF"/>
          </w:tcPr>
          <w:p>
            <w:pPr>
              <w:jc w:val="right"/>
              <w:ind w:right="114"/>
              <w:spacing w:after="0"/>
              <w:rPr>
                <w:sz w:val="20"/>
                <w:szCs w:val="20"/>
                <w:color w:val="auto"/>
              </w:rPr>
            </w:pPr>
            <w:r>
              <w:rPr>
                <w:rFonts w:ascii="Arial" w:cs="Arial" w:eastAsia="Arial" w:hAnsi="Arial"/>
                <w:sz w:val="18"/>
                <w:szCs w:val="18"/>
                <w:color w:val="auto"/>
              </w:rPr>
              <w:t>1,150</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$84,100</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7"/>
              </w:rPr>
              <w:t>40,500</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8"/>
                <w:szCs w:val="18"/>
                <w:color w:val="auto"/>
              </w:rPr>
              <w:t>$7,970</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8"/>
                <w:szCs w:val="18"/>
                <w:color w:val="auto"/>
              </w:rPr>
              <w:t>$6,781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8"/>
                <w:szCs w:val="18"/>
                <w:color w:val="auto"/>
              </w:rPr>
              <w:t>$76,130</w:t>
            </w: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8"/>
                <w:szCs w:val="18"/>
                <w:color w:val="auto"/>
              </w:rPr>
              <w:t>$33,719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15"/>
        <w:spacing w:after="0" w:line="342" w:lineRule="auto"/>
        <w:rPr>
          <w:sz w:val="20"/>
          <w:szCs w:val="20"/>
          <w:color w:val="auto"/>
        </w:rPr>
      </w:pPr>
      <w:r>
        <w:rPr>
          <w:rFonts w:ascii="Arial" w:cs="Arial" w:eastAsia="Arial" w:hAnsi="Arial"/>
          <w:sz w:val="16"/>
          <w:szCs w:val="16"/>
          <w:color w:val="auto"/>
        </w:rPr>
        <w:t>Amortization expense for definite lived intangible assets was $1.2 million and $0.6 million for the three months ended March 31, 2010 and 2009, respectively. Amortization expense is expected to be $5.4 million, $5.6 million, $5.3 million, $5.1 million and $4.8 million for the years 2010 through 2014.</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PAYABLE, ACCRUED EXPENSES AND OTHER CURRENT LIABILITIES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Payable and Accrued Expenses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March 31,</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3"/>
              <w:spacing w:after="0"/>
              <w:rPr>
                <w:sz w:val="20"/>
                <w:szCs w:val="20"/>
                <w:color w:val="auto"/>
              </w:rPr>
            </w:pPr>
            <w:r>
              <w:rPr>
                <w:rFonts w:ascii="Arial" w:cs="Arial" w:eastAsia="Arial" w:hAnsi="Arial"/>
                <w:sz w:val="14"/>
                <w:szCs w:val="14"/>
                <w:color w:val="auto"/>
                <w:w w:val="96"/>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2,292</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Income Taxes Payable,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6,663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Accrued Expenses — General</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15,221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6,020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$ 33,398</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24,192</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consists of the following:</w:t>
            </w: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March 31,</w:t>
            </w:r>
          </w:p>
        </w:tc>
        <w:tc>
          <w:tcPr>
            <w:tcW w:w="3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3"/>
              <w:spacing w:after="0"/>
              <w:rPr>
                <w:sz w:val="20"/>
                <w:szCs w:val="20"/>
                <w:color w:val="auto"/>
              </w:rPr>
            </w:pPr>
            <w:r>
              <w:rPr>
                <w:rFonts w:ascii="Arial" w:cs="Arial" w:eastAsia="Arial" w:hAnsi="Arial"/>
                <w:sz w:val="14"/>
                <w:szCs w:val="14"/>
                <w:color w:val="auto"/>
                <w:w w:val="96"/>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Mortgage Charge-Off and Deficiency Collections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1,412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2,463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6,538</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12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During 2009, we accrued facility closure costs (included in other current and other non-current liabilities in the Condensed Consolidated Balance Sheet) primarily consisting of lease exit costs (expected to be paid through 2014) and severance for the closure of two facilities. The following table summarizes the activity, all recorded in our Financial Services segment, for the three months ended March 31, 2010: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w w:val="94"/>
              </w:rPr>
              <w:t>Lease</w:t>
            </w:r>
          </w:p>
        </w:tc>
        <w:tc>
          <w:tcPr>
            <w:tcW w:w="0" w:type="dxa"/>
            <w:vAlign w:val="bottom"/>
          </w:tcPr>
          <w:p>
            <w:pPr>
              <w:spacing w:after="0"/>
              <w:rPr>
                <w:sz w:val="1"/>
                <w:szCs w:val="1"/>
                <w:color w:val="auto"/>
              </w:rPr>
            </w:pPr>
          </w:p>
        </w:tc>
      </w:tr>
      <w:tr>
        <w:trPr>
          <w:trHeight w:val="167"/>
        </w:trPr>
        <w:tc>
          <w:tcPr>
            <w:tcW w:w="10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costs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Payments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Less: Long-Term Portion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additional significant costs related to the closure of these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BASED COMPENSATION</w:t>
      </w:r>
    </w:p>
    <w:p>
      <w:pPr>
        <w:spacing w:after="0" w:line="121" w:lineRule="exact"/>
        <w:rPr>
          <w:sz w:val="20"/>
          <w:szCs w:val="20"/>
          <w:color w:val="auto"/>
        </w:rPr>
      </w:pPr>
    </w:p>
    <w:p>
      <w:pPr>
        <w:ind w:right="300" w:firstLine="222"/>
        <w:spacing w:after="0" w:line="312" w:lineRule="auto"/>
        <w:rPr>
          <w:sz w:val="20"/>
          <w:szCs w:val="20"/>
          <w:color w:val="auto"/>
        </w:rPr>
      </w:pPr>
      <w:r>
        <w:rPr>
          <w:rFonts w:ascii="Arial" w:cs="Arial" w:eastAsia="Arial" w:hAnsi="Arial"/>
          <w:sz w:val="16"/>
          <w:szCs w:val="16"/>
          <w:color w:val="auto"/>
        </w:rPr>
        <w:t>We provide stock-based awards as a form of compensation for employees and officers. We have issued stock-based awards in the form of stock options and restricted stock units. We recorded total stock compensation expense of $0.3 million for the three months ended March 31, 2010. The compensation expense is included in Selling, General and Administrative Expenses in the accompany Condensed Consolidated Statements of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03"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During the three months ended March 31, 2010, the Company granted 0.4 million stock options. The options have an exercise price of $21.94 per share. The vesting schedule for the options has a time-based component, in which 25% of the options vest in equal increments over four years, and a market-based component, in which up to 75% of the options could vest in equal increments over four years commencing upon the achievement of certain performance criteria related to our stock price and the annualized rate of return to investors. Two-thirds of the market-based options would begin to vest over three years if the stock price realizes a compounded annual gain of at least 20% over the exercise price, so long as the stock price is at least double the exercise price. The remaining third of the market-based options would begin to vest over three years if the stock price realizes a 25% gain, so long as it is at least triple the exercise price.</w:t>
      </w:r>
    </w:p>
    <w:p>
      <w:pPr>
        <w:spacing w:after="0" w:line="81"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fair value of the time-based options was determined using the Black-Scholes options pricing model while a lattice (binomial) model was used to determine the fair value of the market-based options using the following assumptions as of the grant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Black-Scholes</w:t>
            </w:r>
          </w:p>
        </w:tc>
        <w:tc>
          <w:tcPr>
            <w:tcW w:w="50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Binomial</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1.90%</w:t>
            </w:r>
          </w:p>
        </w:tc>
        <w:tc>
          <w:tcPr>
            <w:tcW w:w="50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0.02 — 3.66%</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1880" w:type="dxa"/>
            <w:vAlign w:val="bottom"/>
          </w:tcPr>
          <w:p>
            <w:pPr>
              <w:jc w:val="right"/>
              <w:ind w:right="253"/>
              <w:spacing w:after="0"/>
              <w:rPr>
                <w:sz w:val="20"/>
                <w:szCs w:val="20"/>
                <w:color w:val="auto"/>
              </w:rPr>
            </w:pPr>
            <w:r>
              <w:rPr>
                <w:rFonts w:ascii="Arial" w:cs="Arial" w:eastAsia="Arial" w:hAnsi="Arial"/>
                <w:sz w:val="18"/>
                <w:szCs w:val="18"/>
                <w:color w:val="auto"/>
              </w:rPr>
              <w:t>24 — 41%</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5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38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10</w:t>
            </w: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Fair Value</w:t>
            </w:r>
          </w:p>
        </w:tc>
        <w:tc>
          <w:tcPr>
            <w:tcW w:w="1020" w:type="dxa"/>
            <w:vAlign w:val="bottom"/>
          </w:tcPr>
          <w:p>
            <w:pPr>
              <w:jc w:val="right"/>
              <w:ind w:right="253"/>
              <w:spacing w:after="0"/>
              <w:rPr>
                <w:sz w:val="20"/>
                <w:szCs w:val="20"/>
                <w:color w:val="auto"/>
              </w:rPr>
            </w:pPr>
            <w:r>
              <w:rPr>
                <w:rFonts w:ascii="Arial" w:cs="Arial" w:eastAsia="Arial" w:hAnsi="Arial"/>
                <w:sz w:val="18"/>
                <w:szCs w:val="18"/>
                <w:color w:val="auto"/>
              </w:rPr>
              <w:t>$6.80</w:t>
            </w:r>
          </w:p>
        </w:tc>
        <w:tc>
          <w:tcPr>
            <w:tcW w:w="5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$7.35 and $8.48</w:t>
            </w:r>
          </w:p>
        </w:tc>
      </w:tr>
    </w:tbl>
    <w:p>
      <w:pPr>
        <w:spacing w:after="0" w:line="79" w:lineRule="exact"/>
        <w:rPr>
          <w:sz w:val="20"/>
          <w:szCs w:val="20"/>
          <w:color w:val="auto"/>
        </w:rPr>
      </w:pPr>
    </w:p>
    <w:p>
      <w:pPr>
        <w:ind w:right="720" w:firstLine="215"/>
        <w:spacing w:after="0" w:line="277" w:lineRule="auto"/>
        <w:rPr>
          <w:sz w:val="20"/>
          <w:szCs w:val="20"/>
          <w:color w:val="auto"/>
        </w:rPr>
      </w:pPr>
      <w:r>
        <w:rPr>
          <w:rFonts w:ascii="Arial" w:cs="Arial" w:eastAsia="Arial" w:hAnsi="Arial"/>
          <w:sz w:val="18"/>
          <w:szCs w:val="18"/>
          <w:color w:val="auto"/>
        </w:rPr>
        <w:t>As of March 31, 2010, estimated unrecognized compensation costs related to share-based payments amounted to $4.2 million which we expect to recognize over a weighted-average remaining requisite service period of approximately 3.6 years.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activity of our stock options: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4"/>
              </w:rPr>
              <w:t>Weighted</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Average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1"/>
              </w:rPr>
              <w:t>Average</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4"/>
              </w:rPr>
              <w:t>Contractual</w:t>
            </w: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5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Number of</w:t>
            </w: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9"/>
              </w:rPr>
              <w:t>Exercise</w:t>
            </w: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1"/>
              </w:rPr>
              <w:t>Term</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Intrinsic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Options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87"/>
              </w:rPr>
              <w:t>Price</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(in years)</w:t>
            </w:r>
          </w:p>
        </w:tc>
        <w:tc>
          <w:tcPr>
            <w:tcW w:w="66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3,190,639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9.90</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407,500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21.94</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(100,853)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Outstanding at March 31, 2010</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3,497,286</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11.29</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1,066,355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9.78</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 Company is from time to time involved in legal actions arising in the ordinary course of business. In the opinion of management, after consultation with legal counsel, the outcome of such matters will not have a material impact on the Company’s financial condition, results of operations or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 Agreement</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Distribution was intended to be a tax-free transaction under Section 355 of the Internal Revenue Code (the “Code”). However, Ocwen recognized, and will pay tax on, substantially all of the gain it has in the assets that comprise Altisource as a result of the restructuring. To the extent Ocwen does recognize tax under Section 355 of the Code, Altisource has agreed to indemnify Ocwen. In addition, we have agreed to indemnify Ocwen should the expected tax treatments not be upheld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upon review or audit to the extent related to our operating results. As of March 31, 2010, the Company does not believe it has a material obligation under this indemnity.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w:t>
      </w:r>
    </w:p>
    <w:p>
      <w:pPr>
        <w:spacing w:after="0" w:line="121"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Basic earnings per share (“EPS”) is computed by dividing income available to common stockholders by the weighted average number of common shares outstanding for the period. Diluted EPS reflects the assumed conversion of all dilutive securities. On August 10, 2009, the Distribution by Ocwen was completed to the Ocwen stockholders of one share of Altisource common stock for every 3 shares of Ocwen common stock held as of August 4, 2009. In addition, holders of Ocwen’s 3.25% Contingent Convertible Unsecured Senior Notes due 2024 received one share of Altisource common stock deemed held on an as if converted basis. For such notes, the conversion ratio of 82.1693 shares of Ocwen common stock for every $1,000 in aggregate principal amount of notes held on August 4, 2009 was calculated first and then we applied the distribution ratio of one share of Altisource common stock for every three shares of Ocwen common stock on an as converted basis to determine the number of shares each note holder received. As a result on August 10, 2009, the Company had 24,050,340 shares of common stock outstanding, and this share amount is being utilized for the calculation of basic EPS for all periods presented prior to the date of the Distribution.</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Basic and diluted earnings per share for the three months ended March 31, 2010 and 2009 are calculated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00" w:type="dxa"/>
            <w:vAlign w:val="bottom"/>
            <w:gridSpan w:val="3"/>
          </w:tcPr>
          <w:p>
            <w:pPr>
              <w:jc w:val="center"/>
              <w:ind w:left="164"/>
              <w:spacing w:after="0"/>
              <w:rPr>
                <w:sz w:val="20"/>
                <w:szCs w:val="20"/>
                <w:color w:val="auto"/>
              </w:rPr>
            </w:pPr>
            <w:r>
              <w:rPr>
                <w:rFonts w:ascii="Arial" w:cs="Arial" w:eastAsia="Arial" w:hAnsi="Arial"/>
                <w:sz w:val="14"/>
                <w:szCs w:val="14"/>
                <w:color w:val="auto"/>
                <w:w w:val="93"/>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gridSpan w:val="3"/>
          </w:tcPr>
          <w:p>
            <w:pPr>
              <w:jc w:val="center"/>
              <w:ind w:left="139"/>
              <w:spacing w:after="0"/>
              <w:rPr>
                <w:sz w:val="20"/>
                <w:szCs w:val="20"/>
                <w:color w:val="auto"/>
              </w:rPr>
            </w:pPr>
            <w:r>
              <w:rPr>
                <w:rFonts w:ascii="Arial" w:cs="Arial" w:eastAsia="Arial" w:hAnsi="Arial"/>
                <w:sz w:val="14"/>
                <w:szCs w:val="14"/>
                <w:color w:val="auto"/>
                <w:w w:val="93"/>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164"/>
              <w:spacing w:after="0"/>
              <w:rPr>
                <w:sz w:val="20"/>
                <w:szCs w:val="20"/>
                <w:color w:val="auto"/>
              </w:rPr>
            </w:pPr>
            <w:r>
              <w:rPr>
                <w:rFonts w:ascii="Arial" w:cs="Arial" w:eastAsia="Arial" w:hAnsi="Arial"/>
                <w:sz w:val="14"/>
                <w:szCs w:val="14"/>
                <w:color w:val="auto"/>
                <w:w w:val="92"/>
              </w:rPr>
              <w:t>March 31, 2010</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left="159"/>
              <w:spacing w:after="0"/>
              <w:rPr>
                <w:sz w:val="20"/>
                <w:szCs w:val="20"/>
                <w:color w:val="auto"/>
              </w:rPr>
            </w:pPr>
            <w:r>
              <w:rPr>
                <w:rFonts w:ascii="Arial" w:cs="Arial" w:eastAsia="Arial" w:hAnsi="Arial"/>
                <w:sz w:val="14"/>
                <w:szCs w:val="14"/>
                <w:color w:val="auto"/>
                <w:w w:val="94"/>
              </w:rPr>
              <w:t>March 31, 2009</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900" w:type="dxa"/>
            <w:vAlign w:val="bottom"/>
            <w:gridSpan w:val="3"/>
          </w:tcPr>
          <w:p>
            <w:pPr>
              <w:jc w:val="center"/>
              <w:ind w:left="184"/>
              <w:spacing w:after="0" w:line="123" w:lineRule="exact"/>
              <w:rPr>
                <w:sz w:val="20"/>
                <w:szCs w:val="20"/>
                <w:color w:val="auto"/>
              </w:rPr>
            </w:pPr>
            <w:r>
              <w:rPr>
                <w:rFonts w:ascii="Arial" w:cs="Arial" w:eastAsia="Arial" w:hAnsi="Arial"/>
                <w:sz w:val="14"/>
                <w:szCs w:val="14"/>
                <w:color w:val="auto"/>
                <w:w w:val="92"/>
              </w:rPr>
              <w:t>Weighted Ave.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2"/>
              </w:rPr>
              <w:t>Weighted Ave.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6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Pr>
          <w:p>
            <w:pPr>
              <w:spacing w:after="0"/>
              <w:rPr>
                <w:sz w:val="14"/>
                <w:szCs w:val="14"/>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color w:val="auto"/>
                <w:w w:val="91"/>
              </w:rPr>
              <w:t>Income</w:t>
            </w:r>
          </w:p>
        </w:tc>
        <w:tc>
          <w:tcPr>
            <w:tcW w:w="6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Shares</w:t>
            </w:r>
          </w:p>
        </w:tc>
        <w:tc>
          <w:tcPr>
            <w:tcW w:w="24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color w:val="auto"/>
              </w:rPr>
              <w:t>Per Share</w:t>
            </w:r>
          </w:p>
        </w:tc>
        <w:tc>
          <w:tcPr>
            <w:tcW w:w="10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color w:val="auto"/>
                <w:w w:val="95"/>
              </w:rPr>
              <w:t>Income</w:t>
            </w:r>
          </w:p>
        </w:tc>
        <w:tc>
          <w:tcPr>
            <w:tcW w:w="6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color w:val="auto"/>
                <w:w w:val="85"/>
              </w:rPr>
              <w:t>Shares</w:t>
            </w:r>
          </w:p>
        </w:tc>
        <w:tc>
          <w:tcPr>
            <w:tcW w:w="24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24,690</w:t>
            </w:r>
          </w:p>
        </w:tc>
        <w:tc>
          <w:tcPr>
            <w:tcW w:w="4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24,050</w:t>
            </w:r>
          </w:p>
        </w:tc>
        <w:tc>
          <w:tcPr>
            <w:tcW w:w="4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18</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970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Restricted Stock</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25,663</w:t>
            </w:r>
          </w:p>
        </w:tc>
        <w:tc>
          <w:tcPr>
            <w:tcW w:w="4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24,050</w:t>
            </w:r>
          </w:p>
        </w:tc>
        <w:tc>
          <w:tcPr>
            <w:tcW w:w="4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15"/>
        <w:spacing w:after="0" w:line="259" w:lineRule="auto"/>
        <w:rPr>
          <w:sz w:val="20"/>
          <w:szCs w:val="20"/>
          <w:color w:val="auto"/>
        </w:rPr>
      </w:pPr>
      <w:r>
        <w:rPr>
          <w:rFonts w:ascii="Arial" w:cs="Arial" w:eastAsia="Arial" w:hAnsi="Arial"/>
          <w:sz w:val="18"/>
          <w:szCs w:val="18"/>
          <w:color w:val="auto"/>
        </w:rPr>
        <w:t>An average of 509,376 options that were anti-dilutive have been excluded from the computation of diluted EPS for the three months ended March 31, 2010. These options were anti-dilutive because their exercise price was greater than the average market price of our stock. Also excluded from the computation of diluted EPS are 985,682 options granted for shares that are issuable upon the achievement of certain market and performance criteria related to our stock price and an annualized rate of return to investors that have not been met at this point.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COST OF REVENUE</w:t>
      </w:r>
    </w:p>
    <w:p>
      <w:pPr>
        <w:spacing w:after="0" w:line="121" w:lineRule="exact"/>
        <w:rPr>
          <w:sz w:val="20"/>
          <w:szCs w:val="20"/>
          <w:color w:val="auto"/>
        </w:rPr>
      </w:pPr>
    </w:p>
    <w:p>
      <w:pPr>
        <w:ind w:right="320" w:firstLine="225"/>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roles; fees paid to external providers related to provision of services, reimbursable expenses and technology and telephony expenses as well as depreciation and amortization of operating assets. The components of cost of revenue were as follows for the periods ended March 31, 2010 and 2009: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8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93"/>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13,999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12,460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Expense Reimbursements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4,049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38,390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SELLING, GENERAL AND ADMINISTRATIVE EXPENSES</w:t>
      </w:r>
    </w:p>
    <w:p>
      <w:pPr>
        <w:spacing w:after="0" w:line="121"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Selling, general and administrative expenses include payroll, employee benefits, occupancy and other costs associated with personnel employed in executive, sales, marketing, human resources and finance roles. This category also includes professional fees, depreciation and amortization on non-operating assets. The components of selling, general and administrative expenses were as follows for the periods ended March 31, 2010 and 2009: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center"/>
              <w:ind w:right="18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67"/>
        </w:trPr>
        <w:tc>
          <w:tcPr>
            <w:tcW w:w="8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4,040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Professional Services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2,944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2,353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1,189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2,507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0"/>
        </w:trPr>
        <w:tc>
          <w:tcPr>
            <w:tcW w:w="8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w w:val="94"/>
              </w:rPr>
              <w:t>13,033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14 — OTHER INCOME (EXPENSE), NET</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Other Income (Expense), net consists of the following:</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6"/>
          </w:tcPr>
          <w:p>
            <w:pPr>
              <w:jc w:val="center"/>
              <w:ind w:right="18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67"/>
        </w:trPr>
        <w:tc>
          <w:tcPr>
            <w:tcW w:w="8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28"/>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firstLine="222"/>
        <w:spacing w:after="0" w:line="264" w:lineRule="auto"/>
        <w:rPr>
          <w:sz w:val="20"/>
          <w:szCs w:val="20"/>
          <w:color w:val="auto"/>
        </w:rPr>
      </w:pPr>
      <w:r>
        <w:rPr>
          <w:rFonts w:ascii="Arial" w:cs="Arial" w:eastAsia="Arial" w:hAnsi="Arial"/>
          <w:sz w:val="18"/>
          <w:szCs w:val="18"/>
          <w:color w:val="auto"/>
        </w:rPr>
        <w:t>Through the date of Separation, Interest Expense included an interest charge from Ocwen which represented an allocation of Ocwen’s total interest expense calculated based on our assets in comparison to Ocwen’s total assets. This charge was $0.6 million for the three months ending March 31, 2009. Subsequent to the date of Separation, we are no longer subject to the interest charge from Ocwen.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REPORTING</w:t>
      </w:r>
    </w:p>
    <w:p>
      <w:pPr>
        <w:spacing w:after="0" w:line="121"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and to assess the allocation of our resources by our Chief Executive Officer.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segments are based upon our organizational structure which focuses primarily on the services offered.</w:t>
      </w:r>
    </w:p>
    <w:p>
      <w:pPr>
        <w:spacing w:after="0" w:line="117"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 xml:space="preserve">We classify our businesses into three reportable segments.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consists of mortgage portfolio management services that span the mortgage lifecycle.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principally consists of unsecured asset recovery and customer relationship management. </w:t>
      </w:r>
      <w:r>
        <w:rPr>
          <w:rFonts w:ascii="Arial" w:cs="Arial" w:eastAsia="Arial" w:hAnsi="Arial"/>
          <w:sz w:val="17"/>
          <w:szCs w:val="17"/>
          <w:i w:val="1"/>
          <w:iCs w:val="1"/>
          <w:color w:val="auto"/>
        </w:rPr>
        <w:t>Technology Products</w:t>
      </w:r>
      <w:r>
        <w:rPr>
          <w:rFonts w:ascii="Arial" w:cs="Arial" w:eastAsia="Arial" w:hAnsi="Arial"/>
          <w:sz w:val="17"/>
          <w:szCs w:val="17"/>
          <w:color w:val="auto"/>
        </w:rPr>
        <w:t xml:space="preserve"> consists of modular, comprehensive integrated technological solutions for loan servicing, vendor management and invoice presentment. In addition, our </w:t>
      </w:r>
      <w:r>
        <w:rPr>
          <w:rFonts w:ascii="Arial" w:cs="Arial" w:eastAsia="Arial" w:hAnsi="Arial"/>
          <w:sz w:val="17"/>
          <w:szCs w:val="17"/>
          <w:i w:val="1"/>
          <w:iCs w:val="1"/>
          <w:color w:val="auto"/>
        </w:rPr>
        <w:t>Corporate Items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Eliminations </w:t>
      </w:r>
      <w:r>
        <w:rPr>
          <w:rFonts w:ascii="Arial" w:cs="Arial" w:eastAsia="Arial" w:hAnsi="Arial"/>
          <w:sz w:val="17"/>
          <w:szCs w:val="17"/>
          <w:color w:val="auto"/>
        </w:rPr>
        <w:t>segment prior to the Separation Date includes eliminations of transactions between the reporting segments as well as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by us related to the Separation. Subsequent to the Separation Date, in addition to the previously mentioned items, this segment also includes costs recognized by us related to corporate support functions such as finance, legal, human resources and consumer behavior.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jc w:val="right"/>
              <w:ind w:right="1040"/>
              <w:spacing w:after="0"/>
              <w:rPr>
                <w:sz w:val="20"/>
                <w:szCs w:val="20"/>
                <w:color w:val="auto"/>
              </w:rPr>
            </w:pPr>
            <w:r>
              <w:rPr>
                <w:rFonts w:ascii="Arial" w:cs="Arial" w:eastAsia="Arial" w:hAnsi="Arial"/>
                <w:sz w:val="14"/>
                <w:szCs w:val="14"/>
                <w:color w:val="auto"/>
                <w:w w:val="92"/>
              </w:rPr>
              <w:t>Three Months Ended March 31, 2010</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500"/>
              <w:spacing w:after="0" w:line="123" w:lineRule="exact"/>
              <w:rPr>
                <w:sz w:val="20"/>
                <w:szCs w:val="20"/>
                <w:color w:val="auto"/>
              </w:rPr>
            </w:pPr>
            <w:r>
              <w:rPr>
                <w:rFonts w:ascii="Arial" w:cs="Arial" w:eastAsia="Arial" w:hAnsi="Arial"/>
                <w:sz w:val="14"/>
                <w:szCs w:val="14"/>
                <w:color w:val="auto"/>
                <w:w w:val="89"/>
              </w:rPr>
              <w:t>Corporate</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4"/>
              </w:rPr>
              <w:t>Mortgage</w:t>
            </w: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6"/>
              </w:rPr>
              <w:t>Financial</w:t>
            </w:r>
          </w:p>
        </w:tc>
        <w:tc>
          <w:tcPr>
            <w:tcW w:w="60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1"/>
              </w:rPr>
              <w:t>Technology</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rPr>
              <w:t>Items &amp;</w:t>
            </w:r>
          </w:p>
        </w:tc>
        <w:tc>
          <w:tcPr>
            <w:tcW w:w="11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0" w:type="dxa"/>
            <w:vAlign w:val="bottom"/>
          </w:tcPr>
          <w:p>
            <w:pPr>
              <w:ind w:left="178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Services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color w:val="auto"/>
                <w:w w:val="93"/>
              </w:rPr>
              <w:t>Services</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0"/>
              </w:rPr>
              <w:t>Products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 xml:space="preserve">Eliminations </w:t>
            </w:r>
            <w:r>
              <w:rPr>
                <w:rFonts w:ascii="Arial" w:cs="Arial" w:eastAsia="Arial" w:hAnsi="Arial"/>
                <w:sz w:val="12"/>
                <w:szCs w:val="12"/>
                <w:color w:val="auto"/>
              </w:rPr>
              <w:t>(1)</w:t>
            </w:r>
          </w:p>
        </w:tc>
        <w:tc>
          <w:tcPr>
            <w:tcW w:w="30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$ 36,795</w:t>
            </w: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$ 15,633</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11,974</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22,984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12,187</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6,647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(3,428)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4,413</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1,106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4,736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4,221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(4,783)</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9,479</w:t>
            </w:r>
          </w:p>
        </w:tc>
        <w:tc>
          <w:tcPr>
            <w:tcW w:w="0" w:type="dxa"/>
            <w:vAlign w:val="bottom"/>
          </w:tcPr>
          <w:p>
            <w:pPr>
              <w:spacing w:after="0"/>
              <w:rPr>
                <w:sz w:val="1"/>
                <w:szCs w:val="1"/>
                <w:color w:val="auto"/>
              </w:rPr>
            </w:pPr>
          </w:p>
        </w:tc>
      </w:tr>
      <w:tr>
        <w:trPr>
          <w:trHeight w:val="432"/>
        </w:trPr>
        <w:tc>
          <w:tcPr>
            <w:tcW w:w="4980" w:type="dxa"/>
            <w:vAlign w:val="bottom"/>
            <w:gridSpan w:val="3"/>
          </w:tcPr>
          <w:p>
            <w:pPr>
              <w:spacing w:after="0"/>
              <w:rPr>
                <w:sz w:val="20"/>
                <w:szCs w:val="20"/>
                <w:color w:val="auto"/>
              </w:rPr>
            </w:pPr>
            <w:r>
              <w:rPr>
                <w:rFonts w:ascii="Arial" w:cs="Arial" w:eastAsia="Arial" w:hAnsi="Arial"/>
                <w:sz w:val="18"/>
                <w:szCs w:val="18"/>
                <w:color w:val="auto"/>
              </w:rPr>
              <w:t>Transactions with Related Parties: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$ 24,247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4,438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28,736</w:t>
            </w: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3"/>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right"/>
              <w:ind w:right="1040"/>
              <w:spacing w:after="0"/>
              <w:rPr>
                <w:sz w:val="20"/>
                <w:szCs w:val="20"/>
                <w:color w:val="auto"/>
              </w:rPr>
            </w:pPr>
            <w:r>
              <w:rPr>
                <w:rFonts w:ascii="Arial" w:cs="Arial" w:eastAsia="Arial" w:hAnsi="Arial"/>
                <w:sz w:val="14"/>
                <w:szCs w:val="14"/>
                <w:color w:val="auto"/>
                <w:w w:val="92"/>
              </w:rPr>
              <w:t>Three Months Ended March 31, 2009</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500"/>
              <w:spacing w:after="0" w:line="123" w:lineRule="exact"/>
              <w:rPr>
                <w:sz w:val="20"/>
                <w:szCs w:val="20"/>
                <w:color w:val="auto"/>
              </w:rPr>
            </w:pPr>
            <w:r>
              <w:rPr>
                <w:rFonts w:ascii="Arial" w:cs="Arial" w:eastAsia="Arial" w:hAnsi="Arial"/>
                <w:sz w:val="14"/>
                <w:szCs w:val="14"/>
                <w:color w:val="auto"/>
                <w:w w:val="89"/>
              </w:rPr>
              <w:t>Corporate</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4"/>
              </w:rPr>
              <w:t>Mortgage</w:t>
            </w: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6"/>
              </w:rPr>
              <w:t>Financial</w:t>
            </w:r>
          </w:p>
        </w:tc>
        <w:tc>
          <w:tcPr>
            <w:tcW w:w="60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1"/>
              </w:rPr>
              <w:t>Technology</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rPr>
              <w:t>Items &amp;</w:t>
            </w:r>
          </w:p>
        </w:tc>
        <w:tc>
          <w:tcPr>
            <w:tcW w:w="11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0" w:type="dxa"/>
            <w:vAlign w:val="bottom"/>
          </w:tcPr>
          <w:p>
            <w:pPr>
              <w:ind w:left="178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Services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color w:val="auto"/>
                <w:w w:val="93"/>
              </w:rPr>
              <w:t>Services</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0"/>
              </w:rPr>
              <w:t>Products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 xml:space="preserve">Eliminations </w:t>
            </w:r>
            <w:r>
              <w:rPr>
                <w:rFonts w:ascii="Arial" w:cs="Arial" w:eastAsia="Arial" w:hAnsi="Arial"/>
                <w:sz w:val="12"/>
                <w:szCs w:val="12"/>
                <w:color w:val="auto"/>
              </w:rPr>
              <w:t>(1)</w:t>
            </w:r>
          </w:p>
        </w:tc>
        <w:tc>
          <w:tcPr>
            <w:tcW w:w="30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$ 17,700</w:t>
            </w: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$ 17,318</w:t>
            </w:r>
          </w:p>
        </w:tc>
        <w:tc>
          <w:tcPr>
            <w:tcW w:w="6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$ 10,573</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(2,972)</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10,411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14,069</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6,495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(2,972)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4,082</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1,678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432"/>
        </w:trPr>
        <w:tc>
          <w:tcPr>
            <w:tcW w:w="4980" w:type="dxa"/>
            <w:vAlign w:val="bottom"/>
            <w:gridSpan w:val="3"/>
          </w:tcPr>
          <w:p>
            <w:pPr>
              <w:spacing w:after="0"/>
              <w:rPr>
                <w:sz w:val="20"/>
                <w:szCs w:val="20"/>
                <w:color w:val="auto"/>
              </w:rPr>
            </w:pPr>
            <w:r>
              <w:rPr>
                <w:rFonts w:ascii="Arial" w:cs="Arial" w:eastAsia="Arial" w:hAnsi="Arial"/>
                <w:sz w:val="18"/>
                <w:szCs w:val="18"/>
                <w:color w:val="auto"/>
              </w:rPr>
              <w:t>Transactions with Related Parties: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$ 13,312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5,395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18,723</w:t>
            </w: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3"/>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6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Intercompany transactions primarily consist of information technology infrastructure services and charges for the use of certain REAL products from our Technology Products segment to our other two segments. Generally, we reflect these charges within technology and communication in the segment receiving the services, except for consulting services, which we reflect in professional services.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help the reader understand the results of operations and financial condition of Altisource Portfolio Solutions S.A (“Altisource” or “the Company”). MD&amp;A is provided as a supplement to, and should be read in conjunction with, our condensed consolidated financial statements and the accompanying notes and with our Registration Statement on Form 10-Q as filed with the Securities and Exchange Commission on March 17, 2010.</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This MD&amp;A contains forward-looking statements; please see page 35 for more information. Significant components of the MD&amp;A section include: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20" w:type="dxa"/>
            <w:vAlign w:val="bottom"/>
            <w:vMerge w:val="restart"/>
          </w:tcPr>
          <w:p>
            <w:pPr>
              <w:spacing w:after="0"/>
              <w:rPr>
                <w:sz w:val="20"/>
                <w:szCs w:val="20"/>
                <w:color w:val="auto"/>
              </w:rPr>
            </w:pPr>
            <w:r>
              <w:rPr>
                <w:rFonts w:ascii="Arial" w:cs="Arial" w:eastAsia="Arial" w:hAnsi="Arial"/>
                <w:sz w:val="18"/>
                <w:szCs w:val="18"/>
                <w:i w:val="1"/>
                <w:iCs w:val="1"/>
                <w:color w:val="auto"/>
              </w:rPr>
              <w:t xml:space="preserve">SECTION 1 </w:t>
            </w:r>
            <w:r>
              <w:rPr>
                <w:rFonts w:ascii="Arial" w:cs="Arial" w:eastAsia="Arial" w:hAnsi="Arial"/>
                <w:sz w:val="18"/>
                <w:szCs w:val="18"/>
                <w:color w:val="auto"/>
              </w:rPr>
              <w:t>—</w:t>
            </w:r>
            <w:r>
              <w:rPr>
                <w:rFonts w:ascii="Arial" w:cs="Arial" w:eastAsia="Arial" w:hAnsi="Arial"/>
                <w:sz w:val="18"/>
                <w:szCs w:val="18"/>
                <w:i w:val="1"/>
                <w:iCs w:val="1"/>
                <w:color w:val="auto"/>
              </w:rPr>
              <w:t xml:space="preserve"> Overview</w:t>
            </w: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520" w:type="dxa"/>
            <w:vAlign w:val="bottom"/>
            <w:vMerge w:val="continue"/>
          </w:tcPr>
          <w:p>
            <w:pPr>
              <w:spacing w:after="0"/>
              <w:rPr>
                <w:sz w:val="19"/>
                <w:szCs w:val="19"/>
                <w:color w:val="auto"/>
              </w:rPr>
            </w:pPr>
          </w:p>
        </w:tc>
        <w:tc>
          <w:tcPr>
            <w:tcW w:w="900" w:type="dxa"/>
            <w:vAlign w:val="bottom"/>
          </w:tcPr>
          <w:p>
            <w:pPr>
              <w:jc w:val="right"/>
              <w:ind w:right="13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1740"/>
        <w:spacing w:after="0" w:line="264" w:lineRule="auto"/>
        <w:rPr>
          <w:sz w:val="20"/>
          <w:szCs w:val="20"/>
          <w:color w:val="auto"/>
        </w:rPr>
      </w:pPr>
      <w:r>
        <w:rPr>
          <w:rFonts w:ascii="Arial" w:cs="Arial" w:eastAsia="Arial" w:hAnsi="Arial"/>
          <w:sz w:val="18"/>
          <w:szCs w:val="18"/>
          <w:color w:val="auto"/>
        </w:rPr>
        <w:t>The overview section provides a summary of Altisource and our reportable business segments. We also include a discussion of factors affecting our consolidated results of operations as well as items specific to each business group. In addition, we provide a brief description of our basis of presentation for our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i w:val="1"/>
                <w:iCs w:val="1"/>
                <w:color w:val="auto"/>
              </w:rPr>
              <w:t xml:space="preserve">SECTION 2 </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Results of Operations</w:t>
            </w:r>
          </w:p>
        </w:tc>
        <w:tc>
          <w:tcPr>
            <w:tcW w:w="38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07" w:lineRule="exact"/>
        <w:rPr>
          <w:sz w:val="20"/>
          <w:szCs w:val="20"/>
          <w:color w:val="auto"/>
        </w:rPr>
      </w:pPr>
    </w:p>
    <w:p>
      <w:pPr>
        <w:jc w:val="both"/>
        <w:ind w:right="1880"/>
        <w:spacing w:after="0" w:line="264" w:lineRule="auto"/>
        <w:rPr>
          <w:sz w:val="20"/>
          <w:szCs w:val="20"/>
          <w:color w:val="auto"/>
        </w:rPr>
      </w:pPr>
      <w:r>
        <w:rPr>
          <w:rFonts w:ascii="Arial" w:cs="Arial" w:eastAsia="Arial" w:hAnsi="Arial"/>
          <w:sz w:val="18"/>
          <w:szCs w:val="18"/>
          <w:color w:val="auto"/>
        </w:rPr>
        <w:t>The consolidated results of operations section provides an analysis of our results on a consolidated basis for the three months ending March 31, 2010 and 2009. When helpful in explaining trends, we also discuss sequential results. Significant subsections within this section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60" w:type="dxa"/>
            <w:vAlign w:val="bottom"/>
            <w:gridSpan w:val="2"/>
          </w:tcPr>
          <w:p>
            <w:pPr>
              <w:ind w:left="220"/>
              <w:spacing w:after="0"/>
              <w:rPr>
                <w:sz w:val="20"/>
                <w:szCs w:val="20"/>
                <w:color w:val="auto"/>
              </w:rPr>
            </w:pPr>
            <w:r>
              <w:rPr>
                <w:rFonts w:ascii="Arial" w:cs="Arial" w:eastAsia="Arial" w:hAnsi="Arial"/>
                <w:sz w:val="18"/>
                <w:szCs w:val="18"/>
                <w:color w:val="auto"/>
              </w:rPr>
              <w:t>Summary Consolidated Results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w w:val="91"/>
              </w:rPr>
              <w:t>Revenue</w:t>
            </w:r>
          </w:p>
        </w:tc>
        <w:tc>
          <w:tcPr>
            <w:tcW w:w="95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216"/>
        </w:trPr>
        <w:tc>
          <w:tcPr>
            <w:tcW w:w="10460" w:type="dxa"/>
            <w:vAlign w:val="bottom"/>
            <w:gridSpan w:val="2"/>
          </w:tcPr>
          <w:p>
            <w:pPr>
              <w:ind w:left="220"/>
              <w:spacing w:after="0"/>
              <w:rPr>
                <w:sz w:val="20"/>
                <w:szCs w:val="20"/>
                <w:color w:val="auto"/>
              </w:rPr>
            </w:pPr>
            <w:r>
              <w:rPr>
                <w:rFonts w:ascii="Arial" w:cs="Arial" w:eastAsia="Arial" w:hAnsi="Arial"/>
                <w:sz w:val="18"/>
                <w:szCs w:val="18"/>
                <w:color w:val="auto"/>
              </w:rPr>
              <w:t>Cost of Revenue</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216"/>
        </w:trPr>
        <w:tc>
          <w:tcPr>
            <w:tcW w:w="1046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EBITDA</w:t>
            </w:r>
          </w:p>
        </w:tc>
        <w:tc>
          <w:tcPr>
            <w:tcW w:w="95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24</w:t>
            </w:r>
          </w:p>
        </w:tc>
      </w:tr>
      <w:tr>
        <w:trPr>
          <w:trHeight w:val="230"/>
        </w:trPr>
        <w:tc>
          <w:tcPr>
            <w:tcW w:w="10460" w:type="dxa"/>
            <w:vAlign w:val="bottom"/>
            <w:gridSpan w:val="2"/>
          </w:tcPr>
          <w:p>
            <w:pPr>
              <w:ind w:left="220"/>
              <w:spacing w:after="0"/>
              <w:rPr>
                <w:sz w:val="20"/>
                <w:szCs w:val="20"/>
                <w:color w:val="auto"/>
              </w:rPr>
            </w:pPr>
            <w:r>
              <w:rPr>
                <w:rFonts w:ascii="Arial" w:cs="Arial" w:eastAsia="Arial" w:hAnsi="Arial"/>
                <w:sz w:val="18"/>
                <w:szCs w:val="18"/>
                <w:color w:val="auto"/>
              </w:rPr>
              <w:t>Income Taxes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25</w:t>
            </w:r>
          </w:p>
        </w:tc>
      </w:tr>
      <w:tr>
        <w:trPr>
          <w:trHeight w:val="432"/>
        </w:trPr>
        <w:tc>
          <w:tcPr>
            <w:tcW w:w="900" w:type="dxa"/>
            <w:vAlign w:val="bottom"/>
          </w:tcPr>
          <w:p>
            <w:pPr>
              <w:spacing w:after="0"/>
              <w:rPr>
                <w:sz w:val="20"/>
                <w:szCs w:val="20"/>
                <w:color w:val="auto"/>
              </w:rPr>
            </w:pPr>
            <w:r>
              <w:rPr>
                <w:rFonts w:ascii="Arial" w:cs="Arial" w:eastAsia="Arial" w:hAnsi="Arial"/>
                <w:sz w:val="18"/>
                <w:szCs w:val="18"/>
                <w:i w:val="1"/>
                <w:iCs w:val="1"/>
                <w:color w:val="auto"/>
                <w:w w:val="92"/>
              </w:rPr>
              <w:t>SECTION 3</w:t>
            </w:r>
          </w:p>
        </w:tc>
        <w:tc>
          <w:tcPr>
            <w:tcW w:w="956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Segment Results of Operations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25</w:t>
            </w:r>
          </w:p>
        </w:tc>
      </w:tr>
      <w:tr>
        <w:trPr>
          <w:trHeight w:val="323"/>
        </w:trPr>
        <w:tc>
          <w:tcPr>
            <w:tcW w:w="10460" w:type="dxa"/>
            <w:vAlign w:val="bottom"/>
            <w:gridSpan w:val="2"/>
          </w:tcPr>
          <w:p>
            <w:pPr>
              <w:spacing w:after="0"/>
              <w:rPr>
                <w:sz w:val="20"/>
                <w:szCs w:val="20"/>
                <w:color w:val="auto"/>
              </w:rPr>
            </w:pPr>
            <w:r>
              <w:rPr>
                <w:rFonts w:ascii="Arial" w:cs="Arial" w:eastAsia="Arial" w:hAnsi="Arial"/>
                <w:sz w:val="18"/>
                <w:szCs w:val="18"/>
                <w:color w:val="auto"/>
                <w:w w:val="94"/>
              </w:rPr>
              <w:t>The segment results of operations section provides an analysis of our results on a reportable operating segment basis for the three months</w:t>
            </w:r>
          </w:p>
        </w:tc>
        <w:tc>
          <w:tcPr>
            <w:tcW w:w="960" w:type="dxa"/>
            <w:vAlign w:val="bottom"/>
          </w:tcPr>
          <w:p>
            <w:pPr>
              <w:spacing w:after="0"/>
              <w:rPr>
                <w:sz w:val="24"/>
                <w:szCs w:val="24"/>
                <w:color w:val="auto"/>
              </w:rPr>
            </w:pP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color w:val="auto"/>
              </w:rPr>
              <w:t>ending March 31, 2010 and 2009. We discuss known trends and uncertainties. When helpful in explaining trends, we also discuss</w:t>
            </w:r>
          </w:p>
        </w:tc>
        <w:tc>
          <w:tcPr>
            <w:tcW w:w="960" w:type="dxa"/>
            <w:vAlign w:val="bottom"/>
          </w:tcPr>
          <w:p>
            <w:pPr>
              <w:spacing w:after="0"/>
              <w:rPr>
                <w:sz w:val="18"/>
                <w:szCs w:val="18"/>
                <w:color w:val="auto"/>
              </w:rPr>
            </w:pPr>
          </w:p>
        </w:tc>
      </w:tr>
      <w:tr>
        <w:trPr>
          <w:trHeight w:val="230"/>
        </w:trPr>
        <w:tc>
          <w:tcPr>
            <w:tcW w:w="10460" w:type="dxa"/>
            <w:vAlign w:val="bottom"/>
            <w:gridSpan w:val="2"/>
          </w:tcPr>
          <w:p>
            <w:pPr>
              <w:spacing w:after="0"/>
              <w:rPr>
                <w:sz w:val="20"/>
                <w:szCs w:val="20"/>
                <w:color w:val="auto"/>
              </w:rPr>
            </w:pPr>
            <w:r>
              <w:rPr>
                <w:rFonts w:ascii="Arial" w:cs="Arial" w:eastAsia="Arial" w:hAnsi="Arial"/>
                <w:sz w:val="18"/>
                <w:szCs w:val="18"/>
                <w:color w:val="auto"/>
              </w:rPr>
              <w:t>sequential results. Significant subsections within this section are as follows:</w:t>
            </w:r>
          </w:p>
        </w:tc>
        <w:tc>
          <w:tcPr>
            <w:tcW w:w="960" w:type="dxa"/>
            <w:vAlign w:val="bottom"/>
          </w:tcPr>
          <w:p>
            <w:pPr>
              <w:spacing w:after="0"/>
              <w:rPr>
                <w:sz w:val="20"/>
                <w:szCs w:val="20"/>
                <w:color w:val="auto"/>
              </w:rPr>
            </w:pPr>
          </w:p>
        </w:tc>
      </w:tr>
      <w:tr>
        <w:trPr>
          <w:trHeight w:val="418"/>
        </w:trPr>
        <w:tc>
          <w:tcPr>
            <w:tcW w:w="10460" w:type="dxa"/>
            <w:vAlign w:val="bottom"/>
            <w:gridSpan w:val="2"/>
          </w:tcPr>
          <w:p>
            <w:pPr>
              <w:ind w:left="220"/>
              <w:spacing w:after="0"/>
              <w:rPr>
                <w:sz w:val="20"/>
                <w:szCs w:val="20"/>
                <w:color w:val="auto"/>
              </w:rPr>
            </w:pPr>
            <w:r>
              <w:rPr>
                <w:rFonts w:ascii="Arial" w:cs="Arial" w:eastAsia="Arial" w:hAnsi="Arial"/>
                <w:sz w:val="18"/>
                <w:szCs w:val="18"/>
                <w:color w:val="auto"/>
              </w:rPr>
              <w:t>Mortgage Services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16"/>
        </w:trPr>
        <w:tc>
          <w:tcPr>
            <w:tcW w:w="10460" w:type="dxa"/>
            <w:vAlign w:val="bottom"/>
            <w:gridSpan w:val="2"/>
          </w:tcPr>
          <w:p>
            <w:pPr>
              <w:ind w:left="220"/>
              <w:spacing w:after="0"/>
              <w:rPr>
                <w:sz w:val="20"/>
                <w:szCs w:val="20"/>
                <w:color w:val="auto"/>
              </w:rPr>
            </w:pPr>
            <w:r>
              <w:rPr>
                <w:rFonts w:ascii="Arial" w:cs="Arial" w:eastAsia="Arial" w:hAnsi="Arial"/>
                <w:sz w:val="18"/>
                <w:szCs w:val="18"/>
                <w:color w:val="auto"/>
              </w:rPr>
              <w:t>Financial Services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30</w:t>
            </w:r>
          </w:p>
        </w:tc>
      </w:tr>
      <w:tr>
        <w:trPr>
          <w:trHeight w:val="230"/>
        </w:trPr>
        <w:tc>
          <w:tcPr>
            <w:tcW w:w="10460" w:type="dxa"/>
            <w:vAlign w:val="bottom"/>
            <w:gridSpan w:val="2"/>
          </w:tcPr>
          <w:p>
            <w:pPr>
              <w:ind w:left="220"/>
              <w:spacing w:after="0"/>
              <w:rPr>
                <w:sz w:val="20"/>
                <w:szCs w:val="20"/>
                <w:color w:val="auto"/>
              </w:rPr>
            </w:pPr>
            <w:r>
              <w:rPr>
                <w:rFonts w:ascii="Arial" w:cs="Arial" w:eastAsia="Arial" w:hAnsi="Arial"/>
                <w:sz w:val="18"/>
                <w:szCs w:val="18"/>
                <w:color w:val="auto"/>
              </w:rPr>
              <w:t>Technology Products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432"/>
        </w:trPr>
        <w:tc>
          <w:tcPr>
            <w:tcW w:w="900" w:type="dxa"/>
            <w:vAlign w:val="bottom"/>
          </w:tcPr>
          <w:p>
            <w:pPr>
              <w:spacing w:after="0"/>
              <w:rPr>
                <w:sz w:val="20"/>
                <w:szCs w:val="20"/>
                <w:color w:val="auto"/>
              </w:rPr>
            </w:pPr>
            <w:r>
              <w:rPr>
                <w:rFonts w:ascii="Arial" w:cs="Arial" w:eastAsia="Arial" w:hAnsi="Arial"/>
                <w:sz w:val="18"/>
                <w:szCs w:val="18"/>
                <w:i w:val="1"/>
                <w:iCs w:val="1"/>
                <w:color w:val="auto"/>
                <w:w w:val="92"/>
              </w:rPr>
              <w:t>SECTION 4</w:t>
            </w:r>
          </w:p>
        </w:tc>
        <w:tc>
          <w:tcPr>
            <w:tcW w:w="956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Liquidity and Capital Resources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33</w:t>
            </w:r>
          </w:p>
        </w:tc>
      </w:tr>
      <w:tr>
        <w:trPr>
          <w:trHeight w:val="323"/>
        </w:trPr>
        <w:tc>
          <w:tcPr>
            <w:tcW w:w="10460" w:type="dxa"/>
            <w:vAlign w:val="bottom"/>
            <w:gridSpan w:val="2"/>
          </w:tcPr>
          <w:p>
            <w:pPr>
              <w:spacing w:after="0"/>
              <w:rPr>
                <w:sz w:val="20"/>
                <w:szCs w:val="20"/>
                <w:color w:val="auto"/>
              </w:rPr>
            </w:pPr>
            <w:r>
              <w:rPr>
                <w:rFonts w:ascii="Arial" w:cs="Arial" w:eastAsia="Arial" w:hAnsi="Arial"/>
                <w:sz w:val="18"/>
                <w:szCs w:val="18"/>
                <w:color w:val="auto"/>
                <w:w w:val="97"/>
              </w:rPr>
              <w:t>The liquidity and capital resources section provides discussion of our ability to generate adequate amounts of cash to meet our current</w:t>
            </w:r>
          </w:p>
        </w:tc>
        <w:tc>
          <w:tcPr>
            <w:tcW w:w="960" w:type="dxa"/>
            <w:vAlign w:val="bottom"/>
          </w:tcPr>
          <w:p>
            <w:pPr>
              <w:spacing w:after="0"/>
              <w:rPr>
                <w:sz w:val="24"/>
                <w:szCs w:val="24"/>
                <w:color w:val="auto"/>
              </w:rPr>
            </w:pPr>
          </w:p>
        </w:tc>
      </w:tr>
      <w:tr>
        <w:trPr>
          <w:trHeight w:val="230"/>
        </w:trPr>
        <w:tc>
          <w:tcPr>
            <w:tcW w:w="10460" w:type="dxa"/>
            <w:vAlign w:val="bottom"/>
            <w:gridSpan w:val="2"/>
          </w:tcPr>
          <w:p>
            <w:pPr>
              <w:spacing w:after="0"/>
              <w:rPr>
                <w:sz w:val="20"/>
                <w:szCs w:val="20"/>
                <w:color w:val="auto"/>
              </w:rPr>
            </w:pPr>
            <w:r>
              <w:rPr>
                <w:rFonts w:ascii="Arial" w:cs="Arial" w:eastAsia="Arial" w:hAnsi="Arial"/>
                <w:sz w:val="18"/>
                <w:szCs w:val="18"/>
                <w:color w:val="auto"/>
              </w:rPr>
              <w:t>and future needs. Significant subsections within this section are as follows:</w:t>
            </w:r>
          </w:p>
        </w:tc>
        <w:tc>
          <w:tcPr>
            <w:tcW w:w="960" w:type="dxa"/>
            <w:vAlign w:val="bottom"/>
          </w:tcPr>
          <w:p>
            <w:pPr>
              <w:spacing w:after="0"/>
              <w:rPr>
                <w:sz w:val="20"/>
                <w:szCs w:val="20"/>
                <w:color w:val="auto"/>
              </w:rPr>
            </w:pPr>
          </w:p>
        </w:tc>
      </w:tr>
      <w:tr>
        <w:trPr>
          <w:trHeight w:val="418"/>
        </w:trPr>
        <w:tc>
          <w:tcPr>
            <w:tcW w:w="900" w:type="dxa"/>
            <w:vAlign w:val="bottom"/>
          </w:tcPr>
          <w:p>
            <w:pPr>
              <w:ind w:left="220"/>
              <w:spacing w:after="0"/>
              <w:rPr>
                <w:sz w:val="20"/>
                <w:szCs w:val="20"/>
                <w:color w:val="auto"/>
              </w:rPr>
            </w:pPr>
            <w:r>
              <w:rPr>
                <w:rFonts w:ascii="Arial" w:cs="Arial" w:eastAsia="Arial" w:hAnsi="Arial"/>
                <w:sz w:val="18"/>
                <w:szCs w:val="18"/>
                <w:color w:val="auto"/>
                <w:w w:val="99"/>
              </w:rPr>
              <w:t>Liquidity</w:t>
            </w:r>
          </w:p>
        </w:tc>
        <w:tc>
          <w:tcPr>
            <w:tcW w:w="956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33</w:t>
            </w:r>
          </w:p>
        </w:tc>
      </w:tr>
      <w:tr>
        <w:trPr>
          <w:trHeight w:val="216"/>
        </w:trPr>
        <w:tc>
          <w:tcPr>
            <w:tcW w:w="10460" w:type="dxa"/>
            <w:vAlign w:val="bottom"/>
            <w:gridSpan w:val="2"/>
          </w:tcPr>
          <w:p>
            <w:pPr>
              <w:ind w:left="220"/>
              <w:spacing w:after="0"/>
              <w:rPr>
                <w:sz w:val="20"/>
                <w:szCs w:val="20"/>
                <w:color w:val="auto"/>
              </w:rPr>
            </w:pPr>
            <w:r>
              <w:rPr>
                <w:rFonts w:ascii="Arial" w:cs="Arial" w:eastAsia="Arial" w:hAnsi="Arial"/>
                <w:sz w:val="18"/>
                <w:szCs w:val="18"/>
                <w:color w:val="auto"/>
              </w:rPr>
              <w:t>Cash Flows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33</w:t>
            </w:r>
          </w:p>
        </w:tc>
      </w:tr>
      <w:tr>
        <w:trPr>
          <w:trHeight w:val="216"/>
        </w:trPr>
        <w:tc>
          <w:tcPr>
            <w:tcW w:w="10460" w:type="dxa"/>
            <w:vAlign w:val="bottom"/>
            <w:gridSpan w:val="2"/>
          </w:tcPr>
          <w:p>
            <w:pPr>
              <w:ind w:left="220"/>
              <w:spacing w:after="0"/>
              <w:rPr>
                <w:sz w:val="20"/>
                <w:szCs w:val="20"/>
                <w:color w:val="auto"/>
              </w:rPr>
            </w:pPr>
            <w:r>
              <w:rPr>
                <w:rFonts w:ascii="Arial" w:cs="Arial" w:eastAsia="Arial" w:hAnsi="Arial"/>
                <w:sz w:val="18"/>
                <w:szCs w:val="18"/>
                <w:color w:val="auto"/>
              </w:rPr>
              <w:t>Liquidity Requirements after March 31, 2010</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34</w:t>
            </w:r>
          </w:p>
        </w:tc>
      </w:tr>
      <w:tr>
        <w:trPr>
          <w:trHeight w:val="216"/>
        </w:trPr>
        <w:tc>
          <w:tcPr>
            <w:tcW w:w="10460" w:type="dxa"/>
            <w:vAlign w:val="bottom"/>
            <w:gridSpan w:val="2"/>
          </w:tcPr>
          <w:p>
            <w:pPr>
              <w:ind w:left="220"/>
              <w:spacing w:after="0"/>
              <w:rPr>
                <w:sz w:val="20"/>
                <w:szCs w:val="20"/>
                <w:color w:val="auto"/>
              </w:rPr>
            </w:pPr>
            <w:r>
              <w:rPr>
                <w:rFonts w:ascii="Arial" w:cs="Arial" w:eastAsia="Arial" w:hAnsi="Arial"/>
                <w:sz w:val="18"/>
                <w:szCs w:val="18"/>
                <w:color w:val="auto"/>
              </w:rPr>
              <w:t>Capital Resources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34</w:t>
            </w:r>
          </w:p>
        </w:tc>
      </w:tr>
      <w:tr>
        <w:trPr>
          <w:trHeight w:val="230"/>
        </w:trPr>
        <w:tc>
          <w:tcPr>
            <w:tcW w:w="10460" w:type="dxa"/>
            <w:vAlign w:val="bottom"/>
            <w:gridSpan w:val="2"/>
          </w:tcPr>
          <w:p>
            <w:pPr>
              <w:ind w:left="220"/>
              <w:spacing w:after="0"/>
              <w:rPr>
                <w:sz w:val="20"/>
                <w:szCs w:val="20"/>
                <w:color w:val="auto"/>
              </w:rPr>
            </w:pPr>
            <w:r>
              <w:rPr>
                <w:rFonts w:ascii="Arial" w:cs="Arial" w:eastAsia="Arial" w:hAnsi="Arial"/>
                <w:sz w:val="18"/>
                <w:szCs w:val="18"/>
                <w:color w:val="auto"/>
              </w:rPr>
              <w:t>Commitments and Contingencies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34</w:t>
            </w:r>
          </w:p>
        </w:tc>
      </w:tr>
      <w:tr>
        <w:trPr>
          <w:trHeight w:val="432"/>
        </w:trPr>
        <w:tc>
          <w:tcPr>
            <w:tcW w:w="900" w:type="dxa"/>
            <w:vAlign w:val="bottom"/>
          </w:tcPr>
          <w:p>
            <w:pPr>
              <w:spacing w:after="0"/>
              <w:rPr>
                <w:sz w:val="20"/>
                <w:szCs w:val="20"/>
                <w:color w:val="auto"/>
              </w:rPr>
            </w:pPr>
            <w:r>
              <w:rPr>
                <w:rFonts w:ascii="Arial" w:cs="Arial" w:eastAsia="Arial" w:hAnsi="Arial"/>
                <w:sz w:val="18"/>
                <w:szCs w:val="18"/>
                <w:i w:val="1"/>
                <w:iCs w:val="1"/>
                <w:color w:val="auto"/>
                <w:w w:val="92"/>
              </w:rPr>
              <w:t>SECTION 5</w:t>
            </w:r>
          </w:p>
        </w:tc>
        <w:tc>
          <w:tcPr>
            <w:tcW w:w="956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Critical Accounting Policies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34</w:t>
            </w:r>
          </w:p>
        </w:tc>
      </w:tr>
      <w:tr>
        <w:trPr>
          <w:trHeight w:val="432"/>
        </w:trPr>
        <w:tc>
          <w:tcPr>
            <w:tcW w:w="900" w:type="dxa"/>
            <w:vAlign w:val="bottom"/>
          </w:tcPr>
          <w:p>
            <w:pPr>
              <w:spacing w:after="0"/>
              <w:rPr>
                <w:sz w:val="20"/>
                <w:szCs w:val="20"/>
                <w:color w:val="auto"/>
              </w:rPr>
            </w:pPr>
            <w:r>
              <w:rPr>
                <w:rFonts w:ascii="Arial" w:cs="Arial" w:eastAsia="Arial" w:hAnsi="Arial"/>
                <w:sz w:val="18"/>
                <w:szCs w:val="18"/>
                <w:i w:val="1"/>
                <w:iCs w:val="1"/>
                <w:color w:val="auto"/>
                <w:w w:val="92"/>
              </w:rPr>
              <w:t>SECTION 6</w:t>
            </w:r>
          </w:p>
        </w:tc>
        <w:tc>
          <w:tcPr>
            <w:tcW w:w="956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Other Matters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34</w:t>
            </w:r>
          </w:p>
        </w:tc>
      </w:tr>
      <w:tr>
        <w:trPr>
          <w:trHeight w:val="323"/>
        </w:trPr>
        <w:tc>
          <w:tcPr>
            <w:tcW w:w="10460" w:type="dxa"/>
            <w:vAlign w:val="bottom"/>
            <w:gridSpan w:val="2"/>
          </w:tcPr>
          <w:p>
            <w:pPr>
              <w:spacing w:after="0"/>
              <w:rPr>
                <w:sz w:val="20"/>
                <w:szCs w:val="20"/>
                <w:color w:val="auto"/>
              </w:rPr>
            </w:pPr>
            <w:r>
              <w:rPr>
                <w:rFonts w:ascii="Arial" w:cs="Arial" w:eastAsia="Arial" w:hAnsi="Arial"/>
                <w:sz w:val="18"/>
                <w:szCs w:val="18"/>
                <w:color w:val="auto"/>
                <w:w w:val="95"/>
              </w:rPr>
              <w:t>The other matters section provides a discussion of related party transactions and provisions of the various separation related agreements</w:t>
            </w:r>
          </w:p>
        </w:tc>
        <w:tc>
          <w:tcPr>
            <w:tcW w:w="960" w:type="dxa"/>
            <w:vAlign w:val="bottom"/>
          </w:tcPr>
          <w:p>
            <w:pPr>
              <w:spacing w:after="0"/>
              <w:rPr>
                <w:sz w:val="24"/>
                <w:szCs w:val="24"/>
                <w:color w:val="auto"/>
              </w:rPr>
            </w:pPr>
          </w:p>
        </w:tc>
      </w:tr>
      <w:tr>
        <w:trPr>
          <w:trHeight w:val="230"/>
        </w:trPr>
        <w:tc>
          <w:tcPr>
            <w:tcW w:w="10460" w:type="dxa"/>
            <w:vAlign w:val="bottom"/>
            <w:gridSpan w:val="2"/>
          </w:tcPr>
          <w:p>
            <w:pPr>
              <w:spacing w:after="0"/>
              <w:rPr>
                <w:sz w:val="20"/>
                <w:szCs w:val="20"/>
                <w:color w:val="auto"/>
              </w:rPr>
            </w:pPr>
            <w:r>
              <w:rPr>
                <w:rFonts w:ascii="Arial" w:cs="Arial" w:eastAsia="Arial" w:hAnsi="Arial"/>
                <w:sz w:val="18"/>
                <w:szCs w:val="18"/>
                <w:color w:val="auto"/>
              </w:rPr>
              <w:t>with Ocwen.</w:t>
            </w:r>
          </w:p>
        </w:tc>
        <w:tc>
          <w:tcPr>
            <w:tcW w:w="960" w:type="dxa"/>
            <w:vAlign w:val="bottom"/>
          </w:tcPr>
          <w:p>
            <w:pPr>
              <w:spacing w:after="0"/>
              <w:rPr>
                <w:sz w:val="20"/>
                <w:szCs w:val="20"/>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i w:val="1"/>
                <w:iCs w:val="1"/>
                <w:color w:val="auto"/>
                <w:w w:val="92"/>
              </w:rPr>
              <w:t>SECTION 7</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 Forward Looking Statements</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35</w:t>
            </w:r>
          </w:p>
        </w:tc>
      </w:tr>
      <w:tr>
        <w:trPr>
          <w:trHeight w:val="405"/>
        </w:trPr>
        <w:tc>
          <w:tcPr>
            <w:tcW w:w="900" w:type="dxa"/>
            <w:vAlign w:val="bottom"/>
          </w:tcPr>
          <w:p>
            <w:pPr>
              <w:spacing w:after="0"/>
              <w:rPr>
                <w:sz w:val="24"/>
                <w:szCs w:val="24"/>
                <w:color w:val="auto"/>
              </w:rPr>
            </w:pPr>
          </w:p>
        </w:tc>
        <w:tc>
          <w:tcPr>
            <w:tcW w:w="9560" w:type="dxa"/>
            <w:vAlign w:val="bottom"/>
          </w:tcPr>
          <w:p>
            <w:pPr>
              <w:ind w:left="4720"/>
              <w:spacing w:after="0"/>
              <w:rPr>
                <w:sz w:val="20"/>
                <w:szCs w:val="20"/>
                <w:color w:val="auto"/>
              </w:rPr>
            </w:pPr>
            <w:r>
              <w:rPr>
                <w:rFonts w:ascii="Arial" w:cs="Arial" w:eastAsia="Arial" w:hAnsi="Arial"/>
                <w:sz w:val="18"/>
                <w:szCs w:val="18"/>
                <w:color w:val="auto"/>
              </w:rPr>
              <w:t>19</w:t>
            </w:r>
          </w:p>
        </w:tc>
        <w:tc>
          <w:tcPr>
            <w:tcW w:w="960" w:type="dxa"/>
            <w:vAlign w:val="bottom"/>
          </w:tcPr>
          <w:p>
            <w:pPr>
              <w:spacing w:after="0"/>
              <w:rPr>
                <w:sz w:val="24"/>
                <w:szCs w:val="24"/>
                <w:color w:val="auto"/>
              </w:rPr>
            </w:pPr>
          </w:p>
        </w:tc>
      </w:tr>
      <w:tr>
        <w:trPr>
          <w:trHeight w:val="226"/>
        </w:trPr>
        <w:tc>
          <w:tcPr>
            <w:tcW w:w="90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 — OVERVIEW</w:t>
      </w:r>
    </w:p>
    <w:p>
      <w:pPr>
        <w:spacing w:after="0" w:line="121" w:lineRule="exact"/>
        <w:rPr>
          <w:sz w:val="20"/>
          <w:szCs w:val="20"/>
          <w:color w:val="auto"/>
        </w:rPr>
      </w:pPr>
    </w:p>
    <w:p>
      <w:pPr>
        <w:ind w:right="400" w:firstLine="215"/>
        <w:spacing w:after="0" w:line="264" w:lineRule="auto"/>
        <w:rPr>
          <w:sz w:val="20"/>
          <w:szCs w:val="20"/>
          <w:color w:val="auto"/>
        </w:rPr>
      </w:pPr>
      <w:r>
        <w:rPr>
          <w:rFonts w:ascii="Arial" w:cs="Arial" w:eastAsia="Arial" w:hAnsi="Arial"/>
          <w:sz w:val="18"/>
          <w:szCs w:val="18"/>
          <w:color w:val="auto"/>
        </w:rPr>
        <w:t>Altisource is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we provide solutions that improve clients’ performance and maximize their returns.</w:t>
      </w:r>
    </w:p>
    <w:p>
      <w:pPr>
        <w:spacing w:after="0" w:line="73"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Our objective is to become a global knowledge process provider focused on the entire mortgage services lifecycle and credit to cash lifecycle management spaces. We intend to achieve this objective by executing on our strategies of penetrating existing customers, acquiring new customers, continuing to focus on increasing quality and reducing costs and investing in new service offerings.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Separation</w:t>
      </w:r>
    </w:p>
    <w:p>
      <w:pPr>
        <w:spacing w:after="0" w:line="117"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On August 10, 2009, Altisource became a stand-alone public company in connection with our Separation from Ocwen. In connection with the Separation, Altisource and Ocwen entered into Agreements that address the allocation of assets and liabilities between them and that define their relationship after the Separation. Additional information may be found in Note 1 to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Presentation</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accompanying condensed consolidated financial statements present the historical results of operations, assets and liabilities attributable to the Altisource businesses. For periods prior to the Separation Date, these condensed consolidated financial statements include allocations of expenses from Ocwen for certain corporate functions. Total corporate costs allocated to the Company were $1.9 million for the three months ended March 31, 2009. The charges for these functions are included primarily in “Selling, general and administrative expenses” in the Condensed Consolidated Statements of Operations. In addition, Ocwen had allocated interest expense to us based upon our portion of assets to Ocwen’s total assets which is reflected as “Interest expense” in the Condensed Consolidated Statements of Operations. Other than transition servicers, there have been no allocations of Ocwen expenses charged to us since the Separation Date.</w:t>
      </w:r>
    </w:p>
    <w:p>
      <w:pPr>
        <w:spacing w:after="0" w:line="81"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In February 2010, we acquired all of the outstanding membership interests of MPA. MPA was formed as a Delaware limited liability company with the purpose of managing BPMC which operates as Lenders One. Lenders One is a national alliance of independent mortgage bankers that provides its Members with education and training along with revenue enhancing, cost reducing and market share expanding opportunities. The results of operations of BPMC are consolidated under the variable interest model.</w:t>
      </w:r>
    </w:p>
    <w:p>
      <w:pPr>
        <w:spacing w:after="0" w:line="79" w:lineRule="exact"/>
        <w:rPr>
          <w:sz w:val="20"/>
          <w:szCs w:val="20"/>
          <w:color w:val="auto"/>
        </w:rPr>
      </w:pPr>
    </w:p>
    <w:p>
      <w:pPr>
        <w:jc w:val="both"/>
        <w:ind w:right="120" w:firstLine="222"/>
        <w:spacing w:after="0" w:line="279" w:lineRule="auto"/>
        <w:rPr>
          <w:sz w:val="20"/>
          <w:szCs w:val="20"/>
          <w:color w:val="auto"/>
        </w:rPr>
      </w:pPr>
      <w:r>
        <w:rPr>
          <w:rFonts w:ascii="Arial" w:cs="Arial" w:eastAsia="Arial" w:hAnsi="Arial"/>
          <w:sz w:val="17"/>
          <w:szCs w:val="17"/>
          <w:color w:val="auto"/>
        </w:rPr>
        <w:t>The condensed consolidated financial statements also do not necessarily reflect what the Company’s consolidated results of operations, financial position and cash flows would have been had the Company operated as an independent company during the entire periods presented. For instance, as an independent public company, Altisource expects to incur costs in excess of those allocated by Ocwen for maintaining a separate Board of Directors, obtaining a separate audit, relocating certain executive management and hiring additional personnel.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In addition to the items noted within the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section presented above, the following additional item may impact the comparability of our results:</w:t>
      </w:r>
    </w:p>
    <w:p>
      <w:pPr>
        <w:spacing w:after="0" w:line="62" w:lineRule="exact"/>
        <w:rPr>
          <w:sz w:val="20"/>
          <w:szCs w:val="20"/>
          <w:color w:val="auto"/>
        </w:rPr>
      </w:pPr>
    </w:p>
    <w:p>
      <w:pPr>
        <w:ind w:left="660" w:right="300" w:hanging="324"/>
        <w:spacing w:after="0" w:line="277" w:lineRule="auto"/>
        <w:rPr>
          <w:sz w:val="20"/>
          <w:szCs w:val="20"/>
          <w:color w:val="auto"/>
        </w:rPr>
      </w:pPr>
      <w:r>
        <w:rPr>
          <w:rFonts w:ascii="Arial" w:cs="Arial" w:eastAsia="Arial" w:hAnsi="Arial"/>
          <w:sz w:val="18"/>
          <w:szCs w:val="18"/>
          <w:color w:val="auto"/>
        </w:rPr>
        <w:t>— $0.5 million increase in Mortgage Services revenues due to our semi-annual review of the time it takes to sell REO properties which impacts the timing over which we recognize property preservation revenues.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 — 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21"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Following is a discussion of our consolidated results of operations for the periods indicated. The following table sets forth information regarding our results of operations for the periods ended March 31, 2010 and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color w:val="auto"/>
                <w:w w:val="95"/>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right"/>
              <w:ind w:right="212"/>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680" w:type="dxa"/>
            <w:vAlign w:val="bottom"/>
          </w:tcPr>
          <w:p>
            <w:pPr>
              <w:jc w:val="right"/>
              <w:ind w:right="192"/>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1"/>
              <w:spacing w:after="0"/>
              <w:rPr>
                <w:sz w:val="20"/>
                <w:szCs w:val="20"/>
                <w:color w:val="auto"/>
              </w:rPr>
            </w:pPr>
            <w:r>
              <w:rPr>
                <w:rFonts w:ascii="Arial" w:cs="Arial" w:eastAsia="Arial" w:hAnsi="Arial"/>
                <w:sz w:val="14"/>
                <w:szCs w:val="14"/>
                <w:color w:val="auto"/>
              </w:rPr>
              <w:t>2010</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rPr>
              <w:t>Change</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60,974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42,619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18,355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Cost of Revenue</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38,390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28,003</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10,387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22,584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14,616</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7,968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13,033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5,555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7,138</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Expense, net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(619)</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547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2,960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Provision</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(2,385)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(2,080)</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(305)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2,655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(787)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4,439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1,868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28,736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18,723</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(1,619)</w:t>
            </w: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6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569</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our revenues for the periods ended March 31, 2010 and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color w:val="auto"/>
                <w:w w:val="95"/>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right"/>
              <w:ind w:right="214"/>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680" w:type="dxa"/>
            <w:vAlign w:val="bottom"/>
          </w:tcPr>
          <w:p>
            <w:pPr>
              <w:jc w:val="right"/>
              <w:ind w:right="194"/>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2010</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rPr>
              <w:t>Change</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36,795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17,700</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19,095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Financial Services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15,633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17,318</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(1,685)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Technology Products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11,974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10,573</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1,401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Eliminations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(3,428)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(2,972)</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(456)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60,974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42,619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18,355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Services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24,247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13,312</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10,935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200"/>
              <w:spacing w:after="0"/>
              <w:rPr>
                <w:sz w:val="20"/>
                <w:szCs w:val="20"/>
                <w:color w:val="auto"/>
              </w:rPr>
            </w:pPr>
            <w:r>
              <w:rPr>
                <w:rFonts w:ascii="Arial" w:cs="Arial" w:eastAsia="Arial" w:hAnsi="Arial"/>
                <w:sz w:val="18"/>
                <w:szCs w:val="18"/>
                <w:color w:val="auto"/>
              </w:rPr>
              <w:t>Financial Services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35</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 Products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4,438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5,395</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(957)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firstLine="225"/>
        <w:spacing w:after="0" w:line="342" w:lineRule="auto"/>
        <w:rPr>
          <w:sz w:val="20"/>
          <w:szCs w:val="20"/>
          <w:color w:val="auto"/>
        </w:rPr>
      </w:pPr>
      <w:r>
        <w:rPr>
          <w:rFonts w:ascii="Arial" w:cs="Arial" w:eastAsia="Arial" w:hAnsi="Arial"/>
          <w:sz w:val="16"/>
          <w:szCs w:val="16"/>
          <w:color w:val="auto"/>
        </w:rPr>
        <w:t>Revenues for the three months ended March 31, 2010 increased to $61.0 million, a 43% increase over the comparable three months for 2009. In addition, we achieved a 8% sequential increase in revenues despite a decline in Financial Services revenues and a decline in foreclosure starts in January and February.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200" w:firstLine="215"/>
        <w:spacing w:after="0" w:line="255" w:lineRule="auto"/>
        <w:rPr>
          <w:sz w:val="20"/>
          <w:szCs w:val="20"/>
          <w:color w:val="auto"/>
        </w:rPr>
      </w:pPr>
      <w:r>
        <w:rPr>
          <w:rFonts w:ascii="Arial" w:cs="Arial" w:eastAsia="Arial" w:hAnsi="Arial"/>
          <w:sz w:val="18"/>
          <w:szCs w:val="18"/>
          <w:color w:val="auto"/>
        </w:rPr>
        <w:t>At the end of the first quarter, we achieved a significant milestone by completing our national rollout of property preservation services. As of March 31</w:t>
      </w:r>
      <w:r>
        <w:rPr>
          <w:rFonts w:ascii="Arial" w:cs="Arial" w:eastAsia="Arial" w:hAnsi="Arial"/>
          <w:sz w:val="15"/>
          <w:szCs w:val="15"/>
          <w:color w:val="auto"/>
        </w:rPr>
        <w:t>st</w:t>
      </w:r>
      <w:r>
        <w:rPr>
          <w:rFonts w:ascii="Arial" w:cs="Arial" w:eastAsia="Arial" w:hAnsi="Arial"/>
          <w:sz w:val="18"/>
          <w:szCs w:val="18"/>
          <w:color w:val="auto"/>
        </w:rPr>
        <w:t xml:space="preserve"> we had over 7,500 properties under management with respect to property preservation as compared to approximately 3,000 at year-end. In addition, we obtained national coverage of our REO disposition services and as of March 31</w:t>
      </w:r>
      <w:r>
        <w:rPr>
          <w:rFonts w:ascii="Arial" w:cs="Arial" w:eastAsia="Arial" w:hAnsi="Arial"/>
          <w:sz w:val="15"/>
          <w:szCs w:val="15"/>
          <w:color w:val="auto"/>
        </w:rPr>
        <w:t>st</w:t>
      </w:r>
      <w:r>
        <w:rPr>
          <w:rFonts w:ascii="Arial" w:cs="Arial" w:eastAsia="Arial" w:hAnsi="Arial"/>
          <w:sz w:val="18"/>
          <w:szCs w:val="18"/>
          <w:color w:val="auto"/>
        </w:rPr>
        <w:t>, had over 4,800 properties listed with REO brokers compared to approximately 3,500 at year end. The last significant piece of our national default-oriented services rollout includes the geographic expansion of default management services and title agency services. We are still on target to complete the rollout during the remainder of 2010 to the extent the timing is within our control.</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acquisition of MPA added approximately $2.3 million of revenue.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revenues are seasonal. More specifically, Financial Services revenues tend to be highest in the first quarter and generally declines throughout the year.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Mortgage Services revenue is impacted by REO sales which tend to be at their lowest level during winter months and highest during summer months.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2010, we believe that we will be able to continue to grow our revenues when compared to prior periods for several reasons:</w:t>
      </w:r>
    </w:p>
    <w:p>
      <w:pPr>
        <w:spacing w:after="0" w:line="117" w:lineRule="exact"/>
        <w:rPr>
          <w:sz w:val="20"/>
          <w:szCs w:val="20"/>
          <w:color w:val="auto"/>
        </w:rPr>
      </w:pPr>
    </w:p>
    <w:p>
      <w:pPr>
        <w:ind w:left="660" w:hanging="314"/>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Continued geographic expansion of our Mortgage Services products capturing a greater share of revenues related to loans serviced by Ocwen;</w:t>
      </w:r>
    </w:p>
    <w:p>
      <w:pPr>
        <w:spacing w:after="0" w:line="142" w:lineRule="exact"/>
        <w:rPr>
          <w:rFonts w:ascii="Arial" w:cs="Arial" w:eastAsia="Arial" w:hAnsi="Arial"/>
          <w:sz w:val="17"/>
          <w:szCs w:val="17"/>
          <w:b w:val="1"/>
          <w:bCs w:val="1"/>
          <w:color w:val="auto"/>
        </w:rPr>
      </w:pPr>
    </w:p>
    <w:p>
      <w:pPr>
        <w:ind w:left="660" w:right="20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Expansion of Ocwen’s residential loan portfolio including the $9.7 billion increase in unpaid principal balance boarded in November 2009 and the $6.9 billion increase in unpaid principal balance boarded in May 2010;</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Inclusion of MPA since the February 2010 acquisition date;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Greater penetration of existing Financial Services clients.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320" w:firstLine="225"/>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roles; fees paid to external providers related to provision of services, reimbursable expenses and technology and telephony expenses as well as depreciation and amortization of operating assets. The components of cost of revenue were as follows for the periods ended March 31, 2010 and 2009: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color w:val="auto"/>
                <w:w w:val="97"/>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jc w:val="right"/>
              <w:ind w:right="215"/>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680" w:type="dxa"/>
            <w:vAlign w:val="bottom"/>
          </w:tcPr>
          <w:p>
            <w:pPr>
              <w:jc w:val="right"/>
              <w:ind w:right="195"/>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gridSpan w:val="2"/>
          </w:tcPr>
          <w:p>
            <w:pPr>
              <w:jc w:val="right"/>
              <w:ind w:right="110"/>
              <w:spacing w:after="0"/>
              <w:rPr>
                <w:sz w:val="20"/>
                <w:szCs w:val="20"/>
                <w:color w:val="auto"/>
              </w:rPr>
            </w:pPr>
            <w:r>
              <w:rPr>
                <w:rFonts w:ascii="Arial" w:cs="Arial" w:eastAsia="Arial" w:hAnsi="Arial"/>
                <w:sz w:val="14"/>
                <w:szCs w:val="14"/>
                <w:color w:val="auto"/>
              </w:rPr>
              <w:t>2010</w:t>
            </w:r>
          </w:p>
        </w:tc>
        <w:tc>
          <w:tcPr>
            <w:tcW w:w="72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2009</w:t>
            </w:r>
          </w:p>
        </w:tc>
        <w:tc>
          <w:tcPr>
            <w:tcW w:w="72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rPr>
              <w:t>Change</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$ 13,999</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$ 13,074</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925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1980" w:type="dxa"/>
            <w:vAlign w:val="bottom"/>
            <w:gridSpan w:val="3"/>
          </w:tcPr>
          <w:p>
            <w:pPr>
              <w:jc w:val="right"/>
              <w:ind w:right="720"/>
              <w:spacing w:after="0"/>
              <w:rPr>
                <w:sz w:val="20"/>
                <w:szCs w:val="20"/>
                <w:color w:val="auto"/>
              </w:rPr>
            </w:pPr>
            <w:r>
              <w:rPr>
                <w:rFonts w:ascii="Arial" w:cs="Arial" w:eastAsia="Arial" w:hAnsi="Arial"/>
                <w:sz w:val="18"/>
                <w:szCs w:val="18"/>
                <w:color w:val="auto"/>
              </w:rPr>
              <w:t>12,460</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9,598</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2,862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Expense Reimbursements</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7,882</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1,006</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6,876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w:t>
            </w:r>
          </w:p>
        </w:tc>
        <w:tc>
          <w:tcPr>
            <w:tcW w:w="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72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(276)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 of Revenue</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$ 38,390</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$ 28,003</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10,387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00" w:type="dxa"/>
            <w:vAlign w:val="bottom"/>
            <w:gridSpan w:val="2"/>
          </w:tcPr>
          <w:p>
            <w:pPr>
              <w:spacing w:after="0"/>
              <w:rPr>
                <w:sz w:val="20"/>
                <w:szCs w:val="20"/>
                <w:color w:val="auto"/>
              </w:rPr>
            </w:pPr>
            <w:r>
              <w:rPr>
                <w:rFonts w:ascii="Arial" w:cs="Arial" w:eastAsia="Arial" w:hAnsi="Arial"/>
                <w:sz w:val="18"/>
                <w:szCs w:val="18"/>
                <w:color w:val="auto"/>
              </w:rPr>
              <w:t>Gross Margin Percentage</w:t>
            </w:r>
          </w:p>
        </w:tc>
        <w:tc>
          <w:tcPr>
            <w:tcW w:w="580" w:type="dxa"/>
            <w:vAlign w:val="bottom"/>
          </w:tcPr>
          <w:p>
            <w:pPr>
              <w:spacing w:after="0"/>
              <w:rPr>
                <w:sz w:val="24"/>
                <w:szCs w:val="2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37%</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Our gross margin percentage increased to 37% for the three months ended March 31, 2010 from 34% for the same period in 2009. The increase in gross margin results from the composition of revenues being more weighted towards Mortgage Services which have higher margins and the recent acquisition of MPA and its consolidated subsidiary.</w:t>
      </w:r>
    </w:p>
    <w:p>
      <w:pPr>
        <w:spacing w:after="0" w:line="73"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Compensation and benefits costs were impacted by investments in asset management, default management and title personnel to support the national rollout of services and in anticipation of the growth in Ocwen’s residential loan portfolio. In addition, we continue to seek ways of reducing our compensation costs within our Financial Services segment primarily by redistributing collectors to less expensive locations. During the first quarter we also sought to improve our reporting by isolating compensation costs associated with segment executive management and segment marketing activities and reclassifying such costs to be a component of selling, general and administrative. Where possible, we have adjusted the prior period to be consistent with the current presentation.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200" w:firstLine="450"/>
        <w:spacing w:after="0" w:line="259" w:lineRule="auto"/>
        <w:rPr>
          <w:sz w:val="20"/>
          <w:szCs w:val="20"/>
          <w:color w:val="auto"/>
        </w:rPr>
      </w:pPr>
      <w:r>
        <w:rPr>
          <w:rFonts w:ascii="Arial" w:cs="Arial" w:eastAsia="Arial" w:hAnsi="Arial"/>
          <w:sz w:val="18"/>
          <w:szCs w:val="18"/>
          <w:color w:val="auto"/>
        </w:rPr>
        <w:t>Outside fees and services primarily increased in our Mortgage Services segment consistent with greater revenues from our new services. Outside fees and services also increased in our Financial Services segment as we are attempting to collect on more accounts in 2010 than in 2009 and therefore incurred greater costs. Our Financial Services segment also increased its use of external collectors resulting in a shift in costs from compensation and benefits to outside fees and services.</w:t>
      </w:r>
    </w:p>
    <w:p>
      <w:pPr>
        <w:spacing w:after="0" w:line="79" w:lineRule="exact"/>
        <w:rPr>
          <w:sz w:val="20"/>
          <w:szCs w:val="20"/>
          <w:color w:val="auto"/>
        </w:rPr>
      </w:pPr>
    </w:p>
    <w:p>
      <w:pPr>
        <w:ind w:right="520" w:firstLine="447"/>
        <w:spacing w:after="0" w:line="277" w:lineRule="auto"/>
        <w:rPr>
          <w:sz w:val="20"/>
          <w:szCs w:val="20"/>
          <w:color w:val="auto"/>
        </w:rPr>
      </w:pPr>
      <w:r>
        <w:rPr>
          <w:rFonts w:ascii="Arial" w:cs="Arial" w:eastAsia="Arial" w:hAnsi="Arial"/>
          <w:sz w:val="18"/>
          <w:szCs w:val="18"/>
          <w:color w:val="auto"/>
        </w:rPr>
        <w:t>Technology and communication costs were relatively flat as increases related to the new data center were generally offset by other cost reduction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60" w:firstLine="450"/>
        <w:spacing w:after="0" w:line="312" w:lineRule="auto"/>
        <w:rPr>
          <w:sz w:val="20"/>
          <w:szCs w:val="20"/>
          <w:color w:val="auto"/>
        </w:rPr>
      </w:pPr>
      <w:r>
        <w:rPr>
          <w:rFonts w:ascii="Arial" w:cs="Arial" w:eastAsia="Arial" w:hAnsi="Arial"/>
          <w:sz w:val="16"/>
          <w:szCs w:val="16"/>
          <w:color w:val="auto"/>
        </w:rPr>
        <w:t>Selling, general and administrative expenses include payroll, employee benefits, occupancy and other costs associated with personnel employed in executive, sales, marketing, human resources and finance roles. This category also includes professional fees, depreciation and amortization on non-operating assets. The components of selling, general and administrative expenses were as follows for the periods ended March 31, 2010 and 2009: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color w:val="auto"/>
                <w:w w:val="92"/>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jc w:val="right"/>
              <w:ind w:right="214"/>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680" w:type="dxa"/>
            <w:vAlign w:val="bottom"/>
          </w:tcPr>
          <w:p>
            <w:pPr>
              <w:jc w:val="right"/>
              <w:ind w:right="194"/>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gridSpan w:val="2"/>
          </w:tcPr>
          <w:p>
            <w:pPr>
              <w:jc w:val="right"/>
              <w:ind w:right="110"/>
              <w:spacing w:after="0"/>
              <w:rPr>
                <w:sz w:val="20"/>
                <w:szCs w:val="20"/>
                <w:color w:val="auto"/>
              </w:rPr>
            </w:pPr>
            <w:r>
              <w:rPr>
                <w:rFonts w:ascii="Arial" w:cs="Arial" w:eastAsia="Arial" w:hAnsi="Arial"/>
                <w:sz w:val="14"/>
                <w:szCs w:val="14"/>
                <w:color w:val="auto"/>
              </w:rPr>
              <w:t>2010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2009</w:t>
            </w:r>
          </w:p>
        </w:tc>
        <w:tc>
          <w:tcPr>
            <w:tcW w:w="72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rPr>
              <w:t>Change</w:t>
            </w:r>
          </w:p>
        </w:tc>
        <w:tc>
          <w:tcPr>
            <w:tcW w:w="780" w:type="dxa"/>
            <w:vAlign w:val="bottom"/>
            <w:gridSpan w:val="2"/>
          </w:tcPr>
          <w:p>
            <w:pPr>
              <w:ind w:lef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4,040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1,943</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2,097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Professional Services</w:t>
            </w:r>
          </w:p>
        </w:tc>
        <w:tc>
          <w:tcPr>
            <w:tcW w:w="1980" w:type="dxa"/>
            <w:vAlign w:val="bottom"/>
            <w:gridSpan w:val="3"/>
          </w:tcPr>
          <w:p>
            <w:pPr>
              <w:jc w:val="right"/>
              <w:ind w:right="720"/>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827</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2,117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2,135</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980" w:type="dxa"/>
            <w:vAlign w:val="bottom"/>
            <w:gridSpan w:val="3"/>
          </w:tcPr>
          <w:p>
            <w:pPr>
              <w:jc w:val="right"/>
              <w:ind w:right="720"/>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637</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552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1,935</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Total Selling, General and Administrative Expenses</w:t>
            </w: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$ 13,033</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72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5,555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Margin</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firstLine="450"/>
        <w:spacing w:after="0" w:line="277" w:lineRule="auto"/>
        <w:rPr>
          <w:sz w:val="20"/>
          <w:szCs w:val="20"/>
          <w:color w:val="auto"/>
        </w:rPr>
      </w:pPr>
      <w:r>
        <w:rPr>
          <w:rFonts w:ascii="Arial" w:cs="Arial" w:eastAsia="Arial" w:hAnsi="Arial"/>
          <w:sz w:val="18"/>
          <w:szCs w:val="18"/>
          <w:color w:val="auto"/>
        </w:rPr>
        <w:t>Our operating margin percentage decreased to 16% for the three months ended March 31, 2010 primarily as a result of the increase costs of being a separate public company.</w:t>
      </w:r>
    </w:p>
    <w:p>
      <w:pPr>
        <w:spacing w:after="0" w:line="62" w:lineRule="exact"/>
        <w:rPr>
          <w:sz w:val="20"/>
          <w:szCs w:val="20"/>
          <w:color w:val="auto"/>
        </w:rPr>
      </w:pPr>
    </w:p>
    <w:p>
      <w:pPr>
        <w:jc w:val="both"/>
        <w:ind w:right="400" w:firstLine="450"/>
        <w:spacing w:after="0" w:line="264" w:lineRule="auto"/>
        <w:rPr>
          <w:sz w:val="20"/>
          <w:szCs w:val="20"/>
          <w:color w:val="auto"/>
        </w:rPr>
      </w:pPr>
      <w:r>
        <w:rPr>
          <w:rFonts w:ascii="Arial" w:cs="Arial" w:eastAsia="Arial" w:hAnsi="Arial"/>
          <w:sz w:val="18"/>
          <w:szCs w:val="18"/>
          <w:color w:val="auto"/>
        </w:rPr>
        <w:t>Compensation and benefits has increased to the prior year primarily as a result of the cost of being a separate public company and the need to have separate support functions such as accounting, legal and human resources as well as to the previously mentioned reclassification of certain executive and marketing related compensation costs from cost of revenues.</w:t>
      </w:r>
    </w:p>
    <w:p>
      <w:pPr>
        <w:spacing w:after="0" w:line="73"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Professional services increased primarily due to an increase in legal fees, including miscellaneous settlements within our financial services segment as well as the cost of a separate public company audit and related services.</w:t>
      </w:r>
    </w:p>
    <w:p>
      <w:pPr>
        <w:spacing w:after="0" w:line="62"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color w:val="auto"/>
        </w:rPr>
        <w:t>Occupancy and equipment in both 2009 periods was relatively unchanged from the comparable prior year periods as decreases associated with lease facility closure costs in Financial Services were offset by increases in data center and other facility costs.</w:t>
      </w:r>
    </w:p>
    <w:p>
      <w:pPr>
        <w:spacing w:after="0" w:line="62"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Amortization of intangible assets increased as a result of the intangibles acquired in connection with the acquisition of MPA (see Notes 3 and 7 to the condensed consolidated financial statements).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117" w:lineRule="exact"/>
        <w:rPr>
          <w:sz w:val="20"/>
          <w:szCs w:val="20"/>
          <w:color w:val="auto"/>
        </w:rPr>
      </w:pPr>
    </w:p>
    <w:p>
      <w:pPr>
        <w:ind w:right="120" w:firstLine="440"/>
        <w:spacing w:after="0" w:line="289" w:lineRule="auto"/>
        <w:rPr>
          <w:sz w:val="20"/>
          <w:szCs w:val="20"/>
          <w:color w:val="auto"/>
        </w:rPr>
      </w:pPr>
      <w:r>
        <w:rPr>
          <w:rFonts w:ascii="Arial" w:cs="Arial" w:eastAsia="Arial" w:hAnsi="Arial"/>
          <w:sz w:val="16"/>
          <w:szCs w:val="16"/>
          <w:color w:val="auto"/>
        </w:rPr>
        <w:t>Altisource evaluates performance based on several factors, of which a primary financial measure is income before interest, tax, depreciation and amortization (“EBITDA”). We believe that this non-GAAP financial measure is useful to investors and analysts in analyzing and assessing our overall business performance since we utilize this information for making operating decisions, for compensation decisions and for forecasting and planning future periods. While the Company uses non-GAAP financial measures as a tool to enhance its understanding of certain aspects of its financial performance and to provide incremental insight into the underlying factors and trends affecting both the Company’s performance and its cash-generating potential, the Company does not consider these measures to be a substitute for, or superior to, the information provided by GAAP financial measures. Consistent with this approach, the Company believes that disclosing non-GAAP financial measures to the readers of its financial statements provides such readers with useful supplemental data that, while not a substitute for GAAP financial measures, allows for greater transparency in the review of its financial and operational performance and enables investors to more fully understand trends in its current and future performance.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color w:val="auto"/>
                <w:w w:val="95"/>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right"/>
              <w:ind w:right="213"/>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680" w:type="dxa"/>
            <w:vAlign w:val="bottom"/>
          </w:tcPr>
          <w:p>
            <w:pPr>
              <w:jc w:val="right"/>
              <w:ind w:right="193"/>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31"/>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rPr>
              <w:t>Change</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9,479</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6,519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2,960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Interest, net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614</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(595)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1,435</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1,189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637</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552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15"/>
                <w:szCs w:val="15"/>
                <w:color w:val="auto"/>
              </w:rPr>
              <w:t>(1)</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11,423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9,205</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2,218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EBITDA by Segment: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Mortgage Services</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10,822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5,573</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5,249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Services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452</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Technology Products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5,076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3,180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1,896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11,423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9,205</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2,218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See “</w:t>
      </w:r>
      <w:r>
        <w:rPr>
          <w:rFonts w:ascii="Arial" w:cs="Arial" w:eastAsia="Arial" w:hAnsi="Arial"/>
          <w:sz w:val="16"/>
          <w:szCs w:val="16"/>
          <w:i w:val="1"/>
          <w:iCs w:val="1"/>
          <w:color w:val="auto"/>
        </w:rPr>
        <w:t>SECTION 3 — SEGMENT RESULTS OF OPERATIONS</w:t>
      </w:r>
      <w:r>
        <w:rPr>
          <w:rFonts w:ascii="Arial" w:cs="Arial" w:eastAsia="Arial" w:hAnsi="Arial"/>
          <w:sz w:val="16"/>
          <w:szCs w:val="16"/>
          <w:color w:val="auto"/>
        </w:rPr>
        <w:t>” below for a reconciliation of the most directly comparable GAAP measure to EBITDA.</w:t>
      </w:r>
    </w:p>
    <w:p>
      <w:pPr>
        <w:spacing w:after="0" w:line="14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Mortgage Services EBITDA increased $5.2 million year over year due to the expansion of residential default and real estate oriented services and the acquisition of MPA. Sequentially, EBITDA declined $1.0 million compared to the fourth quarter of 2009. The sequential decline was principally driven by the inclusion of $0.6 million of marketing department costs that were previously included as a component of Corporate. The remaining decline was due to additional compensation costs as we significantly expanded our default management, asset management, REO Brokerage and title functions to ramp up for the anticipated increase in referrals from Ocwen and as we accelerate our national rollout of services to capture as much of the seasonally high summer revenue opportunities as possible.</w:t>
      </w:r>
    </w:p>
    <w:p>
      <w:pPr>
        <w:spacing w:after="0" w:line="85"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Financial Services EBITDA declined $0.2 million year over year despite a revenue decline of $1.7 million which reflects the cost savings initiatives we undertook during 2009. Sequentially, EBITDA marginally declined $0.2 million after considering the impact of the arbitration loss in the fourth quarter, principally due to technology costs associated with an external vendor. Given the seasonal nature of contingency collections, our revenues and EBITDA were less than anticipated in the first quarter of 2010.</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Technology Products EBITDA increased $1.9 million year over year as a result of a REALServicing contract renewal in the second quarter of 2009.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Sequentially, EBITDA declined $0.6 million with the principal driver being the increased operating costs of the new data center.</w:t>
      </w:r>
    </w:p>
    <w:p>
      <w:pPr>
        <w:spacing w:after="0" w:line="103"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Corporate and Eliminations EBITDA improved sequentially by $0.9 million principally as a result of the allocation of segment specific marketing and accounting costs from corporate to the segments and as a result of the reduction in professional fees.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firstLine="447"/>
        <w:spacing w:after="0" w:line="259" w:lineRule="auto"/>
        <w:rPr>
          <w:sz w:val="20"/>
          <w:szCs w:val="20"/>
          <w:color w:val="auto"/>
        </w:rPr>
      </w:pPr>
      <w:r>
        <w:rPr>
          <w:rFonts w:ascii="Arial" w:cs="Arial" w:eastAsia="Arial" w:hAnsi="Arial"/>
          <w:sz w:val="18"/>
          <w:szCs w:val="18"/>
          <w:color w:val="auto"/>
        </w:rPr>
        <w:t>The income tax provision was $2.4 million in the three months ended March 31, 2010 representing an effective tax rate of 27.4%. Income tax provision on income before income tax differs from amounts that would be computed by applying the Luxembourg federal corporate income tax rate of 28.6% primarily because of the effect of differing tax rates outside of Luxembourg, indefinite deferral on earnings of non-U.S. affiliates and additional foreign income taxes.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 — SEGMENT RESULTS OF OPERATIONS</w:t>
      </w:r>
    </w:p>
    <w:p>
      <w:pPr>
        <w:spacing w:after="0" w:line="121" w:lineRule="exact"/>
        <w:rPr>
          <w:sz w:val="20"/>
          <w:szCs w:val="20"/>
          <w:color w:val="auto"/>
        </w:rPr>
      </w:pPr>
    </w:p>
    <w:p>
      <w:pPr>
        <w:ind w:right="60" w:firstLine="447"/>
        <w:spacing w:after="0" w:line="25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three months ended March 31, 2010 and 2009. Transactions between segments are accounted for as third-party arrangements for purposes of presenting segment results of operations. Intercompany transactions primarily consist of information technology infrastructure services and charges for the use of certain REAL products from our Technology Products segment to our other two segments. Generally, we reflect these charges within technology and communication in the segment receiving the services, except for consulting services, which we reflect in professional services.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information for our segments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color w:val="auto"/>
              </w:rPr>
              <w:t>Three Months Ended March 31, 2010</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color w:val="auto"/>
              </w:rPr>
              <w:t>Corporate Items &amp;</w:t>
            </w: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40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gridSpan w:val="3"/>
          </w:tcPr>
          <w:p>
            <w:pPr>
              <w:spacing w:after="0"/>
              <w:rPr>
                <w:sz w:val="20"/>
                <w:szCs w:val="20"/>
                <w:color w:val="auto"/>
              </w:rPr>
            </w:pPr>
            <w:r>
              <w:rPr>
                <w:rFonts w:ascii="Arial" w:cs="Arial" w:eastAsia="Arial" w:hAnsi="Arial"/>
                <w:sz w:val="14"/>
                <w:szCs w:val="14"/>
                <w:color w:val="auto"/>
              </w:rPr>
              <w:t>Mortgage Services</w:t>
            </w:r>
          </w:p>
        </w:tc>
        <w:tc>
          <w:tcPr>
            <w:tcW w:w="2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Financial Services</w:t>
            </w:r>
          </w:p>
        </w:tc>
        <w:tc>
          <w:tcPr>
            <w:tcW w:w="1880" w:type="dxa"/>
            <w:vAlign w:val="bottom"/>
            <w:gridSpan w:val="4"/>
          </w:tcPr>
          <w:p>
            <w:pPr>
              <w:ind w:left="240"/>
              <w:spacing w:after="0"/>
              <w:rPr>
                <w:sz w:val="20"/>
                <w:szCs w:val="20"/>
                <w:color w:val="auto"/>
              </w:rPr>
            </w:pPr>
            <w:r>
              <w:rPr>
                <w:rFonts w:ascii="Arial" w:cs="Arial" w:eastAsia="Arial" w:hAnsi="Arial"/>
                <w:sz w:val="14"/>
                <w:szCs w:val="14"/>
                <w:color w:val="auto"/>
              </w:rPr>
              <w:t>Technology Products</w:t>
            </w:r>
          </w:p>
        </w:tc>
        <w:tc>
          <w:tcPr>
            <w:tcW w:w="100" w:type="dxa"/>
            <w:vAlign w:val="bottom"/>
          </w:tcPr>
          <w:p>
            <w:pPr>
              <w:spacing w:after="0"/>
              <w:rPr>
                <w:sz w:val="14"/>
                <w:szCs w:val="14"/>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4"/>
                <w:szCs w:val="14"/>
                <w:color w:val="auto"/>
              </w:rPr>
              <w:t xml:space="preserve">Eliminations </w:t>
            </w:r>
            <w:r>
              <w:rPr>
                <w:rFonts w:ascii="Arial" w:cs="Arial" w:eastAsia="Arial" w:hAnsi="Arial"/>
                <w:sz w:val="12"/>
                <w:szCs w:val="12"/>
                <w:color w:val="auto"/>
              </w:rPr>
              <w:t>(1)</w:t>
            </w:r>
          </w:p>
        </w:tc>
        <w:tc>
          <w:tcPr>
            <w:tcW w:w="24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36,795</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15,633</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11,974</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12,187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(3,428)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4,736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4,209</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9,479</w:t>
            </w:r>
          </w:p>
        </w:tc>
        <w:tc>
          <w:tcPr>
            <w:tcW w:w="0" w:type="dxa"/>
            <w:vAlign w:val="bottom"/>
          </w:tcPr>
          <w:p>
            <w:pPr>
              <w:spacing w:after="0"/>
              <w:rPr>
                <w:sz w:val="1"/>
                <w:szCs w:val="1"/>
                <w:color w:val="auto"/>
              </w:rPr>
            </w:pPr>
          </w:p>
        </w:tc>
      </w:tr>
      <w:tr>
        <w:trPr>
          <w:trHeight w:val="432"/>
        </w:trPr>
        <w:tc>
          <w:tcPr>
            <w:tcW w:w="4040" w:type="dxa"/>
            <w:vAlign w:val="bottom"/>
            <w:gridSpan w:val="3"/>
          </w:tcPr>
          <w:p>
            <w:pPr>
              <w:spacing w:after="0"/>
              <w:rPr>
                <w:sz w:val="20"/>
                <w:szCs w:val="20"/>
                <w:color w:val="auto"/>
              </w:rPr>
            </w:pPr>
            <w:r>
              <w:rPr>
                <w:rFonts w:ascii="Arial" w:cs="Arial" w:eastAsia="Arial" w:hAnsi="Arial"/>
                <w:sz w:val="18"/>
                <w:szCs w:val="18"/>
                <w:color w:val="auto"/>
              </w:rPr>
              <w:t>Reconciliation to EBITDA</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4,209</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Interest, net</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Interests</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Arial" w:cs="Arial" w:eastAsia="Arial" w:hAnsi="Arial"/>
                <w:sz w:val="18"/>
                <w:szCs w:val="18"/>
                <w:color w:val="auto"/>
              </w:rPr>
              <w:t>EBITDA</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24,247</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4,438</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25</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color w:val="auto"/>
                <w:w w:val="94"/>
              </w:rPr>
              <w:t>Three Months Ended March 31, 2009</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right"/>
              <w:ind w:right="520"/>
              <w:spacing w:after="0" w:line="123" w:lineRule="exact"/>
              <w:rPr>
                <w:sz w:val="20"/>
                <w:szCs w:val="20"/>
                <w:color w:val="auto"/>
              </w:rPr>
            </w:pPr>
            <w:r>
              <w:rPr>
                <w:rFonts w:ascii="Arial" w:cs="Arial" w:eastAsia="Arial" w:hAnsi="Arial"/>
                <w:sz w:val="14"/>
                <w:szCs w:val="14"/>
                <w:color w:val="auto"/>
                <w:w w:val="93"/>
              </w:rPr>
              <w:t>Corporate</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Financial</w:t>
            </w:r>
          </w:p>
        </w:tc>
        <w:tc>
          <w:tcPr>
            <w:tcW w:w="1560" w:type="dxa"/>
            <w:vAlign w:val="bottom"/>
            <w:gridSpan w:val="4"/>
          </w:tcPr>
          <w:p>
            <w:pPr>
              <w:jc w:val="right"/>
              <w:ind w:right="600"/>
              <w:spacing w:after="0" w:line="149" w:lineRule="exact"/>
              <w:rPr>
                <w:sz w:val="20"/>
                <w:szCs w:val="20"/>
                <w:color w:val="auto"/>
              </w:rPr>
            </w:pPr>
            <w:r>
              <w:rPr>
                <w:rFonts w:ascii="Arial" w:cs="Arial" w:eastAsia="Arial" w:hAnsi="Arial"/>
                <w:sz w:val="14"/>
                <w:szCs w:val="14"/>
                <w:color w:val="auto"/>
              </w:rPr>
              <w:t>Technology</w:t>
            </w:r>
          </w:p>
        </w:tc>
        <w:tc>
          <w:tcPr>
            <w:tcW w:w="14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Items &amp;</w:t>
            </w:r>
          </w:p>
        </w:tc>
        <w:tc>
          <w:tcPr>
            <w:tcW w:w="114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ind w:left="1680"/>
              <w:spacing w:after="0"/>
              <w:rPr>
                <w:sz w:val="20"/>
                <w:szCs w:val="20"/>
                <w:color w:val="auto"/>
              </w:rPr>
            </w:pPr>
            <w:r>
              <w:rPr>
                <w:rFonts w:ascii="Arial" w:cs="Arial" w:eastAsia="Arial" w:hAnsi="Arial"/>
                <w:sz w:val="14"/>
                <w:szCs w:val="14"/>
                <w:i w:val="1"/>
                <w:iCs w:val="1"/>
                <w:color w:val="auto"/>
              </w:rPr>
              <w:t>(in thousands)</w:t>
            </w:r>
          </w:p>
        </w:tc>
        <w:tc>
          <w:tcPr>
            <w:tcW w:w="2220" w:type="dxa"/>
            <w:vAlign w:val="bottom"/>
            <w:gridSpan w:val="4"/>
          </w:tcPr>
          <w:p>
            <w:pPr>
              <w:ind w:left="520"/>
              <w:spacing w:after="0"/>
              <w:rPr>
                <w:sz w:val="20"/>
                <w:szCs w:val="20"/>
                <w:color w:val="auto"/>
              </w:rPr>
            </w:pPr>
            <w:r>
              <w:rPr>
                <w:rFonts w:ascii="Arial" w:cs="Arial" w:eastAsia="Arial" w:hAnsi="Arial"/>
                <w:sz w:val="14"/>
                <w:szCs w:val="14"/>
                <w:color w:val="auto"/>
              </w:rPr>
              <w:t>Mortgage Services</w:t>
            </w:r>
          </w:p>
        </w:tc>
        <w:tc>
          <w:tcPr>
            <w:tcW w:w="8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w w:val="89"/>
              </w:rPr>
              <w:t>Services</w:t>
            </w:r>
          </w:p>
        </w:tc>
        <w:tc>
          <w:tcPr>
            <w:tcW w:w="280" w:type="dxa"/>
            <w:vAlign w:val="bottom"/>
          </w:tcPr>
          <w:p>
            <w:pPr>
              <w:spacing w:after="0"/>
              <w:rPr>
                <w:sz w:val="14"/>
                <w:szCs w:val="14"/>
                <w:color w:val="auto"/>
              </w:rPr>
            </w:pPr>
          </w:p>
        </w:tc>
        <w:tc>
          <w:tcPr>
            <w:tcW w:w="1280" w:type="dxa"/>
            <w:vAlign w:val="bottom"/>
            <w:gridSpan w:val="3"/>
          </w:tcPr>
          <w:p>
            <w:pPr>
              <w:jc w:val="right"/>
              <w:ind w:right="700"/>
              <w:spacing w:after="0"/>
              <w:rPr>
                <w:sz w:val="20"/>
                <w:szCs w:val="20"/>
                <w:color w:val="auto"/>
              </w:rPr>
            </w:pPr>
            <w:r>
              <w:rPr>
                <w:rFonts w:ascii="Arial" w:cs="Arial" w:eastAsia="Arial" w:hAnsi="Arial"/>
                <w:sz w:val="14"/>
                <w:szCs w:val="14"/>
                <w:color w:val="auto"/>
              </w:rPr>
              <w:t>Products</w:t>
            </w:r>
          </w:p>
        </w:tc>
        <w:tc>
          <w:tcPr>
            <w:tcW w:w="1260" w:type="dxa"/>
            <w:vAlign w:val="bottom"/>
            <w:gridSpan w:val="3"/>
          </w:tcPr>
          <w:p>
            <w:pPr>
              <w:spacing w:after="0"/>
              <w:rPr>
                <w:sz w:val="20"/>
                <w:szCs w:val="20"/>
                <w:color w:val="auto"/>
              </w:rPr>
            </w:pPr>
            <w:r>
              <w:rPr>
                <w:rFonts w:ascii="Arial" w:cs="Arial" w:eastAsia="Arial" w:hAnsi="Arial"/>
                <w:sz w:val="14"/>
                <w:szCs w:val="14"/>
                <w:color w:val="auto"/>
              </w:rPr>
              <w:t xml:space="preserve">Eliminations </w:t>
            </w:r>
            <w:r>
              <w:rPr>
                <w:rFonts w:ascii="Arial" w:cs="Arial" w:eastAsia="Arial" w:hAnsi="Arial"/>
                <w:sz w:val="12"/>
                <w:szCs w:val="12"/>
                <w:color w:val="auto"/>
              </w:rPr>
              <w:t>(1)</w:t>
            </w:r>
          </w:p>
        </w:tc>
        <w:tc>
          <w:tcPr>
            <w:tcW w:w="28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17,700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10,573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(2,972)</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Revenue</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10,411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14,069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6,495</w:t>
            </w: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(2,972)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4,078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4,082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1,678</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Expense, net</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color w:val="auto"/>
              </w:rPr>
              <w:t>Reconciliation to EBITDA</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Before Income Taxes</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Interest, net</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200"/>
              <w:spacing w:after="0"/>
              <w:rPr>
                <w:sz w:val="20"/>
                <w:szCs w:val="20"/>
                <w:color w:val="auto"/>
              </w:rPr>
            </w:pPr>
            <w:r>
              <w:rPr>
                <w:rFonts w:ascii="Arial" w:cs="Arial" w:eastAsia="Arial" w:hAnsi="Arial"/>
                <w:sz w:val="18"/>
                <w:szCs w:val="18"/>
                <w:color w:val="auto"/>
              </w:rPr>
              <w:t>Transactions with Related Parties:</w:t>
            </w: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6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Intercompany transactions primarily consist of information technology infrastructure services and charges for the use of certain REAL products from our Technology Products segment to our other two segments. Generally, we reflect these charges within technology and communication in the segment receiving the services, except for consulting services, which we reflect in professional services.</w:t>
      </w:r>
    </w:p>
    <w:p>
      <w:pPr>
        <w:spacing w:after="0" w:line="32" w:lineRule="exact"/>
        <w:rPr>
          <w:rFonts w:ascii="Arial" w:cs="Arial" w:eastAsia="Arial" w:hAnsi="Arial"/>
          <w:sz w:val="18"/>
          <w:szCs w:val="18"/>
          <w:color w:val="auto"/>
        </w:rPr>
      </w:pPr>
    </w:p>
    <w:p>
      <w:pPr>
        <w:ind w:left="460" w:right="7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depreciation and amortization of $0.5 million in each of the three months ended March 31, 2010 and 2009, for assets reflected in the Technology Products segment but utilized by the Financial Services segment.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our Mortgage Services segment for the three months ending March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color w:val="auto"/>
                <w:w w:val="95"/>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right"/>
              <w:ind w:right="213"/>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680" w:type="dxa"/>
            <w:vAlign w:val="bottom"/>
          </w:tcPr>
          <w:p>
            <w:pPr>
              <w:jc w:val="right"/>
              <w:ind w:right="193"/>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rPr>
              <w:t>Change</w:t>
            </w:r>
          </w:p>
        </w:tc>
        <w:tc>
          <w:tcPr>
            <w:tcW w:w="780" w:type="dxa"/>
            <w:vAlign w:val="bottom"/>
            <w:gridSpan w:val="2"/>
          </w:tcPr>
          <w:p>
            <w:pPr>
              <w:ind w:lef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8"/>
              </w:rPr>
              <w:t>36,795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17,700</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19,095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Cost of Revenue</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22,984</w:t>
            </w:r>
          </w:p>
        </w:tc>
        <w:tc>
          <w:tcPr>
            <w:tcW w:w="34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10,411</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12,573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13,811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7,289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6,522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1,060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11,033</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5,571</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5,462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10,822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5,573</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5,249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Revenue</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24,247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13,312</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10,935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1,128</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(1,128)</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20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(12)</w:t>
            </w:r>
          </w:p>
        </w:tc>
        <w:tc>
          <w:tcPr>
            <w:tcW w:w="780" w:type="dxa"/>
            <w:vAlign w:val="bottom"/>
            <w:gridSpan w:val="2"/>
            <w:vMerge w:val="restart"/>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140" w:firstLine="8"/>
        <w:spacing w:after="0" w:line="375" w:lineRule="auto"/>
        <w:tabs>
          <w:tab w:leader="none" w:pos="446" w:val="left"/>
        </w:tabs>
        <w:numPr>
          <w:ilvl w:val="0"/>
          <w:numId w:val="8"/>
        </w:numPr>
        <w:rPr>
          <w:rFonts w:ascii="Arial" w:cs="Arial" w:eastAsia="Arial" w:hAnsi="Arial"/>
          <w:sz w:val="15"/>
          <w:szCs w:val="15"/>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SECTION 3 – SEGMENT RESULTS OF OPERATIONS</w:t>
      </w:r>
      <w:r>
        <w:rPr>
          <w:rFonts w:ascii="Arial" w:cs="Arial" w:eastAsia="Arial" w:hAnsi="Arial"/>
          <w:sz w:val="18"/>
          <w:szCs w:val="18"/>
          <w:color w:val="auto"/>
        </w:rPr>
        <w:t>” below for a reconciliation of the most directly comparable GAAP measure to EBITDA. N/M – not meaningful.</w:t>
      </w:r>
    </w:p>
    <w:p>
      <w:pPr>
        <w:spacing w:after="0" w:line="1" w:lineRule="exact"/>
        <w:rPr>
          <w:sz w:val="20"/>
          <w:szCs w:val="20"/>
          <w:color w:val="auto"/>
        </w:rPr>
      </w:pPr>
    </w:p>
    <w:p>
      <w:pPr>
        <w:ind w:right="300" w:firstLine="450"/>
        <w:spacing w:after="0" w:line="291" w:lineRule="auto"/>
        <w:rPr>
          <w:sz w:val="20"/>
          <w:szCs w:val="20"/>
          <w:color w:val="auto"/>
        </w:rPr>
      </w:pPr>
      <w:r>
        <w:rPr>
          <w:rFonts w:ascii="Arial" w:cs="Arial" w:eastAsia="Arial" w:hAnsi="Arial"/>
          <w:sz w:val="16"/>
          <w:szCs w:val="16"/>
          <w:color w:val="auto"/>
        </w:rPr>
        <w:t>Mortgage Services revenue increased year over year as a result of the development and rollout of residential default and real estate oriented services and the acquisition of MPA. Sequentially, revenue grew $4.6 million, or 14%, which was comprised of $2.3 million of organic growth, or 7%, and</w:t>
      </w:r>
    </w:p>
    <w:p>
      <w:pPr>
        <w:jc w:val="both"/>
        <w:ind w:right="60"/>
        <w:spacing w:after="0" w:line="277" w:lineRule="auto"/>
        <w:rPr>
          <w:sz w:val="20"/>
          <w:szCs w:val="20"/>
          <w:color w:val="auto"/>
        </w:rPr>
      </w:pPr>
      <w:r>
        <w:rPr>
          <w:rFonts w:ascii="Arial" w:cs="Arial" w:eastAsia="Arial" w:hAnsi="Arial"/>
          <w:sz w:val="17"/>
          <w:szCs w:val="17"/>
          <w:color w:val="auto"/>
        </w:rPr>
        <w:t>$2.3 million attributable to the acquisition of MPA. This sequential growth rate was lower than anticipated due to weak market conditions early in the quarter including the slowdown in the industry of foreclosure starts; however, we saw significantly improving trends in our default services and real estate operations in March results which was aided by increased referrals from the $9.7 billion of loans boarded by Ocwen in November 2009.</w:t>
      </w:r>
    </w:p>
    <w:p>
      <w:pPr>
        <w:spacing w:after="0" w:line="65" w:lineRule="exact"/>
        <w:rPr>
          <w:sz w:val="20"/>
          <w:szCs w:val="20"/>
          <w:color w:val="auto"/>
        </w:rPr>
      </w:pPr>
    </w:p>
    <w:p>
      <w:pPr>
        <w:jc w:val="both"/>
        <w:ind w:right="100" w:firstLine="450"/>
        <w:spacing w:after="0" w:line="259" w:lineRule="auto"/>
        <w:rPr>
          <w:sz w:val="20"/>
          <w:szCs w:val="20"/>
          <w:color w:val="auto"/>
        </w:rPr>
      </w:pPr>
      <w:r>
        <w:rPr>
          <w:rFonts w:ascii="Arial" w:cs="Arial" w:eastAsia="Arial" w:hAnsi="Arial"/>
          <w:sz w:val="18"/>
          <w:szCs w:val="18"/>
          <w:color w:val="auto"/>
        </w:rPr>
        <w:t>In addition, Altisource completed the national rollout of property preservation services and obtained national coverage for its REO disposition services in March. As of the end of April, we had REO brokerage coverage in eleven states with a referral network in place to cover the remainder of the country. We expect to complete the national rollout of default management services and title agency services, where possible, during the remainder of 2010. We will also seek to expand our brokerage coverage throughout 2010.</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continue to believe that we are well positioned to grow revenues in Mortgage Services for the foreseeable future for the following reasons:</w:t>
      </w:r>
    </w:p>
    <w:p>
      <w:pPr>
        <w:spacing w:after="0" w:line="129" w:lineRule="exact"/>
        <w:rPr>
          <w:sz w:val="20"/>
          <w:szCs w:val="20"/>
          <w:color w:val="auto"/>
        </w:rPr>
      </w:pPr>
    </w:p>
    <w:p>
      <w:pPr>
        <w:ind w:left="660" w:right="76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As of the end of March, we completed our national rollout of asset management services which will allow us to capture additional revenue particularly during the seasonally high summer period;</w:t>
      </w:r>
    </w:p>
    <w:p>
      <w:pPr>
        <w:spacing w:after="0" w:line="75" w:lineRule="exact"/>
        <w:rPr>
          <w:rFonts w:ascii="Arial" w:cs="Arial" w:eastAsia="Arial" w:hAnsi="Arial"/>
          <w:sz w:val="18"/>
          <w:szCs w:val="18"/>
          <w:b w:val="1"/>
          <w:bCs w:val="1"/>
          <w:color w:val="auto"/>
        </w:rPr>
      </w:pPr>
    </w:p>
    <w:p>
      <w:pPr>
        <w:ind w:left="660" w:right="20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Ocwen boarded residential loans totaling unpaid principal balance of $9.7 billion as of November 2009 and $6.9 billion as of May 2010. We saw a material increase in referrals primarily in March 2010 related to the November 2009 acquisition;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left="660" w:right="30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Given the existing volume of loans in various stages of default and foreclosure, we believe the default and REO services market is likely to grow through 2011;</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acquisition of MPA;</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generate significant amounts of free cash flow that allow us to invest in new and existing services at attractive margins;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Given our small market position in very significant markets, we believe we have an ability to capture additional market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MPA</w:t>
      </w:r>
    </w:p>
    <w:p>
      <w:pPr>
        <w:spacing w:after="0" w:line="117" w:lineRule="exact"/>
        <w:rPr>
          <w:sz w:val="20"/>
          <w:szCs w:val="20"/>
          <w:color w:val="auto"/>
        </w:rPr>
      </w:pPr>
    </w:p>
    <w:p>
      <w:pPr>
        <w:ind w:right="80" w:firstLine="450"/>
        <w:spacing w:after="0" w:line="257" w:lineRule="auto"/>
        <w:rPr>
          <w:sz w:val="20"/>
          <w:szCs w:val="20"/>
          <w:color w:val="auto"/>
        </w:rPr>
      </w:pPr>
      <w:r>
        <w:rPr>
          <w:rFonts w:ascii="Arial" w:cs="Arial" w:eastAsia="Arial" w:hAnsi="Arial"/>
          <w:sz w:val="18"/>
          <w:szCs w:val="18"/>
          <w:color w:val="auto"/>
        </w:rPr>
        <w:t>MPA and its consolidated subsidiary contributed $2.3 million of revenue and $0.4 million of EBITDA since the February 2010 acquisition date. This revenue and EBITDA was in line with our internal projections which included a forecasted decline in origination volumes during 2010. We expect this decline to be somewhat mitigated as home buyers take advantage of expiring home buying tax credits; the accelerated pace of new members joining the cooperative and the addition of new preferred investors. Through April, MPA has added ten new members that originated approximately $3.1 billion of loans during 2009.</w:t>
      </w:r>
    </w:p>
    <w:p>
      <w:pPr>
        <w:spacing w:after="0" w:line="80" w:lineRule="exact"/>
        <w:rPr>
          <w:sz w:val="20"/>
          <w:szCs w:val="20"/>
          <w:color w:val="auto"/>
        </w:rPr>
      </w:pPr>
    </w:p>
    <w:p>
      <w:pPr>
        <w:ind w:right="100" w:firstLine="447"/>
        <w:spacing w:after="0" w:line="264" w:lineRule="auto"/>
        <w:rPr>
          <w:sz w:val="20"/>
          <w:szCs w:val="20"/>
          <w:color w:val="auto"/>
        </w:rPr>
      </w:pPr>
      <w:r>
        <w:rPr>
          <w:rFonts w:ascii="Arial" w:cs="Arial" w:eastAsia="Arial" w:hAnsi="Arial"/>
          <w:sz w:val="18"/>
          <w:szCs w:val="18"/>
          <w:color w:val="auto"/>
        </w:rPr>
        <w:t>We remain focused on developing Altisource services that we can provide to the Members as we approach 2011 including valuation, title and closing services. We believe that over time we can work with Ocwen and other partners to provide Members additional avenues to sell their loans beyond the current preferred investor arrangements resulting in improved capital markets execution for the members.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color w:val="auto"/>
                <w:w w:val="95"/>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right"/>
              <w:ind w:right="212"/>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680" w:type="dxa"/>
            <w:vAlign w:val="bottom"/>
          </w:tcPr>
          <w:p>
            <w:pPr>
              <w:jc w:val="right"/>
              <w:ind w:right="192"/>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1"/>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rPr>
              <w:t>Change</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Asset Management Services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13,336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2,198</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11,138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Component Services and Other</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7,689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3,065</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4,624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Residential Property Valuation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6,580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7,427</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(847)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Closing and Title Services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4,421</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Default Management Services</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3,348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36,795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17,700</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19,095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Transactions with Related Parties: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Property Valuation</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7,154</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Closing and Title Services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3,628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3,777</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(149)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Default Management Services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205</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Asset Management Services</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12,865</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10,689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24,247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13,312</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10,935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Expense Reimbursements: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Default Management Services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596</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Asset Management Services</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6,959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7,882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1,006</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6,876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In our Mortgage Services segment, we generate the majority of our revenue by providing outsourced services that span the lifecycle of a mortgage loan primarily for Ocwen or with respect to the loan portfolio serviced by Ocwen. In addition to our relationship with Ocwen, we have longstanding relationships with some of the leading capital markets firms, commercial banks, hedge funds, insurance companies and lending institutions and provide products that enhance their ability to make informed investment decisions and manage their core operations. With the acquisition of MPA in February 2010, we took a significant</w:t>
      </w:r>
    </w:p>
    <w:p>
      <w:pPr>
        <w:sectPr>
          <w:pgSz w:w="11900" w:h="16838" w:orient="portrait"/>
          <w:cols w:equalWidth="0" w:num="1">
            <w:col w:w="11420"/>
          </w:cols>
          <w:pgMar w:left="240" w:top="419" w:right="239"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step in our evolution to become a full service provider in the mortgage services vertical and gained increased access to a growing group of mid-tier mortgage bankers.</w:t>
      </w:r>
    </w:p>
    <w:p>
      <w:pPr>
        <w:spacing w:after="0" w:line="62" w:lineRule="exact"/>
        <w:rPr>
          <w:sz w:val="20"/>
          <w:szCs w:val="20"/>
          <w:color w:val="auto"/>
        </w:rPr>
      </w:pPr>
    </w:p>
    <w:p>
      <w:pPr>
        <w:ind w:right="100" w:firstLine="450"/>
        <w:spacing w:after="0" w:line="276" w:lineRule="auto"/>
        <w:rPr>
          <w:sz w:val="20"/>
          <w:szCs w:val="20"/>
          <w:color w:val="auto"/>
        </w:rPr>
      </w:pPr>
      <w:r>
        <w:rPr>
          <w:rFonts w:ascii="Arial" w:cs="Arial" w:eastAsia="Arial" w:hAnsi="Arial"/>
          <w:sz w:val="17"/>
          <w:szCs w:val="17"/>
          <w:i w:val="1"/>
          <w:iCs w:val="1"/>
          <w:color w:val="auto"/>
        </w:rPr>
        <w:t xml:space="preserve">Asset Management Services. </w:t>
      </w:r>
      <w:r>
        <w:rPr>
          <w:rFonts w:ascii="Arial" w:cs="Arial" w:eastAsia="Arial" w:hAnsi="Arial"/>
          <w:sz w:val="17"/>
          <w:szCs w:val="17"/>
          <w:color w:val="auto"/>
        </w:rPr>
        <w:t>Asset management services principally include property preservation, property inspection, REO asset management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REO brokerage. In the first quarter of 2010, we completed our national network for property preservation services and, including our real estate broker referral network, have coverage nationally for REO dispositions. As of March 31, 2010, we were licensed to sell real estate in ten states (eleven as of end of April) as compared to three as of year-end. This resulted in an increase in REO brokerage referrals which drove revenues in the seasonally weak first quarter and should continue to drive revenue particularly in the strong second and third quarters.</w:t>
      </w:r>
    </w:p>
    <w:p>
      <w:pPr>
        <w:spacing w:after="0" w:line="64"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i w:val="1"/>
          <w:iCs w:val="1"/>
          <w:color w:val="auto"/>
        </w:rPr>
        <w:t>Component Services and Other</w:t>
      </w:r>
      <w:r>
        <w:rPr>
          <w:rFonts w:ascii="Arial" w:cs="Arial" w:eastAsia="Arial" w:hAnsi="Arial"/>
          <w:sz w:val="18"/>
          <w:szCs w:val="18"/>
          <w:color w:val="auto"/>
        </w:rPr>
        <w:t>. The increase in component services year over year is due to an expanded relationship with an existing customer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2009 and the inclusion of MPA’s results.</w:t>
      </w:r>
    </w:p>
    <w:p>
      <w:pPr>
        <w:spacing w:after="0" w:line="62"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i w:val="1"/>
          <w:iCs w:val="1"/>
          <w:color w:val="auto"/>
        </w:rPr>
        <w:t>Residential Property Valuation</w:t>
      </w:r>
      <w:r>
        <w:rPr>
          <w:rFonts w:ascii="Arial" w:cs="Arial" w:eastAsia="Arial" w:hAnsi="Arial"/>
          <w:sz w:val="18"/>
          <w:szCs w:val="18"/>
          <w:color w:val="auto"/>
        </w:rPr>
        <w:t>. As one of the more mature services in our portfolio, residential property valuations are subject to market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continue to see declines year over year given the mortgage crisis. The first quarter of 2010 was higher than fourth quarter 2009 as a result of Ocwen’s residential loan portfolio growth resulting in the ordering of more valuations.</w:t>
      </w:r>
    </w:p>
    <w:p>
      <w:pPr>
        <w:spacing w:after="0" w:line="73" w:lineRule="exact"/>
        <w:rPr>
          <w:sz w:val="20"/>
          <w:szCs w:val="20"/>
          <w:color w:val="auto"/>
        </w:rPr>
      </w:pPr>
    </w:p>
    <w:p>
      <w:pPr>
        <w:ind w:right="80" w:firstLine="450"/>
        <w:spacing w:after="0" w:line="302" w:lineRule="auto"/>
        <w:rPr>
          <w:sz w:val="20"/>
          <w:szCs w:val="20"/>
          <w:color w:val="auto"/>
        </w:rPr>
      </w:pPr>
      <w:r>
        <w:rPr>
          <w:rFonts w:ascii="Arial" w:cs="Arial" w:eastAsia="Arial" w:hAnsi="Arial"/>
          <w:sz w:val="16"/>
          <w:szCs w:val="16"/>
          <w:i w:val="1"/>
          <w:iCs w:val="1"/>
          <w:color w:val="auto"/>
        </w:rPr>
        <w:t xml:space="preserve">Closing and Title Services. </w:t>
      </w:r>
      <w:r>
        <w:rPr>
          <w:rFonts w:ascii="Arial" w:cs="Arial" w:eastAsia="Arial" w:hAnsi="Arial"/>
          <w:sz w:val="16"/>
          <w:szCs w:val="16"/>
          <w:color w:val="auto"/>
        </w:rPr>
        <w:t>This business includes legacy services such as pre-foreclosure title services as well as an expanded array of title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were rolled out during 2009 principally around default title. During 2010, we are focused on rolling out our title agency business nationally which we believe will drive significant revenue growth at attractive margins. We have also applied for our title agency license in several counties in California which is a significant market for us. However, we do not expect to obtain agency status in California until the fourth quarter of 2010 at the earliest.</w:t>
      </w:r>
    </w:p>
    <w:p>
      <w:pPr>
        <w:spacing w:after="0" w:line="46"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This group includes support services whereby we provide non-legal back-office support for foreclosure, bankruptcy and</w:t>
      </w:r>
      <w:r>
        <w:rPr>
          <w:rFonts w:ascii="Arial" w:cs="Arial" w:eastAsia="Arial" w:hAnsi="Arial"/>
          <w:sz w:val="18"/>
          <w:szCs w:val="18"/>
          <w:i w:val="1"/>
          <w:iCs w:val="1"/>
          <w:color w:val="auto"/>
        </w:rPr>
        <w:t xml:space="preserve"> </w:t>
      </w:r>
      <w:r>
        <w:rPr>
          <w:rFonts w:ascii="Arial" w:cs="Arial" w:eastAsia="Arial" w:hAnsi="Arial"/>
          <w:sz w:val="18"/>
          <w:szCs w:val="18"/>
          <w:color w:val="auto"/>
        </w:rPr>
        <w:t>eviction attorneys as well as trustee management services. Although we continued to expand our geographic footprint, we did see a decline in revenues in sequential quarters due to the overall slowdown in foreclosure starts in January and February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Our gross margin was 38% for the first quarter of 2010 including $7.9 million of reimbursable expenses for which we achieve no margin. Our gross margins declined from the fourth quarter as we significantly invested in our businesses including the addition of persons within the United States (REO Brokers, REO asset managers, title agents and support staff) as well as significantly expanding our staff in our offshore operations (e.g., asset management, default management). We expect that we will need to continue to invest in additional staff through the second quarter in order to process the expected increase in volume from Ocwen’s recent acquisitions which could have a temporary negative impact on margins.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20" w:firstLine="450"/>
        <w:spacing w:after="0" w:line="302" w:lineRule="auto"/>
        <w:rPr>
          <w:sz w:val="20"/>
          <w:szCs w:val="20"/>
          <w:color w:val="auto"/>
        </w:rPr>
      </w:pPr>
      <w:r>
        <w:rPr>
          <w:rFonts w:ascii="Arial" w:cs="Arial" w:eastAsia="Arial" w:hAnsi="Arial"/>
          <w:sz w:val="16"/>
          <w:szCs w:val="16"/>
          <w:color w:val="auto"/>
        </w:rPr>
        <w:t>Selling, general and administrative expenses increased principally as a result of the classification of certain compensation and benefit costs related to executive management and marketing previously being captured either in cost of revenues or as a component of the Corporate segment now being captured in selling, general and administrative. In addition, professional services fees such as those associated with the external audit have increased as a result of being a public company. Such costs are allocated to the segments generally based upon expected hours to be incurred per segment by the vendor.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our Financial Services segment for the three months ending March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color w:val="auto"/>
                <w:w w:val="95"/>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right"/>
              <w:ind w:right="213"/>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680" w:type="dxa"/>
            <w:vAlign w:val="bottom"/>
          </w:tcPr>
          <w:p>
            <w:pPr>
              <w:jc w:val="right"/>
              <w:ind w:right="193"/>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rPr>
              <w:t>Change</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15,633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17,318</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(1,685)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Cost of Revenue</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12,187</w:t>
            </w:r>
          </w:p>
        </w:tc>
        <w:tc>
          <w:tcPr>
            <w:tcW w:w="38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14,069</w:t>
            </w:r>
          </w:p>
        </w:tc>
        <w:tc>
          <w:tcPr>
            <w:tcW w:w="66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(1,882)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3,249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331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(833)</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(208)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Revenue</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20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(458)</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6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140" w:firstLine="8"/>
        <w:spacing w:after="0" w:line="375" w:lineRule="auto"/>
        <w:tabs>
          <w:tab w:leader="none" w:pos="446" w:val="left"/>
        </w:tabs>
        <w:numPr>
          <w:ilvl w:val="0"/>
          <w:numId w:val="11"/>
        </w:numPr>
        <w:rPr>
          <w:rFonts w:ascii="Arial" w:cs="Arial" w:eastAsia="Arial" w:hAnsi="Arial"/>
          <w:sz w:val="15"/>
          <w:szCs w:val="15"/>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SECTION 3 – SEGMENT RESULTS OF OPERATIONS</w:t>
      </w:r>
      <w:r>
        <w:rPr>
          <w:rFonts w:ascii="Arial" w:cs="Arial" w:eastAsia="Arial" w:hAnsi="Arial"/>
          <w:sz w:val="18"/>
          <w:szCs w:val="18"/>
          <w:color w:val="auto"/>
        </w:rPr>
        <w:t>” below for a reconciliation of the most directly comparable GAAP measure to EBITDA. N/M – not meaningful.</w:t>
      </w:r>
    </w:p>
    <w:p>
      <w:pPr>
        <w:spacing w:after="0" w:line="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Financial Services revenue declined year over year as increases in revenues from most customers, due to increased customer penetration, were not substantial enough to offset declines in revenues from one of our most significant customers. Sequentially, revenue grew $0.8 million, or 6%, primarily due to the seasonality of collections.</w:t>
      </w:r>
    </w:p>
    <w:p>
      <w:pPr>
        <w:spacing w:after="0" w:line="73"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Our strategy for 2010 continues to be focused on improving margins principally via improving revenue per collector, expanding our quality initiatives, investing in new technology and rationalizing our work force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color w:val="auto"/>
                <w:w w:val="95"/>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right"/>
              <w:ind w:right="216"/>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680" w:type="dxa"/>
            <w:vAlign w:val="bottom"/>
          </w:tcPr>
          <w:p>
            <w:pPr>
              <w:jc w:val="right"/>
              <w:ind w:right="196"/>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rPr>
              <w:t>Change</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Asset Recovery Management</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12,820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14,289</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(1,469)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 Management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3,029</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15,633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17,318</w:t>
            </w:r>
          </w:p>
        </w:tc>
        <w:tc>
          <w:tcPr>
            <w:tcW w:w="66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(1,685)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Related Parties: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Asset Recovery Management</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In our Financial Services segment, we generate the majority of our revenue from asset recovery management fees we earn for collecting amounts due to our customers and from fees we earn for performing customer relationship management for our customers.</w:t>
      </w:r>
    </w:p>
    <w:p>
      <w:pPr>
        <w:spacing w:after="0" w:line="62" w:lineRule="exact"/>
        <w:rPr>
          <w:sz w:val="20"/>
          <w:szCs w:val="20"/>
          <w:color w:val="auto"/>
        </w:rPr>
      </w:pPr>
    </w:p>
    <w:p>
      <w:pPr>
        <w:ind w:right="540" w:firstLine="450"/>
        <w:spacing w:after="0" w:line="277" w:lineRule="auto"/>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Our revenues associated with contingency collections declined when compared to the first quarter in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to lower collection rates and the change in product mix for our largest customer.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Compared to the fourth quarter of 2009, we saw improvement in collection rates during the first quarter of 2010 and continue to gain market share with key customers that we began penetrating in 2009.</w:t>
      </w:r>
    </w:p>
    <w:p>
      <w:pPr>
        <w:spacing w:after="0" w:line="62" w:lineRule="exact"/>
        <w:rPr>
          <w:sz w:val="20"/>
          <w:szCs w:val="20"/>
          <w:color w:val="auto"/>
        </w:rPr>
      </w:pPr>
    </w:p>
    <w:p>
      <w:pPr>
        <w:ind w:right="320" w:firstLine="450"/>
        <w:spacing w:after="0" w:line="264" w:lineRule="auto"/>
        <w:rPr>
          <w:sz w:val="20"/>
          <w:szCs w:val="20"/>
          <w:color w:val="auto"/>
        </w:rPr>
      </w:pPr>
      <w:r>
        <w:rPr>
          <w:rFonts w:ascii="Arial" w:cs="Arial" w:eastAsia="Arial" w:hAnsi="Arial"/>
          <w:sz w:val="18"/>
          <w:szCs w:val="18"/>
          <w:i w:val="1"/>
          <w:iCs w:val="1"/>
          <w:color w:val="auto"/>
        </w:rPr>
        <w:t>Customer Relationship Management</w:t>
      </w:r>
      <w:r>
        <w:rPr>
          <w:rFonts w:ascii="Arial" w:cs="Arial" w:eastAsia="Arial" w:hAnsi="Arial"/>
          <w:sz w:val="18"/>
          <w:szCs w:val="18"/>
          <w:color w:val="auto"/>
        </w:rPr>
        <w:t>. Our revenues with customer relationship management declined year over year as we sought to wind down our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with one customer due to unsatisfactory margins. The intended termination of this customer is expected to have an impact to second quarter revenues as well while we seek to replace this lower margin client with other higher margin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Our cost of revenues decreased in 2010 compared to 2009 principally due to a reduction in compensation and benefits as a result of a lower number of collectors and reduced commissions. In addition, we continue to seek ways to reduce technology and communication costs for this segment. Partially offsetting the decreases in compensation and benefits was the use of more outside collectors which we utilize in an effort to limit our exposure on the placements which have lower collection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Selling, general and administrative expenses increased primarily as a result of increased placements which require us to incur additional costs.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Products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our Technology Products segment for the three months ending March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color w:val="auto"/>
                <w:w w:val="95"/>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right"/>
              <w:ind w:right="213"/>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680" w:type="dxa"/>
            <w:vAlign w:val="bottom"/>
          </w:tcPr>
          <w:p>
            <w:pPr>
              <w:jc w:val="right"/>
              <w:ind w:right="193"/>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rPr>
              <w:t>Change</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11,974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10,573</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1,401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Cost of Revenue</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152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4,078</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1,249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66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(572)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2,400</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5,076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3,180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1,896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Revenue</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4,438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5,395</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(957)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627</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20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(99)</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140" w:firstLine="8"/>
        <w:spacing w:after="0" w:line="402" w:lineRule="auto"/>
        <w:tabs>
          <w:tab w:leader="none" w:pos="446"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SECTION 3 – SEGMENT RESULTS OF OPERATIONS</w:t>
      </w:r>
      <w:r>
        <w:rPr>
          <w:rFonts w:ascii="Arial" w:cs="Arial" w:eastAsia="Arial" w:hAnsi="Arial"/>
          <w:sz w:val="18"/>
          <w:szCs w:val="18"/>
          <w:color w:val="auto"/>
        </w:rPr>
        <w:t>” below for a reconciliation of the most directly comparable GAAP measure to EBITDA. N/M – not meaningful.</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primary focus of the Technology Products segment continues to be to support the growth of Mortgage Services as well as the cost reduction and quality initiatives on-going within the Financial Services segment. During the first quarter, we re-organized the management team of Technology Products by naming a new Chief Operating Officer for the segment. We are focused on enhancing both our development and infrastructure capabilities to support both our expansion efforts and those of Ocwen. In addition, we remain focused on the commercialization of our service offerings to expand their applicability to a broader audience.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color w:val="auto"/>
                <w:w w:val="95"/>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right"/>
              <w:ind w:right="214"/>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680" w:type="dxa"/>
            <w:vAlign w:val="bottom"/>
          </w:tcPr>
          <w:p>
            <w:pPr>
              <w:jc w:val="right"/>
              <w:ind w:right="194"/>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rPr>
              <w:t>Change</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REAL Suite</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6,986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5,637</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1,349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jc w:val="center"/>
              <w:ind w:right="3610"/>
              <w:spacing w:after="0"/>
              <w:rPr>
                <w:sz w:val="20"/>
                <w:szCs w:val="20"/>
                <w:color w:val="auto"/>
              </w:rPr>
            </w:pPr>
            <w:r>
              <w:rPr>
                <w:rFonts w:ascii="Arial" w:cs="Arial" w:eastAsia="Arial" w:hAnsi="Arial"/>
                <w:sz w:val="18"/>
                <w:szCs w:val="18"/>
                <w:color w:val="auto"/>
                <w:w w:val="91"/>
              </w:rPr>
              <w:t>IT Infrastructure Services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4,936</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jc w:val="center"/>
              <w:ind w:right="3610"/>
              <w:spacing w:after="0"/>
              <w:rPr>
                <w:sz w:val="20"/>
                <w:szCs w:val="20"/>
                <w:color w:val="auto"/>
              </w:rPr>
            </w:pPr>
            <w:r>
              <w:rPr>
                <w:rFonts w:ascii="Arial" w:cs="Arial" w:eastAsia="Arial" w:hAnsi="Arial"/>
                <w:sz w:val="18"/>
                <w:szCs w:val="18"/>
                <w:color w:val="auto"/>
                <w:w w:val="88"/>
              </w:rPr>
              <w:t>Total Revenue</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11,974</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10,573</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1,401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Related Parties: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REALSuite</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2,555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2,407</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148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IT Infrastructure Services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2,988</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jc w:val="center"/>
              <w:ind w:right="3630"/>
              <w:spacing w:after="0"/>
              <w:rPr>
                <w:sz w:val="20"/>
                <w:szCs w:val="20"/>
                <w:color w:val="auto"/>
              </w:rPr>
            </w:pPr>
            <w:r>
              <w:rPr>
                <w:rFonts w:ascii="Arial" w:cs="Arial" w:eastAsia="Arial" w:hAnsi="Arial"/>
                <w:sz w:val="18"/>
                <w:szCs w:val="18"/>
                <w:color w:val="auto"/>
                <w:w w:val="85"/>
              </w:rPr>
              <w:t>Revenue</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4,438</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66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(957)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Beginning with the second quarter of 2009, we began generating the majority of our revenue within this segment from our REALSuite of services, and we expect this trend to continue for the foreseeable future.</w:t>
      </w:r>
    </w:p>
    <w:p>
      <w:pPr>
        <w:spacing w:after="0" w:line="62"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i w:val="1"/>
          <w:iCs w:val="1"/>
          <w:color w:val="auto"/>
        </w:rPr>
        <w:t>REALSuite</w:t>
      </w:r>
      <w:r>
        <w:rPr>
          <w:rFonts w:ascii="Arial" w:cs="Arial" w:eastAsia="Arial" w:hAnsi="Arial"/>
          <w:sz w:val="18"/>
          <w:szCs w:val="18"/>
          <w:color w:val="auto"/>
        </w:rPr>
        <w:t>. Our REALSuite revenue is primarily driven by our REALServicing</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which is our comprehensive residential loan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In the second quarter of 2009, we expanded an agreement with an existing third-party customer for use of the REALServicing product by executing a five year renewal. Revenues were substantially flat to fourth quarter.</w:t>
      </w:r>
    </w:p>
    <w:p>
      <w:pPr>
        <w:spacing w:after="0" w:line="73"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i w:val="1"/>
          <w:iCs w:val="1"/>
          <w:color w:val="auto"/>
        </w:rPr>
        <w:t xml:space="preserve">IT Iinfrastructure Services. </w:t>
      </w:r>
      <w:r>
        <w:rPr>
          <w:rFonts w:ascii="Arial" w:cs="Arial" w:eastAsia="Arial" w:hAnsi="Arial"/>
          <w:sz w:val="18"/>
          <w:szCs w:val="18"/>
          <w:color w:val="auto"/>
        </w:rPr>
        <w:t>Our IT infrastructure services revenues declined when compared to the comparable period in 2009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billings to the Financial Services segment (which we eliminate in consolidation but include in our segment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Cost of revenue increased marginally when compared to the first quarter of 2009 primarily as a result of compensation and benefits as we added personnel to enhance our service capabilities.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Selling, general and administrative expenses declined primarily due to lower occupancy charges.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 — 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320" w:firstLine="447"/>
        <w:spacing w:after="0" w:line="264" w:lineRule="auto"/>
        <w:rPr>
          <w:sz w:val="20"/>
          <w:szCs w:val="20"/>
          <w:color w:val="auto"/>
        </w:rPr>
      </w:pPr>
      <w:r>
        <w:rPr>
          <w:rFonts w:ascii="Arial" w:cs="Arial" w:eastAsia="Arial" w:hAnsi="Arial"/>
          <w:sz w:val="18"/>
          <w:szCs w:val="18"/>
          <w:color w:val="auto"/>
        </w:rPr>
        <w:t>We believe that we have the ability to generate more than sufficient cash from our current operations for the next twelve months to meet anticipated cash requirements. Anticipated cash requirements principally include operational expenditures such as compensation and benefits, working capital requirements and spending for capital expenditures.</w:t>
      </w:r>
    </w:p>
    <w:p>
      <w:pPr>
        <w:spacing w:after="0" w:line="73" w:lineRule="exact"/>
        <w:rPr>
          <w:sz w:val="20"/>
          <w:szCs w:val="20"/>
          <w:color w:val="auto"/>
        </w:rPr>
      </w:pPr>
    </w:p>
    <w:p>
      <w:pPr>
        <w:ind w:right="80" w:firstLine="447"/>
        <w:spacing w:after="0" w:line="255" w:lineRule="auto"/>
        <w:rPr>
          <w:sz w:val="20"/>
          <w:szCs w:val="20"/>
          <w:color w:val="auto"/>
        </w:rPr>
      </w:pPr>
      <w:r>
        <w:rPr>
          <w:rFonts w:ascii="Arial" w:cs="Arial" w:eastAsia="Arial" w:hAnsi="Arial"/>
          <w:sz w:val="18"/>
          <w:szCs w:val="18"/>
          <w:color w:val="auto"/>
        </w:rPr>
        <w:t>We generate significant excess cash that we will seek to deploy in a disciplined manner. Principally, we will continue to invest in compelling services that we believe will generate high margins. In addition, we may seek to acquire a limited number of companies that fit our strategic objectives. Finally, given the tax inefficiency of dividends, the low returns earned on cash held and our desire to only perform a limited number of acquisitions, we believe one of the best ways to return value to shareholders is to consider a share repurchase program. Under Luxembourg law, we need shareholder approval to initiate such a program. We have requested shareholder approval at our next Annual General Meeting scheduled for May 19, 2010 for a share repurchase program as further described in our proxy.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cash flows for the three months ended March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color w:val="auto"/>
                <w:w w:val="95"/>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right"/>
              <w:ind w:right="214"/>
              <w:spacing w:after="0" w:line="123"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680" w:type="dxa"/>
            <w:vAlign w:val="bottom"/>
          </w:tcPr>
          <w:p>
            <w:pPr>
              <w:jc w:val="right"/>
              <w:ind w:right="194"/>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rPr>
              <w:t>Change</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10,628</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6,664</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3,964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Working Capital</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9,057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(5,174)</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14,231</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18,195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Flow from Investing Activities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(29,075)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(771)</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(28,304)</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(2,458)</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1,012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(10,836)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(1,739)</w:t>
            </w:r>
          </w:p>
        </w:tc>
        <w:tc>
          <w:tcPr>
            <w:tcW w:w="66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(9,097)</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30,456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6,988</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Operating Activities</w:t>
      </w:r>
    </w:p>
    <w:p>
      <w:pPr>
        <w:spacing w:after="0" w:line="117"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Cash flow from operating activities consists of two components including (i) net income adjusted for depreciation, amortization and certain other non-cash items and (ii) working capital. We generated $19.7 million in positive cash flow from operations which primarily reflects our profitability adjusted for non-cash items in the period but also as a result of improvement of working capital. The increase in cash flows from operating activities is consistent with the overall improved operating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Investing Activities</w:t>
      </w:r>
    </w:p>
    <w:p>
      <w:pPr>
        <w:spacing w:after="0" w:line="117" w:lineRule="exact"/>
        <w:rPr>
          <w:sz w:val="20"/>
          <w:szCs w:val="20"/>
          <w:color w:val="auto"/>
        </w:rPr>
      </w:pPr>
    </w:p>
    <w:p>
      <w:pPr>
        <w:ind w:right="320" w:firstLine="450"/>
        <w:spacing w:after="0" w:line="259" w:lineRule="auto"/>
        <w:rPr>
          <w:sz w:val="20"/>
          <w:szCs w:val="20"/>
          <w:color w:val="auto"/>
        </w:rPr>
      </w:pPr>
      <w:r>
        <w:rPr>
          <w:rFonts w:ascii="Arial" w:cs="Arial" w:eastAsia="Arial" w:hAnsi="Arial"/>
          <w:sz w:val="18"/>
          <w:szCs w:val="18"/>
          <w:color w:val="auto"/>
        </w:rPr>
        <w:t>Our cash flow from investing activities primarily includes the acquisition of MPA in February 2010 for which the purchase consideration included $29.0 million in cash. In addition, we saw an elevated increase in purchases of premises and equipment in anticipation of Ocwen’s portfolio increases. We expect this elevated level of premises and equipment to continue into the second quarter and for total capital expenditures to be higher than originally anticipated for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Financing Activities</w:t>
      </w:r>
    </w:p>
    <w:p>
      <w:pPr>
        <w:spacing w:after="0" w:line="117"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During 2010, cash flow from financing activities primarily includes activity associated with stock option exercises and payments to non-controlling interest members as a result of the acquisition of MPA. Prior to our Separation from Ocwen, we participated in a centralized cash management program with Ocwen. We made a significant amount of our cash disbursements through centralized payable systems which were operated by Ocwen, and a significant amount of our cash receipts were received by us and transferred to centralized accounts maintained by Ocwen. There were no formal financing arrangements with Ocwen,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and we recorded all cash receipts and disbursement activity between Ocwen and us through invested equity in the Condensed Consolidated Balance Sheets and as net distributions or contributions in the Condensed Consolidated Statements of Equity and Cash Flows because we consider such amounts to have been contributed by or distributed to Ocwen.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March 31, 2010</w:t>
      </w:r>
    </w:p>
    <w:p>
      <w:pPr>
        <w:spacing w:after="0" w:line="117" w:lineRule="exact"/>
        <w:rPr>
          <w:sz w:val="20"/>
          <w:szCs w:val="20"/>
          <w:color w:val="auto"/>
        </w:rPr>
      </w:pPr>
    </w:p>
    <w:p>
      <w:pPr>
        <w:ind w:right="280" w:firstLine="450"/>
        <w:spacing w:after="0" w:line="259" w:lineRule="auto"/>
        <w:rPr>
          <w:sz w:val="20"/>
          <w:szCs w:val="20"/>
          <w:color w:val="auto"/>
        </w:rPr>
      </w:pPr>
      <w:r>
        <w:rPr>
          <w:rFonts w:ascii="Arial" w:cs="Arial" w:eastAsia="Arial" w:hAnsi="Arial"/>
          <w:sz w:val="18"/>
          <w:szCs w:val="18"/>
          <w:color w:val="auto"/>
        </w:rPr>
        <w:t>In connection with the acquisition of MPA, a final working capital adjustment will be paid to the prior owners of MPA in the second quarter of 2010 (see Note 3 to the condensed consolidated financial statements). In addition, in May 2010, distributions of $1.4 million will be paid to non-controlling interests. Management is not aware of any other trends or events, commitments or uncertainties which have not otherwise been disclosed, that will or are likely to impact liquidity in a material way.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17" w:lineRule="exact"/>
        <w:rPr>
          <w:sz w:val="20"/>
          <w:szCs w:val="20"/>
          <w:color w:val="auto"/>
        </w:rPr>
      </w:pPr>
    </w:p>
    <w:p>
      <w:pPr>
        <w:ind w:right="120" w:firstLine="450"/>
        <w:spacing w:after="0" w:line="308" w:lineRule="auto"/>
        <w:rPr>
          <w:sz w:val="20"/>
          <w:szCs w:val="20"/>
          <w:color w:val="auto"/>
        </w:rPr>
      </w:pPr>
      <w:r>
        <w:rPr>
          <w:rFonts w:ascii="Arial" w:cs="Arial" w:eastAsia="Arial" w:hAnsi="Arial"/>
          <w:sz w:val="17"/>
          <w:szCs w:val="17"/>
          <w:color w:val="auto"/>
        </w:rPr>
        <w:t>Given our ability to generate significant cash flow sufficient enough to fund current operations as well as expansion of our operations, we require very limited, if any, capital. Were we to need additional capital, we believe we have adequate access to both debt and equity capital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details of these transactions, see Note 10 to the condensed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 – CRITICAL ACCOUNTING POLICIES AND ESTIMATES</w:t>
      </w:r>
    </w:p>
    <w:p>
      <w:pPr>
        <w:spacing w:after="0" w:line="121" w:lineRule="exact"/>
        <w:rPr>
          <w:sz w:val="20"/>
          <w:szCs w:val="20"/>
          <w:color w:val="auto"/>
        </w:rPr>
      </w:pPr>
    </w:p>
    <w:p>
      <w:pPr>
        <w:ind w:right="40" w:firstLine="447"/>
        <w:spacing w:after="0" w:line="273" w:lineRule="auto"/>
        <w:rPr>
          <w:sz w:val="20"/>
          <w:szCs w:val="20"/>
          <w:color w:val="auto"/>
        </w:rPr>
      </w:pPr>
      <w:r>
        <w:rPr>
          <w:rFonts w:ascii="Arial" w:cs="Arial" w:eastAsia="Arial" w:hAnsi="Arial"/>
          <w:sz w:val="17"/>
          <w:szCs w:val="17"/>
          <w:color w:val="auto"/>
        </w:rPr>
        <w:t>We prepare our condensed consolidated financial statements in accordance with accounting principles generally accepted in the United States. In applying many of these accounting principles, we need to make assumptions, estimates and/or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and/or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70" w:lineRule="exact"/>
        <w:rPr>
          <w:sz w:val="20"/>
          <w:szCs w:val="20"/>
          <w:color w:val="auto"/>
        </w:rPr>
      </w:pPr>
    </w:p>
    <w:p>
      <w:pPr>
        <w:ind w:right="1040" w:firstLine="450"/>
        <w:spacing w:after="0" w:line="402" w:lineRule="auto"/>
        <w:rPr>
          <w:sz w:val="20"/>
          <w:szCs w:val="20"/>
          <w:color w:val="auto"/>
        </w:rPr>
      </w:pPr>
      <w:r>
        <w:rPr>
          <w:rFonts w:ascii="Arial" w:cs="Arial" w:eastAsia="Arial" w:hAnsi="Arial"/>
          <w:sz w:val="18"/>
          <w:szCs w:val="18"/>
          <w:color w:val="auto"/>
        </w:rPr>
        <w:t xml:space="preserve">Our critical accounting policies are described in the MD&amp;A section in our 2009 Form 10-K. Such policies have not changed during 2010. </w:t>
      </w:r>
      <w:r>
        <w:rPr>
          <w:rFonts w:ascii="Arial" w:cs="Arial" w:eastAsia="Arial" w:hAnsi="Arial"/>
          <w:sz w:val="18"/>
          <w:szCs w:val="18"/>
          <w:b w:val="1"/>
          <w:bCs w:val="1"/>
          <w:u w:val="single" w:color="auto"/>
          <w:color w:val="auto"/>
        </w:rPr>
        <w:t>SECTION 6 — OTHER MATTERS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 Ocwen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three months ended March 31, 2010, approximately $24.2 million of the Mortgage Services, $0.1 million of the Financial Services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$4.4 million of the Technology Products segment revenues were from services provided to Ocwen or sales derived from Ocwen’s loan servicing portfolio.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provided to Ocwen included residential property valuation, real estate asset management and sales, trustee management services, property inspection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preservation, closing and title services, charge-off second mortgage collections, core technology back office support and multiple business technologies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our REALSuite of products. We provided all services at rates we believe to be comparable to market rates.</w:t>
      </w:r>
    </w:p>
    <w:p>
      <w:pPr>
        <w:spacing w:after="0" w:line="103" w:lineRule="exact"/>
        <w:rPr>
          <w:sz w:val="20"/>
          <w:szCs w:val="20"/>
          <w:color w:val="auto"/>
        </w:rPr>
      </w:pPr>
    </w:p>
    <w:p>
      <w:pPr>
        <w:ind w:right="60" w:firstLine="450"/>
        <w:spacing w:after="0" w:line="302" w:lineRule="auto"/>
        <w:rPr>
          <w:sz w:val="20"/>
          <w:szCs w:val="20"/>
          <w:color w:val="auto"/>
        </w:rPr>
      </w:pPr>
      <w:r>
        <w:rPr>
          <w:rFonts w:ascii="Arial" w:cs="Arial" w:eastAsia="Arial" w:hAnsi="Arial"/>
          <w:sz w:val="16"/>
          <w:szCs w:val="16"/>
          <w:color w:val="auto"/>
        </w:rPr>
        <w:t>In connection with the Separation, Altisource and Ocwen entered into various agreements that address the allocation of assets and liabilities between them and that define their relationship after the Separation including a Separation Agreement, a Tax Matters Agreement, an Employee Matters Agreement, an Intellectual Property Agreement, a Data Center and Disaster Recovery Agreement, a Technology Products Services Agreement, a Transition Services Agreement and certain long-term servicing contracts (collectively, the “Agreements”) (see Note 4 to our 2009 Form 10-K).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 – FORWARD LOOKING STATEMENTS</w:t>
      </w:r>
    </w:p>
    <w:p>
      <w:pPr>
        <w:spacing w:after="0" w:line="121" w:lineRule="exact"/>
        <w:rPr>
          <w:sz w:val="20"/>
          <w:szCs w:val="20"/>
          <w:color w:val="auto"/>
        </w:rPr>
      </w:pPr>
    </w:p>
    <w:p>
      <w:pPr>
        <w:jc w:val="both"/>
        <w:ind w:right="40" w:firstLine="447"/>
        <w:spacing w:after="0" w:line="312" w:lineRule="auto"/>
        <w:rPr>
          <w:sz w:val="20"/>
          <w:szCs w:val="20"/>
          <w:color w:val="auto"/>
        </w:rPr>
      </w:pPr>
      <w:r>
        <w:rPr>
          <w:rFonts w:ascii="Arial" w:cs="Arial" w:eastAsia="Arial" w:hAnsi="Arial"/>
          <w:sz w:val="16"/>
          <w:szCs w:val="16"/>
          <w:color w:val="auto"/>
        </w:rPr>
        <w:t>This Quarterly Report contains forward-looking statements that relate to, among other things, our future financial and operating results. In many cases, you can identify forward-looking statements by terminology such as “may,” “will,” “should,” “expect,” “intend,” “plan,” “anticipate,” “believe,” “estimate,” “predict,” “potential” or “continue” or the negative of these terms and other comparable terminology including, but not limited to, the following:</w:t>
      </w:r>
    </w:p>
    <w:p>
      <w:pPr>
        <w:spacing w:after="0" w:line="39" w:lineRule="exact"/>
        <w:rPr>
          <w:sz w:val="20"/>
          <w:szCs w:val="20"/>
          <w:color w:val="auto"/>
        </w:rPr>
      </w:pPr>
    </w:p>
    <w:p>
      <w:pPr>
        <w:ind w:left="1000" w:hanging="317"/>
        <w:spacing w:after="0"/>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assumptions related to the sources of liquidity and the adequacy of financial resources;</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grow our business;</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reduce our cost structure;</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expectations regarding collection rates and placements in our Financial Services segment;</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estimates regarding our ability to lower our effective tax rate; and</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estimates regarding our reserves and valuations.</w:t>
      </w:r>
    </w:p>
    <w:p>
      <w:pPr>
        <w:spacing w:after="0" w:line="117" w:lineRule="exact"/>
        <w:rPr>
          <w:sz w:val="20"/>
          <w:szCs w:val="20"/>
          <w:color w:val="auto"/>
        </w:rPr>
      </w:pPr>
    </w:p>
    <w:p>
      <w:pPr>
        <w:ind w:firstLine="450"/>
        <w:spacing w:after="0" w:line="286" w:lineRule="auto"/>
        <w:rPr>
          <w:sz w:val="20"/>
          <w:szCs w:val="20"/>
          <w:color w:val="auto"/>
        </w:rPr>
      </w:pPr>
      <w:r>
        <w:rPr>
          <w:rFonts w:ascii="Arial" w:cs="Arial" w:eastAsia="Arial" w:hAnsi="Arial"/>
          <w:sz w:val="17"/>
          <w:szCs w:val="17"/>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“Risk Factors” in our Registration Statement on Form 10 and the following:</w:t>
      </w:r>
    </w:p>
    <w:p>
      <w:pPr>
        <w:spacing w:after="0" w:line="57" w:lineRule="exact"/>
        <w:rPr>
          <w:sz w:val="20"/>
          <w:szCs w:val="20"/>
          <w:color w:val="auto"/>
        </w:rPr>
      </w:pPr>
    </w:p>
    <w:p>
      <w:pPr>
        <w:ind w:left="1000" w:hanging="317"/>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ability to retain existing customers and attract new customers;</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general economic and market conditions;</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governmental regulations, taxes and policies; and</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availability of adequate and timely sources of liquidity.</w:t>
      </w:r>
    </w:p>
    <w:p>
      <w:pPr>
        <w:spacing w:after="0" w:line="117" w:lineRule="exact"/>
        <w:rPr>
          <w:sz w:val="20"/>
          <w:szCs w:val="20"/>
          <w:color w:val="auto"/>
        </w:rPr>
      </w:pPr>
    </w:p>
    <w:p>
      <w:pPr>
        <w:ind w:right="80" w:firstLine="447"/>
        <w:spacing w:after="0" w:line="286" w:lineRule="auto"/>
        <w:rPr>
          <w:sz w:val="20"/>
          <w:szCs w:val="20"/>
          <w:color w:val="auto"/>
        </w:rPr>
      </w:pPr>
      <w:r>
        <w:rPr>
          <w:rFonts w:ascii="Arial" w:cs="Arial" w:eastAsia="Arial" w:hAnsi="Arial"/>
          <w:sz w:val="17"/>
          <w:szCs w:val="17"/>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financial market risk consists primarily of foreign currency exchange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160" w:firstLine="447"/>
        <w:spacing w:after="0" w:line="277"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which are very limited, to the extent that our foreign exchange positions remain un-hedged.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121"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Evaluation of Disclosure Controls and Procedures</w:t>
      </w:r>
    </w:p>
    <w:p>
      <w:pPr>
        <w:spacing w:after="0" w:line="130" w:lineRule="exact"/>
        <w:rPr>
          <w:rFonts w:ascii="Arial" w:cs="Arial" w:eastAsia="Arial" w:hAnsi="Arial"/>
          <w:sz w:val="18"/>
          <w:szCs w:val="18"/>
          <w:i w:val="1"/>
          <w:iCs w:val="1"/>
          <w:color w:val="auto"/>
        </w:rPr>
      </w:pPr>
    </w:p>
    <w:p>
      <w:pPr>
        <w:ind w:left="280"/>
        <w:spacing w:after="0"/>
        <w:rPr>
          <w:rFonts w:ascii="Arial" w:cs="Arial" w:eastAsia="Arial" w:hAnsi="Arial"/>
          <w:sz w:val="18"/>
          <w:szCs w:val="18"/>
          <w:i w:val="1"/>
          <w:iCs w:val="1"/>
          <w:color w:val="auto"/>
        </w:rPr>
      </w:pPr>
      <w:r>
        <w:rPr>
          <w:rFonts w:ascii="Arial" w:cs="Arial" w:eastAsia="Arial" w:hAnsi="Arial"/>
          <w:sz w:val="17"/>
          <w:szCs w:val="17"/>
          <w:color w:val="auto"/>
        </w:rPr>
        <w:t>Our Chief Executive Officer and Chief Financial Officer have evaluated the effectiveness of our disclosure controls and procedures (as defined in</w:t>
      </w:r>
    </w:p>
    <w:p>
      <w:pPr>
        <w:spacing w:after="0" w:line="34" w:lineRule="exact"/>
        <w:rPr>
          <w:rFonts w:ascii="Arial" w:cs="Arial" w:eastAsia="Arial" w:hAnsi="Arial"/>
          <w:sz w:val="18"/>
          <w:szCs w:val="18"/>
          <w:i w:val="1"/>
          <w:iCs w:val="1"/>
          <w:color w:val="auto"/>
        </w:rPr>
      </w:pPr>
    </w:p>
    <w:p>
      <w:pPr>
        <w:ind w:left="28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Rule 13a-15(e) or Rule 15a-15(e)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99" w:lineRule="exact"/>
        <w:rPr>
          <w:rFonts w:ascii="Arial" w:cs="Arial" w:eastAsia="Arial" w:hAnsi="Arial"/>
          <w:sz w:val="18"/>
          <w:szCs w:val="18"/>
          <w:i w:val="1"/>
          <w:iCs w:val="1"/>
          <w:color w:val="auto"/>
        </w:rPr>
      </w:pPr>
    </w:p>
    <w:p>
      <w:pPr>
        <w:ind w:left="280" w:hanging="272"/>
        <w:spacing w:after="0"/>
        <w:tabs>
          <w:tab w:leader="none" w:pos="2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Internal Control over Financial Reporting</w:t>
      </w:r>
    </w:p>
    <w:p>
      <w:pPr>
        <w:spacing w:after="0" w:line="130" w:lineRule="exact"/>
        <w:rPr>
          <w:rFonts w:ascii="Arial" w:cs="Arial" w:eastAsia="Arial" w:hAnsi="Arial"/>
          <w:sz w:val="18"/>
          <w:szCs w:val="18"/>
          <w:i w:val="1"/>
          <w:iCs w:val="1"/>
          <w:color w:val="auto"/>
        </w:rPr>
      </w:pPr>
    </w:p>
    <w:p>
      <w:pPr>
        <w:ind w:left="280" w:right="4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ending March 31, 2010, that have materially affected, or are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routine litigation and administrative proceedings arising in the ordinary course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spacing w:after="0" w:line="374" w:lineRule="auto"/>
        <w:rPr>
          <w:sz w:val="20"/>
          <w:szCs w:val="20"/>
          <w:color w:val="auto"/>
        </w:rPr>
      </w:pPr>
      <w:r>
        <w:rPr>
          <w:rFonts w:ascii="Arial" w:cs="Arial" w:eastAsia="Arial" w:hAnsi="Arial"/>
          <w:sz w:val="18"/>
          <w:szCs w:val="18"/>
          <w:color w:val="auto"/>
        </w:rPr>
        <w:t xml:space="preserve">As of the date of this filing, there have been no material changes in our risk factors from those disclosed in Part I, Item 1A, of our 2009 Form 10-K. </w:t>
      </w: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r>
        <w:rPr>
          <w:rFonts w:ascii="Arial" w:cs="Arial" w:eastAsia="Arial" w:hAnsi="Arial"/>
          <w:sz w:val="18"/>
          <w:szCs w:val="18"/>
          <w:b w:val="1"/>
          <w:bCs w:val="1"/>
          <w:color w:val="auto"/>
        </w:rPr>
        <w:t xml:space="preserve"> Item 3. Defaults upon Senior Securities.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(filed herewith)</w:t>
      </w:r>
    </w:p>
    <w:p>
      <w:pPr>
        <w:spacing w:after="0" w:line="225"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(filed herewith)</w:t>
      </w:r>
    </w:p>
    <w:p>
      <w:pPr>
        <w:spacing w:after="0" w:line="225" w:lineRule="exact"/>
        <w:rPr>
          <w:sz w:val="20"/>
          <w:szCs w:val="20"/>
          <w:color w:val="auto"/>
        </w:rPr>
      </w:pPr>
    </w:p>
    <w:p>
      <w:pPr>
        <w:ind w:left="820" w:hanging="543"/>
        <w:spacing w:after="0" w:line="277" w:lineRule="auto"/>
        <w:tabs>
          <w:tab w:leader="none" w:pos="800" w:val="left"/>
        </w:tabs>
        <w:rPr>
          <w:sz w:val="20"/>
          <w:szCs w:val="20"/>
          <w:color w:val="auto"/>
        </w:rPr>
      </w:pPr>
      <w:r>
        <w:rPr>
          <w:rFonts w:ascii="Arial" w:cs="Arial" w:eastAsia="Arial" w:hAnsi="Arial"/>
          <w:sz w:val="18"/>
          <w:szCs w:val="18"/>
          <w:color w:val="auto"/>
        </w:rPr>
        <w:t>32.1</w:t>
        <w:tab/>
        <w:t>Certification by the Chief Executive Officer and Chief Financial Officer pursuant to Section 906 of the Sarbanes-Oxley Act of 2002 (filed herewith)</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419" w:right="8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6760" w:type="dxa"/>
            <w:vAlign w:val="bottom"/>
            <w:gridSpan w:val="2"/>
          </w:tcPr>
          <w:p>
            <w:pPr>
              <w:ind w:left="1700"/>
              <w:spacing w:after="0"/>
              <w:rPr>
                <w:sz w:val="20"/>
                <w:szCs w:val="20"/>
                <w:color w:val="auto"/>
              </w:rPr>
            </w:pPr>
            <w:r>
              <w:rPr>
                <w:rFonts w:ascii="Arial" w:cs="Arial" w:eastAsia="Arial" w:hAnsi="Arial"/>
                <w:sz w:val="18"/>
                <w:szCs w:val="18"/>
                <w:color w:val="auto"/>
              </w:rPr>
              <w:t>ALTISOURCE PORTFOLIO SOLUTIONS S.A.</w:t>
            </w:r>
          </w:p>
        </w:tc>
      </w:tr>
      <w:tr>
        <w:trPr>
          <w:trHeight w:val="230"/>
        </w:trPr>
        <w:tc>
          <w:tcPr>
            <w:tcW w:w="3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(Registrant)</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 May 14, 2010</w:t>
            </w:r>
          </w:p>
        </w:tc>
        <w:tc>
          <w:tcPr>
            <w:tcW w:w="6760" w:type="dxa"/>
            <w:vAlign w:val="bottom"/>
            <w:gridSpan w:val="2"/>
          </w:tcPr>
          <w:p>
            <w:pPr>
              <w:ind w:left="1700"/>
              <w:spacing w:after="0"/>
              <w:rPr>
                <w:sz w:val="20"/>
                <w:szCs w:val="20"/>
                <w:color w:val="auto"/>
              </w:rPr>
            </w:pPr>
            <w:r>
              <w:rPr>
                <w:rFonts w:ascii="Arial" w:cs="Arial" w:eastAsia="Arial" w:hAnsi="Arial"/>
                <w:sz w:val="18"/>
                <w:szCs w:val="18"/>
                <w:color w:val="auto"/>
              </w:rPr>
              <w:t>By: /s/ Robert D. Stiles</w:t>
            </w:r>
          </w:p>
        </w:tc>
      </w:tr>
      <w:tr>
        <w:trPr>
          <w:trHeight w:val="195"/>
        </w:trPr>
        <w:tc>
          <w:tcPr>
            <w:tcW w:w="3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3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2"/>
              </w:rPr>
              <w:t>(On behalf of the Registrant and as its principal financial officer)</w:t>
            </w:r>
          </w:p>
        </w:tc>
      </w:tr>
      <w:tr>
        <w:trPr>
          <w:trHeight w:val="621"/>
        </w:trPr>
        <w:tc>
          <w:tcPr>
            <w:tcW w:w="3140" w:type="dxa"/>
            <w:vAlign w:val="bottom"/>
          </w:tcPr>
          <w:p>
            <w:pPr>
              <w:spacing w:after="0"/>
              <w:rPr>
                <w:sz w:val="24"/>
                <w:szCs w:val="24"/>
                <w:color w:val="auto"/>
              </w:rPr>
            </w:pPr>
          </w:p>
        </w:tc>
        <w:tc>
          <w:tcPr>
            <w:tcW w:w="6760" w:type="dxa"/>
            <w:vAlign w:val="bottom"/>
            <w:gridSpan w:val="2"/>
          </w:tcPr>
          <w:p>
            <w:pPr>
              <w:jc w:val="right"/>
              <w:ind w:right="401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280"/>
          </w:cols>
          <w:pgMar w:left="240" w:top="419" w:right="3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i w:val="1"/>
          <w:iCs w:val="1"/>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117"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March 31, 2010 of Altisource Portfolio Solutions S.A.:</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314"/>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660" w:right="20" w:firstLine="10"/>
        <w:spacing w:after="0" w:line="264" w:lineRule="auto"/>
        <w:tabs>
          <w:tab w:leader="none" w:pos="8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20" w:firstLine="10"/>
        <w:spacing w:after="0" w:line="264" w:lineRule="auto"/>
        <w:tabs>
          <w:tab w:leader="none" w:pos="8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860" w:firstLine="10"/>
        <w:spacing w:after="0" w:line="342" w:lineRule="auto"/>
        <w:tabs>
          <w:tab w:leader="none" w:pos="845"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660" w:right="240" w:firstLine="10"/>
        <w:spacing w:after="0" w:line="264" w:lineRule="auto"/>
        <w:tabs>
          <w:tab w:leader="none" w:pos="8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 May 14, 2010</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William B. Shepro</w:t>
            </w:r>
          </w:p>
        </w:tc>
      </w:tr>
      <w:tr>
        <w:trPr>
          <w:trHeight w:val="195"/>
        </w:trPr>
        <w:tc>
          <w:tcPr>
            <w:tcW w:w="3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r>
      <w:tr>
        <w:trPr>
          <w:trHeight w:val="216"/>
        </w:trPr>
        <w:tc>
          <w:tcPr>
            <w:tcW w:w="3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r>
        <w:trPr>
          <w:trHeight w:val="230"/>
        </w:trPr>
        <w:tc>
          <w:tcPr>
            <w:tcW w:w="3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i w:val="1"/>
          <w:iCs w:val="1"/>
          <w:color w:val="auto"/>
        </w:rPr>
        <w:t>Exhibit 31.2</w:t>
      </w: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Robert D. Stiles, hereby certify that:</w:t>
      </w:r>
    </w:p>
    <w:p>
      <w:pPr>
        <w:spacing w:after="0" w:line="117"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March 31, 2010 of Altisource Portfolio Solutions S.A.:</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314"/>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660" w:right="20" w:firstLine="10"/>
        <w:spacing w:after="0" w:line="264" w:lineRule="auto"/>
        <w:tabs>
          <w:tab w:leader="none" w:pos="84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20" w:firstLine="10"/>
        <w:spacing w:after="0" w:line="264" w:lineRule="auto"/>
        <w:tabs>
          <w:tab w:leader="none" w:pos="8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860" w:firstLine="10"/>
        <w:spacing w:after="0" w:line="342" w:lineRule="auto"/>
        <w:tabs>
          <w:tab w:leader="none" w:pos="845"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660" w:right="240" w:firstLine="10"/>
        <w:spacing w:after="0" w:line="264" w:lineRule="auto"/>
        <w:tabs>
          <w:tab w:leader="none" w:pos="8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 May 14, 2010</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Robert D. Stiles</w:t>
            </w: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(Principal Financial Officer and Principal Accounting</w:t>
            </w: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20"/>
          </w:cols>
          <w:pgMar w:left="240" w:top="55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i w:val="1"/>
          <w:iCs w:val="1"/>
          <w:color w:val="auto"/>
        </w:rPr>
        <w:t>Exhibit 32.1</w:t>
      </w:r>
    </w:p>
    <w:p>
      <w:pPr>
        <w:spacing w:after="0" w:line="329"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2010</w:t>
      </w:r>
    </w:p>
    <w:p>
      <w:pPr>
        <w:spacing w:after="0" w:line="29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Quarterly Report on Form 10-Q of Altisource Portfolio Solutions S.A. for the quarterly period ending March 31, 2010, as filed with the Securities and Exchange Commission on the date hereof (the “Report”), William B. Shepro, as Chief Executive Officer of our Company, and Robert D. Stiles, as Chief Financial Officer of our Company, each hereby certifies, pursuant to 18 U.S.C. Section 1350, that:</w:t>
      </w:r>
    </w:p>
    <w:p>
      <w:pPr>
        <w:spacing w:after="0" w:line="73" w:lineRule="exact"/>
        <w:rPr>
          <w:sz w:val="20"/>
          <w:szCs w:val="20"/>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our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6680" w:type="dxa"/>
            <w:vAlign w:val="bottom"/>
            <w:gridSpan w:val="2"/>
          </w:tcPr>
          <w:p>
            <w:pPr>
              <w:ind w:left="1260"/>
              <w:spacing w:after="0"/>
              <w:rPr>
                <w:sz w:val="20"/>
                <w:szCs w:val="20"/>
                <w:color w:val="auto"/>
              </w:rPr>
            </w:pPr>
            <w:r>
              <w:rPr>
                <w:rFonts w:ascii="Arial" w:cs="Arial" w:eastAsia="Arial" w:hAnsi="Arial"/>
                <w:sz w:val="18"/>
                <w:szCs w:val="18"/>
                <w:color w:val="auto"/>
              </w:rPr>
              <w:t>By: /s/ Robert D. Stiles</w:t>
            </w:r>
          </w:p>
        </w:tc>
      </w:tr>
      <w:tr>
        <w:trPr>
          <w:trHeight w:val="209"/>
        </w:trPr>
        <w:tc>
          <w:tcPr>
            <w:tcW w:w="380" w:type="dxa"/>
            <w:vAlign w:val="bottom"/>
          </w:tcPr>
          <w:p>
            <w:pPr>
              <w:spacing w:after="0"/>
              <w:rPr>
                <w:sz w:val="18"/>
                <w:szCs w:val="18"/>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B. Shepro</w:t>
            </w:r>
          </w:p>
        </w:tc>
        <w:tc>
          <w:tcPr>
            <w:tcW w:w="1620" w:type="dxa"/>
            <w:vAlign w:val="bottom"/>
          </w:tcPr>
          <w:p>
            <w:pPr>
              <w:spacing w:after="0"/>
              <w:rPr>
                <w:sz w:val="18"/>
                <w:szCs w:val="18"/>
                <w:color w:val="auto"/>
              </w:rPr>
            </w:pPr>
          </w:p>
        </w:tc>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D. Stiles</w:t>
            </w:r>
          </w:p>
        </w:tc>
      </w:tr>
      <w:tr>
        <w:trPr>
          <w:trHeight w:val="216"/>
        </w:trPr>
        <w:tc>
          <w:tcPr>
            <w:tcW w:w="3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6680" w:type="dxa"/>
            <w:vAlign w:val="bottom"/>
            <w:gridSpan w:val="2"/>
          </w:tcPr>
          <w:p>
            <w:pPr>
              <w:ind w:left="1620"/>
              <w:spacing w:after="0"/>
              <w:rPr>
                <w:sz w:val="20"/>
                <w:szCs w:val="20"/>
                <w:color w:val="auto"/>
              </w:rPr>
            </w:pPr>
            <w:r>
              <w:rPr>
                <w:rFonts w:ascii="Arial" w:cs="Arial" w:eastAsia="Arial" w:hAnsi="Arial"/>
                <w:sz w:val="18"/>
                <w:szCs w:val="18"/>
                <w:color w:val="auto"/>
              </w:rPr>
              <w:t>Chief Financial Officer</w:t>
            </w:r>
          </w:p>
        </w:tc>
      </w:tr>
      <w:tr>
        <w:trPr>
          <w:trHeight w:val="216"/>
        </w:trPr>
        <w:tc>
          <w:tcPr>
            <w:tcW w:w="3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6680" w:type="dxa"/>
            <w:vAlign w:val="bottom"/>
            <w:gridSpan w:val="2"/>
          </w:tcPr>
          <w:p>
            <w:pPr>
              <w:ind w:left="162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230"/>
        </w:trPr>
        <w:tc>
          <w:tcPr>
            <w:tcW w:w="3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May 14, 2010</w:t>
            </w:r>
          </w:p>
        </w:tc>
        <w:tc>
          <w:tcPr>
            <w:tcW w:w="6680" w:type="dxa"/>
            <w:vAlign w:val="bottom"/>
            <w:gridSpan w:val="2"/>
          </w:tcPr>
          <w:p>
            <w:pPr>
              <w:ind w:left="1620"/>
              <w:spacing w:after="0"/>
              <w:rPr>
                <w:sz w:val="20"/>
                <w:szCs w:val="20"/>
                <w:color w:val="auto"/>
              </w:rPr>
            </w:pPr>
            <w:r>
              <w:rPr>
                <w:rFonts w:ascii="Arial" w:cs="Arial" w:eastAsia="Arial" w:hAnsi="Arial"/>
                <w:sz w:val="18"/>
                <w:szCs w:val="18"/>
                <w:color w:val="auto"/>
              </w:rPr>
              <w:t>May 14, 2010</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emdash "/>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2019-12-11T07:40:10Z</dcterms:created>
  <dcterms:modified xsi:type="dcterms:W3CDTF">2019-12-11T07:40:10Z</dcterms:modified>
</cp:coreProperties>
</file>