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598170</wp:posOffset>
            </wp:positionH>
            <wp:positionV relativeFrom="page">
              <wp:posOffset>801370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760095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2572385</wp:posOffset>
            </wp:positionH>
            <wp:positionV relativeFrom="paragraph">
              <wp:posOffset>112395</wp:posOffset>
            </wp:positionV>
            <wp:extent cx="19977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7710" cy="8255"/>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2572385</wp:posOffset>
            </wp:positionH>
            <wp:positionV relativeFrom="paragraph">
              <wp:posOffset>104775</wp:posOffset>
            </wp:positionV>
            <wp:extent cx="19977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710" cy="8255"/>
                    </a:xfrm>
                    <a:prstGeom prst="rect">
                      <a:avLst/>
                    </a:prstGeom>
                    <a:noFill/>
                  </pic:spPr>
                </pic:pic>
              </a:graphicData>
            </a:graphic>
          </wp:anchor>
        </w:drawing>
      </w:r>
    </w:p>
    <w:p>
      <w:pPr>
        <w:spacing w:after="0" w:line="306"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(Mark One)</w:t>
      </w:r>
    </w:p>
    <w:p>
      <w:pPr>
        <w:spacing w:after="0" w:line="28" w:lineRule="exact"/>
        <w:rPr>
          <w:sz w:val="24"/>
          <w:szCs w:val="24"/>
          <w:color w:val="auto"/>
        </w:rPr>
      </w:pPr>
    </w:p>
    <w:p>
      <w:pPr>
        <w:ind w:left="1000" w:hanging="597"/>
        <w:spacing w:after="0"/>
        <w:tabs>
          <w:tab w:leader="none" w:pos="10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the quarterly period ended March 31, 2023</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2" w:lineRule="exact"/>
        <w:rPr>
          <w:sz w:val="24"/>
          <w:szCs w:val="24"/>
          <w:color w:val="auto"/>
        </w:rPr>
      </w:pPr>
    </w:p>
    <w:p>
      <w:pPr>
        <w:ind w:left="1000" w:hanging="597"/>
        <w:spacing w:after="0"/>
        <w:tabs>
          <w:tab w:leader="none" w:pos="10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26" w:lineRule="exact"/>
        <w:rPr>
          <w:rFonts w:ascii="MS PGothic" w:cs="MS PGothic" w:eastAsia="MS PGothic" w:hAnsi="MS PGothic"/>
          <w:sz w:val="21"/>
          <w:szCs w:val="21"/>
          <w:color w:val="auto"/>
        </w:rPr>
      </w:pPr>
    </w:p>
    <w:p>
      <w:pPr>
        <w:ind w:left="4420"/>
        <w:spacing w:after="0"/>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For the transition period from to</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2572385</wp:posOffset>
            </wp:positionH>
            <wp:positionV relativeFrom="paragraph">
              <wp:posOffset>158750</wp:posOffset>
            </wp:positionV>
            <wp:extent cx="1997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71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ALTISOURCE PORTFOLIO SOLUTIONS S.A.</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2572385</wp:posOffset>
            </wp:positionH>
            <wp:positionV relativeFrom="paragraph">
              <wp:posOffset>114935</wp:posOffset>
            </wp:positionV>
            <wp:extent cx="1997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710" cy="8255"/>
                    </a:xfrm>
                    <a:prstGeom prst="rect">
                      <a:avLst/>
                    </a:prstGeom>
                    <a:noFill/>
                  </pic:spPr>
                </pic:pic>
              </a:graphicData>
            </a:graphic>
          </wp:anchor>
        </w:drawing>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3720" w:type="dxa"/>
            <w:vAlign w:val="bottom"/>
          </w:tcPr>
          <w:p>
            <w:pPr>
              <w:jc w:val="center"/>
              <w:ind w:left="1808"/>
              <w:spacing w:after="0"/>
              <w:rPr>
                <w:sz w:val="20"/>
                <w:szCs w:val="20"/>
                <w:color w:val="auto"/>
              </w:rPr>
            </w:pPr>
            <w:r>
              <w:rPr>
                <w:rFonts w:ascii="Times New Roman" w:cs="Times New Roman" w:eastAsia="Times New Roman" w:hAnsi="Times New Roman"/>
                <w:sz w:val="17"/>
                <w:szCs w:val="17"/>
                <w:b w:val="1"/>
                <w:bCs w:val="1"/>
                <w:color w:val="auto"/>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0" w:type="dxa"/>
            <w:vAlign w:val="bottom"/>
          </w:tcPr>
          <w:p>
            <w:pPr>
              <w:jc w:val="right"/>
              <w:ind w:right="2347"/>
              <w:spacing w:after="0"/>
              <w:rPr>
                <w:sz w:val="20"/>
                <w:szCs w:val="20"/>
                <w:color w:val="auto"/>
              </w:rPr>
            </w:pPr>
            <w:r>
              <w:rPr>
                <w:rFonts w:ascii="Times New Roman" w:cs="Times New Roman" w:eastAsia="Times New Roman" w:hAnsi="Times New Roman"/>
                <w:sz w:val="17"/>
                <w:szCs w:val="17"/>
                <w:b w:val="1"/>
                <w:bCs w:val="1"/>
                <w:color w:val="auto"/>
              </w:rPr>
              <w:t>98-0554932</w:t>
            </w:r>
          </w:p>
        </w:tc>
      </w:tr>
      <w:tr>
        <w:trPr>
          <w:trHeight w:val="178"/>
        </w:trPr>
        <w:tc>
          <w:tcPr>
            <w:tcW w:w="7240" w:type="dxa"/>
            <w:vAlign w:val="bottom"/>
            <w:gridSpan w:val="6"/>
          </w:tcPr>
          <w:p>
            <w:pPr>
              <w:jc w:val="center"/>
              <w:ind w:right="1640"/>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4000" w:type="dxa"/>
            <w:vAlign w:val="bottom"/>
          </w:tcPr>
          <w:p>
            <w:pPr>
              <w:jc w:val="center"/>
              <w:ind w:right="1587"/>
              <w:spacing w:after="0"/>
              <w:rPr>
                <w:sz w:val="20"/>
                <w:szCs w:val="20"/>
                <w:color w:val="auto"/>
              </w:rPr>
            </w:pPr>
            <w:r>
              <w:rPr>
                <w:rFonts w:ascii="Times New Roman" w:cs="Times New Roman" w:eastAsia="Times New Roman" w:hAnsi="Times New Roman"/>
                <w:sz w:val="14"/>
                <w:szCs w:val="14"/>
                <w:color w:val="auto"/>
                <w:w w:val="97"/>
              </w:rPr>
              <w:t>(I.R.S. Employer Identification No.)</w:t>
            </w:r>
          </w:p>
        </w:tc>
      </w:tr>
      <w:tr>
        <w:trPr>
          <w:trHeight w:val="350"/>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33, Boulevard Prince Henri</w:t>
            </w:r>
          </w:p>
        </w:tc>
        <w:tc>
          <w:tcPr>
            <w:tcW w:w="4000" w:type="dxa"/>
            <w:vAlign w:val="bottom"/>
          </w:tcPr>
          <w:p>
            <w:pPr>
              <w:spacing w:after="0"/>
              <w:rPr>
                <w:sz w:val="24"/>
                <w:szCs w:val="24"/>
                <w:color w:val="auto"/>
              </w:rPr>
            </w:pPr>
          </w:p>
        </w:tc>
      </w:tr>
      <w:tr>
        <w:trPr>
          <w:trHeight w:val="206"/>
        </w:trPr>
        <w:tc>
          <w:tcPr>
            <w:tcW w:w="3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L-1724 Luxembourg</w:t>
            </w:r>
          </w:p>
        </w:tc>
        <w:tc>
          <w:tcPr>
            <w:tcW w:w="4000" w:type="dxa"/>
            <w:vAlign w:val="bottom"/>
          </w:tcPr>
          <w:p>
            <w:pPr>
              <w:spacing w:after="0"/>
              <w:rPr>
                <w:sz w:val="17"/>
                <w:szCs w:val="17"/>
                <w:color w:val="auto"/>
              </w:rPr>
            </w:pPr>
          </w:p>
        </w:tc>
      </w:tr>
      <w:tr>
        <w:trPr>
          <w:trHeight w:val="206"/>
        </w:trPr>
        <w:tc>
          <w:tcPr>
            <w:tcW w:w="3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Grand Duchy of Luxembourg</w:t>
            </w:r>
          </w:p>
        </w:tc>
        <w:tc>
          <w:tcPr>
            <w:tcW w:w="4000" w:type="dxa"/>
            <w:vAlign w:val="bottom"/>
          </w:tcPr>
          <w:p>
            <w:pPr>
              <w:spacing w:after="0"/>
              <w:rPr>
                <w:sz w:val="17"/>
                <w:szCs w:val="17"/>
                <w:color w:val="auto"/>
              </w:rPr>
            </w:pPr>
          </w:p>
        </w:tc>
      </w:tr>
      <w:tr>
        <w:trPr>
          <w:trHeight w:val="178"/>
        </w:trPr>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4000" w:type="dxa"/>
            <w:vAlign w:val="bottom"/>
          </w:tcPr>
          <w:p>
            <w:pPr>
              <w:spacing w:after="0"/>
              <w:rPr>
                <w:sz w:val="15"/>
                <w:szCs w:val="15"/>
                <w:color w:val="auto"/>
              </w:rPr>
            </w:pPr>
          </w:p>
        </w:tc>
      </w:tr>
      <w:tr>
        <w:trPr>
          <w:trHeight w:val="299"/>
        </w:trPr>
        <w:tc>
          <w:tcPr>
            <w:tcW w:w="3720" w:type="dxa"/>
            <w:vAlign w:val="bottom"/>
          </w:tcPr>
          <w:p>
            <w:pPr>
              <w:spacing w:after="0"/>
              <w:rPr>
                <w:sz w:val="24"/>
                <w:szCs w:val="24"/>
                <w:color w:val="auto"/>
              </w:rPr>
            </w:pPr>
          </w:p>
        </w:tc>
        <w:tc>
          <w:tcPr>
            <w:tcW w:w="3040" w:type="dxa"/>
            <w:vAlign w:val="bottom"/>
            <w:gridSpan w:val="3"/>
          </w:tcPr>
          <w:p>
            <w:pPr>
              <w:jc w:val="center"/>
              <w:ind w:left="703"/>
              <w:spacing w:after="0"/>
              <w:rPr>
                <w:sz w:val="20"/>
                <w:szCs w:val="20"/>
                <w:color w:val="auto"/>
              </w:rPr>
            </w:pPr>
            <w:r>
              <w:rPr>
                <w:rFonts w:ascii="Times New Roman" w:cs="Times New Roman" w:eastAsia="Times New Roman" w:hAnsi="Times New Roman"/>
                <w:sz w:val="17"/>
                <w:szCs w:val="17"/>
                <w:b w:val="1"/>
                <w:bCs w:val="1"/>
                <w:color w:val="auto"/>
              </w:rPr>
              <w:t>(352) 2060 2055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78"/>
        </w:trPr>
        <w:tc>
          <w:tcPr>
            <w:tcW w:w="3720" w:type="dxa"/>
            <w:vAlign w:val="bottom"/>
          </w:tcPr>
          <w:p>
            <w:pPr>
              <w:spacing w:after="0"/>
              <w:rPr>
                <w:sz w:val="15"/>
                <w:szCs w:val="15"/>
                <w:color w:val="auto"/>
              </w:rPr>
            </w:pPr>
          </w:p>
        </w:tc>
        <w:tc>
          <w:tcPr>
            <w:tcW w:w="3520" w:type="dxa"/>
            <w:vAlign w:val="bottom"/>
            <w:gridSpan w:val="5"/>
          </w:tcPr>
          <w:p>
            <w:pPr>
              <w:jc w:val="center"/>
              <w:ind w:left="203"/>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4000" w:type="dxa"/>
            <w:vAlign w:val="bottom"/>
          </w:tcPr>
          <w:p>
            <w:pPr>
              <w:spacing w:after="0"/>
              <w:rPr>
                <w:sz w:val="15"/>
                <w:szCs w:val="15"/>
                <w:color w:val="auto"/>
              </w:rPr>
            </w:pPr>
          </w:p>
        </w:tc>
      </w:tr>
      <w:tr>
        <w:trPr>
          <w:trHeight w:val="20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97"/>
        </w:trPr>
        <w:tc>
          <w:tcPr>
            <w:tcW w:w="372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Trading Symbol</w:t>
            </w:r>
          </w:p>
        </w:tc>
        <w:tc>
          <w:tcPr>
            <w:tcW w:w="4000" w:type="dxa"/>
            <w:vAlign w:val="bottom"/>
          </w:tcPr>
          <w:p>
            <w:pPr>
              <w:jc w:val="center"/>
              <w:ind w:right="307"/>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r>
      <w:tr>
        <w:trPr>
          <w:trHeight w:val="22"/>
        </w:trPr>
        <w:tc>
          <w:tcPr>
            <w:tcW w:w="3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171"/>
        </w:trPr>
        <w:tc>
          <w:tcPr>
            <w:tcW w:w="3720" w:type="dxa"/>
            <w:vAlign w:val="bottom"/>
            <w:tcBorders>
              <w:top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ASPS</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0" w:type="dxa"/>
            <w:vAlign w:val="bottom"/>
            <w:tcBorders>
              <w:top w:val="single" w:sz="8" w:color="auto"/>
            </w:tcBorders>
          </w:tcPr>
          <w:p>
            <w:pPr>
              <w:jc w:val="center"/>
              <w:ind w:right="307"/>
              <w:spacing w:after="0"/>
              <w:rPr>
                <w:sz w:val="20"/>
                <w:szCs w:val="20"/>
                <w:color w:val="auto"/>
              </w:rPr>
            </w:pPr>
            <w:r>
              <w:rPr>
                <w:rFonts w:ascii="Times New Roman" w:cs="Times New Roman" w:eastAsia="Times New Roman" w:hAnsi="Times New Roman"/>
                <w:sz w:val="14"/>
                <w:szCs w:val="14"/>
                <w:color w:val="auto"/>
                <w:w w:val="97"/>
              </w:rPr>
              <w:t>NASDAQ Global Select Market</w:t>
            </w:r>
          </w:p>
        </w:tc>
      </w:tr>
    </w:tbl>
    <w:p>
      <w:pPr>
        <w:spacing w:after="0" w:line="85" w:lineRule="exact"/>
        <w:rPr>
          <w:sz w:val="24"/>
          <w:szCs w:val="24"/>
          <w:color w:val="auto"/>
        </w:rPr>
      </w:pPr>
    </w:p>
    <w:p>
      <w:pPr>
        <w:jc w:val="both"/>
        <w:ind w:right="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9"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140" w:type="dxa"/>
        <w:tblCellMar>
          <w:top w:w="0" w:type="dxa"/>
          <w:left w:w="0" w:type="dxa"/>
          <w:bottom w:w="0" w:type="dxa"/>
          <w:right w:w="0" w:type="dxa"/>
        </w:tblCellMar>
      </w:tblPr>
      <w:tr>
        <w:trPr>
          <w:trHeight w:val="19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12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00" w:type="dxa"/>
            <w:vAlign w:val="bottom"/>
          </w:tcPr>
          <w:p>
            <w:pPr>
              <w:spacing w:after="0"/>
              <w:rPr>
                <w:sz w:val="16"/>
                <w:szCs w:val="16"/>
                <w:color w:val="auto"/>
              </w:rPr>
            </w:pPr>
          </w:p>
        </w:tc>
      </w:tr>
      <w:tr>
        <w:trPr>
          <w:trHeight w:val="193"/>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gridSpan w:val="2"/>
          </w:tcPr>
          <w:p>
            <w:pPr>
              <w:ind w:left="30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780" w:type="dxa"/>
            <w:vAlign w:val="bottom"/>
            <w:gridSpan w:val="2"/>
          </w:tcPr>
          <w:p>
            <w:pPr>
              <w:ind w:left="30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4" w:lineRule="exact"/>
        <w:rPr>
          <w:sz w:val="24"/>
          <w:szCs w:val="24"/>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21, 2023, there were 20,814,813 outstanding shares of the registrant’s common stock (excluding 9,147,935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635000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123825</wp:posOffset>
            </wp:positionV>
            <wp:extent cx="71221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216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22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1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3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PART I — Financial Information</w:t>
            </w:r>
          </w:p>
        </w:tc>
        <w:tc>
          <w:tcPr>
            <w:tcW w:w="7780" w:type="dxa"/>
            <w:vAlign w:val="bottom"/>
            <w:gridSpan w:val="9"/>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3"/>
                <w:szCs w:val="13"/>
                <w:color w:val="auto"/>
              </w:rPr>
            </w:pPr>
          </w:p>
        </w:tc>
        <w:tc>
          <w:tcPr>
            <w:tcW w:w="2340" w:type="dxa"/>
            <w:vAlign w:val="bottom"/>
            <w:tcBorders>
              <w:bottom w:val="single" w:sz="8" w:color="0000FF"/>
            </w:tcBorders>
            <w:gridSpan w:val="10"/>
            <w:vMerge w:val="continue"/>
          </w:tcPr>
          <w:p>
            <w:pPr>
              <w:spacing w:after="0"/>
              <w:rPr>
                <w:sz w:val="13"/>
                <w:szCs w:val="13"/>
                <w:color w:val="auto"/>
              </w:rPr>
            </w:pPr>
          </w:p>
        </w:tc>
        <w:tc>
          <w:tcPr>
            <w:tcW w:w="7780" w:type="dxa"/>
            <w:vAlign w:val="bottom"/>
            <w:gridSpan w:val="9"/>
            <w:vMerge w:val="continue"/>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w:t>
            </w:r>
          </w:p>
        </w:tc>
        <w:tc>
          <w:tcPr>
            <w:tcW w:w="9060" w:type="dxa"/>
            <w:vAlign w:val="bottom"/>
            <w:gridSpan w:val="15"/>
          </w:tcPr>
          <w:p>
            <w:pPr>
              <w:ind w:left="20"/>
              <w:spacing w:after="0"/>
              <w:rPr>
                <w:sz w:val="20"/>
                <w:szCs w:val="20"/>
                <w:color w:val="auto"/>
              </w:rPr>
            </w:pPr>
            <w:r>
              <w:rPr>
                <w:rFonts w:ascii="Times New Roman" w:cs="Times New Roman" w:eastAsia="Times New Roman" w:hAnsi="Times New Roman"/>
                <w:sz w:val="17"/>
                <w:szCs w:val="17"/>
                <w:color w:val="0000FF"/>
              </w:rPr>
              <w:t>Interim Condensed Consolidated Financial Statements (Unaudited)</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4420" w:type="dxa"/>
            <w:vAlign w:val="bottom"/>
            <w:tcBorders>
              <w:top w:val="single" w:sz="8" w:color="0000FF"/>
            </w:tcBorders>
            <w:gridSpan w:val="10"/>
          </w:tcPr>
          <w:p>
            <w:pPr>
              <w:spacing w:after="0" w:line="179" w:lineRule="exact"/>
              <w:rPr>
                <w:sz w:val="20"/>
                <w:szCs w:val="20"/>
                <w:color w:val="auto"/>
              </w:rPr>
            </w:pPr>
            <w:r>
              <w:rPr>
                <w:rFonts w:ascii="Times New Roman" w:cs="Times New Roman" w:eastAsia="Times New Roman" w:hAnsi="Times New Roman"/>
                <w:sz w:val="17"/>
                <w:szCs w:val="17"/>
                <w:color w:val="0000FF"/>
              </w:rPr>
              <w:t>Condensed Consolidated Balance Sheets</w:t>
            </w:r>
          </w:p>
        </w:tc>
        <w:tc>
          <w:tcPr>
            <w:tcW w:w="4440" w:type="dxa"/>
            <w:vAlign w:val="bottom"/>
            <w:gridSpan w:val="3"/>
          </w:tcPr>
          <w:p>
            <w:pPr>
              <w:spacing w:after="0"/>
              <w:rPr>
                <w:sz w:val="15"/>
                <w:szCs w:val="15"/>
                <w:color w:val="auto"/>
              </w:rPr>
            </w:pPr>
          </w:p>
        </w:tc>
        <w:tc>
          <w:tcPr>
            <w:tcW w:w="600" w:type="dxa"/>
            <w:vAlign w:val="bottom"/>
            <w:gridSpan w:val="2"/>
          </w:tcPr>
          <w:p>
            <w:pPr>
              <w:jc w:val="center"/>
              <w:ind w:left="435"/>
              <w:spacing w:after="0" w:line="179" w:lineRule="exact"/>
              <w:rPr>
                <w:sz w:val="20"/>
                <w:szCs w:val="20"/>
                <w:color w:val="auto"/>
              </w:rPr>
            </w:pPr>
            <w:r>
              <w:rPr>
                <w:rFonts w:ascii="Times New Roman" w:cs="Times New Roman" w:eastAsia="Times New Roman" w:hAnsi="Times New Roman"/>
                <w:sz w:val="17"/>
                <w:szCs w:val="17"/>
                <w:color w:val="0000FF"/>
                <w:w w:val="93"/>
              </w:rPr>
              <w:t>3</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8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and Comprehensive Loss</w:t>
            </w:r>
          </w:p>
        </w:tc>
        <w:tc>
          <w:tcPr>
            <w:tcW w:w="2880" w:type="dxa"/>
            <w:vAlign w:val="bottom"/>
          </w:tcPr>
          <w:p>
            <w:pPr>
              <w:spacing w:after="0"/>
              <w:rPr>
                <w:sz w:val="17"/>
                <w:szCs w:val="17"/>
                <w:color w:val="auto"/>
              </w:rPr>
            </w:pPr>
          </w:p>
        </w:tc>
        <w:tc>
          <w:tcPr>
            <w:tcW w:w="600" w:type="dxa"/>
            <w:vAlign w:val="bottom"/>
            <w:gridSpan w:val="2"/>
          </w:tcPr>
          <w:p>
            <w:pPr>
              <w:jc w:val="center"/>
              <w:ind w:left="435"/>
              <w:spacing w:after="0"/>
              <w:rPr>
                <w:sz w:val="20"/>
                <w:szCs w:val="20"/>
                <w:color w:val="auto"/>
              </w:rPr>
            </w:pPr>
            <w:r>
              <w:rPr>
                <w:rFonts w:ascii="Times New Roman" w:cs="Times New Roman" w:eastAsia="Times New Roman" w:hAnsi="Times New Roman"/>
                <w:sz w:val="17"/>
                <w:szCs w:val="17"/>
                <w:color w:val="0000FF"/>
                <w:w w:val="93"/>
              </w:rPr>
              <w:t>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60" w:type="dxa"/>
            <w:vAlign w:val="bottom"/>
            <w:tcBorders>
              <w:left w:val="single" w:sz="8" w:color="0000FF"/>
            </w:tcBorders>
            <w:gridSpan w:val="3"/>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9"/>
              </w:rPr>
              <w:t>Condensed Consolidated Statements of Equity (Deficit)</w:t>
            </w:r>
          </w:p>
        </w:tc>
        <w:tc>
          <w:tcPr>
            <w:tcW w:w="2160" w:type="dxa"/>
            <w:vAlign w:val="bottom"/>
            <w:gridSpan w:val="4"/>
          </w:tcPr>
          <w:p>
            <w:pPr>
              <w:spacing w:after="0"/>
              <w:rPr>
                <w:sz w:val="17"/>
                <w:szCs w:val="17"/>
                <w:color w:val="auto"/>
              </w:rPr>
            </w:pPr>
          </w:p>
        </w:tc>
        <w:tc>
          <w:tcPr>
            <w:tcW w:w="2880" w:type="dxa"/>
            <w:vAlign w:val="bottom"/>
          </w:tcPr>
          <w:p>
            <w:pPr>
              <w:spacing w:after="0"/>
              <w:rPr>
                <w:sz w:val="17"/>
                <w:szCs w:val="17"/>
                <w:color w:val="auto"/>
              </w:rPr>
            </w:pPr>
          </w:p>
        </w:tc>
        <w:tc>
          <w:tcPr>
            <w:tcW w:w="600" w:type="dxa"/>
            <w:vAlign w:val="bottom"/>
            <w:gridSpan w:val="2"/>
          </w:tcPr>
          <w:p>
            <w:pPr>
              <w:jc w:val="center"/>
              <w:ind w:left="435"/>
              <w:spacing w:after="0"/>
              <w:rPr>
                <w:sz w:val="20"/>
                <w:szCs w:val="20"/>
                <w:color w:val="auto"/>
              </w:rPr>
            </w:pPr>
            <w:r>
              <w:rPr>
                <w:rFonts w:ascii="Times New Roman" w:cs="Times New Roman" w:eastAsia="Times New Roman" w:hAnsi="Times New Roman"/>
                <w:sz w:val="17"/>
                <w:szCs w:val="17"/>
                <w:color w:val="0000FF"/>
                <w:w w:val="93"/>
              </w:rPr>
              <w:t>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5040" w:type="dxa"/>
            <w:vAlign w:val="bottom"/>
            <w:gridSpan w:val="5"/>
          </w:tcPr>
          <w:p>
            <w:pPr>
              <w:spacing w:after="0"/>
              <w:rPr>
                <w:sz w:val="17"/>
                <w:szCs w:val="17"/>
                <w:color w:val="auto"/>
              </w:rPr>
            </w:pPr>
          </w:p>
        </w:tc>
        <w:tc>
          <w:tcPr>
            <w:tcW w:w="600" w:type="dxa"/>
            <w:vAlign w:val="bottom"/>
            <w:gridSpan w:val="2"/>
          </w:tcPr>
          <w:p>
            <w:pPr>
              <w:jc w:val="center"/>
              <w:ind w:left="435"/>
              <w:spacing w:after="0"/>
              <w:rPr>
                <w:sz w:val="20"/>
                <w:szCs w:val="20"/>
                <w:color w:val="auto"/>
              </w:rPr>
            </w:pPr>
            <w:r>
              <w:rPr>
                <w:rFonts w:ascii="Times New Roman" w:cs="Times New Roman" w:eastAsia="Times New Roman" w:hAnsi="Times New Roman"/>
                <w:sz w:val="17"/>
                <w:szCs w:val="17"/>
                <w:color w:val="0000FF"/>
                <w:w w:val="93"/>
              </w:rPr>
              <w:t>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5040" w:type="dxa"/>
            <w:vAlign w:val="bottom"/>
            <w:gridSpan w:val="5"/>
          </w:tcPr>
          <w:p>
            <w:pPr>
              <w:spacing w:after="0"/>
              <w:rPr>
                <w:sz w:val="17"/>
                <w:szCs w:val="17"/>
                <w:color w:val="auto"/>
              </w:rPr>
            </w:pPr>
          </w:p>
        </w:tc>
        <w:tc>
          <w:tcPr>
            <w:tcW w:w="600" w:type="dxa"/>
            <w:vAlign w:val="bottom"/>
            <w:gridSpan w:val="2"/>
          </w:tcPr>
          <w:p>
            <w:pPr>
              <w:jc w:val="center"/>
              <w:ind w:left="435"/>
              <w:spacing w:after="0"/>
              <w:rPr>
                <w:sz w:val="20"/>
                <w:szCs w:val="20"/>
                <w:color w:val="auto"/>
              </w:rPr>
            </w:pPr>
            <w:r>
              <w:rPr>
                <w:rFonts w:ascii="Times New Roman" w:cs="Times New Roman" w:eastAsia="Times New Roman" w:hAnsi="Times New Roman"/>
                <w:sz w:val="17"/>
                <w:szCs w:val="17"/>
                <w:color w:val="0000FF"/>
                <w:w w:val="93"/>
              </w:rPr>
              <w:t>7</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2</w:t>
            </w:r>
          </w:p>
        </w:tc>
        <w:tc>
          <w:tcPr>
            <w:tcW w:w="9060" w:type="dxa"/>
            <w:vAlign w:val="bottom"/>
            <w:gridSpan w:val="15"/>
          </w:tcPr>
          <w:p>
            <w:pPr>
              <w:ind w:left="20"/>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3</w:t>
            </w:r>
          </w:p>
        </w:tc>
        <w:tc>
          <w:tcPr>
            <w:tcW w:w="9060" w:type="dxa"/>
            <w:vAlign w:val="bottom"/>
            <w:gridSpan w:val="15"/>
          </w:tcPr>
          <w:p>
            <w:pPr>
              <w:ind w:left="20"/>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4</w:t>
            </w:r>
          </w:p>
        </w:tc>
        <w:tc>
          <w:tcPr>
            <w:tcW w:w="9060" w:type="dxa"/>
            <w:vAlign w:val="bottom"/>
            <w:gridSpan w:val="15"/>
          </w:tcPr>
          <w:p>
            <w:pPr>
              <w:ind w:left="20"/>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42</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101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PART II — Other Information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w:t>
            </w:r>
          </w:p>
        </w:tc>
        <w:tc>
          <w:tcPr>
            <w:tcW w:w="9060" w:type="dxa"/>
            <w:vAlign w:val="bottom"/>
            <w:gridSpan w:val="15"/>
          </w:tcPr>
          <w:p>
            <w:pPr>
              <w:ind w:left="20"/>
              <w:spacing w:after="0"/>
              <w:rPr>
                <w:sz w:val="20"/>
                <w:szCs w:val="20"/>
                <w:color w:val="auto"/>
              </w:rPr>
            </w:pPr>
            <w:r>
              <w:rPr>
                <w:rFonts w:ascii="Times New Roman" w:cs="Times New Roman" w:eastAsia="Times New Roman" w:hAnsi="Times New Roman"/>
                <w:sz w:val="17"/>
                <w:szCs w:val="17"/>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1A</w:t>
            </w:r>
          </w:p>
        </w:tc>
        <w:tc>
          <w:tcPr>
            <w:tcW w:w="9060" w:type="dxa"/>
            <w:vAlign w:val="bottom"/>
            <w:gridSpan w:val="15"/>
          </w:tcPr>
          <w:p>
            <w:pPr>
              <w:ind w:left="20"/>
              <w:spacing w:after="0"/>
              <w:rPr>
                <w:sz w:val="20"/>
                <w:szCs w:val="20"/>
                <w:color w:val="auto"/>
              </w:rPr>
            </w:pPr>
            <w:r>
              <w:rPr>
                <w:rFonts w:ascii="Times New Roman" w:cs="Times New Roman" w:eastAsia="Times New Roman" w:hAnsi="Times New Roman"/>
                <w:sz w:val="17"/>
                <w:szCs w:val="17"/>
                <w:color w:val="0000FF"/>
              </w:rPr>
              <w:t>Risk Factors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2</w:t>
            </w:r>
          </w:p>
        </w:tc>
        <w:tc>
          <w:tcPr>
            <w:tcW w:w="280" w:type="dxa"/>
            <w:vAlign w:val="bottom"/>
          </w:tcPr>
          <w:p>
            <w:pPr>
              <w:spacing w:after="0"/>
              <w:rPr>
                <w:sz w:val="21"/>
                <w:szCs w:val="21"/>
                <w:color w:val="auto"/>
              </w:rPr>
            </w:pPr>
          </w:p>
        </w:tc>
        <w:tc>
          <w:tcPr>
            <w:tcW w:w="9060" w:type="dxa"/>
            <w:vAlign w:val="bottom"/>
            <w:gridSpan w:val="15"/>
          </w:tcPr>
          <w:p>
            <w:pPr>
              <w:ind w:left="20"/>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6</w:t>
            </w:r>
          </w:p>
        </w:tc>
        <w:tc>
          <w:tcPr>
            <w:tcW w:w="9060" w:type="dxa"/>
            <w:vAlign w:val="bottom"/>
            <w:gridSpan w:val="15"/>
          </w:tcPr>
          <w:p>
            <w:pPr>
              <w:ind w:left="20"/>
              <w:spacing w:after="0"/>
              <w:rPr>
                <w:sz w:val="20"/>
                <w:szCs w:val="20"/>
                <w:color w:val="auto"/>
              </w:rPr>
            </w:pPr>
            <w:r>
              <w:rPr>
                <w:rFonts w:ascii="Times New Roman" w:cs="Times New Roman" w:eastAsia="Times New Roman" w:hAnsi="Times New Roman"/>
                <w:sz w:val="17"/>
                <w:szCs w:val="17"/>
                <w:color w:val="0000FF"/>
              </w:rPr>
              <w:t>Exhibits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44</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0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8"/>
              </w:rPr>
              <w:t>SIGNATURES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45</w:t>
            </w:r>
          </w:p>
        </w:tc>
        <w:tc>
          <w:tcPr>
            <w:tcW w:w="0" w:type="dxa"/>
            <w:vAlign w:val="bottom"/>
          </w:tcPr>
          <w:p>
            <w:pPr>
              <w:spacing w:after="0"/>
              <w:rPr>
                <w:sz w:val="1"/>
                <w:szCs w:val="1"/>
                <w:color w:val="auto"/>
              </w:rPr>
            </w:pPr>
          </w:p>
        </w:tc>
      </w:tr>
      <w:tr>
        <w:trPr>
          <w:trHeight w:val="728"/>
        </w:trPr>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620" w:type="dxa"/>
            <w:vAlign w:val="bottom"/>
            <w:gridSpan w:val="12"/>
          </w:tcPr>
          <w:p>
            <w:pPr>
              <w:ind w:left="4500"/>
              <w:spacing w:after="0"/>
              <w:rPr>
                <w:sz w:val="20"/>
                <w:szCs w:val="20"/>
                <w:color w:val="auto"/>
              </w:rPr>
            </w:pPr>
            <w:r>
              <w:rPr>
                <w:rFonts w:ascii="Times New Roman" w:cs="Times New Roman" w:eastAsia="Times New Roman" w:hAnsi="Times New Roman"/>
                <w:sz w:val="17"/>
                <w:szCs w:val="17"/>
                <w:color w:val="auto"/>
              </w:rPr>
              <w:t>2</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Interim Condensed Consolidated Financial Statements (Unaudited)</w:t>
      </w:r>
    </w:p>
    <w:p>
      <w:pPr>
        <w:spacing w:after="0" w:line="16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828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5"/>
                <w:szCs w:val="15"/>
                <w:color w:val="auto"/>
              </w:rPr>
              <w:t>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51,025</w:t>
            </w: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12,989</w:t>
            </w: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23,544</w:t>
            </w:r>
          </w:p>
        </w:tc>
      </w:tr>
      <w:tr>
        <w:trPr>
          <w:trHeight w:val="212"/>
        </w:trPr>
        <w:tc>
          <w:tcPr>
            <w:tcW w:w="8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87,558</w:t>
            </w:r>
          </w:p>
        </w:tc>
      </w:tr>
      <w:tr>
        <w:trPr>
          <w:trHeight w:val="155"/>
        </w:trPr>
        <w:tc>
          <w:tcPr>
            <w:tcW w:w="8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4,222</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under operating leases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55,960</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31,730</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5,048</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5,166</w:t>
            </w:r>
          </w:p>
        </w:tc>
      </w:tr>
      <w:tr>
        <w:trPr>
          <w:trHeight w:val="135"/>
        </w:trPr>
        <w:tc>
          <w:tcPr>
            <w:tcW w:w="8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8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06"/>
        </w:trPr>
        <w:tc>
          <w:tcPr>
            <w:tcW w:w="8280" w:type="dxa"/>
            <w:vAlign w:val="bottom"/>
            <w:shd w:val="clear" w:color="auto" w:fill="CCEEFF"/>
          </w:tcPr>
          <w:p>
            <w:pPr>
              <w:ind w:left="4680"/>
              <w:spacing w:after="0"/>
              <w:rPr>
                <w:sz w:val="20"/>
                <w:szCs w:val="20"/>
                <w:color w:val="auto"/>
              </w:rPr>
            </w:pPr>
            <w:r>
              <w:rPr>
                <w:rFonts w:ascii="Times New Roman" w:cs="Times New Roman" w:eastAsia="Times New Roman" w:hAnsi="Times New Roman"/>
                <w:sz w:val="15"/>
                <w:szCs w:val="15"/>
                <w:color w:val="auto"/>
              </w:rPr>
              <w:t>LIABILITIES AND DEFICIT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33,507</w:t>
            </w: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3,711</w:t>
            </w:r>
          </w:p>
        </w:tc>
      </w:tr>
      <w:tr>
        <w:trPr>
          <w:trHeight w:val="219"/>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w:t>
            </w:r>
          </w:p>
        </w:tc>
      </w:tr>
      <w:tr>
        <w:trPr>
          <w:trHeight w:val="212"/>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40,085</w:t>
            </w:r>
          </w:p>
        </w:tc>
      </w:tr>
      <w:tr>
        <w:trPr>
          <w:trHeight w:val="155"/>
        </w:trPr>
        <w:tc>
          <w:tcPr>
            <w:tcW w:w="8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245,230</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9,028</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19,536</w:t>
            </w:r>
          </w:p>
        </w:tc>
      </w:tr>
      <w:tr>
        <w:trPr>
          <w:trHeight w:val="155"/>
        </w:trPr>
        <w:tc>
          <w:tcPr>
            <w:tcW w:w="8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contingencies and regulatory matters (Note 21)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55"/>
        </w:trPr>
        <w:tc>
          <w:tcPr>
            <w:tcW w:w="8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(deficit):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68"/>
        </w:trPr>
        <w:tc>
          <w:tcPr>
            <w:tcW w:w="828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Common stock ($1.00 par value; 100,000 shares authorized, 29,963 issued and 20,815 outstanding as of March 31,</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2"/>
        </w:trPr>
        <w:tc>
          <w:tcPr>
            <w:tcW w:w="82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2023; 16,129 outstanding as of December 31, 2022)</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25,413</w:t>
            </w: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149,348</w:t>
            </w: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118,948</w:t>
            </w: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Treasury stock, at cost (9,148 shares as of March 31, 2023 and 9,284 shares as of December 31, 2022)</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(413,358)</w:t>
            </w:r>
          </w:p>
        </w:tc>
      </w:tr>
      <w:tr>
        <w:trPr>
          <w:trHeight w:val="212"/>
        </w:trPr>
        <w:tc>
          <w:tcPr>
            <w:tcW w:w="8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Altisource deficit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(119,649)</w:t>
            </w:r>
          </w:p>
        </w:tc>
      </w:tr>
      <w:tr>
        <w:trPr>
          <w:trHeight w:val="155"/>
        </w:trPr>
        <w:tc>
          <w:tcPr>
            <w:tcW w:w="8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19"/>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w:t>
            </w:r>
          </w:p>
        </w:tc>
      </w:tr>
      <w:tr>
        <w:trPr>
          <w:trHeight w:val="212"/>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deficit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(110,397)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(118,874)</w:t>
            </w:r>
          </w:p>
        </w:tc>
      </w:tr>
      <w:tr>
        <w:trPr>
          <w:trHeight w:val="135"/>
        </w:trPr>
        <w:tc>
          <w:tcPr>
            <w:tcW w:w="8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deficit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Statements of Operations and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 share data)</w:t>
      </w:r>
    </w:p>
    <w:p>
      <w:pPr>
        <w:spacing w:after="0" w:line="17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2"/>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39,516</w:t>
            </w:r>
          </w:p>
        </w:tc>
      </w:tr>
      <w:tr>
        <w:trPr>
          <w:trHeight w:val="21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33,869</w:t>
            </w:r>
          </w:p>
        </w:tc>
      </w:tr>
      <w:tr>
        <w:trPr>
          <w:trHeight w:val="186"/>
        </w:trPr>
        <w:tc>
          <w:tcPr>
            <w:tcW w:w="8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5,647</w:t>
            </w:r>
          </w:p>
        </w:tc>
      </w:tr>
      <w:tr>
        <w:trPr>
          <w:trHeight w:val="206"/>
        </w:trPr>
        <w:tc>
          <w:tcPr>
            <w:tcW w:w="8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13,974</w:t>
            </w:r>
          </w:p>
        </w:tc>
      </w:tr>
      <w:tr>
        <w:trPr>
          <w:trHeight w:val="186"/>
        </w:trPr>
        <w:tc>
          <w:tcPr>
            <w:tcW w:w="8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(8,327)</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(3,556)</w:t>
            </w: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amendment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r>
      <w:tr>
        <w:trPr>
          <w:trHeight w:val="212"/>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w:t>
            </w:r>
          </w:p>
        </w:tc>
      </w:tr>
      <w:tr>
        <w:trPr>
          <w:trHeight w:val="206"/>
        </w:trPr>
        <w:tc>
          <w:tcPr>
            <w:tcW w:w="8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 and 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(11,143)</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w:t>
            </w:r>
          </w:p>
        </w:tc>
      </w:t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(12,029)</w:t>
            </w:r>
          </w:p>
        </w:tc>
      </w:tr>
      <w:tr>
        <w:trPr>
          <w:trHeight w:val="21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186"/>
        </w:trPr>
        <w:tc>
          <w:tcPr>
            <w:tcW w:w="8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Altisource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(12,190)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8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per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4"/>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280" w:type="dxa"/>
            <w:vAlign w:val="bottom"/>
          </w:tcPr>
          <w:p>
            <w:pPr>
              <w:ind w:left="14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(0.76)</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8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4"/>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280" w:type="dxa"/>
            <w:vAlign w:val="bottom"/>
          </w:tcPr>
          <w:p>
            <w:pPr>
              <w:ind w:left="14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18,442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15,956</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8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Comprehensive loss, net of tax</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(12,029)</w:t>
            </w:r>
          </w:p>
        </w:tc>
      </w:tr>
      <w:tr>
        <w:trPr>
          <w:trHeight w:val="219"/>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Comprehensive income attributable to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186"/>
        </w:trPr>
        <w:tc>
          <w:tcPr>
            <w:tcW w:w="8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 attributable to Altisource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(12,190)</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Equity (Deficit)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4120" w:type="dxa"/>
            <w:vAlign w:val="bottom"/>
          </w:tcPr>
          <w:p>
            <w:pPr>
              <w:spacing w:after="0"/>
              <w:rPr>
                <w:sz w:val="10"/>
                <w:szCs w:val="10"/>
                <w:color w:val="auto"/>
              </w:rPr>
            </w:pPr>
          </w:p>
        </w:tc>
        <w:tc>
          <w:tcPr>
            <w:tcW w:w="1700" w:type="dxa"/>
            <w:vAlign w:val="bottom"/>
            <w:tcBorders>
              <w:top w:val="single" w:sz="8" w:color="auto"/>
            </w:tcBorders>
            <w:gridSpan w:val="4"/>
            <w:vMerge w:val="restart"/>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980" w:type="dxa"/>
            <w:vAlign w:val="bottom"/>
            <w:tcBorders>
              <w:top w:val="single" w:sz="8" w:color="auto"/>
            </w:tcBorders>
            <w:gridSpan w:val="2"/>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6"/>
              </w:rPr>
              <w:t>Treasury stock,</w:t>
            </w:r>
          </w:p>
        </w:tc>
        <w:tc>
          <w:tcPr>
            <w:tcW w:w="10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paid-in capital</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at cost</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December 31, 2021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25,413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144,298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186,592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(426,445)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(68,870)</w:t>
            </w:r>
          </w:p>
        </w:tc>
        <w:tc>
          <w:tcPr>
            <w:tcW w:w="0" w:type="dxa"/>
            <w:vAlign w:val="bottom"/>
          </w:tcPr>
          <w:p>
            <w:pPr>
              <w:spacing w:after="0"/>
              <w:rPr>
                <w:sz w:val="1"/>
                <w:szCs w:val="1"/>
                <w:color w:val="auto"/>
              </w:rPr>
            </w:pPr>
          </w:p>
        </w:tc>
      </w:tr>
      <w:tr>
        <w:trPr>
          <w:trHeight w:val="258"/>
        </w:trPr>
        <w:tc>
          <w:tcPr>
            <w:tcW w:w="4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(12,029)</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interest 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1,290</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restricted share units and restricted shares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6,560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41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Treasury shares withheld for the payment of tax on restricted</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3,032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share unit and restricted share issuances</w:t>
            </w: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March 31,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25,413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163,796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(80,887)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December 31,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25,413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(118,874)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(12,867)</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interest holders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1,445</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restricted share units and restricted shares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6,058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net of issuance costs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20,461</w:t>
            </w:r>
          </w:p>
        </w:tc>
        <w:tc>
          <w:tcPr>
            <w:tcW w:w="0" w:type="dxa"/>
            <w:vAlign w:val="bottom"/>
          </w:tcPr>
          <w:p>
            <w:pPr>
              <w:spacing w:after="0"/>
              <w:rPr>
                <w:sz w:val="1"/>
                <w:szCs w:val="1"/>
                <w:color w:val="auto"/>
              </w:rPr>
            </w:pPr>
          </w:p>
        </w:tc>
      </w:tr>
      <w:tr>
        <w:trPr>
          <w:trHeight w:val="156"/>
        </w:trPr>
        <w:tc>
          <w:tcPr>
            <w:tcW w:w="412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Treasury shares withheld for the payment of tax on restricted</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(3,700)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3,240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0" w:type="dxa"/>
            <w:vAlign w:val="bottom"/>
          </w:tcPr>
          <w:p>
            <w:pPr>
              <w:spacing w:after="0"/>
              <w:rPr>
                <w:sz w:val="1"/>
                <w:szCs w:val="1"/>
                <w:color w:val="auto"/>
              </w:rPr>
            </w:pPr>
          </w:p>
        </w:tc>
      </w:tr>
      <w:tr>
        <w:trPr>
          <w:trHeight w:val="203"/>
        </w:trPr>
        <w:tc>
          <w:tcPr>
            <w:tcW w:w="41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share unit and restricted share issuances</w:t>
            </w: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March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29,963</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29,963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166,704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96,243</w:t>
            </w: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(404,060)</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(110,397)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r>
        <w:rPr>
          <w:rFonts w:ascii="Times New Roman" w:cs="Times New Roman" w:eastAsia="Times New Roman" w:hAnsi="Times New Roman"/>
          <w:sz w:val="17"/>
          <w:szCs w:val="17"/>
          <w:color w:val="auto"/>
        </w:rPr>
        <w:t>)</w:t>
      </w:r>
    </w:p>
    <w:p>
      <w:pPr>
        <w:spacing w:after="0" w:line="2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8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8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(12,867)</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(12,029)</w:t>
            </w:r>
          </w:p>
        </w:tc>
      </w:tr>
      <w:tr>
        <w:trPr>
          <w:trHeight w:val="209"/>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3"/>
        </w:trPr>
        <w:tc>
          <w:tcPr>
            <w:tcW w:w="8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958</w:t>
            </w:r>
          </w:p>
        </w:tc>
      </w:tr>
      <w:tr>
        <w:trPr>
          <w:trHeight w:val="20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right-of-use assets under operating leases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w:t>
            </w:r>
          </w:p>
        </w:tc>
      </w:tr>
      <w:tr>
        <w:trPr>
          <w:trHeight w:val="203"/>
        </w:trPr>
        <w:tc>
          <w:tcPr>
            <w:tcW w:w="8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1,284</w:t>
            </w:r>
          </w:p>
        </w:tc>
      </w:tr>
      <w:tr>
        <w:trPr>
          <w:trHeight w:val="20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1,290</w:t>
            </w:r>
          </w:p>
        </w:tc>
      </w:tr>
      <w:tr>
        <w:trPr>
          <w:trHeight w:val="203"/>
        </w:trPr>
        <w:tc>
          <w:tcPr>
            <w:tcW w:w="8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Bad debt expense</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r>
      <w:tr>
        <w:trPr>
          <w:trHeight w:val="20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debt discount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r>
      <w:tr>
        <w:trPr>
          <w:trHeight w:val="203"/>
        </w:trPr>
        <w:tc>
          <w:tcPr>
            <w:tcW w:w="8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r>
      <w:tr>
        <w:trPr>
          <w:trHeight w:val="20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Deferred income taxes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03"/>
        </w:trPr>
        <w:tc>
          <w:tcPr>
            <w:tcW w:w="8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disposal of fixed assets</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Change in fair value of warrant liability</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8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w:t>
            </w:r>
          </w:p>
        </w:tc>
      </w:tr>
      <w:tr>
        <w:trPr>
          <w:trHeight w:val="203"/>
        </w:trPr>
        <w:tc>
          <w:tcPr>
            <w:tcW w:w="82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10,506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(3,558)</w:t>
            </w:r>
          </w:p>
        </w:tc>
      </w:tr>
      <w:tr>
        <w:trPr>
          <w:trHeight w:val="209"/>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assets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203"/>
        </w:trPr>
        <w:tc>
          <w:tcPr>
            <w:tcW w:w="82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(4,515)</w:t>
            </w:r>
          </w:p>
        </w:tc>
      </w:tr>
      <w:tr>
        <w:trPr>
          <w:trHeight w:val="209"/>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 and non-current operating lease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(1,279)</w:t>
            </w:r>
          </w:p>
        </w:tc>
      </w:tr>
      <w:tr>
        <w:trPr>
          <w:trHeight w:val="203"/>
        </w:trPr>
        <w:tc>
          <w:tcPr>
            <w:tcW w:w="82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Other current and non-current liabilities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(547)</w:t>
            </w:r>
          </w:p>
        </w:tc>
      </w:tr>
      <w:tr>
        <w:trPr>
          <w:trHeight w:val="19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(16,910)</w:t>
            </w:r>
          </w:p>
        </w:tc>
      </w:tr>
      <w:tr>
        <w:trPr>
          <w:trHeight w:val="125"/>
        </w:trPr>
        <w:tc>
          <w:tcPr>
            <w:tcW w:w="8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0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Additions to premises and equipment</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19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8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86"/>
        </w:trPr>
        <w:tc>
          <w:tcPr>
            <w:tcW w:w="82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r>
      <w:tr>
        <w:trPr>
          <w:trHeight w:val="20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8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issuance of common stock, net of issuance costs</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20,461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Debt issuance and amendment costs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8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Repayments of long-term debt</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w:t>
            </w:r>
          </w:p>
        </w:tc>
      </w:tr>
      <w:tr>
        <w:trPr>
          <w:trHeight w:val="203"/>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Payments of tax withholding on issuance of restricted share units and restricted shares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(1,014)</w:t>
            </w:r>
          </w:p>
        </w:tc>
      </w:tr>
      <w:tr>
        <w:trPr>
          <w:trHeight w:val="19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(1,278)</w:t>
            </w:r>
          </w:p>
        </w:tc>
      </w:tr>
      <w:tr>
        <w:trPr>
          <w:trHeight w:val="137"/>
        </w:trPr>
        <w:tc>
          <w:tcPr>
            <w:tcW w:w="8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0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 cash, cash equivalents and restricted cash</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(18,262)</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the beginning of the period</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54,273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102,149</w:t>
            </w:r>
          </w:p>
        </w:tc>
      </w:tr>
      <w:tr>
        <w:trPr>
          <w:trHeight w:val="137"/>
        </w:trPr>
        <w:tc>
          <w:tcPr>
            <w:tcW w:w="8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206"/>
        </w:trPr>
        <w:tc>
          <w:tcPr>
            <w:tcW w:w="8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the end of the period</w:t>
            </w: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46,328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83,887</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0"/>
        </w:trPr>
        <w:tc>
          <w:tcPr>
            <w:tcW w:w="8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203"/>
        </w:trPr>
        <w:tc>
          <w:tcPr>
            <w:tcW w:w="8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Supplemental cash flow information:</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paid</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3,090</w:t>
            </w:r>
          </w:p>
        </w:tc>
      </w:tr>
      <w:tr>
        <w:trPr>
          <w:trHeight w:val="203"/>
        </w:trPr>
        <w:tc>
          <w:tcPr>
            <w:tcW w:w="8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taxes (refunded) paid, net</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3,257</w:t>
            </w:r>
          </w:p>
        </w:tc>
      </w:tr>
      <w:tr>
        <w:trPr>
          <w:trHeight w:val="20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Acquisition of right-of-use assets with operating lease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03"/>
        </w:trPr>
        <w:tc>
          <w:tcPr>
            <w:tcW w:w="8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Reduction of right-of-use assets from operating lease modifications or reassessments</w:t>
            </w:r>
          </w:p>
        </w:tc>
        <w:tc>
          <w:tcPr>
            <w:tcW w:w="8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w:t>
            </w:r>
          </w:p>
        </w:tc>
      </w:tr>
      <w:tr>
        <w:trPr>
          <w:trHeight w:val="106"/>
        </w:trPr>
        <w:tc>
          <w:tcPr>
            <w:tcW w:w="82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203"/>
        </w:trPr>
        <w:tc>
          <w:tcPr>
            <w:tcW w:w="8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Non-cash investing and financing activities:</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decrease in payables for purchases of premises and equipment</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203"/>
        </w:trPr>
        <w:tc>
          <w:tcPr>
            <w:tcW w:w="8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Warrants issued in connection with Amended Credit Agreement</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8,096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57"/>
        </w:trPr>
        <w:tc>
          <w:tcPr>
            <w:tcW w:w="8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bl>
    <w:p>
      <w:pPr>
        <w:spacing w:after="0" w:line="1" w:lineRule="exact"/>
        <w:rPr>
          <w:sz w:val="20"/>
          <w:szCs w:val="20"/>
          <w:color w:val="auto"/>
        </w:rPr>
      </w:pPr>
    </w:p>
    <w:p>
      <w:pPr>
        <w:ind w:left="20" w:right="220"/>
        <w:spacing w:after="0" w:line="253" w:lineRule="auto"/>
        <w:rPr>
          <w:sz w:val="20"/>
          <w:szCs w:val="20"/>
          <w:color w:val="auto"/>
        </w:rPr>
      </w:pPr>
      <w:r>
        <w:rPr>
          <w:rFonts w:ascii="Times New Roman" w:cs="Times New Roman" w:eastAsia="Times New Roman" w:hAnsi="Times New Roman"/>
          <w:sz w:val="15"/>
          <w:szCs w:val="15"/>
          <w:color w:val="auto"/>
        </w:rPr>
        <w:t>The following table provides a reconciliation of cash, cash equivalents and restricted cash reported within the unaudited condensed consolidated balance sheets and the unaudited condensed consolidated statements of cash flows:</w:t>
      </w:r>
    </w:p>
    <w:tbl>
      <w:tblPr>
        <w:tblLayout w:type="fixed"/>
        <w:tblInd w:w="0" w:type="dxa"/>
        <w:tblCellMar>
          <w:top w:w="0" w:type="dxa"/>
          <w:left w:w="0" w:type="dxa"/>
          <w:bottom w:w="0" w:type="dxa"/>
          <w:right w:w="0" w:type="dxa"/>
        </w:tblCellMar>
      </w:tblPr>
      <w:tr>
        <w:trPr>
          <w:trHeight w:val="178"/>
        </w:trPr>
        <w:tc>
          <w:tcPr>
            <w:tcW w:w="8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36"/>
        </w:trPr>
        <w:tc>
          <w:tcPr>
            <w:tcW w:w="82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r>
      <w:tr>
        <w:trPr>
          <w:trHeight w:val="20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43,113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79,952</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3,215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3,935</w:t>
            </w:r>
          </w:p>
        </w:tc>
      </w:tr>
      <w:tr>
        <w:trPr>
          <w:trHeight w:val="20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cash, cash equivalents and restricted cash reported in the statements of cash flows</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46,328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83,887</w:t>
            </w: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ORGANIZATION AND BASIS OF PRESENTATION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Business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publicly traded on the NASDAQ Global Select Market under the symbol “ASPS.” We are organized under the laws of the Grand Duchy of Luxembourg.</w:t>
      </w:r>
    </w:p>
    <w:p>
      <w:pPr>
        <w:spacing w:after="0" w:line="16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We conduct our operations through two reportable segments: </w:t>
      </w:r>
      <w:r>
        <w:rPr>
          <w:rFonts w:ascii="Times New Roman" w:cs="Times New Roman" w:eastAsia="Times New Roman" w:hAnsi="Times New Roman"/>
          <w:sz w:val="17"/>
          <w:szCs w:val="17"/>
          <w:i w:val="1"/>
          <w:iCs w:val="1"/>
          <w:color w:val="auto"/>
        </w:rPr>
        <w:t>Servicer and Real Estate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Origination</w:t>
      </w:r>
      <w:r>
        <w:rPr>
          <w:rFonts w:ascii="Times New Roman" w:cs="Times New Roman" w:eastAsia="Times New Roman" w:hAnsi="Times New Roman"/>
          <w:sz w:val="17"/>
          <w:szCs w:val="17"/>
          <w:color w:val="auto"/>
        </w:rPr>
        <w:t xml:space="preserve">. In addition, we report </w:t>
      </w:r>
      <w:r>
        <w:rPr>
          <w:rFonts w:ascii="Times New Roman" w:cs="Times New Roman" w:eastAsia="Times New Roman" w:hAnsi="Times New Roman"/>
          <w:sz w:val="17"/>
          <w:szCs w:val="17"/>
          <w:i w:val="1"/>
          <w:iCs w:val="1"/>
          <w:color w:val="auto"/>
        </w:rPr>
        <w:t>Corporate and Others</w:t>
      </w:r>
      <w:r>
        <w:rPr>
          <w:rFonts w:ascii="Times New Roman" w:cs="Times New Roman" w:eastAsia="Times New Roman" w:hAnsi="Times New Roman"/>
          <w:sz w:val="17"/>
          <w:szCs w:val="17"/>
          <w:color w:val="auto"/>
        </w:rPr>
        <w:t xml:space="preserve"> separately (See Note 22 for a description of our business segments).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Accounting and Presentation</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periods. Actual results could differ from those estimates. Intercompany transactions and accounts have been eliminated in consolidation.</w:t>
      </w:r>
    </w:p>
    <w:p>
      <w:pPr>
        <w:spacing w:after="0" w:line="1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(“Lenders One”). MPA provides services to Lenders One under a management agreement that ends on December 31, 2025 (with renewals for three successive five-year periods at MPA’s option).</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March 31, 2023, Lenders One had total assets of $1.3 million and total liabilities of $1.2 million. As of December 31, 2022, Lenders One had total assets of $1.2 million and total liabilities of $1.1 million.</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These interim condensed consolidated financial statements should be read in conjunction with the Company’s Annual Report on Form 10-K for the year ended December 31, 2022, as filed with the SEC on March 30, 2023.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Level 1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Quoted prices in active markets for identical assets and liabilities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Level 2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Observable inputs other than quoted prices included in Level 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Level 3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Unobservable inputs that are supported by little or no market activity and that are significant to the fair value of assets or liabilities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CUSTOMER CONCENTRATION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Ocwen</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Ocwen Financial Corporation (together with its subsidiaries, “Ocwen”) is a residential mortgage loan servicer of mortgage servicing rights (“MSRs”) it owns, including those MSRs in which others have an economic interest, and a subservicer of loans owned by others.</w:t>
      </w:r>
    </w:p>
    <w:p>
      <w:pPr>
        <w:spacing w:after="0" w:line="1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three months ended March 31, 2023, Ocwen was our largest customer, accounting for 45% of our total revenue. Ocwen purchases certain mortgage services from us under the terms of services agreements and amendments thereto (collectively, the “Ocwen Services Agreements”) with terms extending through August 2030. Certain of the Ocwen Services Agreements contain a “most favored nation” provision and also grant the parties the right to renegotiate pricing, among other things.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Revenue from Ocwen primarily consists of revenue earned from the loan portfolios serviced and subserviced by Ocwen when Ocwen engages us as the service provider, and revenue earned directly from Ocwen, pursuant to the Ocwen Services Agreements. For the three months ended March 31, 2023 and 2022, we recognized revenue from Ocwen of $17.6 million and $13.7 million, respectively. Revenue from Ocwen as a percentage of segment and consolidated revenue was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9160" w:type="dxa"/>
            <w:vAlign w:val="bottom"/>
            <w:gridSpan w:val="2"/>
          </w:tcPr>
          <w:p>
            <w:pPr>
              <w:ind w:left="8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80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19"/>
        </w:trPr>
        <w:tc>
          <w:tcPr>
            <w:tcW w:w="9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Servicer and Real Estate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r>
      <w:tr>
        <w:trPr>
          <w:trHeight w:val="219"/>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Origination</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9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Others</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3"/>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r>
    </w:tbl>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earn additional revenue related to the portfolios serviced and subserviced by Ocwen when a party other than Ocwen or the MSRs owner selects Altisource as the service provider. For the three months ended March 31, 2023 and 2022, we recognized revenue of $2.9 million and $2.4 million, respectively, of such revenue. These amounts are not included in deriving revenue from Ocwen and revenue from Ocwen as a percentage of revenue discussed above.</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2023, accounts receivable from Ocwen totaled $4.2 million, $3.5 million of which was billed and $0.7 million of which was unbilled. As of December 31, 2022, accounts receivable from Ocwen totaled $4.0 million, $3.2 million of which was billed and $0.8 million of which was unbilled.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Rithm</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Rithm Capital Corp. (individually, together with one or more of its subsidiaries or one or more of its subsidiaries individually, “Rithm”) (formerly New Residential Investment Corp., or “NRZ”) is a real estate investment trust that invests in and manages investments primarily related to residential real estate, including MSRs and excess MSRs.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Ocwen has disclosed that Rithm is a significant client of Ocwen’s. As of December 31, 2022, approximately 17% of loans serviced and subserviced by Ocwen (measured in unpaid principal balance (“UPB”)) and approximately 68% of all delinquent loans that Ocwen services were related to Rithm MSRs or rights to MSRs (the “Subject MSRs”).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Rithm purchases brokerage services for real estate owned (“REO”) exclusively from us, irrespective of the subservicer, subject to certain limitations, for certain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MSRs set forth in and pursuant to the terms of a Cooperative Brokerage Agreement, as amended, and related letter agreement (collectively, the “Brokerage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with terms extending through August 2025.</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three months ended March 31, 2023 and 2022, we recognized revenue from Rithm of $0.8 million and $0.9 million, respectively, under the Brokerage Agreement. For the three months ended March 31, 2023 and 2022, we recognized additional revenue of $3.3 million and $3.7 million, respectively, relating to the Subject MSRs when a party other than Rithm selects Altisource as the service provider.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ACCOUNTS RECEIVABLE, NET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receivable, net consists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Billed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11,993</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Unbilled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5,359</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17,352</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(4,363)</w:t>
            </w:r>
          </w:p>
        </w:tc>
        <w:tc>
          <w:tcPr>
            <w:tcW w:w="0" w:type="dxa"/>
            <w:vAlign w:val="bottom"/>
          </w:tcPr>
          <w:p>
            <w:pPr>
              <w:spacing w:after="0"/>
              <w:rPr>
                <w:sz w:val="1"/>
                <w:szCs w:val="1"/>
                <w:color w:val="auto"/>
              </w:rPr>
            </w:pPr>
          </w:p>
        </w:tc>
      </w:tr>
      <w:tr>
        <w:trPr>
          <w:trHeight w:val="186"/>
        </w:trPr>
        <w:tc>
          <w:tcPr>
            <w:tcW w:w="8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12,989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allowance for expected credit losses consist of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Pr>
          <w:p>
            <w:pPr>
              <w:spacing w:after="0" w:line="20" w:lineRule="exact"/>
              <w:rPr>
                <w:sz w:val="1"/>
                <w:szCs w:val="1"/>
                <w:color w:val="auto"/>
              </w:rPr>
            </w:pPr>
          </w:p>
        </w:tc>
        <w:tc>
          <w:tcPr>
            <w:tcW w:w="1700" w:type="dxa"/>
            <w:vAlign w:val="bottom"/>
            <w:gridSpan w:val="2"/>
            <w:vMerge w:val="restart"/>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8"/>
              </w:rPr>
              <w:t>Balance at Beginning of</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Deductions Note</w:t>
            </w:r>
            <w:r>
              <w:rPr>
                <w:rFonts w:ascii="Times New Roman" w:cs="Times New Roman" w:eastAsia="Times New Roman" w:hAnsi="Times New Roman"/>
                <w:sz w:val="17"/>
                <w:szCs w:val="17"/>
                <w:b w:val="1"/>
                <w:bCs w:val="1"/>
                <w:color w:val="auto"/>
                <w:vertAlign w:val="superscript"/>
              </w:rPr>
              <w:t>(1)</w:t>
            </w: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9"/>
        </w:trPr>
        <w:tc>
          <w:tcPr>
            <w:tcW w:w="4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Charged to Expenses</w:t>
            </w:r>
          </w:p>
        </w:tc>
        <w:tc>
          <w:tcPr>
            <w:tcW w:w="22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Balance at End of Period</w:t>
            </w:r>
          </w:p>
        </w:tc>
        <w:tc>
          <w:tcPr>
            <w:tcW w:w="0" w:type="dxa"/>
            <w:vAlign w:val="bottom"/>
          </w:tcPr>
          <w:p>
            <w:pPr>
              <w:spacing w:after="0"/>
              <w:rPr>
                <w:sz w:val="1"/>
                <w:szCs w:val="1"/>
                <w:color w:val="auto"/>
              </w:rPr>
            </w:pPr>
          </w:p>
        </w:tc>
      </w:tr>
      <w:tr>
        <w:trPr>
          <w:trHeight w:val="193"/>
        </w:trPr>
        <w:tc>
          <w:tcPr>
            <w:tcW w:w="4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Allowance for expected credit losses: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March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4,205</w:t>
            </w:r>
          </w:p>
        </w:tc>
        <w:tc>
          <w:tcPr>
            <w:tcW w:w="0" w:type="dxa"/>
            <w:vAlign w:val="bottom"/>
          </w:tcPr>
          <w:p>
            <w:pPr>
              <w:spacing w:after="0"/>
              <w:rPr>
                <w:sz w:val="1"/>
                <w:szCs w:val="1"/>
                <w:color w:val="auto"/>
              </w:rPr>
            </w:pPr>
          </w:p>
        </w:tc>
      </w:tr>
      <w:tr>
        <w:trPr>
          <w:trHeight w:val="21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Three months ended March 31, 2022</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343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4,811</w:t>
            </w:r>
          </w:p>
        </w:tc>
        <w:tc>
          <w:tcPr>
            <w:tcW w:w="0" w:type="dxa"/>
            <w:vAlign w:val="bottom"/>
          </w:tcPr>
          <w:p>
            <w:pPr>
              <w:spacing w:after="0"/>
              <w:rPr>
                <w:sz w:val="1"/>
                <w:szCs w:val="1"/>
                <w:color w:val="auto"/>
              </w:rPr>
            </w:pPr>
          </w:p>
        </w:tc>
      </w:tr>
      <w:tr>
        <w:trPr>
          <w:trHeight w:val="245"/>
        </w:trPr>
        <w:tc>
          <w:tcPr>
            <w:tcW w:w="3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spacing w:after="0" w:line="32" w:lineRule="exact"/>
        <w:rPr>
          <w:sz w:val="20"/>
          <w:szCs w:val="20"/>
          <w:color w:val="auto"/>
        </w:rPr>
      </w:pPr>
    </w:p>
    <w:p>
      <w:pPr>
        <w:ind w:left="300" w:hanging="297"/>
        <w:spacing w:after="0"/>
        <w:tabs>
          <w:tab w:leader="none" w:pos="30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written off as uncollectible or transferred to other accounts or utilized.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PREPAID EXPENSES AND OTHER CURRENT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auto"/>
            </w:tcBorders>
            <w:vMerge w:val="continue"/>
          </w:tcPr>
          <w:p>
            <w:pPr>
              <w:spacing w:after="0"/>
              <w:rPr>
                <w:sz w:val="16"/>
                <w:szCs w:val="16"/>
                <w:color w:val="auto"/>
              </w:rPr>
            </w:pPr>
          </w:p>
        </w:tc>
        <w:tc>
          <w:tcPr>
            <w:tcW w:w="3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4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5,165</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 receivable</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7,031</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agreements, current portion</w:t>
            </w: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Indemnity escrow receivable from Pointillist sale</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Surety bond collateral</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w:t>
            </w:r>
          </w:p>
        </w:tc>
        <w:tc>
          <w:tcPr>
            <w:tcW w:w="0" w:type="dxa"/>
            <w:vAlign w:val="bottom"/>
          </w:tcPr>
          <w:p>
            <w:pPr>
              <w:spacing w:after="0"/>
              <w:rPr>
                <w:sz w:val="1"/>
                <w:szCs w:val="1"/>
                <w:color w:val="auto"/>
              </w:rPr>
            </w:pPr>
          </w:p>
        </w:tc>
      </w:tr>
      <w:tr>
        <w:trPr>
          <w:trHeight w:val="186"/>
        </w:trPr>
        <w:tc>
          <w:tcPr>
            <w:tcW w:w="45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23,544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43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5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0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PREMISES AND EQUIPMENT, NET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Premises and equipment, net consists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hardware and software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49,339</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5,794</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3,832</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Office equipment and 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59,311</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(55,089)</w:t>
            </w:r>
          </w:p>
        </w:tc>
        <w:tc>
          <w:tcPr>
            <w:tcW w:w="0" w:type="dxa"/>
            <w:vAlign w:val="bottom"/>
          </w:tcPr>
          <w:p>
            <w:pPr>
              <w:spacing w:after="0"/>
              <w:rPr>
                <w:sz w:val="1"/>
                <w:szCs w:val="1"/>
                <w:color w:val="auto"/>
              </w:rPr>
            </w:pPr>
          </w:p>
        </w:tc>
      </w:tr>
      <w:tr>
        <w:trPr>
          <w:trHeight w:val="186"/>
        </w:trPr>
        <w:tc>
          <w:tcPr>
            <w:tcW w:w="8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Depreciation and amortization expense amounted to $0.7 million and $1.0 million for the three months ended March 31, 2023 and 2022, respectively, and is included in cost of revenue for operating assets and in selling, general and administrative expenses for non-operating assets in the accompanying condensed consolidated statements of operations and comprehensive loss.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Premises and equipment, net consist of the following, by country: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13"/>
                <w:szCs w:val="13"/>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0" w:type="dxa"/>
            <w:vAlign w:val="bottom"/>
          </w:tcPr>
          <w:p>
            <w:pPr>
              <w:spacing w:after="0"/>
              <w:rPr>
                <w:sz w:val="1"/>
                <w:szCs w:val="1"/>
                <w:color w:val="auto"/>
              </w:rPr>
            </w:pPr>
          </w:p>
        </w:tc>
      </w:tr>
      <w:tr>
        <w:trPr>
          <w:trHeight w:val="189"/>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Luxembourg</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India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Uruguay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186"/>
        </w:trPr>
        <w:tc>
          <w:tcPr>
            <w:tcW w:w="8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4,222</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6 — RIGHT-OF-USE ASSETS UNDER OPERATING LEASES, NET</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82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Right-of-use assets under operating leases, net consists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24"/>
                <w:szCs w:val="24"/>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0" w:type="dxa"/>
            <w:vAlign w:val="bottom"/>
          </w:tcPr>
          <w:p>
            <w:pPr>
              <w:spacing w:after="0"/>
              <w:rPr>
                <w:sz w:val="1"/>
                <w:szCs w:val="1"/>
                <w:color w:val="auto"/>
              </w:rPr>
            </w:pPr>
          </w:p>
        </w:tc>
      </w:tr>
      <w:tr>
        <w:trPr>
          <w:trHeight w:val="189"/>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under operating leases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11,808</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(6,487)</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Amortization of operating leases was $0.5 million and $1.1 million for the three months ended March 31, 2023 and 2022, respectively, and is included in cost of revenue for operating assets and in selling, general and administrative expenses for non-operating assets in the accompanying condensed consolidated statements of operations and comprehensive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GOODWILL AND INTANGIBLE ASSETS, NET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goodwill by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Servicer and Real</w:t>
            </w:r>
          </w:p>
        </w:tc>
        <w:tc>
          <w:tcPr>
            <w:tcW w:w="22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and Others</w:t>
            </w:r>
          </w:p>
        </w:tc>
        <w:tc>
          <w:tcPr>
            <w:tcW w:w="110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0" w:type="dxa"/>
            <w:vAlign w:val="bottom"/>
            <w:gridSpan w:val="4"/>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2023 and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30,681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25,279</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55,960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 net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80" w:type="dxa"/>
            <w:vAlign w:val="bottom"/>
          </w:tcPr>
          <w:p>
            <w:pPr>
              <w:spacing w:after="0"/>
              <w:rPr>
                <w:sz w:val="14"/>
                <w:szCs w:val="14"/>
                <w:color w:val="auto"/>
              </w:rPr>
            </w:pPr>
          </w:p>
        </w:tc>
        <w:tc>
          <w:tcPr>
            <w:tcW w:w="23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20" w:type="dxa"/>
            <w:vAlign w:val="bottom"/>
          </w:tcPr>
          <w:p>
            <w:pPr>
              <w:spacing w:after="0"/>
              <w:rPr>
                <w:sz w:val="14"/>
                <w:szCs w:val="14"/>
                <w:color w:val="auto"/>
              </w:rPr>
            </w:pPr>
          </w:p>
        </w:tc>
        <w:tc>
          <w:tcPr>
            <w:tcW w:w="23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00" w:type="dxa"/>
            <w:vAlign w:val="bottom"/>
          </w:tcPr>
          <w:p>
            <w:pPr>
              <w:spacing w:after="0"/>
              <w:rPr>
                <w:sz w:val="14"/>
                <w:szCs w:val="14"/>
                <w:color w:val="auto"/>
              </w:rPr>
            </w:pPr>
          </w:p>
        </w:tc>
        <w:tc>
          <w:tcPr>
            <w:tcW w:w="22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64"/>
        </w:trPr>
        <w:tc>
          <w:tcPr>
            <w:tcW w:w="262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980" w:type="dxa"/>
            <w:vAlign w:val="bottom"/>
            <w:gridSpan w:val="2"/>
            <w:vMerge w:val="restart"/>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line="20" w:lineRule="exact"/>
              <w:rPr>
                <w:sz w:val="1"/>
                <w:szCs w:val="1"/>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line="20" w:lineRule="exact"/>
              <w:rPr>
                <w:sz w:val="1"/>
                <w:szCs w:val="1"/>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line="20" w:lineRule="exact"/>
              <w:rPr>
                <w:sz w:val="1"/>
                <w:szCs w:val="1"/>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line="20" w:lineRule="exact"/>
              <w:rPr>
                <w:sz w:val="1"/>
                <w:szCs w:val="1"/>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line="20" w:lineRule="exact"/>
              <w:rPr>
                <w:sz w:val="1"/>
                <w:szCs w:val="1"/>
                <w:color w:val="auto"/>
              </w:rPr>
            </w:pPr>
          </w:p>
        </w:tc>
        <w:tc>
          <w:tcPr>
            <w:tcW w:w="102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line="20" w:lineRule="exact"/>
              <w:rPr>
                <w:sz w:val="1"/>
                <w:szCs w:val="1"/>
                <w:color w:val="auto"/>
              </w:rPr>
            </w:pPr>
          </w:p>
        </w:tc>
      </w:tr>
      <w:tr>
        <w:trPr>
          <w:trHeight w:val="14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useful life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80" w:type="dxa"/>
            <w:vAlign w:val="bottom"/>
          </w:tcPr>
          <w:p>
            <w:pPr>
              <w:spacing w:after="0"/>
              <w:rPr>
                <w:sz w:val="16"/>
                <w:szCs w:val="16"/>
                <w:color w:val="auto"/>
              </w:rPr>
            </w:pPr>
          </w:p>
        </w:tc>
        <w:tc>
          <w:tcPr>
            <w:tcW w:w="10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2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Definite lived intangible assets:</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Customer related intangible assets</w:t>
            </w:r>
          </w:p>
        </w:tc>
        <w:tc>
          <w:tcPr>
            <w:tcW w:w="96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w w:val="93"/>
              </w:rPr>
              <w:t>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214,307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214,307</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(198,343)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(197,594)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16,713</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agreement</w:t>
            </w:r>
          </w:p>
        </w:tc>
        <w:tc>
          <w:tcPr>
            <w:tcW w:w="9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12,396</w:t>
            </w:r>
          </w:p>
        </w:tc>
        <w:tc>
          <w:tcPr>
            <w:tcW w:w="0" w:type="dxa"/>
            <w:vAlign w:val="bottom"/>
          </w:tcPr>
          <w:p>
            <w:pPr>
              <w:spacing w:after="0"/>
              <w:rPr>
                <w:sz w:val="1"/>
                <w:szCs w:val="1"/>
                <w:color w:val="auto"/>
              </w:rPr>
            </w:pPr>
          </w:p>
        </w:tc>
      </w:tr>
      <w:tr>
        <w:trPr>
          <w:trHeight w:val="219"/>
        </w:trPr>
        <w:tc>
          <w:tcPr>
            <w:tcW w:w="2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Trademarks and trade names</w:t>
            </w:r>
          </w:p>
        </w:tc>
        <w:tc>
          <w:tcPr>
            <w:tcW w:w="960" w:type="dxa"/>
            <w:vAlign w:val="bottom"/>
            <w:tcBorders>
              <w:bottom w:val="single" w:sz="8" w:color="CCEEFF"/>
            </w:tcBorders>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9,709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2,621</w:t>
            </w:r>
          </w:p>
        </w:tc>
        <w:tc>
          <w:tcPr>
            <w:tcW w:w="0" w:type="dxa"/>
            <w:vAlign w:val="bottom"/>
          </w:tcPr>
          <w:p>
            <w:pPr>
              <w:spacing w:after="0"/>
              <w:rPr>
                <w:sz w:val="1"/>
                <w:szCs w:val="1"/>
                <w:color w:val="auto"/>
              </w:rPr>
            </w:pPr>
          </w:p>
        </w:tc>
      </w:tr>
      <w:tr>
        <w:trPr>
          <w:trHeight w:val="186"/>
        </w:trPr>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259,016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259,016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(228,566)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(227,286)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31,730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Amortization expense for definite lived intangible assets was $1.3 million and $1.3 million for the three months ended March 31, 2023 and 2022, respectively. Forecasted annual definite lived intangible asset amortization expense for 2023 through 2027 is $5.1 million, $5.1 million, $5.1 million, $4.9 million and $4.7 million,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OTHER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assets consist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13"/>
                <w:szCs w:val="13"/>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0" w:type="dxa"/>
            <w:vAlign w:val="bottom"/>
          </w:tcPr>
          <w:p>
            <w:pPr>
              <w:spacing w:after="0"/>
              <w:rPr>
                <w:sz w:val="1"/>
                <w:szCs w:val="1"/>
                <w:color w:val="auto"/>
              </w:rPr>
            </w:pPr>
          </w:p>
        </w:tc>
      </w:tr>
      <w:tr>
        <w:trPr>
          <w:trHeight w:val="189"/>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Security deposits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9 — ACCOUNTS PAYABLE, ACCRUED EXPENSES AND OTHER CURRENT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82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 payable and accrued expenses consist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24"/>
                <w:szCs w:val="24"/>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0" w:type="dxa"/>
            <w:vAlign w:val="bottom"/>
          </w:tcPr>
          <w:p>
            <w:pPr>
              <w:spacing w:after="0"/>
              <w:rPr>
                <w:sz w:val="1"/>
                <w:szCs w:val="1"/>
                <w:color w:val="auto"/>
              </w:rPr>
            </w:pPr>
          </w:p>
        </w:tc>
      </w:tr>
      <w:tr>
        <w:trPr>
          <w:trHeight w:val="189"/>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14,981</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expenses - general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11,858</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salaries and benefits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5,501</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taxes payable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0" w:type="dxa"/>
            <w:vAlign w:val="bottom"/>
          </w:tcPr>
          <w:p>
            <w:pPr>
              <w:spacing w:after="0"/>
              <w:rPr>
                <w:sz w:val="1"/>
                <w:szCs w:val="1"/>
                <w:color w:val="auto"/>
              </w:rPr>
            </w:pPr>
          </w:p>
        </w:tc>
      </w:tr>
      <w:tr>
        <w:trPr>
          <w:trHeight w:val="186"/>
        </w:trPr>
        <w:tc>
          <w:tcPr>
            <w:tcW w:w="8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33,507</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Other current liabilities consist of the following:</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2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24"/>
                <w:szCs w:val="24"/>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0" w:type="dxa"/>
            <w:vAlign w:val="bottom"/>
          </w:tcPr>
          <w:p>
            <w:pPr>
              <w:spacing w:after="0"/>
              <w:rPr>
                <w:sz w:val="1"/>
                <w:szCs w:val="1"/>
                <w:color w:val="auto"/>
              </w:rPr>
            </w:pPr>
          </w:p>
        </w:tc>
      </w:tr>
      <w:tr>
        <w:trPr>
          <w:trHeight w:val="189"/>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w:t>
            </w:r>
          </w:p>
        </w:tc>
        <w:tc>
          <w:tcPr>
            <w:tcW w:w="0" w:type="dxa"/>
            <w:vAlign w:val="bottom"/>
          </w:tcPr>
          <w:p>
            <w:pPr>
              <w:spacing w:after="0"/>
              <w:rPr>
                <w:sz w:val="1"/>
                <w:szCs w:val="1"/>
                <w:color w:val="auto"/>
              </w:rPr>
            </w:pPr>
          </w:p>
        </w:tc>
      </w:tr>
      <w:tr>
        <w:trPr>
          <w:trHeight w:val="219"/>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0" w:type="dxa"/>
            <w:vAlign w:val="bottom"/>
          </w:tcPr>
          <w:p>
            <w:pPr>
              <w:spacing w:after="0"/>
              <w:rPr>
                <w:sz w:val="1"/>
                <w:szCs w:val="1"/>
                <w:color w:val="auto"/>
              </w:rPr>
            </w:pPr>
          </w:p>
        </w:tc>
      </w:tr>
      <w:tr>
        <w:trPr>
          <w:trHeight w:val="186"/>
        </w:trPr>
        <w:tc>
          <w:tcPr>
            <w:tcW w:w="8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5540"/>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8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WARRANT LIABILITY</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February 14, 2023, the lenders under the Amended Credit Agreement (See Note 11 for additional information) received warrants (the “Warrants”) to purchase 3,223,851 shares of Altisource common stock (the “Warrant Shares”). The number of Warrant Shares is subject to reduction based on the amount of par paydowns on the senior secured term loans (“SSTL”) in the aggregate using proceeds from issuances of equity interests or from junior indebtedness made prior to February 14, 2024 (“Aggregate Paydowns”) as set forth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5220" w:type="dxa"/>
            <w:vAlign w:val="bottom"/>
          </w:tcPr>
          <w:p>
            <w:pPr>
              <w:jc w:val="center"/>
              <w:ind w:left="3118"/>
              <w:spacing w:after="0"/>
              <w:rPr>
                <w:sz w:val="20"/>
                <w:szCs w:val="20"/>
                <w:color w:val="auto"/>
              </w:rPr>
            </w:pPr>
            <w:r>
              <w:rPr>
                <w:rFonts w:ascii="Times New Roman" w:cs="Times New Roman" w:eastAsia="Times New Roman" w:hAnsi="Times New Roman"/>
                <w:sz w:val="14"/>
                <w:szCs w:val="14"/>
                <w:b w:val="1"/>
                <w:bCs w:val="1"/>
                <w:color w:val="auto"/>
                <w:w w:val="97"/>
              </w:rPr>
              <w:t>Warrant Shares</w:t>
            </w:r>
          </w:p>
        </w:tc>
      </w:tr>
      <w:tr>
        <w:trPr>
          <w:trHeight w:val="22"/>
        </w:trPr>
        <w:tc>
          <w:tcPr>
            <w:tcW w:w="602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$20 million</w:t>
            </w:r>
          </w:p>
        </w:tc>
        <w:tc>
          <w:tcPr>
            <w:tcW w:w="5220" w:type="dxa"/>
            <w:vAlign w:val="bottom"/>
            <w:shd w:val="clear" w:color="auto" w:fill="CCEEFF"/>
          </w:tcPr>
          <w:p>
            <w:pPr>
              <w:jc w:val="center"/>
              <w:ind w:left="3118"/>
              <w:spacing w:after="0"/>
              <w:rPr>
                <w:sz w:val="20"/>
                <w:szCs w:val="20"/>
                <w:color w:val="auto"/>
              </w:rPr>
            </w:pPr>
            <w:r>
              <w:rPr>
                <w:rFonts w:ascii="Times New Roman" w:cs="Times New Roman" w:eastAsia="Times New Roman" w:hAnsi="Times New Roman"/>
                <w:sz w:val="17"/>
                <w:szCs w:val="17"/>
                <w:color w:val="auto"/>
              </w:rPr>
              <w:t>3,223,851</w:t>
            </w:r>
          </w:p>
        </w:tc>
      </w:tr>
      <w:tr>
        <w:trPr>
          <w:trHeight w:val="228"/>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 million+ but less than below</w:t>
            </w:r>
          </w:p>
        </w:tc>
        <w:tc>
          <w:tcPr>
            <w:tcW w:w="5220" w:type="dxa"/>
            <w:vAlign w:val="bottom"/>
          </w:tcPr>
          <w:p>
            <w:pPr>
              <w:jc w:val="center"/>
              <w:ind w:left="3118"/>
              <w:spacing w:after="0"/>
              <w:rPr>
                <w:sz w:val="20"/>
                <w:szCs w:val="20"/>
                <w:color w:val="auto"/>
              </w:rPr>
            </w:pPr>
            <w:r>
              <w:rPr>
                <w:rFonts w:ascii="Times New Roman" w:cs="Times New Roman" w:eastAsia="Times New Roman" w:hAnsi="Times New Roman"/>
                <w:sz w:val="17"/>
                <w:szCs w:val="17"/>
                <w:color w:val="auto"/>
              </w:rPr>
              <w:t>2,578,743</w:t>
            </w:r>
          </w:p>
        </w:tc>
      </w:tr>
      <w:tr>
        <w:trPr>
          <w:trHeight w:val="23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million+</w:t>
            </w:r>
          </w:p>
        </w:tc>
        <w:tc>
          <w:tcPr>
            <w:tcW w:w="5220" w:type="dxa"/>
            <w:vAlign w:val="bottom"/>
            <w:shd w:val="clear" w:color="auto" w:fill="CCEEFF"/>
          </w:tcPr>
          <w:p>
            <w:pPr>
              <w:jc w:val="center"/>
              <w:ind w:left="3118"/>
              <w:spacing w:after="0"/>
              <w:rPr>
                <w:sz w:val="20"/>
                <w:szCs w:val="20"/>
                <w:color w:val="auto"/>
              </w:rPr>
            </w:pPr>
            <w:r>
              <w:rPr>
                <w:rFonts w:ascii="Times New Roman" w:cs="Times New Roman" w:eastAsia="Times New Roman" w:hAnsi="Times New Roman"/>
                <w:sz w:val="17"/>
                <w:szCs w:val="17"/>
                <w:color w:val="auto"/>
              </w:rPr>
              <w:t>1,612,705</w:t>
            </w: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2023, the Company made payments toward the determination of Aggregate Paydowns of $20 million. As a result, the number of Warrant Shares as of March 31, 2023 is 2,578,743.</w:t>
      </w:r>
    </w:p>
    <w:p>
      <w:pPr>
        <w:spacing w:after="0" w:line="1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exercise price per share of common stock under each Warrant is equal to $0.01. The Warrants may be exercised at any time on and after February 14, 2024 and prior to their expiration date. The Warrants are exercisable on a cashless basis and are subject to customary anti-dilution provisions. The Warrants, if not previously exercised or terminated, will be automatically exercised on May 22, 2027. The Warrants are subject to a lock-up agreement, subject to customary exceptions, ending two business days after the Paydown Measurement Date.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Company determined that the Warrants are free standing financial instruments that are legally detachable and separately exercisable from term loans under the Amended Credit Agreement. The Company also determined that the Warrants are not considered to be indexed to the Company’s stock because the number of Warrant Shares varies based on Aggregate Paydowns and as such required classification as a liability pursuant to ASC 815-40, </w:t>
      </w:r>
      <w:r>
        <w:rPr>
          <w:rFonts w:ascii="Times New Roman" w:cs="Times New Roman" w:eastAsia="Times New Roman" w:hAnsi="Times New Roman"/>
          <w:sz w:val="17"/>
          <w:szCs w:val="17"/>
          <w:i w:val="1"/>
          <w:iCs w:val="1"/>
          <w:color w:val="auto"/>
        </w:rPr>
        <w:t>Derivatives and Hedging–Contracts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 Entity’s Own Equity</w:t>
      </w:r>
      <w:r>
        <w:rPr>
          <w:rFonts w:ascii="Times New Roman" w:cs="Times New Roman" w:eastAsia="Times New Roman" w:hAnsi="Times New Roman"/>
          <w:sz w:val="17"/>
          <w:szCs w:val="17"/>
          <w:color w:val="auto"/>
        </w:rPr>
        <w:t>. The outstanding Warrants are recognized as a warrant liability on the balance sheet and are measured at their inception date fair value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subsequently re-measured at each reporting period with changes being recorded as a component of other income (expense) in the statement of operations.</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fair value of the warrant liability is based on the number of Warrant Shares that are expected to be exercisable on and after February 14, 2024 and the Altisource share price less $0.01 at the measurement date.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the warrant liability at each of the respective valuation dates is summarized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2060" w:type="dxa"/>
            <w:vAlign w:val="bottom"/>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w w:val="96"/>
              </w:rPr>
              <w:t>Warrant Shares based on</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Expected Warrant Shares that will be exercisable</w:t>
            </w:r>
          </w:p>
        </w:tc>
        <w:tc>
          <w:tcPr>
            <w:tcW w:w="12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5"/>
              </w:rPr>
              <w:t>Fair Value per</w:t>
            </w:r>
          </w:p>
        </w:tc>
        <w:tc>
          <w:tcPr>
            <w:tcW w:w="220" w:type="dxa"/>
            <w:vAlign w:val="bottom"/>
          </w:tcPr>
          <w:p>
            <w:pPr>
              <w:spacing w:after="0"/>
              <w:rPr>
                <w:sz w:val="13"/>
                <w:szCs w:val="13"/>
                <w:color w:val="auto"/>
              </w:rPr>
            </w:pPr>
          </w:p>
        </w:tc>
        <w:tc>
          <w:tcPr>
            <w:tcW w:w="134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318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ind w:left="143"/>
              <w:spacing w:after="0"/>
              <w:rPr>
                <w:sz w:val="20"/>
                <w:szCs w:val="20"/>
                <w:color w:val="auto"/>
              </w:rPr>
            </w:pPr>
            <w:r>
              <w:rPr>
                <w:rFonts w:ascii="Times New Roman" w:cs="Times New Roman" w:eastAsia="Times New Roman" w:hAnsi="Times New Roman"/>
                <w:sz w:val="14"/>
                <w:szCs w:val="14"/>
                <w:b w:val="1"/>
                <w:bCs w:val="1"/>
                <w:color w:val="auto"/>
                <w:w w:val="98"/>
              </w:rPr>
              <w:t>Aggregate Paydowns</w:t>
            </w: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February 14, 2024</w:t>
            </w:r>
          </w:p>
        </w:tc>
        <w:tc>
          <w:tcPr>
            <w:tcW w:w="12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6"/>
              </w:rPr>
              <w:t>Warrant Share</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31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Fair value at initial measurement date of</w:t>
            </w:r>
          </w:p>
        </w:tc>
        <w:tc>
          <w:tcPr>
            <w:tcW w:w="206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8,096</w:t>
            </w:r>
          </w:p>
        </w:tc>
        <w:tc>
          <w:tcPr>
            <w:tcW w:w="0" w:type="dxa"/>
            <w:vAlign w:val="bottom"/>
          </w:tcPr>
          <w:p>
            <w:pPr>
              <w:spacing w:after="0"/>
              <w:rPr>
                <w:sz w:val="1"/>
                <w:szCs w:val="1"/>
                <w:color w:val="auto"/>
              </w:rPr>
            </w:pPr>
          </w:p>
        </w:tc>
      </w:tr>
      <w:tr>
        <w:trPr>
          <w:trHeight w:val="23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14, 2023</w:t>
            </w:r>
          </w:p>
        </w:tc>
        <w:tc>
          <w:tcPr>
            <w:tcW w:w="2060" w:type="dxa"/>
            <w:vAlign w:val="bottom"/>
            <w:shd w:val="clear" w:color="auto" w:fill="CCEEFF"/>
          </w:tcPr>
          <w:p>
            <w:pPr>
              <w:jc w:val="center"/>
              <w:ind w:left="143"/>
              <w:spacing w:after="0"/>
              <w:rPr>
                <w:sz w:val="20"/>
                <w:szCs w:val="20"/>
                <w:color w:val="auto"/>
              </w:rPr>
            </w:pPr>
            <w:r>
              <w:rPr>
                <w:rFonts w:ascii="Times New Roman" w:cs="Times New Roman" w:eastAsia="Times New Roman" w:hAnsi="Times New Roman"/>
                <w:sz w:val="17"/>
                <w:szCs w:val="17"/>
                <w:color w:val="auto"/>
                <w:w w:val="99"/>
              </w:rPr>
              <w:t>3,223,851</w:t>
            </w:r>
          </w:p>
        </w:tc>
        <w:tc>
          <w:tcPr>
            <w:tcW w:w="3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1,612,705</w:t>
            </w:r>
          </w:p>
        </w:tc>
        <w:tc>
          <w:tcPr>
            <w:tcW w:w="122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7"/>
                <w:szCs w:val="17"/>
                <w:color w:val="auto"/>
              </w:rPr>
              <w:t>$5.02</w:t>
            </w:r>
          </w:p>
        </w:tc>
        <w:tc>
          <w:tcPr>
            <w:tcW w:w="22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1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Gain on change in fair value of warrant</w:t>
            </w:r>
          </w:p>
        </w:tc>
        <w:tc>
          <w:tcPr>
            <w:tcW w:w="20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206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March 31, 2023</w:t>
            </w:r>
          </w:p>
        </w:tc>
        <w:tc>
          <w:tcPr>
            <w:tcW w:w="2060" w:type="dxa"/>
            <w:vAlign w:val="bottom"/>
            <w:shd w:val="clear" w:color="auto" w:fill="CCEEFF"/>
          </w:tcPr>
          <w:p>
            <w:pPr>
              <w:jc w:val="center"/>
              <w:ind w:left="143"/>
              <w:spacing w:after="0"/>
              <w:rPr>
                <w:sz w:val="20"/>
                <w:szCs w:val="20"/>
                <w:color w:val="auto"/>
              </w:rPr>
            </w:pPr>
            <w:r>
              <w:rPr>
                <w:rFonts w:ascii="Times New Roman" w:cs="Times New Roman" w:eastAsia="Times New Roman" w:hAnsi="Times New Roman"/>
                <w:sz w:val="17"/>
                <w:szCs w:val="17"/>
                <w:color w:val="auto"/>
                <w:w w:val="99"/>
              </w:rPr>
              <w:t>2,578,743</w:t>
            </w:r>
          </w:p>
        </w:tc>
        <w:tc>
          <w:tcPr>
            <w:tcW w:w="3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1,612,705</w:t>
            </w:r>
          </w:p>
        </w:tc>
        <w:tc>
          <w:tcPr>
            <w:tcW w:w="122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7"/>
                <w:szCs w:val="17"/>
                <w:color w:val="auto"/>
              </w:rPr>
              <w:t>$4.59</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7,402</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2023, the Company recorded a gain on changes in fair value of warrant liability of $0.7 million. During the three months ended March 31, 2022, there were no warrant liabilities outstanding.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LONG-TERM DEBT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Long-term debt consists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Secured Term Loans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247,204</w:t>
            </w:r>
          </w:p>
        </w:tc>
        <w:tc>
          <w:tcPr>
            <w:tcW w:w="0" w:type="dxa"/>
            <w:vAlign w:val="bottom"/>
          </w:tcPr>
          <w:p>
            <w:pPr>
              <w:spacing w:after="0"/>
              <w:rPr>
                <w:sz w:val="1"/>
                <w:szCs w:val="1"/>
                <w:color w:val="auto"/>
              </w:rPr>
            </w:pPr>
          </w:p>
        </w:tc>
      </w:tr>
      <w:tr>
        <w:trPr>
          <w:trHeight w:val="219"/>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Less: Debt issuance and amendment costs,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Unamortized discount,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Senior secured term loans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214,109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245,493</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Revolver</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Debt issuance costs,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12"/>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Revolver</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186"/>
        </w:trPr>
        <w:tc>
          <w:tcPr>
            <w:tcW w:w="8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213,879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245,230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Secured Term Loans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SSTL. Effective February 14, 2023, Altisource Portfolio Solutions S.A. and Altisource S.à r.l. entered into Amendment No. 2 to the Credit Agreement (as amended by Amendment No. 2, the “Amended Credit Agreement”). Altisource Portfolio Solutions S.A. and certain subsidiaries are guarantors of the SSTL (collectively, the “Guarantors”).</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maturity date of the SSTL under the Amended Credit Agreement is April 30, 2025. If Aggregate Paydowns are equal to or greater than $30 million, then (subject to the representations and warranties being true and correct as of such date and there being no default or event of default being in existence as of such date) the maturity date of the SSTL may be extended at the Company’s option to April 30, 2026. Such extension is conditioned upon the Company’s payment of a 2% payment-in-kind extension fee.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February 2023, the Company made payments of $20 million toward the determination of Aggregate Paydowns.</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All amounts outstanding under the SSTL will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to the scheduled principal payments, subject to certain exceptions, the SSTL is subject to mandatory prepayment upon issuances of debt, certain casualty and condemnation events and sales of assets, as well as 50% of Consolidated Excess Cash Flow, as calculated in accordance with the provisions of the Amended Credit Agreement.</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14"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7"/>
          <w:szCs w:val="17"/>
          <w:color w:val="auto"/>
        </w:rPr>
        <w:t>Through March 29, 2023, the SSTL’s interest rate was the Adjusted Eurodollar Rate plus 4.00%. Beginning March 30, 2023, the SSTL bears interest at rates based upon, at our option, the Secured Ovnernight Financing Rate (“SOFR”) or the Base Rate. SOFR term loans initially bear interest at a rate per annum equal to SOFR plus 5.00% payable in cash plus 5.00% payable in kind (“PIK”). Base Rate loans initially bear interest at a rate per annum equal to the Base Rate plus 4.00% payable in cash plus 5.00% PIK. Base Rate term loans bear interest at a rate per annum equal to the sum of (i) the greater of (x) the Base Rate and (y)</w:t>
      </w:r>
    </w:p>
    <w:p>
      <w:pPr>
        <w:spacing w:after="0" w:line="1"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7"/>
          <w:szCs w:val="17"/>
          <w:color w:val="auto"/>
        </w:rPr>
        <w:t>2.00% plus (ii) 4.00%. The interest rate as of March 31, 2023 was 14.49%. The PIK component of the interest rate is subject to adjustment based on the amount of Aggregate Paydowns as set forth in the table below. Based on Aggregate Paydowns of $20 million through March 31, 2023, the PIK component of the interest rate declined to 4.50%.</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0" w:type="dxa"/>
            <w:vAlign w:val="bottom"/>
          </w:tcPr>
          <w:p>
            <w:pPr>
              <w:ind w:left="3960"/>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3960" w:type="dxa"/>
            <w:vAlign w:val="bottom"/>
          </w:tcPr>
          <w:p>
            <w:pPr>
              <w:jc w:val="center"/>
              <w:ind w:left="1876"/>
              <w:spacing w:after="0"/>
              <w:rPr>
                <w:sz w:val="20"/>
                <w:szCs w:val="20"/>
                <w:color w:val="auto"/>
              </w:rPr>
            </w:pPr>
            <w:r>
              <w:rPr>
                <w:rFonts w:ascii="Times New Roman" w:cs="Times New Roman" w:eastAsia="Times New Roman" w:hAnsi="Times New Roman"/>
                <w:sz w:val="14"/>
                <w:szCs w:val="14"/>
                <w:b w:val="1"/>
                <w:bCs w:val="1"/>
                <w:color w:val="auto"/>
                <w:w w:val="98"/>
              </w:rPr>
              <w:t>PIK Component of Interest Rate</w:t>
            </w:r>
          </w:p>
        </w:tc>
      </w:tr>
      <w:tr>
        <w:trPr>
          <w:trHeight w:val="22"/>
        </w:trPr>
        <w:tc>
          <w:tcPr>
            <w:tcW w:w="72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r>
      <w:tr>
        <w:trPr>
          <w:trHeight w:val="22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$20 million</w:t>
            </w:r>
          </w:p>
        </w:tc>
        <w:tc>
          <w:tcPr>
            <w:tcW w:w="3960" w:type="dxa"/>
            <w:vAlign w:val="bottom"/>
            <w:shd w:val="clear" w:color="auto" w:fill="CCEEFF"/>
          </w:tcPr>
          <w:p>
            <w:pPr>
              <w:jc w:val="center"/>
              <w:ind w:left="1876"/>
              <w:spacing w:after="0"/>
              <w:rPr>
                <w:sz w:val="20"/>
                <w:szCs w:val="20"/>
                <w:color w:val="auto"/>
              </w:rPr>
            </w:pPr>
            <w:r>
              <w:rPr>
                <w:rFonts w:ascii="Times New Roman" w:cs="Times New Roman" w:eastAsia="Times New Roman" w:hAnsi="Times New Roman"/>
                <w:sz w:val="17"/>
                <w:szCs w:val="17"/>
                <w:color w:val="auto"/>
              </w:rPr>
              <w:t>5.00%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 million+ but less than below</w:t>
            </w:r>
          </w:p>
        </w:tc>
        <w:tc>
          <w:tcPr>
            <w:tcW w:w="3960" w:type="dxa"/>
            <w:vAlign w:val="bottom"/>
          </w:tcPr>
          <w:p>
            <w:pPr>
              <w:jc w:val="center"/>
              <w:ind w:left="1876"/>
              <w:spacing w:after="0"/>
              <w:rPr>
                <w:sz w:val="20"/>
                <w:szCs w:val="20"/>
                <w:color w:val="auto"/>
              </w:rPr>
            </w:pPr>
            <w:r>
              <w:rPr>
                <w:rFonts w:ascii="Times New Roman" w:cs="Times New Roman" w:eastAsia="Times New Roman" w:hAnsi="Times New Roman"/>
                <w:sz w:val="17"/>
                <w:szCs w:val="17"/>
                <w:color w:val="auto"/>
              </w:rPr>
              <w:t>4.50%</w:t>
            </w:r>
          </w:p>
        </w:tc>
      </w:tr>
      <w:tr>
        <w:trPr>
          <w:trHeight w:val="23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million+ but less than below</w:t>
            </w:r>
          </w:p>
        </w:tc>
        <w:tc>
          <w:tcPr>
            <w:tcW w:w="3960" w:type="dxa"/>
            <w:vAlign w:val="bottom"/>
            <w:shd w:val="clear" w:color="auto" w:fill="CCEEFF"/>
          </w:tcPr>
          <w:p>
            <w:pPr>
              <w:jc w:val="center"/>
              <w:ind w:left="1876"/>
              <w:spacing w:after="0"/>
              <w:rPr>
                <w:sz w:val="20"/>
                <w:szCs w:val="20"/>
                <w:color w:val="auto"/>
              </w:rPr>
            </w:pPr>
            <w:r>
              <w:rPr>
                <w:rFonts w:ascii="Times New Roman" w:cs="Times New Roman" w:eastAsia="Times New Roman" w:hAnsi="Times New Roman"/>
                <w:sz w:val="17"/>
                <w:szCs w:val="17"/>
                <w:color w:val="auto"/>
              </w:rPr>
              <w:t>3.75%</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 million+ but less than below</w:t>
            </w:r>
          </w:p>
        </w:tc>
        <w:tc>
          <w:tcPr>
            <w:tcW w:w="3960" w:type="dxa"/>
            <w:vAlign w:val="bottom"/>
          </w:tcPr>
          <w:p>
            <w:pPr>
              <w:jc w:val="center"/>
              <w:ind w:left="1876"/>
              <w:spacing w:after="0"/>
              <w:rPr>
                <w:sz w:val="20"/>
                <w:szCs w:val="20"/>
                <w:color w:val="auto"/>
              </w:rPr>
            </w:pPr>
            <w:r>
              <w:rPr>
                <w:rFonts w:ascii="Times New Roman" w:cs="Times New Roman" w:eastAsia="Times New Roman" w:hAnsi="Times New Roman"/>
                <w:sz w:val="17"/>
                <w:szCs w:val="17"/>
                <w:color w:val="auto"/>
              </w:rPr>
              <w:t>3.50%</w:t>
            </w:r>
          </w:p>
        </w:tc>
      </w:tr>
      <w:tr>
        <w:trPr>
          <w:trHeight w:val="23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$45 million+ but less than below</w:t>
            </w:r>
          </w:p>
        </w:tc>
        <w:tc>
          <w:tcPr>
            <w:tcW w:w="3960" w:type="dxa"/>
            <w:vAlign w:val="bottom"/>
            <w:shd w:val="clear" w:color="auto" w:fill="CCEEFF"/>
          </w:tcPr>
          <w:p>
            <w:pPr>
              <w:jc w:val="center"/>
              <w:ind w:left="1876"/>
              <w:spacing w:after="0"/>
              <w:rPr>
                <w:sz w:val="20"/>
                <w:szCs w:val="20"/>
                <w:color w:val="auto"/>
              </w:rPr>
            </w:pPr>
            <w:r>
              <w:rPr>
                <w:rFonts w:ascii="Times New Roman" w:cs="Times New Roman" w:eastAsia="Times New Roman" w:hAnsi="Times New Roman"/>
                <w:sz w:val="17"/>
                <w:szCs w:val="17"/>
                <w:color w:val="auto"/>
              </w:rPr>
              <w:t>3.00%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$50 million+ but less than below</w:t>
            </w:r>
          </w:p>
        </w:tc>
        <w:tc>
          <w:tcPr>
            <w:tcW w:w="3960" w:type="dxa"/>
            <w:vAlign w:val="bottom"/>
          </w:tcPr>
          <w:p>
            <w:pPr>
              <w:jc w:val="center"/>
              <w:ind w:left="1876"/>
              <w:spacing w:after="0"/>
              <w:rPr>
                <w:sz w:val="20"/>
                <w:szCs w:val="20"/>
                <w:color w:val="auto"/>
              </w:rPr>
            </w:pPr>
            <w:r>
              <w:rPr>
                <w:rFonts w:ascii="Times New Roman" w:cs="Times New Roman" w:eastAsia="Times New Roman" w:hAnsi="Times New Roman"/>
                <w:sz w:val="17"/>
                <w:szCs w:val="17"/>
                <w:color w:val="auto"/>
              </w:rPr>
              <w:t>2.50%</w:t>
            </w:r>
          </w:p>
        </w:tc>
      </w:tr>
      <w:tr>
        <w:trPr>
          <w:trHeight w:val="23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$55 million+ but less than below</w:t>
            </w:r>
          </w:p>
        </w:tc>
        <w:tc>
          <w:tcPr>
            <w:tcW w:w="3960" w:type="dxa"/>
            <w:vAlign w:val="bottom"/>
            <w:shd w:val="clear" w:color="auto" w:fill="CCEEFF"/>
          </w:tcPr>
          <w:p>
            <w:pPr>
              <w:jc w:val="center"/>
              <w:ind w:left="1876"/>
              <w:spacing w:after="0"/>
              <w:rPr>
                <w:sz w:val="20"/>
                <w:szCs w:val="20"/>
                <w:color w:val="auto"/>
              </w:rPr>
            </w:pPr>
            <w:r>
              <w:rPr>
                <w:rFonts w:ascii="Times New Roman" w:cs="Times New Roman" w:eastAsia="Times New Roman" w:hAnsi="Times New Roman"/>
                <w:sz w:val="17"/>
                <w:szCs w:val="17"/>
                <w:color w:val="auto"/>
              </w:rPr>
              <w:t>2.00%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 million+ but less than below</w:t>
            </w:r>
          </w:p>
        </w:tc>
        <w:tc>
          <w:tcPr>
            <w:tcW w:w="3960" w:type="dxa"/>
            <w:vAlign w:val="bottom"/>
          </w:tcPr>
          <w:p>
            <w:pPr>
              <w:jc w:val="center"/>
              <w:ind w:left="1876"/>
              <w:spacing w:after="0"/>
              <w:rPr>
                <w:sz w:val="20"/>
                <w:szCs w:val="20"/>
                <w:color w:val="auto"/>
              </w:rPr>
            </w:pPr>
            <w:r>
              <w:rPr>
                <w:rFonts w:ascii="Times New Roman" w:cs="Times New Roman" w:eastAsia="Times New Roman" w:hAnsi="Times New Roman"/>
                <w:sz w:val="17"/>
                <w:szCs w:val="17"/>
                <w:color w:val="auto"/>
              </w:rPr>
              <w:t>1.00%</w:t>
            </w:r>
          </w:p>
        </w:tc>
      </w:tr>
      <w:tr>
        <w:trPr>
          <w:trHeight w:val="23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$65 million+ but less than below</w:t>
            </w:r>
          </w:p>
        </w:tc>
        <w:tc>
          <w:tcPr>
            <w:tcW w:w="3960" w:type="dxa"/>
            <w:vAlign w:val="bottom"/>
            <w:shd w:val="clear" w:color="auto" w:fill="CCEEFF"/>
          </w:tcPr>
          <w:p>
            <w:pPr>
              <w:jc w:val="center"/>
              <w:ind w:left="1876"/>
              <w:spacing w:after="0"/>
              <w:rPr>
                <w:sz w:val="20"/>
                <w:szCs w:val="20"/>
                <w:color w:val="auto"/>
              </w:rPr>
            </w:pPr>
            <w:r>
              <w:rPr>
                <w:rFonts w:ascii="Times New Roman" w:cs="Times New Roman" w:eastAsia="Times New Roman" w:hAnsi="Times New Roman"/>
                <w:sz w:val="17"/>
                <w:szCs w:val="17"/>
                <w:color w:val="auto"/>
              </w:rPr>
              <w:t>0.50%</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$70 million+</w:t>
            </w:r>
          </w:p>
        </w:tc>
        <w:tc>
          <w:tcPr>
            <w:tcW w:w="3960" w:type="dxa"/>
            <w:vAlign w:val="bottom"/>
          </w:tcPr>
          <w:p>
            <w:pPr>
              <w:jc w:val="center"/>
              <w:ind w:left="1876"/>
              <w:spacing w:after="0"/>
              <w:rPr>
                <w:sz w:val="20"/>
                <w:szCs w:val="20"/>
                <w:color w:val="auto"/>
              </w:rPr>
            </w:pPr>
            <w:r>
              <w:rPr>
                <w:rFonts w:ascii="Times New Roman" w:cs="Times New Roman" w:eastAsia="Times New Roman" w:hAnsi="Times New Roman"/>
                <w:sz w:val="17"/>
                <w:szCs w:val="17"/>
                <w:color w:val="auto"/>
              </w:rPr>
              <w:t>0.00%</w:t>
            </w:r>
          </w:p>
        </w:tc>
      </w:tr>
    </w:tbl>
    <w:p>
      <w:pPr>
        <w:spacing w:after="0" w:line="23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3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Amended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Amended Credit Agreement contains certain events of default including (i) failure to pay principal when due or interest or any other amount owing on any other obligation under the Amended Credit Agreement within five days of becoming due, (ii) material incorrectness of representations and warranties when made,</w:t>
      </w:r>
    </w:p>
    <w:p>
      <w:pPr>
        <w:spacing w:after="0" w:line="1" w:lineRule="exact"/>
        <w:rPr>
          <w:sz w:val="20"/>
          <w:szCs w:val="20"/>
          <w:color w:val="auto"/>
        </w:rPr>
      </w:pPr>
    </w:p>
    <w:p>
      <w:pPr>
        <w:jc w:val="both"/>
        <w:ind w:firstLine="3"/>
        <w:spacing w:after="0" w:line="255" w:lineRule="auto"/>
        <w:tabs>
          <w:tab w:leader="none" w:pos="31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of certain other covenants, subject to cure periods described in the Amended Credit Agreement, (iv) failure to pay principal or interest on any other debt that equals or exceeds $5.0 million when due, (v) default on any other debt that equals or exceeds $5.0 million that causes, or gives the holder or holders of such debt the ability to cause, an acceleration of such debt, (vi) occurrence of a Change of Control, (vii) bankruptcy and insolvency events, (viii) entry by a court of one or more judgments against us in an aggregate amount in excess of $10.0 million that remain unbonded, undischarged or unstayed for a certain number of days after the entry thereof, (ix) the occurrence of certain ERISA events, (x) the failure of certain Loan Documents to be in full force and effect and (xi) failure to comply in any material respects with the terms of the Warrants or the Warrant Purchase Agreement. If any event of default occurs and is not cured within applicable grace periods set forth in the Credit Agreement or waived, all loans and other obligations could become due and immediately payable and the facility could be terminated.</w:t>
      </w:r>
    </w:p>
    <w:p>
      <w:pPr>
        <w:spacing w:after="0" w:line="3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lenders under the Amended Credit Agreement received Warrants to purchase 3,223,851 shares of Altisource common stock. The number of Warrant Shares is subject to reduction based on the amount of Aggregate Paydowns (See Note 10 for additional information).</w:t>
      </w:r>
    </w:p>
    <w:p>
      <w:pPr>
        <w:spacing w:after="0" w:line="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 of the Warrants on February 14, 2023 was $8.1 million and was recorded as an increase in debt discount. In connection with Amendment No. 2, the Company paid $4.8 million to the lenders and to third parties on behalf of the lenders. The $4.8 million payment was recorded as an increase in debt issuance and amendment costs. In connection with Amendment No. 2, the Company paid $3.2 million to advisors and recorded these payments as other expense in the condensed consolidated statements of operations and comprehensive loss.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Deer Park Road Management Company, LP (“Deer Park”), a related party, owns approximately 20% of Altisource’s common stock and $44.7 million of Altisource debt under the Amended Credit Agreement as of March 31, 2023. Deer Park’s Chief Investment Officer and managing partner was a member of Altisource’s Board of Directors until his resignation on March 1, 2022. The replacement director appointed by the Board of Directors is a current employee of Deer Park. In connection with</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Amended Credit Agreement, Deer Park received 583 thousand Warrants. During the three months ended March 31, 2023, Deer Park received interest of $0.9 million from the Altisource SSTL.</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2023, debt issuance and amendment costs were $5.1 million, net of $4.2 million of accumulated amortization. As of December 31, 2022, debt issuance costs were $0.9 million, net of $3.6 million of accumulated amortization.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Revolver</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June 22, 2021 Altisource S.à r.l, a subsidiary of Altisource Portfolio Solutions S.A., entered into a revolving credit facility with STS Master Fund, Ltd. (“STS”) (the “Revolver”). STS is an investment fund managed by Deer Park.</w:t>
      </w:r>
    </w:p>
    <w:p>
      <w:pPr>
        <w:spacing w:after="0" w:line="1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maturity date of the Amended Revolver coincides with the maturity date of the SSTL under the Amended Credit Agreement, as it may be extended. The outstanding balance on the Amended Revolver is due and payable on such maturity date.</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Amended Revolver contains certain events of default including (i) failure to pay principal when due or interest or any other amount owing on any other obligation under the Amended Revolver within three business days of becoming due, (ii) failure to perform or observe any material provisions of the Amended Revolver Documents to be performed or complied with and such failure continues for a period of 30 days after written notice is given by the Lender to the Borrower,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aggregate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Amended Revolver or waived, all loans and other obligations could become due and immediately payable and the facility could be terminated.</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March 31, 2023 and December 31, 2022, there was no outstanding debt under the Amended Revolver and Revolver, respectively. As of March 31, 2023 and December 31, 2022, debt issuance costs were $0.2 million, net of $0.3 million of accumulated amortization, and $0.3 million, net of $0.3 million of accumulated amortization,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OTHER NON-CURRENT LIABILITIES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non-current liabilities consist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auto"/>
            </w:tcBorders>
            <w:vMerge w:val="continue"/>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liabilities</w:t>
            </w:r>
          </w:p>
        </w:tc>
        <w:tc>
          <w:tcPr>
            <w:tcW w:w="4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16,079</w:t>
            </w:r>
          </w:p>
        </w:tc>
        <w:tc>
          <w:tcPr>
            <w:tcW w:w="0" w:type="dxa"/>
            <w:vAlign w:val="bottom"/>
          </w:tcPr>
          <w:p>
            <w:pPr>
              <w:spacing w:after="0"/>
              <w:rPr>
                <w:sz w:val="1"/>
                <w:szCs w:val="1"/>
                <w:color w:val="auto"/>
              </w:rPr>
            </w:pPr>
          </w:p>
        </w:tc>
      </w:tr>
      <w:tr>
        <w:trPr>
          <w:trHeight w:val="219"/>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4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4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86"/>
        </w:trPr>
        <w:tc>
          <w:tcPr>
            <w:tcW w:w="374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8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19,310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440" w:type="dxa"/>
            <w:vAlign w:val="bottom"/>
            <w:vMerge w:val="restart"/>
          </w:tcPr>
          <w:p>
            <w:pPr>
              <w:jc w:val="right"/>
              <w:ind w:right="239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37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74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 FAIR VALUE MEASUREMENTS AND FINANCIAL INSTRUMENTS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carrying amount and estimated fair value of financial instruments and certain liabilities measured at fair value as of March 31, 2023 and December 31, 2022. The following fair values are estimated using market information and what the Company believes to be appropriate valuation methodologies under GAAP:</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60" w:type="dxa"/>
            <w:vAlign w:val="bottom"/>
          </w:tcPr>
          <w:p>
            <w:pPr>
              <w:spacing w:after="0"/>
              <w:rPr>
                <w:sz w:val="10"/>
                <w:szCs w:val="10"/>
                <w:color w:val="auto"/>
              </w:rPr>
            </w:pPr>
          </w:p>
        </w:tc>
        <w:tc>
          <w:tcPr>
            <w:tcW w:w="900" w:type="dxa"/>
            <w:vAlign w:val="bottom"/>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78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Short-term receivable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Warrant liability</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Senior secured term loans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 on a Recurring Basis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Cash and cash equivalents and restricted cash are carried at amounts that approximate their fair values due to the highly liquid nature of these instruments and were measured using Level 1 inputs.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our SSTL is based on quoted market prices. Based on the frequency of trading, we do not believe that there is an active market for our debt.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Therefore, the quoted prices are considered Level 2 inputs.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sale of Pointillist on December 1, 2021, $3.5 million was deposited into an escrow account to satisfy certain indemnification claims that may arise on or prior to the first anniversary of the sale closing. The deposit was recorded as a short-term receivable. We measure short-term receivables without a stated interest rate based on the present value of the future payments.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Warrant liability is carried at fair value. The fair value of the warrant liability is based on the number of Warrant Shares that are expected to be exercisable and the Altisource share price less $0.01 at the measurement date. The Warrant liability is measured using Level 3 inputs as the determination of fair value includes various assumptions of future Aggregate Paydowns (see Note 10 for additional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transfers between different levels during the periods presented.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Concentrations of Credit Risk</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45% of its revenue from Ocwen for the three months ended March 31, 2023 (see Note 2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116" w:lineRule="exact"/>
        <w:rPr>
          <w:sz w:val="20"/>
          <w:szCs w:val="20"/>
          <w:color w:val="auto"/>
        </w:rPr>
      </w:pPr>
    </w:p>
    <w:p>
      <w:pPr>
        <w:ind w:right="4940"/>
        <w:spacing w:after="0" w:line="445" w:lineRule="auto"/>
        <w:rPr>
          <w:sz w:val="20"/>
          <w:szCs w:val="20"/>
          <w:color w:val="auto"/>
        </w:rPr>
      </w:pPr>
      <w:r>
        <w:rPr>
          <w:rFonts w:ascii="Times New Roman" w:cs="Times New Roman" w:eastAsia="Times New Roman" w:hAnsi="Times New Roman"/>
          <w:sz w:val="17"/>
          <w:szCs w:val="17"/>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March 31, 2023, approximately 2.4 million shares of common stock remain available for repurchase under the program. There were no purchases of shares of common stock during the three months ended March 31, 2023 and 2022. Luxembourg law limits share repurchases to the balance of Altisource Portfolio Solutions S.A. (unconsolidated parent company) retained earnings, less the value of shares repurchased. As of March 31, 2023, we can repurchase up to approximately $64 million of our common stock under Luxembourg law. Under the Amended Credit Agreement, we are not permitted to repurchase shares except for limited circumstances.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offering of Common Stock</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February 14, 2023, Altisource closed on an underwritten public offering to sell 4,550,000 shares of its common stock, at a price of $5.00 per share, generating net proceeds of $20.5 million, after deducting the underwriting discounts and commissions and other offering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issue share-based awards in the form of stock options, restricted shares and restricted share units for certain employees, officers and directors. We recognized share-based compensation expense of $1.4 million and $1.3 million for the three months ended March 31, 2023 and 2022, respectively. As of March 31, 2023, estimated unrecognized compensation costs related to share-based awards amounted to $5.1 million, which we expect to recognize over a weighted average remaining requisite service period of approximately 1.58 years.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option grants are composed of a combination of service-based, market-based and performance-based options.</w:t>
      </w:r>
    </w:p>
    <w:p>
      <w:pPr>
        <w:spacing w:after="0" w:line="161" w:lineRule="exact"/>
        <w:rPr>
          <w:sz w:val="20"/>
          <w:szCs w:val="20"/>
          <w:color w:val="auto"/>
        </w:rPr>
      </w:pPr>
    </w:p>
    <w:p>
      <w:pPr>
        <w:jc w:val="both"/>
        <w:ind w:left="3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Service-Based Options. </w:t>
      </w:r>
      <w:r>
        <w:rPr>
          <w:rFonts w:ascii="Times New Roman" w:cs="Times New Roman" w:eastAsia="Times New Roman" w:hAnsi="Times New Roman"/>
          <w:sz w:val="17"/>
          <w:szCs w:val="17"/>
          <w:color w:val="auto"/>
        </w:rPr>
        <w:t>These options generally vest over three or four years with equal annual vesting and generally expire on the earlier of ten years after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of grant or following termination of service. A total of 188 thousand service-based options were outstanding as of March 31, 2023.</w:t>
      </w:r>
    </w:p>
    <w:p>
      <w:pPr>
        <w:spacing w:after="0" w:line="92"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7"/>
          <w:szCs w:val="17"/>
          <w:i w:val="1"/>
          <w:iCs w:val="1"/>
          <w:color w:val="auto"/>
        </w:rPr>
        <w:t>Market-Based Options</w:t>
      </w:r>
      <w:r>
        <w:rPr>
          <w:rFonts w:ascii="Times New Roman" w:cs="Times New Roman" w:eastAsia="Times New Roman" w:hAnsi="Times New Roman"/>
          <w:sz w:val="17"/>
          <w:szCs w:val="17"/>
          <w:color w:val="auto"/>
        </w:rPr>
        <w:t>. These option grants generally have two components, each of which vests only upon the achievement of certain criteria. The first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96 thousand market-based options were outstanding as of March 31, 2023.</w:t>
      </w:r>
    </w:p>
    <w:p>
      <w:pPr>
        <w:spacing w:after="0" w:line="120"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Performance-Based Options. </w:t>
      </w:r>
      <w:r>
        <w:rPr>
          <w:rFonts w:ascii="Times New Roman" w:cs="Times New Roman" w:eastAsia="Times New Roman" w:hAnsi="Times New Roman"/>
          <w:sz w:val="17"/>
          <w:szCs w:val="17"/>
          <w:color w:val="auto"/>
        </w:rPr>
        <w:t>These option grants generally will vest if certain specific financial measures are achieved; typically with one-fourth vesting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461 thousand performance-based options outstanding as of March 31, 2023.</w:t>
      </w:r>
    </w:p>
    <w:p>
      <w:pPr>
        <w:spacing w:after="0" w:line="12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There were no stock option grants during the three months ended March 31, 2023. The Company granted 105 thousand stock options (at a weighted average exercise price of $11.86 per share) for the three months ended March 31, 2022.</w:t>
      </w:r>
    </w:p>
    <w:p>
      <w:pPr>
        <w:spacing w:after="0" w:line="1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fair values of the performance-based options are determined using the Black-Scholes option pricing model. The following assumptions were used to determine the fair values as of the grant date: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Three months ended March</w:t>
            </w:r>
          </w:p>
        </w:tc>
      </w:tr>
      <w:tr>
        <w:trPr>
          <w:trHeight w:val="187"/>
        </w:trPr>
        <w:tc>
          <w:tcPr>
            <w:tcW w:w="39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7"/>
              </w:rPr>
              <w:t>31, 2022</w:t>
            </w:r>
          </w:p>
        </w:tc>
      </w:tr>
      <w:tr>
        <w:trPr>
          <w:trHeight w:val="186"/>
        </w:trPr>
        <w:tc>
          <w:tcPr>
            <w:tcW w:w="39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8"/>
              </w:rPr>
              <w:t>Black-Scholes</w:t>
            </w:r>
          </w:p>
        </w:tc>
      </w:tr>
      <w:tr>
        <w:trPr>
          <w:trHeight w:val="192"/>
        </w:trPr>
        <w:tc>
          <w:tcPr>
            <w:tcW w:w="39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 (%)</w:t>
            </w:r>
          </w:p>
        </w:tc>
        <w:tc>
          <w:tcPr>
            <w:tcW w:w="5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1.62</w:t>
            </w: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stock price volatility (%)</w:t>
            </w:r>
          </w:p>
        </w:tc>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67.75 %</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5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option life (in years)</w:t>
            </w:r>
          </w:p>
        </w:tc>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w:t>
            </w:r>
          </w:p>
        </w:tc>
        <w:tc>
          <w:tcPr>
            <w:tcW w:w="576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7.27</w:t>
            </w:r>
          </w:p>
        </w:tc>
      </w:tr>
      <w:tr>
        <w:trPr>
          <w:trHeight w:val="864"/>
        </w:trPr>
        <w:tc>
          <w:tcPr>
            <w:tcW w:w="3980" w:type="dxa"/>
            <w:vAlign w:val="bottom"/>
          </w:tcPr>
          <w:p>
            <w:pPr>
              <w:spacing w:after="0"/>
              <w:rPr>
                <w:sz w:val="24"/>
                <w:szCs w:val="24"/>
                <w:color w:val="auto"/>
              </w:rPr>
            </w:pPr>
          </w:p>
        </w:tc>
        <w:tc>
          <w:tcPr>
            <w:tcW w:w="5480" w:type="dxa"/>
            <w:vAlign w:val="bottom"/>
          </w:tcPr>
          <w:p>
            <w:pPr>
              <w:jc w:val="right"/>
              <w:ind w:right="3674"/>
              <w:spacing w:after="0"/>
              <w:rPr>
                <w:sz w:val="20"/>
                <w:szCs w:val="20"/>
                <w:color w:val="auto"/>
              </w:rPr>
            </w:pPr>
            <w:r>
              <w:rPr>
                <w:rFonts w:ascii="Times New Roman" w:cs="Times New Roman" w:eastAsia="Times New Roman" w:hAnsi="Times New Roman"/>
                <w:sz w:val="17"/>
                <w:szCs w:val="17"/>
                <w:color w:val="auto"/>
              </w:rPr>
              <w:t>17</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08"/>
        </w:trPr>
        <w:tc>
          <w:tcPr>
            <w:tcW w:w="3980" w:type="dxa"/>
            <w:vAlign w:val="bottom"/>
            <w:tcBorders>
              <w:bottom w:val="single" w:sz="8" w:color="9A9A9A"/>
            </w:tcBorders>
          </w:tcPr>
          <w:p>
            <w:pPr>
              <w:spacing w:after="0"/>
              <w:rPr>
                <w:sz w:val="9"/>
                <w:szCs w:val="9"/>
                <w:color w:val="auto"/>
              </w:rPr>
            </w:pPr>
          </w:p>
        </w:tc>
        <w:tc>
          <w:tcPr>
            <w:tcW w:w="5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grant date fair value of stock options that vested during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100" w:type="dxa"/>
            <w:vAlign w:val="bottom"/>
            <w:vMerge w:val="restart"/>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grant date fair value of stock options granted per share</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center"/>
              <w:ind w:left="80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Intrinsic value of options exercised</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80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Grant date fair value of stock options that vested</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900"/>
              <w:spacing w:after="0"/>
              <w:rPr>
                <w:sz w:val="20"/>
                <w:szCs w:val="20"/>
                <w:color w:val="auto"/>
              </w:rPr>
            </w:pPr>
            <w:r>
              <w:rPr>
                <w:rFonts w:ascii="Times New Roman" w:cs="Times New Roman" w:eastAsia="Times New Roman" w:hAnsi="Times New Roman"/>
                <w:sz w:val="17"/>
                <w:szCs w:val="17"/>
                <w:color w:val="auto"/>
                <w:w w:val="93"/>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0" w:type="dxa"/>
            <w:vAlign w:val="bottom"/>
          </w:tcPr>
          <w:p>
            <w:pPr>
              <w:spacing w:after="0"/>
              <w:rPr>
                <w:sz w:val="1"/>
                <w:szCs w:val="1"/>
                <w:color w:val="auto"/>
              </w:rPr>
            </w:pPr>
          </w:p>
        </w:tc>
      </w:tr>
      <w:tr>
        <w:trPr>
          <w:trHeight w:val="452"/>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related to our stock options: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200" w:type="dxa"/>
            <w:vAlign w:val="bottom"/>
          </w:tcPr>
          <w:p>
            <w:pPr>
              <w:spacing w:after="0"/>
              <w:rPr>
                <w:sz w:val="24"/>
                <w:szCs w:val="24"/>
                <w:color w:val="auto"/>
              </w:rPr>
            </w:pPr>
          </w:p>
        </w:tc>
        <w:tc>
          <w:tcPr>
            <w:tcW w:w="122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42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4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contractual term</w:t>
            </w:r>
          </w:p>
        </w:tc>
        <w:tc>
          <w:tcPr>
            <w:tcW w:w="200" w:type="dxa"/>
            <w:vAlign w:val="bottom"/>
          </w:tcPr>
          <w:p>
            <w:pPr>
              <w:spacing w:after="0"/>
              <w:rPr>
                <w:sz w:val="12"/>
                <w:szCs w:val="12"/>
                <w:color w:val="auto"/>
              </w:rPr>
            </w:pPr>
          </w:p>
        </w:tc>
        <w:tc>
          <w:tcPr>
            <w:tcW w:w="1220" w:type="dxa"/>
            <w:vAlign w:val="bottom"/>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intrinsic value</w:t>
            </w:r>
          </w:p>
        </w:tc>
        <w:tc>
          <w:tcPr>
            <w:tcW w:w="0" w:type="dxa"/>
            <w:vAlign w:val="bottom"/>
          </w:tcPr>
          <w:p>
            <w:pPr>
              <w:spacing w:after="0"/>
              <w:rPr>
                <w:sz w:val="1"/>
                <w:szCs w:val="1"/>
                <w:color w:val="auto"/>
              </w:rPr>
            </w:pPr>
          </w:p>
        </w:tc>
      </w:tr>
      <w:tr>
        <w:trPr>
          <w:trHeight w:val="188"/>
        </w:trPr>
        <w:tc>
          <w:tcPr>
            <w:tcW w:w="5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200" w:type="dxa"/>
            <w:vAlign w:val="bottom"/>
          </w:tcPr>
          <w:p>
            <w:pPr>
              <w:spacing w:after="0"/>
              <w:rPr>
                <w:sz w:val="16"/>
                <w:szCs w:val="16"/>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7"/>
              </w:rPr>
              <w:t>(in thousands)</w:t>
            </w: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745,277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80"/>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744,777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ind w:left="880"/>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as of March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549,289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ind w:left="880"/>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Share-Based Awards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other share-based and similar types of awards are comprised of restricted shares and restricted share units. The restricted shares and restricted share units are comprised of a combination of service-based awards, performance-based awards, market-based awards and performance and market-based awards.</w:t>
      </w:r>
    </w:p>
    <w:p>
      <w:pPr>
        <w:spacing w:after="0" w:line="96" w:lineRule="exact"/>
        <w:rPr>
          <w:sz w:val="20"/>
          <w:szCs w:val="20"/>
          <w:color w:val="auto"/>
        </w:rPr>
      </w:pPr>
    </w:p>
    <w:p>
      <w:pPr>
        <w:jc w:val="both"/>
        <w:ind w:left="3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Service-Based Awards. </w:t>
      </w:r>
      <w:r>
        <w:rPr>
          <w:rFonts w:ascii="Times New Roman" w:cs="Times New Roman" w:eastAsia="Times New Roman" w:hAnsi="Times New Roman"/>
          <w:sz w:val="17"/>
          <w:szCs w:val="17"/>
          <w:color w:val="auto"/>
        </w:rPr>
        <w:t>These awards generally vest over one-to-four-year periods. A total of 853 thousand service-based awards were outstanding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2023.</w:t>
      </w:r>
    </w:p>
    <w:p>
      <w:pPr>
        <w:spacing w:after="0" w:line="92"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Performance-Based Awards. </w:t>
      </w:r>
      <w:r>
        <w:rPr>
          <w:rFonts w:ascii="Times New Roman" w:cs="Times New Roman" w:eastAsia="Times New Roman" w:hAnsi="Times New Roman"/>
          <w:sz w:val="17"/>
          <w:szCs w:val="17"/>
          <w:color w:val="auto"/>
        </w:rPr>
        <w:t>These awards generally vest if certain specific financial measures are achieved; generally one-third vests on each anniversary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148 thousand performance-based awards were outstanding as of March 31, 2023.</w:t>
      </w:r>
    </w:p>
    <w:p>
      <w:pPr>
        <w:spacing w:after="0" w:line="117" w:lineRule="exact"/>
        <w:rPr>
          <w:sz w:val="20"/>
          <w:szCs w:val="20"/>
          <w:color w:val="auto"/>
        </w:rPr>
      </w:pPr>
    </w:p>
    <w:p>
      <w:pPr>
        <w:jc w:val="both"/>
        <w:ind w:left="3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Market-Based Awards. </w:t>
      </w:r>
      <w:r>
        <w:rPr>
          <w:rFonts w:ascii="Times New Roman" w:cs="Times New Roman" w:eastAsia="Times New Roman" w:hAnsi="Times New Roman"/>
          <w:sz w:val="17"/>
          <w:szCs w:val="17"/>
          <w:color w:val="auto"/>
        </w:rPr>
        <w:t>50% of these awards generally vest if certain specific market conditions are achieved over a 30-day period and the remaining 50%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awards generally vest on the one year anniversary of the initial vesting. The Company estimates the grant date fair value of these awards using a lattice (binomial) model. A total of 112 thousand market-based awards were outstanding as of March 31, 2023.</w:t>
      </w:r>
    </w:p>
    <w:p>
      <w:pPr>
        <w:spacing w:after="0" w:line="109" w:lineRule="exact"/>
        <w:rPr>
          <w:sz w:val="20"/>
          <w:szCs w:val="20"/>
          <w:color w:val="auto"/>
        </w:rPr>
      </w:pPr>
    </w:p>
    <w:p>
      <w:pPr>
        <w:jc w:val="both"/>
        <w:ind w:left="3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Performance-Based and Market-Based Awards. </w:t>
      </w:r>
      <w:r>
        <w:rPr>
          <w:rFonts w:ascii="Times New Roman" w:cs="Times New Roman" w:eastAsia="Times New Roman" w:hAnsi="Times New Roman"/>
          <w:sz w:val="17"/>
          <w:szCs w:val="17"/>
          <w:color w:val="auto"/>
        </w:rPr>
        <w:t>These awards generally vest if certain specific financial measures are achieved and if certain specific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127 thousand performance-based and market-based awards were outstanding as of March 31, 2023.</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granted 744 thousand restricted share units (at a weighted average grant date fair value of $4.94 per share) during the three months ended March 31, 2023. These grants include 57 thousand awards that include both a performance condition and a market condition and 57 thousand performance-based awards. During the three months ended March 31, 2022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granted 46 thousand awards that include both a performance condition and a market condition and 46 thousand performance-based awards.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related to our restricted shares and restricted share units: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6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0"/>
        </w:trPr>
        <w:tc>
          <w:tcPr>
            <w:tcW w:w="9600" w:type="dxa"/>
            <w:vAlign w:val="bottom"/>
          </w:tcPr>
          <w:p>
            <w:pPr>
              <w:spacing w:after="0"/>
              <w:rPr>
                <w:sz w:val="12"/>
                <w:szCs w:val="12"/>
                <w:color w:val="auto"/>
              </w:rPr>
            </w:pPr>
          </w:p>
        </w:tc>
        <w:tc>
          <w:tcPr>
            <w:tcW w:w="1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7"/>
              </w:rPr>
              <w:t>shares and restricted share</w:t>
            </w:r>
          </w:p>
        </w:tc>
      </w:tr>
      <w:tr>
        <w:trPr>
          <w:trHeight w:val="188"/>
        </w:trPr>
        <w:tc>
          <w:tcPr>
            <w:tcW w:w="9600" w:type="dxa"/>
            <w:vAlign w:val="bottom"/>
          </w:tcPr>
          <w:p>
            <w:pPr>
              <w:spacing w:after="0"/>
              <w:rPr>
                <w:sz w:val="16"/>
                <w:szCs w:val="16"/>
                <w:color w:val="auto"/>
              </w:rPr>
            </w:pPr>
          </w:p>
        </w:tc>
        <w:tc>
          <w:tcPr>
            <w:tcW w:w="16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192"/>
        </w:trPr>
        <w:tc>
          <w:tcPr>
            <w:tcW w:w="96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2022</w:t>
            </w: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755,006</w:t>
            </w:r>
          </w:p>
        </w:tc>
      </w:tr>
      <w:tr>
        <w:trPr>
          <w:trHeight w:val="219"/>
        </w:trPr>
        <w:tc>
          <w:tcPr>
            <w:tcW w:w="9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743,856</w:t>
            </w:r>
          </w:p>
        </w:tc>
      </w:tr>
      <w:tr>
        <w:trPr>
          <w:trHeight w:val="219"/>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Issued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(136,293)</w:t>
            </w:r>
          </w:p>
        </w:tc>
      </w:tr>
      <w:tr>
        <w:trPr>
          <w:trHeight w:val="219"/>
        </w:trPr>
        <w:tc>
          <w:tcPr>
            <w:tcW w:w="9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Forfeited/canceled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(122,267)</w:t>
            </w:r>
          </w:p>
        </w:tc>
      </w:tr>
      <w:tr>
        <w:trPr>
          <w:trHeight w:val="186"/>
        </w:trPr>
        <w:tc>
          <w:tcPr>
            <w:tcW w:w="96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9"/>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2023</w:t>
            </w: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1,240,302</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 REVENUE</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 for the three months ended March 31: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37,071</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37,763</w:t>
            </w:r>
          </w:p>
        </w:tc>
        <w:tc>
          <w:tcPr>
            <w:tcW w:w="0" w:type="dxa"/>
            <w:vAlign w:val="bottom"/>
          </w:tcPr>
          <w:p>
            <w:pPr>
              <w:spacing w:after="0"/>
              <w:rPr>
                <w:sz w:val="1"/>
                <w:szCs w:val="1"/>
                <w:color w:val="auto"/>
              </w:rPr>
            </w:pPr>
          </w:p>
        </w:tc>
      </w:tr>
      <w:tr>
        <w:trPr>
          <w:trHeight w:val="21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Reimbursable expenses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1,592</w:t>
            </w: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39,461</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39,516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Disaggregation of Revenue</w:t>
            </w: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0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Disaggregation of total revenues by segment and major source was as follows: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7"/>
              </w:rPr>
              <w:t>Revenue recognized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Revenue related to</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when services are</w:t>
            </w: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technology platforms</w:t>
            </w:r>
          </w:p>
        </w:tc>
        <w:tc>
          <w:tcPr>
            <w:tcW w:w="15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54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performed or assets are</w:t>
            </w: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and professional</w:t>
            </w:r>
          </w:p>
        </w:tc>
        <w:tc>
          <w:tcPr>
            <w:tcW w:w="15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Total revenue</w:t>
            </w:r>
          </w:p>
        </w:tc>
        <w:tc>
          <w:tcPr>
            <w:tcW w:w="0" w:type="dxa"/>
            <w:vAlign w:val="bottom"/>
          </w:tcPr>
          <w:p>
            <w:pPr>
              <w:spacing w:after="0"/>
              <w:rPr>
                <w:sz w:val="1"/>
                <w:szCs w:val="1"/>
                <w:color w:val="auto"/>
              </w:rPr>
            </w:pPr>
          </w:p>
        </w:tc>
      </w:tr>
      <w:tr>
        <w:trPr>
          <w:trHeight w:val="191"/>
        </w:trPr>
        <w:tc>
          <w:tcPr>
            <w:tcW w:w="5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Servicer and Real Estate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3,208</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Origination</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7"/>
              </w:rPr>
              <w:t>Revenue recognized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Revenue related to</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when services are</w:t>
            </w: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technology platforms</w:t>
            </w:r>
          </w:p>
        </w:tc>
        <w:tc>
          <w:tcPr>
            <w:tcW w:w="15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5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performed or assets are</w:t>
            </w: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and professional</w:t>
            </w:r>
          </w:p>
        </w:tc>
        <w:tc>
          <w:tcPr>
            <w:tcW w:w="15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Total revenue</w:t>
            </w:r>
          </w:p>
        </w:tc>
        <w:tc>
          <w:tcPr>
            <w:tcW w:w="0" w:type="dxa"/>
            <w:vAlign w:val="bottom"/>
          </w:tcPr>
          <w:p>
            <w:pPr>
              <w:spacing w:after="0"/>
              <w:rPr>
                <w:sz w:val="1"/>
                <w:szCs w:val="1"/>
                <w:color w:val="auto"/>
              </w:rPr>
            </w:pPr>
          </w:p>
        </w:tc>
      </w:tr>
      <w:tr>
        <w:trPr>
          <w:trHeight w:val="191"/>
        </w:trPr>
        <w:tc>
          <w:tcPr>
            <w:tcW w:w="5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Servicer and Real Estate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Origination</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10,759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682"/>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 Balances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contract assets consist of unbilled accounts receivable (see Note 3). Our contract liabilities consist of current deferred revenue and other non-current liabilities as reported on the accompanying condensed consolidated balance sheets. Revenue recognized that was included in the contract liability at the beginning of the period was $1.9 million and $1.8 million for the three months ended March 31, 2023 and 2022,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 COST OF REVENUE</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 for the three months ended March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13,521</w:t>
            </w: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Outside fees and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12,903</w:t>
            </w: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telecommunications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w:t>
            </w: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Reimbursable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w:t>
            </w: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r>
      <w:tr>
        <w:trPr>
          <w:trHeight w:val="186"/>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4"/>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Related Parties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May 2022, John G. Aldridge, Jr., the Managing Partner of Aldridge Pite LLP (“Aldridge Pite”), joined the Board of Directors of Altisource. Aldridge Pite provides eviction and other real estate related services to the Company. The Company recognized $0.2 million for the three months ended March 31, 2023 of reimbursable expenses relating to services provided to Aldridge Pite (no comparable amount for the three months ended March 31, 2022). As of March 31, 2023, the Company had no payable to Aldridge Pite.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 SELLING, GENERAL AND ADMINISTRATIVE EXPENSES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 for the three months ended March 31: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4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4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5,409</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Occupancy related costs</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costs</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jc w:val="right"/>
              <w:ind w:right="239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392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92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OTHER INCOME (EXPENSE), NET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consists of the following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 (expense)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9"/>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w:t>
            </w:r>
          </w:p>
        </w:tc>
      </w:tr>
      <w:tr>
        <w:trPr>
          <w:trHeight w:val="186"/>
        </w:trPr>
        <w:tc>
          <w:tcPr>
            <w:tcW w:w="8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740</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 INCOME TAXES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recognized an income tax provision of $1.5 million and $0.9 million for the three months ended March 31, 2023 and 2022, respectively. The income tax provision for the three months ended March 31, 2023 was driven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 LOSS PER SHARE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Basic loss per share is computed by dividing loss available to common shareholders by the weighted average number of common shares outstanding for the period.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Diluted net loss per share excludes all dilutive securities because their impact would be anti-dilutive, as described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Basic and diluted loss per share are calculated as follows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340" w:type="dxa"/>
            <w:vAlign w:val="bottom"/>
          </w:tcPr>
          <w:p>
            <w:pPr>
              <w:spacing w:after="0"/>
              <w:rPr>
                <w:sz w:val="17"/>
                <w:szCs w:val="17"/>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44"/>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Altisource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8"/>
        </w:trPr>
        <w:tc>
          <w:tcPr>
            <w:tcW w:w="8280" w:type="dxa"/>
            <w:vAlign w:val="bottom"/>
            <w:tcBorders>
              <w:bottom w:val="single" w:sz="8" w:color="CCEEFF"/>
            </w:tcBorders>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Weighted average common shares outstanding, basic</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18,442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15,956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44"/>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diluted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6"/>
        </w:trPr>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2023 and 2022, 2.9 million and 1.5 million, respectively, warrants, stock options, restricted shares and restricted share units, were excluded from the computation of loss per share, as a result of the following:</w:t>
      </w:r>
    </w:p>
    <w:p>
      <w:pPr>
        <w:spacing w:after="0" w:line="138" w:lineRule="exact"/>
        <w:rPr>
          <w:sz w:val="20"/>
          <w:szCs w:val="20"/>
          <w:color w:val="auto"/>
        </w:rPr>
      </w:pPr>
    </w:p>
    <w:p>
      <w:pPr>
        <w:ind w:left="460" w:hanging="302"/>
        <w:spacing w:after="0" w:line="246" w:lineRule="auto"/>
        <w:tabs>
          <w:tab w:leader="none" w:pos="45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For both the three months ended March 31, 2023 and 2022, 1.7 million and 0.3 million, respectively, warrants, stock options, restricted shares and restricted share units were anti-dilutive and have been excluded from the computation of diluted loss per share because the Company incurred a net loss</w:t>
      </w:r>
    </w:p>
    <w:p>
      <w:pPr>
        <w:spacing w:after="0" w:line="29" w:lineRule="exact"/>
        <w:rPr>
          <w:rFonts w:ascii="Times New Roman" w:cs="Times New Roman" w:eastAsia="Times New Roman" w:hAnsi="Times New Roman"/>
          <w:sz w:val="21"/>
          <w:szCs w:val="21"/>
          <w:color w:val="auto"/>
        </w:rPr>
      </w:pPr>
    </w:p>
    <w:p>
      <w:pPr>
        <w:ind w:left="460" w:hanging="302"/>
        <w:spacing w:after="0" w:line="284" w:lineRule="auto"/>
        <w:tabs>
          <w:tab w:leader="none" w:pos="4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ended March 31, 2023 and 2022, 0.3 million and 0.3 million, respectively, stock options were anti-dilutive and have been excluded from the computation of diluted loss per share because their exercise price was greater than the average market price of our common stock</w:t>
      </w:r>
    </w:p>
    <w:p>
      <w:pPr>
        <w:spacing w:after="0" w:line="1" w:lineRule="exact"/>
        <w:rPr>
          <w:rFonts w:ascii="Times New Roman" w:cs="Times New Roman" w:eastAsia="Times New Roman" w:hAnsi="Times New Roman"/>
          <w:sz w:val="17"/>
          <w:szCs w:val="17"/>
          <w:color w:val="auto"/>
        </w:rPr>
      </w:pPr>
    </w:p>
    <w:p>
      <w:pPr>
        <w:jc w:val="both"/>
        <w:ind w:left="460" w:hanging="302"/>
        <w:spacing w:after="0" w:line="270" w:lineRule="auto"/>
        <w:tabs>
          <w:tab w:leader="none" w:pos="4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ended March 31, 2023 and 2022, 0.9 million and 0.9 million, respectively, stock options, restricted shares and restricted share units, which begin to vest upon the achievement of certain market criteria related to our common stock price, performance criteria and a total shareholder return compared to the market benchmark, that have not yet been met in each period have been excluded from the computation of diluted loss per share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21 — COMMITMENTS, CONTINGENCIES AND REGULATORY MATTERS</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Matters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Ocwen Related Matters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discussed in Note 2, during the three months ended March 31, 2023, Ocwen was our largest customer, accounting for 45% of our total revenue. Additionally, 7% of our revenue for the three months ended March 31, 2023 was earned on the loan portfolios serviced by Ocwen, when a party other than Ocwen or the MSRs owner selected Altisource as the service provider.</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Existing or future similar matters could result in adverse regulatory or other actions against Ocwen. In addition to the above, Ocwen may become subject to future adverse regulatory or other actions.</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Ocwen has disclosed that Rithm is a significant client of Ocwen’s. As of December 31, 2022, approximately 17% of loans serviced and subserviced by Ocwen (measured in UPB) and approximately 68% of all delinquent loans that Ocwen services were related to Rithm MSRs or rights to MSRs.</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existence or outcome of Ocwen regulatory matters or the termination of Ocwen’s sub-servicing agreements with Rithm or other significant Ocwen clients may have significant adverse effects on Ocwen’s business.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2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00"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Altisource loses Ocwen as a customer or there is a significant reduction in the volume of services they purchase from us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relationship between Ocwen and Rithm changes significantly, including Ocwen’s sub-servicing arrangement with Rithm expiring without renewal, and this change results in a change in our status as a provider of services related to the Subject MSRs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Ocwen loses state servicing licenses in states with a significant number of loans in Ocwen’s servicing portfolio</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Altisource otherwise fails to be retained as a service provider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 cannot predict whether any of these events will occur or the amount of any impact they may have on Altisource.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$0.1 million and $0.3 million for the three months ended March 31, 2023 and 2022, respectively. The amortization periods of right-of-use assets are generally limited by the expected lease term. Our leases generally have expected lease terms at adoption of one to six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about our lease terms and our discount rate assumption was as follows for the three months ended March 31: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(in years)</w:t>
            </w:r>
          </w:p>
        </w:tc>
        <w:tc>
          <w:tcPr>
            <w:tcW w:w="28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5.84 %</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5.70 %</w:t>
            </w:r>
          </w:p>
        </w:tc>
        <w:tc>
          <w:tcPr>
            <w:tcW w:w="0" w:type="dxa"/>
            <w:vAlign w:val="bottom"/>
          </w:tcPr>
          <w:p>
            <w:pPr>
              <w:spacing w:after="0"/>
              <w:rPr>
                <w:sz w:val="1"/>
                <w:szCs w:val="1"/>
                <w:color w:val="auto"/>
              </w:rPr>
            </w:pPr>
          </w:p>
        </w:tc>
      </w:tr>
      <w:tr>
        <w:trPr>
          <w:trHeight w:val="448"/>
        </w:trPr>
        <w:tc>
          <w:tcPr>
            <w:tcW w:w="8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Our lease activity during the period was as follows for the three months ended March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80" w:type="dxa"/>
            <w:vAlign w:val="bottom"/>
          </w:tcPr>
          <w:p>
            <w:pPr>
              <w:spacing w:after="0"/>
              <w:rPr>
                <w:sz w:val="24"/>
                <w:szCs w:val="24"/>
                <w:color w:val="auto"/>
              </w:rPr>
            </w:pPr>
          </w:p>
        </w:tc>
        <w:tc>
          <w:tcPr>
            <w:tcW w:w="116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revenue</w:t>
            </w: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06"/>
        </w:trPr>
        <w:tc>
          <w:tcPr>
            <w:tcW w:w="8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used in operating activities for amounts included in the measurement of lease liabilities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Short-term (twelve months or less) lease costs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435"/>
        </w:trPr>
        <w:tc>
          <w:tcPr>
            <w:tcW w:w="8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Maturities of our lease liabilities as of March 31, 2023 are as follows: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89"/>
        </w:trPr>
        <w:tc>
          <w:tcPr>
            <w:tcW w:w="82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6,041</w:t>
            </w:r>
          </w:p>
        </w:tc>
        <w:tc>
          <w:tcPr>
            <w:tcW w:w="0" w:type="dxa"/>
            <w:vAlign w:val="bottom"/>
          </w:tcPr>
          <w:p>
            <w:pPr>
              <w:spacing w:after="0"/>
              <w:rPr>
                <w:sz w:val="1"/>
                <w:szCs w:val="1"/>
                <w:color w:val="auto"/>
              </w:rPr>
            </w:pPr>
          </w:p>
        </w:tc>
      </w:tr>
      <w:tr>
        <w:trPr>
          <w:trHeight w:val="219"/>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interest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Escrow Balances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$15.8 million and $13.2 million as of March 31, 2023 and December 31, 2022,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22 — SEGMENT REPORTING</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We conduct our operations through two reportable segments: </w:t>
      </w:r>
      <w:r>
        <w:rPr>
          <w:rFonts w:ascii="Times New Roman" w:cs="Times New Roman" w:eastAsia="Times New Roman" w:hAnsi="Times New Roman"/>
          <w:sz w:val="17"/>
          <w:szCs w:val="17"/>
          <w:i w:val="1"/>
          <w:iCs w:val="1"/>
          <w:color w:val="auto"/>
        </w:rPr>
        <w:t>Servicer and Real Estate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Origination</w:t>
      </w:r>
      <w:r>
        <w:rPr>
          <w:rFonts w:ascii="Times New Roman" w:cs="Times New Roman" w:eastAsia="Times New Roman" w:hAnsi="Times New Roman"/>
          <w:sz w:val="17"/>
          <w:szCs w:val="17"/>
          <w:color w:val="auto"/>
        </w:rPr>
        <w:t xml:space="preserve">. In addition, we report </w:t>
      </w:r>
      <w:r>
        <w:rPr>
          <w:rFonts w:ascii="Times New Roman" w:cs="Times New Roman" w:eastAsia="Times New Roman" w:hAnsi="Times New Roman"/>
          <w:sz w:val="17"/>
          <w:szCs w:val="17"/>
          <w:i w:val="1"/>
          <w:iCs w:val="1"/>
          <w:color w:val="auto"/>
        </w:rPr>
        <w:t>Corporate and Others</w:t>
      </w:r>
      <w:r>
        <w:rPr>
          <w:rFonts w:ascii="Times New Roman" w:cs="Times New Roman" w:eastAsia="Times New Roman" w:hAnsi="Times New Roman"/>
          <w:sz w:val="17"/>
          <w:szCs w:val="17"/>
          <w:color w:val="auto"/>
        </w:rPr>
        <w:t xml:space="preserve"> separately.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ALTISOURCE PORTFOLIO SOLUTIONS S.A.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Servicer and Real Estate</w:t>
      </w:r>
      <w:r>
        <w:rPr>
          <w:rFonts w:ascii="Times New Roman" w:cs="Times New Roman" w:eastAsia="Times New Roman" w:hAnsi="Times New Roman"/>
          <w:sz w:val="17"/>
          <w:szCs w:val="17"/>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7"/>
          <w:szCs w:val="17"/>
          <w:i w:val="1"/>
          <w:iCs w:val="1"/>
          <w:color w:val="auto"/>
        </w:rPr>
        <w:t>Origination</w:t>
      </w:r>
      <w:r>
        <w:rPr>
          <w:rFonts w:ascii="Times New Roman" w:cs="Times New Roman" w:eastAsia="Times New Roman" w:hAnsi="Times New Roman"/>
          <w:sz w:val="17"/>
          <w:szCs w:val="17"/>
          <w:color w:val="auto"/>
        </w:rPr>
        <w:t xml:space="preserve"> segment provides originators with solutions and technologies that span the mortgage origination lifecycle. </w:t>
      </w:r>
      <w:r>
        <w:rPr>
          <w:rFonts w:ascii="Times New Roman" w:cs="Times New Roman" w:eastAsia="Times New Roman" w:hAnsi="Times New Roman"/>
          <w:sz w:val="17"/>
          <w:szCs w:val="17"/>
          <w:i w:val="1"/>
          <w:iCs w:val="1"/>
          <w:color w:val="auto"/>
        </w:rPr>
        <w:t>Corporate and Others</w:t>
      </w:r>
      <w:r>
        <w:rPr>
          <w:rFonts w:ascii="Times New Roman" w:cs="Times New Roman" w:eastAsia="Times New Roman" w:hAnsi="Times New Roman"/>
          <w:sz w:val="17"/>
          <w:szCs w:val="17"/>
          <w:color w:val="auto"/>
        </w:rPr>
        <w:t xml:space="preserve"> includes interest expense and costs related to corporate functions including executive, infrastructure and certain technology groups, finance, law, compliance, human resources, vendor management, facilities, risk management, as well as eliminations between reportable segments.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information for our segments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200"/>
              <w:spacing w:after="0" w:line="123" w:lineRule="exact"/>
              <w:rPr>
                <w:sz w:val="20"/>
                <w:szCs w:val="20"/>
                <w:color w:val="auto"/>
              </w:rPr>
            </w:pPr>
            <w:r>
              <w:rPr>
                <w:rFonts w:ascii="Times New Roman" w:cs="Times New Roman" w:eastAsia="Times New Roman" w:hAnsi="Times New Roman"/>
                <w:sz w:val="14"/>
                <w:szCs w:val="14"/>
                <w:b w:val="1"/>
                <w:bCs w:val="1"/>
                <w:color w:val="auto"/>
                <w:w w:val="99"/>
              </w:rPr>
              <w:t>Servicer and Real</w:t>
            </w: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7"/>
              </w:rPr>
              <w:t>Corporate and</w:t>
            </w: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19"/>
              <w:spacing w:after="0" w:line="123"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2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89"/>
        </w:trPr>
        <w:tc>
          <w:tcPr>
            <w:tcW w:w="43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 (loss)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3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Income (loss) before income taxes and</w:t>
            </w:r>
          </w:p>
        </w:tc>
        <w:tc>
          <w:tcPr>
            <w:tcW w:w="1340" w:type="dxa"/>
            <w:vAlign w:val="bottom"/>
            <w:gridSpan w:val="2"/>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9,919</w:t>
            </w:r>
          </w:p>
        </w:tc>
        <w:tc>
          <w:tcPr>
            <w:tcW w:w="1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(1,664)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(19,593)</w:t>
            </w:r>
          </w:p>
        </w:tc>
        <w:tc>
          <w:tcPr>
            <w:tcW w:w="100" w:type="dxa"/>
            <w:vAlign w:val="bottom"/>
          </w:tcPr>
          <w:p>
            <w:pPr>
              <w:spacing w:after="0"/>
              <w:rPr>
                <w:sz w:val="14"/>
                <w:szCs w:val="14"/>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(11,338)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340" w:type="dxa"/>
            <w:vAlign w:val="bottom"/>
            <w:gridSpan w:val="2"/>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9"/>
              </w:rPr>
              <w:t>Servicer and Real</w:t>
            </w: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Corporate and</w:t>
            </w: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19"/>
              <w:spacing w:after="0" w:line="122"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3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2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89"/>
        </w:trPr>
        <w:tc>
          <w:tcPr>
            <w:tcW w:w="43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 (loss)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3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Income (loss) before income taxes and</w:t>
            </w:r>
          </w:p>
        </w:tc>
        <w:tc>
          <w:tcPr>
            <w:tcW w:w="1340" w:type="dxa"/>
            <w:vAlign w:val="bottom"/>
            <w:gridSpan w:val="2"/>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5,737</w:t>
            </w:r>
          </w:p>
        </w:tc>
        <w:tc>
          <w:tcPr>
            <w:tcW w:w="1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(16,433)</w:t>
            </w:r>
          </w:p>
        </w:tc>
        <w:tc>
          <w:tcPr>
            <w:tcW w:w="100" w:type="dxa"/>
            <w:vAlign w:val="bottom"/>
          </w:tcPr>
          <w:p>
            <w:pPr>
              <w:spacing w:after="0"/>
              <w:rPr>
                <w:sz w:val="14"/>
                <w:szCs w:val="14"/>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340" w:type="dxa"/>
            <w:vAlign w:val="bottom"/>
            <w:gridSpan w:val="2"/>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Servicer and Real</w:t>
            </w:r>
          </w:p>
        </w:tc>
        <w:tc>
          <w:tcPr>
            <w:tcW w:w="200" w:type="dxa"/>
            <w:vAlign w:val="bottom"/>
          </w:tcPr>
          <w:p>
            <w:pPr>
              <w:spacing w:after="0"/>
              <w:rPr>
                <w:sz w:val="24"/>
                <w:szCs w:val="24"/>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Corporate and</w:t>
            </w:r>
          </w:p>
        </w:tc>
        <w:tc>
          <w:tcPr>
            <w:tcW w:w="2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89"/>
        </w:trPr>
        <w:tc>
          <w:tcPr>
            <w:tcW w:w="43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2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89"/>
        </w:trPr>
        <w:tc>
          <w:tcPr>
            <w:tcW w:w="43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March 31, 2023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61,004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December 31, 2022</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43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2022 filed with the Securities and Exchange Commission (“SEC”) on March 30,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FORWARD-LOOKING STATEMENTS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22"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related to sources of liquidity and the adequacy of financial resources;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about our ability to grow our business, including executing on our strategic initiatives;</w:t>
      </w:r>
    </w:p>
    <w:p>
      <w:pPr>
        <w:spacing w:after="0" w:line="62" w:lineRule="exact"/>
        <w:rPr>
          <w:rFonts w:ascii="Times New Roman" w:cs="Times New Roman" w:eastAsia="Times New Roman" w:hAnsi="Times New Roman"/>
          <w:sz w:val="17"/>
          <w:szCs w:val="17"/>
          <w:color w:val="auto"/>
        </w:rPr>
      </w:pPr>
    </w:p>
    <w:p>
      <w:pPr>
        <w:ind w:left="620" w:hanging="307"/>
        <w:spacing w:after="0" w:line="263"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about our ability to improve margins and affect anticipated expense reductions in response to lower revenue due to COVID-19 or other factors;</w:t>
      </w:r>
    </w:p>
    <w:p>
      <w:pPr>
        <w:spacing w:after="0" w:line="23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about the variable nature of our cost structure that would allow us to realign our cost structure in line with revenue;</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regarding the impact of seasonality;</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regarding the impacts of the COVID-19 pandemic and the timeliness and effectiveness of actions taken in response thereto;</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regarding our effective tax rate; and</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regarding our reserves and valuations.</w:t>
      </w:r>
    </w:p>
    <w:p>
      <w:pPr>
        <w:spacing w:after="0" w:line="16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 xml:space="preserve">Important factors that could cause actual results to differ materially from those suggested by the forward-looking statements include, but are not limited to, the risks discussed in the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section of our Form 10-K for the year ended December 31, 2022 including:</w:t>
      </w:r>
    </w:p>
    <w:p>
      <w:pPr>
        <w:spacing w:after="0" w:line="100" w:lineRule="exact"/>
        <w:rPr>
          <w:sz w:val="20"/>
          <w:szCs w:val="20"/>
          <w:color w:val="auto"/>
        </w:rPr>
      </w:pPr>
    </w:p>
    <w:p>
      <w:pPr>
        <w:jc w:val="both"/>
        <w:ind w:left="620" w:hanging="307"/>
        <w:spacing w:after="0" w:line="27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the anticipated increase in default related referrals following the expiration of foreclosure and eviction moratoriums, forbearance programs and temporary governmental or servicer loss mitigation requirements, the timing of the expiration of such moratoriums, programs and requirements, and any other delays occasioned by government, investor or servicer actions;</w:t>
      </w:r>
    </w:p>
    <w:p>
      <w:pPr>
        <w:spacing w:after="0" w:line="10" w:lineRule="exact"/>
        <w:rPr>
          <w:rFonts w:ascii="Times New Roman" w:cs="Times New Roman" w:eastAsia="Times New Roman" w:hAnsi="Times New Roman"/>
          <w:sz w:val="17"/>
          <w:szCs w:val="17"/>
          <w:color w:val="auto"/>
        </w:rPr>
      </w:pPr>
    </w:p>
    <w:p>
      <w:pPr>
        <w:ind w:left="620" w:hanging="307"/>
        <w:spacing w:after="0" w:line="276"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Ocwen Financial Corporation (together with its subsidiaries, “Ocwen”) as a customer or our ability to receive the anticipated volume of referrals from Ocwen;</w:t>
      </w:r>
    </w:p>
    <w:p>
      <w:pPr>
        <w:spacing w:after="0" w:line="1" w:lineRule="exact"/>
        <w:rPr>
          <w:rFonts w:ascii="Times New Roman" w:cs="Times New Roman" w:eastAsia="Times New Roman" w:hAnsi="Times New Roman"/>
          <w:sz w:val="17"/>
          <w:szCs w:val="17"/>
          <w:color w:val="auto"/>
        </w:rPr>
      </w:pPr>
    </w:p>
    <w:p>
      <w:pPr>
        <w:ind w:left="620" w:hanging="307"/>
        <w:spacing w:after="0" w:line="276"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Rithm Capital Corp. (individually, together with one or more of its subsidiaries, or one or more of its subsidiaries individually, “Rithm”) (formerly New Residential Investment Corp., or “NRZ”) as a customer or our ability to receive the anticipated volume of referrals from Rithm;</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on our strategic plan;</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existing customers, expand relationships and attract new customers;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governmental regulations and policies and any changes in such regulations and policies;</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launch and gain market acceptance of new solutions or recoup our investments in developing such new solutions;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loan delinquencies and charge-offs;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origination volume;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incidents, data breaches and cybersecurity risks;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tax regulations and interpretations in the countries, states and local jurisdictions in which we operate; and</w:t>
      </w:r>
    </w:p>
    <w:p>
      <w:pPr>
        <w:spacing w:after="0" w:line="49"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and uncertainties related to pandemics, epidemics or other force majeure events, including the COVID-19 pandemic, and associated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OVERVIEW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When we refer to “Altisource,” the “Company,” “we,” “us” or “our” we mean Altisource Portfolio Solutions S.A., a Luxembourg société anonyme, or public limited liability company, and its subsidiaries.</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We conduct our operations through two reportable segments: </w:t>
      </w:r>
      <w:r>
        <w:rPr>
          <w:rFonts w:ascii="Times New Roman" w:cs="Times New Roman" w:eastAsia="Times New Roman" w:hAnsi="Times New Roman"/>
          <w:sz w:val="17"/>
          <w:szCs w:val="17"/>
          <w:i w:val="1"/>
          <w:iCs w:val="1"/>
          <w:color w:val="auto"/>
        </w:rPr>
        <w:t>Servicer and Real Estate and Origination.</w:t>
      </w:r>
      <w:r>
        <w:rPr>
          <w:rFonts w:ascii="Times New Roman" w:cs="Times New Roman" w:eastAsia="Times New Roman" w:hAnsi="Times New Roman"/>
          <w:sz w:val="17"/>
          <w:szCs w:val="17"/>
          <w:color w:val="auto"/>
        </w:rPr>
        <w:t xml:space="preserve"> In addition, we report </w:t>
      </w:r>
      <w:r>
        <w:rPr>
          <w:rFonts w:ascii="Times New Roman" w:cs="Times New Roman" w:eastAsia="Times New Roman" w:hAnsi="Times New Roman"/>
          <w:sz w:val="17"/>
          <w:szCs w:val="17"/>
          <w:i w:val="1"/>
          <w:iCs w:val="1"/>
          <w:color w:val="auto"/>
        </w:rPr>
        <w:t>Corporate and Others</w:t>
      </w:r>
      <w:r>
        <w:rPr>
          <w:rFonts w:ascii="Times New Roman" w:cs="Times New Roman" w:eastAsia="Times New Roman" w:hAnsi="Times New Roman"/>
          <w:sz w:val="17"/>
          <w:szCs w:val="17"/>
          <w:color w:val="auto"/>
        </w:rPr>
        <w:t xml:space="preserve"> separately.</w:t>
      </w:r>
    </w:p>
    <w:p>
      <w:pPr>
        <w:spacing w:after="0" w:line="16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Servicer and Real Estate</w:t>
      </w:r>
      <w:r>
        <w:rPr>
          <w:rFonts w:ascii="Times New Roman" w:cs="Times New Roman" w:eastAsia="Times New Roman" w:hAnsi="Times New Roman"/>
          <w:sz w:val="17"/>
          <w:szCs w:val="17"/>
          <w:color w:val="auto"/>
        </w:rPr>
        <w:t xml:space="preserve"> segment provides loan servicers and real estate investors with solutions and technologies that span the mortgage and real estate lifecycle. Within the Servicer and Real Estate segment we provide:</w:t>
      </w:r>
    </w:p>
    <w:p>
      <w:pPr>
        <w:spacing w:after="0" w:line="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Solutions</w:t>
      </w:r>
    </w:p>
    <w:p>
      <w:pPr>
        <w:spacing w:after="0" w:line="153" w:lineRule="exact"/>
        <w:rPr>
          <w:sz w:val="20"/>
          <w:szCs w:val="20"/>
          <w:color w:val="auto"/>
        </w:rPr>
      </w:pPr>
    </w:p>
    <w:p>
      <w:pPr>
        <w:jc w:val="both"/>
        <w:ind w:left="620"/>
        <w:spacing w:after="0" w:line="271" w:lineRule="auto"/>
        <w:rPr>
          <w:sz w:val="20"/>
          <w:szCs w:val="20"/>
          <w:color w:val="auto"/>
        </w:rPr>
      </w:pPr>
      <w:r>
        <w:rPr>
          <w:rFonts w:ascii="Times New Roman" w:cs="Times New Roman" w:eastAsia="Times New Roman" w:hAnsi="Times New Roman"/>
          <w:sz w:val="17"/>
          <w:szCs w:val="17"/>
          <w:color w:val="auto"/>
        </w:rPr>
        <w:t>Our Solutions business includes property preservation and inspection services, title insurance (as an agent) and settlement services, real estate valuation services, foreclosure trustee services, and residential and commercial construction inspection and risk mitigation services.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Marketplace</w:t>
      </w:r>
    </w:p>
    <w:p>
      <w:pPr>
        <w:spacing w:after="0" w:line="161" w:lineRule="exact"/>
        <w:rPr>
          <w:sz w:val="20"/>
          <w:szCs w:val="20"/>
          <w:color w:val="auto"/>
        </w:rPr>
      </w:pPr>
    </w:p>
    <w:p>
      <w:pPr>
        <w:jc w:val="both"/>
        <w:ind w:left="620"/>
        <w:spacing w:after="0" w:line="232" w:lineRule="auto"/>
        <w:rPr>
          <w:sz w:val="20"/>
          <w:szCs w:val="20"/>
          <w:color w:val="auto"/>
        </w:rPr>
      </w:pPr>
      <w:r>
        <w:rPr>
          <w:rFonts w:ascii="Times New Roman" w:cs="Times New Roman" w:eastAsia="Times New Roman" w:hAnsi="Times New Roman"/>
          <w:sz w:val="17"/>
          <w:szCs w:val="17"/>
          <w:color w:val="auto"/>
        </w:rPr>
        <w:t>Our Marketplace business includes the Hubzu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online real estate auction platform and real estate auction, real estate brokerage and asset management services.</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Technology and software-as-a-service (“SaaS”) Products</w:t>
      </w:r>
    </w:p>
    <w:p>
      <w:pPr>
        <w:spacing w:after="0" w:line="161" w:lineRule="exact"/>
        <w:rPr>
          <w:sz w:val="20"/>
          <w:szCs w:val="20"/>
          <w:color w:val="auto"/>
        </w:rPr>
      </w:pPr>
    </w:p>
    <w:p>
      <w:pPr>
        <w:jc w:val="both"/>
        <w:ind w:left="620"/>
        <w:spacing w:after="0" w:line="212" w:lineRule="auto"/>
        <w:rPr>
          <w:sz w:val="20"/>
          <w:szCs w:val="20"/>
          <w:color w:val="auto"/>
        </w:rPr>
      </w:pPr>
      <w:r>
        <w:rPr>
          <w:rFonts w:ascii="Times New Roman" w:cs="Times New Roman" w:eastAsia="Times New Roman" w:hAnsi="Times New Roman"/>
          <w:sz w:val="17"/>
          <w:szCs w:val="17"/>
          <w:color w:val="auto"/>
        </w:rPr>
        <w:t>Our Technology and SaaS Products business includes Equator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 SaaS-based technology to manage real estate owned (“REO”), short sales, foreclosure, bankruptcy and eviction processes), Vendorly Invoice (a vendor invoicing and payment system), RentRange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 single family rental data, analytics and rent-based valuation solution), REALSynergy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 commercial loan servicing platform), and NestRange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(an automated valuation model and analytics solution).</w:t>
      </w:r>
    </w:p>
    <w:p>
      <w:pPr>
        <w:spacing w:after="0" w:line="13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Origination</w:t>
      </w:r>
      <w:r>
        <w:rPr>
          <w:rFonts w:ascii="Times New Roman" w:cs="Times New Roman" w:eastAsia="Times New Roman" w:hAnsi="Times New Roman"/>
          <w:sz w:val="17"/>
          <w:szCs w:val="17"/>
          <w:color w:val="auto"/>
        </w:rPr>
        <w:t xml:space="preserve"> segment provides originators with solutions and technologies that span the mortgage origination lifecycle. Within the Origination segment we provide:</w:t>
      </w:r>
    </w:p>
    <w:p>
      <w:pPr>
        <w:spacing w:after="0" w:line="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Solutions</w:t>
      </w:r>
    </w:p>
    <w:p>
      <w:pPr>
        <w:spacing w:after="0" w:line="165"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Our Solutions business includes title insurance (as an agent) and settlement services, real estate valuation services, and loan fulfillment, certification and certification insurance services.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Lenders One</w:t>
      </w:r>
    </w:p>
    <w:p>
      <w:pPr>
        <w:spacing w:after="0" w:line="161" w:lineRule="exact"/>
        <w:rPr>
          <w:sz w:val="20"/>
          <w:szCs w:val="20"/>
          <w:color w:val="auto"/>
        </w:rPr>
      </w:pPr>
    </w:p>
    <w:p>
      <w:pPr>
        <w:jc w:val="both"/>
        <w:ind w:left="620"/>
        <w:spacing w:after="0" w:line="232" w:lineRule="auto"/>
        <w:rPr>
          <w:sz w:val="20"/>
          <w:szCs w:val="20"/>
          <w:color w:val="auto"/>
        </w:rPr>
      </w:pPr>
      <w:r>
        <w:rPr>
          <w:rFonts w:ascii="Times New Roman" w:cs="Times New Roman" w:eastAsia="Times New Roman" w:hAnsi="Times New Roman"/>
          <w:sz w:val="17"/>
          <w:szCs w:val="17"/>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(“Lenders One”), and certain loan manufacturing and capital markets services provided to the members of the Lenders One cooperative.</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Technology and SaaS Products</w:t>
      </w:r>
    </w:p>
    <w:p>
      <w:pPr>
        <w:spacing w:after="0" w:line="165" w:lineRule="exact"/>
        <w:rPr>
          <w:sz w:val="20"/>
          <w:szCs w:val="20"/>
          <w:color w:val="auto"/>
        </w:rPr>
      </w:pPr>
    </w:p>
    <w:p>
      <w:pPr>
        <w:jc w:val="both"/>
        <w:ind w:left="620"/>
        <w:spacing w:after="0"/>
        <w:rPr>
          <w:sz w:val="20"/>
          <w:szCs w:val="20"/>
          <w:color w:val="auto"/>
        </w:rPr>
      </w:pPr>
      <w:r>
        <w:rPr>
          <w:rFonts w:ascii="Times New Roman" w:cs="Times New Roman" w:eastAsia="Times New Roman" w:hAnsi="Times New Roman"/>
          <w:sz w:val="17"/>
          <w:szCs w:val="17"/>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(technology to manage the workflow and automate components of the loan fulfillment, pre and post-close quality control and service transfer processes), ADMS (a document management and data analytics delivery platform), and automated valuation technology.</w:t>
      </w:r>
    </w:p>
    <w:p>
      <w:pPr>
        <w:spacing w:after="0" w:line="1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Corporate and Others </w:t>
      </w:r>
      <w:r>
        <w:rPr>
          <w:rFonts w:ascii="Times New Roman" w:cs="Times New Roman" w:eastAsia="Times New Roman" w:hAnsi="Times New Roman"/>
          <w:sz w:val="17"/>
          <w:szCs w:val="17"/>
          <w:color w:val="auto"/>
        </w:rPr>
        <w:t>includes interest expense and costs related to corporate functions including executive, infrastructure and certain technology groups, finance,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law, compliance, human resources, vendor management, facilities, risk management and eliminations between reportable segments.</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Strategy and Core Businesses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COVID-19 pandemic and its impacts on our business, we continue to evaluate our strategy and core businesses and seek to position our businesses to provide long term value to our customers and shareholders.</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Servicer and Real Estate:</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Through our offerings that support residential real estate and loan investors and servicers, we provide a suite of solutions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Rithm. We believe we are one of only a few providers with a broad suite of servicer solutions, nationwide coverage and scalability. Further, we believe we are well positioned to gain market share from existing and new customers as they consolidate to larger, full-service providers or outsource services that have historically been performed in-house.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Origination:</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Corporate and Others </w:t>
      </w:r>
      <w:r>
        <w:rPr>
          <w:rFonts w:ascii="Times New Roman" w:cs="Times New Roman" w:eastAsia="Times New Roman" w:hAnsi="Times New Roman"/>
          <w:sz w:val="17"/>
          <w:szCs w:val="17"/>
          <w:color w:val="auto"/>
        </w:rPr>
        <w:t>includes interest expense and costs related to corporate functions including executive, infrastructure and certain technology groups, finance,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law, compliance, human resources, vendor management, facilities, risk management and eliminations between reportable segments.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 Pandemic Impacts</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response to the COVID-19 pandemic, beginning in March 2020, various governmental entities and servicers implemented unprecedented foreclosure and eviction moratoriums, forbearance programs and loss mitigation measures to help mitigate the impact to borrowers and renters. The Federal government’s foreclosure moratorium expired on July 31, 2021 and the Consumer Financial Protection Bureau’s (“CFPB’s”) temporary loss mitigation measures expired on December 31, 2021. Despite the expiration of such governmental measures, we believe servicers are proceeding slowly with foreclosure initiations for borrowers in default. Industrywide foreclosure initiations were 10% lower for the three months ended March 31, 2023 compared to the same period in 2022, and 28% lower than the same period in 2019. Industrywide foreclosure sales were 45% higher for the three months ended March 31, 2023 compared to the same period in 2022, although still 44% lower than the same pre-COVID-19 period in 2019. The decline in foreclosure initiations and foreclosure sales throughout the pandemic, partially offset by the restart of the default market, significantly decreased default related referrals to Altisource and continues to negatively impact virtually all of Altisource’s default related services revenue.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cannot predict the duration of the pandemic and future governmental and industry measures. Based on the expirations of the Federal government’s foreclosure and eviction moratoriums and the CFPB’s rules on temporary loss mitigation measures, we believe the demand for our Default business will grow. We estimate that in today’s environment it typically takes on average two years to convert foreclosure initiations to foreclosure sales and six months to market and sell the REO. Due to this timing, we anticipate that our later stage foreclosure auction and REO asset management services will not fully benefit from the early 2022 higher foreclosure initiations until late 2023 or early 2024.</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2022 and the three months ended March 2023, to address lower revenue, we worked to (1) reduce our cost structure, (2) maintain the infrastructure to deliver default related services for our customer base and support the anticipated increase in demand following the expiration of the moratoriums and forbearance plans and CFPB’s rules on temporary loss mitigation measures, and (3) grow Lenders One membership, launch new solutions and increase customer adoption of our solutions to accelerate the growth of our origination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 Program</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March 31, 2023, approximately 2.4 million shares of common stock remain available for repurchase under the program. There were no purchases of shares of common stock during the three months ended March 31, 2023 and 2022. Luxembourg law limits share repurchases to the balance of Altisource Portfolio Solutions S.A. (unconsolidated parent company) retained earnings, less the value of shares repurchased. As of March 31, 2023, we can repurchase up to approximately $64 million of our common stock under Luxembourg law. Under the Amended Credit Agreement, we are not permitted to repurchase shares except for limited circumstances.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Ocwen Related Matters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2023, Ocwen was our largest customer, accounting for 45% of our total revenue for the three months ended March 31, 2023. Additionally, 7% of our revenue for the three months ended March 31, 2023 was earned on the loan portfolios serviced by Ocwen, when a party other than Ocwen or the mortgage servicing rights (“MSRs”) owner selected Altisource as the service provider.</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Existing or future similar matters could result in adverse regulatory or other actions against Ocwen. In addition to the above, Ocwen may become subject to future adverse regulatory or other actions.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Ocwen has disclosed that Rithm is a significant client of Ocwen’s. As of December 31, 2022, approximately 17% of loans serviced and subserviced by Ocwen (measured in unpaid principal balance) and approximately 68% of all delinquent loans that Ocwen services were related to Rithm MSRs or rights to MSRs.</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existence or outcome of Ocwen regulatory matters or the termination of Ocwen’s sub-servicing agreements with Rithm or other significant Ocwen clients may have significant adverse effects on Ocwen’s business.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2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00" w:lineRule="exact"/>
        <w:rPr>
          <w:sz w:val="20"/>
          <w:szCs w:val="20"/>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Altisource loses Ocwen as a customer or there is a significant reduction in the volume of services they purchase from us</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relationship between Ocwen and Rithm changes significantly, including Ocwen’s sub-servicing arrangement with Rithm expiring without renewal, and this change results in a change in our status as a provider of services related to the Subject MSRs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Ocwen loses state servicing licenses in states with a significant number of loans in Ocwen’s servicing portfolio</w:t>
      </w:r>
    </w:p>
    <w:p>
      <w:pPr>
        <w:spacing w:after="0" w:line="62"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Altisource otherwise fails to be retained as a service provider</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Management cannot predict whether any of these events will occur or the amount of any impact they may have on Altisource. We are seeking to diversify and grow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Comparability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items impact the comparability of our results:</w:t>
      </w:r>
    </w:p>
    <w:p>
      <w:pPr>
        <w:spacing w:after="0" w:line="165" w:lineRule="exact"/>
        <w:rPr>
          <w:sz w:val="20"/>
          <w:szCs w:val="20"/>
          <w:color w:val="auto"/>
        </w:rPr>
      </w:pPr>
    </w:p>
    <w:p>
      <w:pPr>
        <w:ind w:left="620" w:hanging="307"/>
        <w:spacing w:after="0" w:line="284"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Industrywide foreclosure initiations were 10% lower for the three months ended March 31, 2023 compared to the same period in 2022 (and 28% lower than the pre-COVID-19 period in 2019)</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Industrywide foreclosure sales were 45% higher for the three months ended March 31, 2023 compared to the same period in 2022 (although still 44% lower than the pre-COVID-19 period in 2019)</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on the Company’s senior secured term loans was 8.73% for the three months ended March 31, 2023 compared to 5.00% for the same period in 2022</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14, 2023, Altisource Portfolio Solutions S.A. and its wholly-owned subsidiary, Altisource S.à r.l., entered into Amendment No. 2 to the Credit Agreement. In connection with Amendment No. 2, the Company paid $3.2 million to advisors and recorded these payments as other expense in the condensed consolidated statements of operations and comprehensive loss</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recognized an income tax provision of $1.5 million and $0.9 million for the three months ended March 31, 2023 and 2022, respectively. The income tax provision for the three months ended March 31, 2023 was driven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Results</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is a discussion of our consolidated results of operations for the periods indicated. For a more detailed discussion of the factors that affected the results of our business segments in these periods, see “</w:t>
      </w:r>
      <w:r>
        <w:rPr>
          <w:rFonts w:ascii="Times New Roman" w:cs="Times New Roman" w:eastAsia="Times New Roman" w:hAnsi="Times New Roman"/>
          <w:sz w:val="17"/>
          <w:szCs w:val="17"/>
          <w:i w:val="1"/>
          <w:iCs w:val="1"/>
          <w:color w:val="auto"/>
        </w:rPr>
        <w:t>Segment Results of Operations</w:t>
      </w:r>
      <w:r>
        <w:rPr>
          <w:rFonts w:ascii="Times New Roman" w:cs="Times New Roman" w:eastAsia="Times New Roman" w:hAnsi="Times New Roman"/>
          <w:sz w:val="17"/>
          <w:szCs w:val="17"/>
          <w:color w:val="auto"/>
        </w:rPr>
        <w:t>” below.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on our consolidated results of operations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380" w:type="dxa"/>
            <w:vAlign w:val="bottom"/>
          </w:tcPr>
          <w:p>
            <w:pPr>
              <w:spacing w:after="0"/>
              <w:rPr>
                <w:sz w:val="17"/>
                <w:szCs w:val="17"/>
                <w:color w:val="auto"/>
              </w:rPr>
            </w:pP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Increase (decrease)</w:t>
            </w:r>
          </w:p>
        </w:tc>
      </w:tr>
      <w:tr>
        <w:trPr>
          <w:trHeight w:val="189"/>
        </w:trPr>
        <w:tc>
          <w:tcPr>
            <w:tcW w:w="6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1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9"/>
        </w:trPr>
        <w:tc>
          <w:tcPr>
            <w:tcW w:w="6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Servicer and Real Estate</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29,761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27,157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6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Origination</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7,310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10,606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2"/>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service revenue</w:t>
            </w:r>
          </w:p>
        </w:tc>
        <w:tc>
          <w:tcPr>
            <w:tcW w:w="380" w:type="dxa"/>
            <w:vAlign w:val="bottom"/>
          </w:tcPr>
          <w:p>
            <w:pPr>
              <w:spacing w:after="0"/>
              <w:rPr>
                <w:sz w:val="18"/>
                <w:szCs w:val="18"/>
                <w:color w:val="auto"/>
              </w:rPr>
            </w:pPr>
          </w:p>
        </w:tc>
        <w:tc>
          <w:tcPr>
            <w:tcW w:w="11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37,071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37,763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Reimbursable expenses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1,592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9"/>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161</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2"/>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39,461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30,957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33,869</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2"/>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8,504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5,647</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12,094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13,974</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2"/>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(3,590)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(8,327)</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bl>
    <w:p>
      <w:pPr>
        <w:spacing w:after="0" w:line="1" w:lineRule="exact"/>
        <w:rPr>
          <w:sz w:val="20"/>
          <w:szCs w:val="20"/>
          <w:color w:val="auto"/>
        </w:rPr>
      </w:pPr>
    </w:p>
    <w:p>
      <w:pPr>
        <w:sectPr>
          <w:pgSz w:w="11900" w:h="16838" w:orient="portrait"/>
          <w:cols w:equalWidth="0" w:num="1">
            <w:col w:w="11240"/>
          </w:cols>
          <w:pgMar w:left="320" w:top="123" w:right="339" w:bottom="1440" w:gutter="0" w:footer="0" w:header="0"/>
        </w:sectPr>
      </w:pPr>
    </w:p>
    <w:tbl>
      <w:tblPr>
        <w:tblLayout w:type="fixed"/>
        <w:tblInd w:w="20" w:type="dxa"/>
        <w:tblCellMar>
          <w:top w:w="0" w:type="dxa"/>
          <w:left w:w="0" w:type="dxa"/>
          <w:bottom w:w="0" w:type="dxa"/>
          <w:right w:w="0" w:type="dxa"/>
        </w:tblCellMar>
      </w:tblP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44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(6,760)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(3,556)</w:t>
            </w:r>
          </w:p>
        </w:tc>
        <w:tc>
          <w:tcPr>
            <w:tcW w:w="0" w:type="dxa"/>
            <w:vAlign w:val="bottom"/>
          </w:tcPr>
          <w:p>
            <w:pPr>
              <w:spacing w:after="0"/>
              <w:rPr>
                <w:sz w:val="1"/>
                <w:szCs w:val="1"/>
                <w:color w:val="auto"/>
              </w:rPr>
            </w:pPr>
          </w:p>
        </w:tc>
      </w:tr>
      <w:tr>
        <w:trPr>
          <w:trHeight w:val="219"/>
        </w:trPr>
        <w:tc>
          <w:tcPr>
            <w:tcW w:w="6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44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Debt amendment costs</w:t>
            </w:r>
          </w:p>
        </w:tc>
        <w:tc>
          <w:tcPr>
            <w:tcW w:w="44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1,560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740</w:t>
            </w:r>
          </w:p>
        </w:tc>
        <w:tc>
          <w:tcPr>
            <w:tcW w:w="0" w:type="dxa"/>
            <w:vAlign w:val="bottom"/>
          </w:tcPr>
          <w:p>
            <w:pPr>
              <w:spacing w:after="0"/>
              <w:rPr>
                <w:sz w:val="1"/>
                <w:szCs w:val="1"/>
                <w:color w:val="auto"/>
              </w:rPr>
            </w:pPr>
          </w:p>
        </w:tc>
      </w:tr>
      <w:tr>
        <w:trPr>
          <w:trHeight w:val="216"/>
        </w:trPr>
        <w:tc>
          <w:tcPr>
            <w:tcW w:w="6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4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(7,748)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(2,816)</w:t>
            </w:r>
          </w:p>
        </w:tc>
        <w:tc>
          <w:tcPr>
            <w:tcW w:w="0" w:type="dxa"/>
            <w:vAlign w:val="bottom"/>
          </w:tcPr>
          <w:p>
            <w:pPr>
              <w:spacing w:after="0"/>
              <w:rPr>
                <w:sz w:val="1"/>
                <w:szCs w:val="1"/>
                <w:color w:val="auto"/>
              </w:rPr>
            </w:pPr>
          </w:p>
        </w:tc>
      </w:tr>
      <w:tr>
        <w:trPr>
          <w:trHeight w:val="418"/>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 and non-controlling interests</w:t>
            </w:r>
          </w:p>
        </w:tc>
        <w:tc>
          <w:tcPr>
            <w:tcW w:w="44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(11,338)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(11,143)</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(1,529)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(886)</w:t>
            </w:r>
          </w:p>
        </w:tc>
        <w:tc>
          <w:tcPr>
            <w:tcW w:w="0" w:type="dxa"/>
            <w:vAlign w:val="bottom"/>
          </w:tcPr>
          <w:p>
            <w:pPr>
              <w:spacing w:after="0"/>
              <w:rPr>
                <w:sz w:val="1"/>
                <w:szCs w:val="1"/>
                <w:color w:val="auto"/>
              </w:rPr>
            </w:pPr>
          </w:p>
        </w:tc>
      </w:tr>
      <w:tr>
        <w:trPr>
          <w:trHeight w:val="402"/>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44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(12,867)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(12,029)</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405"/>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Altisource</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(12,947)</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(12,190)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Margins:</w:t>
            </w: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65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Gross profit / service revenue</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3"/>
        </w:trPr>
        <w:tc>
          <w:tcPr>
            <w:tcW w:w="6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from operations / service revenue</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425"/>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Loss per share:</w:t>
            </w:r>
          </w:p>
        </w:tc>
        <w:tc>
          <w:tcPr>
            <w:tcW w:w="44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24"/>
                <w:szCs w:val="24"/>
                <w:color w:val="auto"/>
              </w:rPr>
            </w:pPr>
          </w:p>
        </w:tc>
        <w:tc>
          <w:tcPr>
            <w:tcW w:w="44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rPr>
              <w:t>(0.76)</w:t>
            </w:r>
          </w:p>
        </w:tc>
        <w:tc>
          <w:tcPr>
            <w:tcW w:w="0" w:type="dxa"/>
            <w:vAlign w:val="bottom"/>
          </w:tcPr>
          <w:p>
            <w:pPr>
              <w:spacing w:after="0"/>
              <w:rPr>
                <w:sz w:val="1"/>
                <w:szCs w:val="1"/>
                <w:color w:val="auto"/>
              </w:rPr>
            </w:pPr>
          </w:p>
        </w:tc>
      </w:tr>
      <w:tr>
        <w:trPr>
          <w:trHeight w:val="224"/>
        </w:trPr>
        <w:tc>
          <w:tcPr>
            <w:tcW w:w="6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4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(0.76)</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5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18,442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15,956</w:t>
            </w:r>
          </w:p>
        </w:tc>
        <w:tc>
          <w:tcPr>
            <w:tcW w:w="0" w:type="dxa"/>
            <w:vAlign w:val="bottom"/>
          </w:tcPr>
          <w:p>
            <w:pPr>
              <w:spacing w:after="0"/>
              <w:rPr>
                <w:sz w:val="1"/>
                <w:szCs w:val="1"/>
                <w:color w:val="auto"/>
              </w:rPr>
            </w:pPr>
          </w:p>
        </w:tc>
      </w:tr>
      <w:tr>
        <w:trPr>
          <w:trHeight w:val="219"/>
        </w:trPr>
        <w:tc>
          <w:tcPr>
            <w:tcW w:w="6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18,442</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15,956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-3568700</wp:posOffset>
            </wp:positionV>
            <wp:extent cx="7138670" cy="139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-3290570</wp:posOffset>
            </wp:positionV>
            <wp:extent cx="7138670" cy="139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-3011805</wp:posOffset>
            </wp:positionV>
            <wp:extent cx="7138670" cy="147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-2733675</wp:posOffset>
            </wp:positionV>
            <wp:extent cx="7138670" cy="139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-2455545</wp:posOffset>
            </wp:positionV>
            <wp:extent cx="7138670" cy="130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-2185035</wp:posOffset>
            </wp:positionV>
            <wp:extent cx="71386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-1915160</wp:posOffset>
            </wp:positionV>
            <wp:extent cx="7138670" cy="155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-1628140</wp:posOffset>
            </wp:positionV>
            <wp:extent cx="7138670" cy="139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-1350010</wp:posOffset>
            </wp:positionV>
            <wp:extent cx="7138670" cy="139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-1080135</wp:posOffset>
            </wp:positionV>
            <wp:extent cx="7138670" cy="139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-785495</wp:posOffset>
            </wp:positionV>
            <wp:extent cx="7138670" cy="172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-482600</wp:posOffset>
            </wp:positionV>
            <wp:extent cx="7138670" cy="139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-187960</wp:posOffset>
            </wp:positionV>
            <wp:extent cx="7138670" cy="1720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7208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90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111</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175</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73</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(7)</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50</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8</w:t>
      </w:r>
    </w:p>
    <w:p>
      <w:pPr>
        <w:spacing w:after="0" w:line="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8</w:t>
      </w: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16</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16</w:t>
      </w:r>
    </w:p>
    <w:p>
      <w:pPr>
        <w:spacing w:after="0" w:line="1037" w:lineRule="exact"/>
        <w:rPr>
          <w:sz w:val="20"/>
          <w:szCs w:val="20"/>
          <w:color w:val="auto"/>
        </w:rPr>
      </w:pPr>
    </w:p>
    <w:p>
      <w:pPr>
        <w:sectPr>
          <w:pgSz w:w="11900" w:h="16838" w:orient="portrait"/>
          <w:cols w:equalWidth="0" w:num="2">
            <w:col w:w="10180" w:space="720"/>
            <w:col w:w="340"/>
          </w:cols>
          <w:pgMar w:left="320" w:top="123" w:right="339"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recognized service revenue of $37.1 million for the three months ended March 31, 2023, a 2% decrease compared to the three months ended March 31, 2022. The decline is primarily driven by lower revenue in the Origination segment from the overall market decline in mortgage originations partially offset by growth in the Servicer and Real Estate segment from the continuing recovery of the default market.</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recognized reimbursable expense revenue of $2.3 million for the three months ended March 31, 2023, a 45% increase compared to the three months ended March 31, 2022. The increase in reimbursable expenses for the three months ended March 31, 2023 is primarily driven by an increase in property preservation, asset resolution and asset management activities.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pandemic and related measures and the rapid rise in mortgage interest rates the seasonal impact to revenue may not follow historical patterns.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and Gross Profit</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of revenue consists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60" w:type="dxa"/>
            <w:vAlign w:val="bottom"/>
            <w:gridSpan w:val="6"/>
          </w:tcPr>
          <w:p>
            <w:pPr>
              <w:jc w:val="right"/>
              <w:ind w:right="12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7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89"/>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Outside fees and services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telecommunications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Reimbursable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recognized cost of revenue of $31.0 million for the three months ended March 31, 2023, a 9% decrease compared to the three months ended March 31, 2022. Compensation and benefits for the three months ended March 31, 2023 decreased primarily due to cost savings measures taken in 2022 and early 2023 and the alignment of compensation and benefits in the Origination segment with lower revenue. Technology and telecommunications decreased primarily due to the renegotiation of certain contracts and lower overall headcount. Outside fees and services for the three months ended March 31, 2023 increased primarily from higher Field Services revenue in the Solutions business of the Servicer and Real Estate segment. In addition, the increases in reimbursable expenses are consistent with the changes in reimbursable expense revenue discussed in the revenue section above.</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Gross profit increased to $8.5 million, representing 23% of service revenue, for the three months ended March 31, 2023 compared to $5.6 million, representing 15% of service revenue, for the three months ended March 31, 2022. Gross profit as a percentage of service revenue for the three months ended March 31, 2023 increased compared to the three months ended March 31, 2022 primarily due to margin expansion in the Servicer and Real Estate segment from efficiency initiatives and cost savings measures partially offset by revenue mix and lower gross profit margin in the Origination segment from product mix and lower revenue.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(“SG&amp;A”) expenses includes payroll for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SG&amp;A expenses consist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60" w:type="dxa"/>
            <w:vAlign w:val="bottom"/>
            <w:gridSpan w:val="6"/>
          </w:tcPr>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7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89"/>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5,409</w:t>
            </w:r>
          </w:p>
        </w:tc>
        <w:tc>
          <w:tcPr>
            <w:tcW w:w="1520" w:type="dxa"/>
            <w:vAlign w:val="bottom"/>
            <w:gridSpan w:val="2"/>
            <w:shd w:val="clear" w:color="auto" w:fill="CCEEFF"/>
          </w:tcPr>
          <w:p>
            <w:pPr>
              <w:jc w:val="center"/>
              <w:ind w:left="1154"/>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2,749</w:t>
            </w:r>
          </w:p>
        </w:tc>
        <w:tc>
          <w:tcPr>
            <w:tcW w:w="1520" w:type="dxa"/>
            <w:vAlign w:val="bottom"/>
            <w:gridSpan w:val="2"/>
          </w:tcPr>
          <w:p>
            <w:pPr>
              <w:jc w:val="center"/>
              <w:ind w:left="1114"/>
              <w:spacing w:after="0"/>
              <w:rPr>
                <w:sz w:val="20"/>
                <w:szCs w:val="20"/>
                <w:color w:val="auto"/>
              </w:rPr>
            </w:pPr>
            <w:r>
              <w:rPr>
                <w:rFonts w:ascii="Times New Roman" w:cs="Times New Roman" w:eastAsia="Times New Roman" w:hAnsi="Times New Roman"/>
                <w:sz w:val="17"/>
                <w:szCs w:val="17"/>
                <w:color w:val="auto"/>
                <w:w w:val="98"/>
              </w:rPr>
              <w:t>(43)</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 related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1520" w:type="dxa"/>
            <w:vAlign w:val="bottom"/>
            <w:gridSpan w:val="2"/>
            <w:shd w:val="clear" w:color="auto" w:fill="CCEEFF"/>
          </w:tcPr>
          <w:p>
            <w:pPr>
              <w:jc w:val="center"/>
              <w:ind w:left="1114"/>
              <w:spacing w:after="0"/>
              <w:rPr>
                <w:sz w:val="20"/>
                <w:szCs w:val="20"/>
                <w:color w:val="auto"/>
              </w:rPr>
            </w:pPr>
            <w:r>
              <w:rPr>
                <w:rFonts w:ascii="Times New Roman" w:cs="Times New Roman" w:eastAsia="Times New Roman" w:hAnsi="Times New Roman"/>
                <w:sz w:val="17"/>
                <w:szCs w:val="17"/>
                <w:color w:val="auto"/>
                <w:w w:val="98"/>
              </w:rPr>
              <w:t>(11)</w:t>
            </w:r>
          </w:p>
        </w:tc>
        <w:tc>
          <w:tcPr>
            <w:tcW w:w="0" w:type="dxa"/>
            <w:vAlign w:val="bottom"/>
          </w:tcPr>
          <w:p>
            <w:pPr>
              <w:spacing w:after="0"/>
              <w:rPr>
                <w:sz w:val="1"/>
                <w:szCs w:val="1"/>
                <w:color w:val="auto"/>
              </w:rPr>
            </w:pP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w:t>
            </w:r>
          </w:p>
        </w:tc>
        <w:tc>
          <w:tcPr>
            <w:tcW w:w="100" w:type="dxa"/>
            <w:vAlign w:val="bottom"/>
          </w:tcPr>
          <w:p>
            <w:pPr>
              <w:spacing w:after="0"/>
              <w:rPr>
                <w:sz w:val="19"/>
                <w:szCs w:val="19"/>
                <w:color w:val="auto"/>
              </w:rPr>
            </w:pPr>
          </w:p>
        </w:tc>
        <w:tc>
          <w:tcPr>
            <w:tcW w:w="1420" w:type="dxa"/>
            <w:vAlign w:val="bottom"/>
          </w:tcPr>
          <w:p>
            <w:pPr>
              <w:jc w:val="center"/>
              <w:ind w:left="10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1520" w:type="dxa"/>
            <w:vAlign w:val="bottom"/>
            <w:gridSpan w:val="2"/>
            <w:shd w:val="clear" w:color="auto" w:fill="CCEEFF"/>
          </w:tcPr>
          <w:p>
            <w:pPr>
              <w:jc w:val="center"/>
              <w:ind w:left="1114"/>
              <w:spacing w:after="0"/>
              <w:rPr>
                <w:sz w:val="20"/>
                <w:szCs w:val="20"/>
                <w:color w:val="auto"/>
              </w:rPr>
            </w:pPr>
            <w:r>
              <w:rPr>
                <w:rFonts w:ascii="Times New Roman" w:cs="Times New Roman" w:eastAsia="Times New Roman" w:hAnsi="Times New Roman"/>
                <w:sz w:val="17"/>
                <w:szCs w:val="17"/>
                <w:color w:val="auto"/>
                <w:w w:val="98"/>
              </w:rPr>
              <w:t>(57)</w:t>
            </w:r>
          </w:p>
        </w:tc>
        <w:tc>
          <w:tcPr>
            <w:tcW w:w="0" w:type="dxa"/>
            <w:vAlign w:val="bottom"/>
          </w:tcPr>
          <w:p>
            <w:pPr>
              <w:spacing w:after="0"/>
              <w:rPr>
                <w:sz w:val="1"/>
                <w:szCs w:val="1"/>
                <w:color w:val="auto"/>
              </w:rPr>
            </w:pP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520" w:type="dxa"/>
            <w:vAlign w:val="bottom"/>
            <w:gridSpan w:val="2"/>
          </w:tcPr>
          <w:p>
            <w:pPr>
              <w:jc w:val="center"/>
              <w:ind w:left="1114"/>
              <w:spacing w:after="0"/>
              <w:rPr>
                <w:sz w:val="20"/>
                <w:szCs w:val="20"/>
                <w:color w:val="auto"/>
              </w:rPr>
            </w:pPr>
            <w:r>
              <w:rPr>
                <w:rFonts w:ascii="Times New Roman" w:cs="Times New Roman" w:eastAsia="Times New Roman" w:hAnsi="Times New Roman"/>
                <w:sz w:val="17"/>
                <w:szCs w:val="17"/>
                <w:color w:val="auto"/>
                <w:w w:val="98"/>
              </w:rPr>
              <w:t>(28)</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1520" w:type="dxa"/>
            <w:vAlign w:val="bottom"/>
            <w:gridSpan w:val="2"/>
            <w:shd w:val="clear" w:color="auto" w:fill="CCEEFF"/>
          </w:tcPr>
          <w:p>
            <w:pPr>
              <w:jc w:val="center"/>
              <w:ind w:left="1114"/>
              <w:spacing w:after="0"/>
              <w:rPr>
                <w:sz w:val="20"/>
                <w:szCs w:val="20"/>
                <w:color w:val="auto"/>
              </w:rPr>
            </w:pPr>
            <w:r>
              <w:rPr>
                <w:rFonts w:ascii="Times New Roman" w:cs="Times New Roman" w:eastAsia="Times New Roman" w:hAnsi="Times New Roman"/>
                <w:sz w:val="17"/>
                <w:szCs w:val="17"/>
                <w:color w:val="auto"/>
                <w:w w:val="98"/>
              </w:rPr>
              <w:t>(32)</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13,974</w:t>
            </w:r>
          </w:p>
        </w:tc>
        <w:tc>
          <w:tcPr>
            <w:tcW w:w="1520" w:type="dxa"/>
            <w:vAlign w:val="bottom"/>
            <w:tcBorders>
              <w:bottom w:val="single" w:sz="8" w:color="CCEEFF"/>
            </w:tcBorders>
            <w:gridSpan w:val="2"/>
            <w:shd w:val="clear" w:color="auto" w:fill="CCEEFF"/>
          </w:tcPr>
          <w:p>
            <w:pPr>
              <w:jc w:val="center"/>
              <w:ind w:left="1114"/>
              <w:spacing w:after="0"/>
              <w:rPr>
                <w:sz w:val="20"/>
                <w:szCs w:val="20"/>
                <w:color w:val="auto"/>
              </w:rPr>
            </w:pPr>
            <w:r>
              <w:rPr>
                <w:rFonts w:ascii="Times New Roman" w:cs="Times New Roman" w:eastAsia="Times New Roman" w:hAnsi="Times New Roman"/>
                <w:sz w:val="17"/>
                <w:szCs w:val="17"/>
                <w:color w:val="auto"/>
                <w:w w:val="98"/>
              </w:rPr>
              <w:t>(13)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SG&amp;A expenses for the three months ended March 31, 2023 of $12.1 million decreased by 13% compared to the three months ended March 31, 2022. The decrease was primarily driven by lower professional services, marketing costs and Other expenses. Professional services for the three months ended March 31, 2023 decreased primarily due to lower legal and litigation fees. Marketing costs for the three months ended March 31, 2023 decreased from efficiency measures primarily in the Origination segment. The decreases for the three months ended March 31, 2023 were partially offset by an increase in compensation and benefits in the first quarter of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from Operations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Loss from operations for the three months ended March 31, 2023 was $(3.6) million, representing (10)% of service revenue, compared to $(8.3) million, representing (22)% of service revenue, for the three months ended March 31, 2022. Loss from operations as a percentage of service revenue improved for the three months ended March 31, 2023 compared to the three months ended March 31, 2022, primarily as a result of higher gross profit margins and the percentage reduction in SG&amp;A expenses in excess of the percentage change in revenue, discussed above.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principally includes interest expense and other non-operating gains and losses.</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Other income (expense), net was $(7.7) million for the three months ended March 31, 2023 compared to $(2.8) million for the three months ended March 31, 2022. The change for the three months ended March 31, 2023 was primarily driven by an increase of $3.2 million in interest expense driven by higher interest rates on our SSTL and higher amortization of debt discount and debt issuance and amendment costs, and $3.2 million of debt amendment costs in the three months ended March 31, 2023, partially offset by higher interest and other income.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Provision</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recognized an income tax provision of $1.5 million and $0.9 million for the three months ended March 31, 2023 and 2022, respectively. The income tax provision for the three months ended March 31, 2023 was driven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SEGMENT RESULTS OF OPERATIONS</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information for our segments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Pr>
          <w:p>
            <w:pPr>
              <w:spacing w:after="0"/>
              <w:rPr>
                <w:sz w:val="10"/>
                <w:szCs w:val="10"/>
                <w:color w:val="auto"/>
              </w:rPr>
            </w:pPr>
          </w:p>
        </w:tc>
        <w:tc>
          <w:tcPr>
            <w:tcW w:w="136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7"/>
              </w:rPr>
              <w:t>Servicer and Real</w:t>
            </w:r>
          </w:p>
        </w:tc>
        <w:tc>
          <w:tcPr>
            <w:tcW w:w="220" w:type="dxa"/>
            <w:vAlign w:val="bottom"/>
          </w:tcPr>
          <w:p>
            <w:pPr>
              <w:spacing w:after="0"/>
              <w:rPr>
                <w:sz w:val="10"/>
                <w:szCs w:val="10"/>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0"/>
                <w:szCs w:val="10"/>
                <w:color w:val="auto"/>
              </w:rPr>
            </w:pPr>
          </w:p>
        </w:tc>
        <w:tc>
          <w:tcPr>
            <w:tcW w:w="122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4"/>
                <w:szCs w:val="14"/>
                <w:b w:val="1"/>
                <w:bCs w:val="1"/>
                <w:color w:val="auto"/>
                <w:w w:val="97"/>
              </w:rPr>
              <w:t>Corporate and</w:t>
            </w:r>
          </w:p>
        </w:tc>
        <w:tc>
          <w:tcPr>
            <w:tcW w:w="200" w:type="dxa"/>
            <w:vAlign w:val="bottom"/>
          </w:tcPr>
          <w:p>
            <w:pPr>
              <w:spacing w:after="0"/>
              <w:rPr>
                <w:sz w:val="10"/>
                <w:szCs w:val="10"/>
                <w:color w:val="auto"/>
              </w:rPr>
            </w:pPr>
          </w:p>
        </w:tc>
        <w:tc>
          <w:tcPr>
            <w:tcW w:w="1220" w:type="dxa"/>
            <w:vAlign w:val="bottom"/>
          </w:tcPr>
          <w:p>
            <w:pPr>
              <w:jc w:val="center"/>
              <w:ind w:right="117"/>
              <w:spacing w:after="0" w:line="123"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89"/>
        </w:trPr>
        <w:tc>
          <w:tcPr>
            <w:tcW w:w="5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200" w:type="dxa"/>
            <w:vAlign w:val="bottom"/>
          </w:tcPr>
          <w:p>
            <w:pPr>
              <w:spacing w:after="0"/>
              <w:rPr>
                <w:sz w:val="16"/>
                <w:szCs w:val="16"/>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89"/>
        </w:trPr>
        <w:tc>
          <w:tcPr>
            <w:tcW w:w="5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29,761</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7,310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37,071</w:t>
            </w: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Reimbursable expenses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2,184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2,310</w:t>
            </w:r>
          </w:p>
        </w:tc>
        <w:tc>
          <w:tcPr>
            <w:tcW w:w="0" w:type="dxa"/>
            <w:vAlign w:val="bottom"/>
          </w:tcPr>
          <w:p>
            <w:pPr>
              <w:spacing w:after="0"/>
              <w:rPr>
                <w:sz w:val="1"/>
                <w:szCs w:val="1"/>
                <w:color w:val="auto"/>
              </w:rPr>
            </w:pPr>
          </w:p>
        </w:tc>
      </w:tr>
      <w:tr>
        <w:trPr>
          <w:trHeight w:val="219"/>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12"/>
        </w:trPr>
        <w:tc>
          <w:tcPr>
            <w:tcW w:w="5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31,945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7,516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39,461</w:t>
            </w:r>
          </w:p>
        </w:tc>
        <w:tc>
          <w:tcPr>
            <w:tcW w:w="0" w:type="dxa"/>
            <w:vAlign w:val="bottom"/>
          </w:tcPr>
          <w:p>
            <w:pPr>
              <w:spacing w:after="0"/>
              <w:rPr>
                <w:sz w:val="1"/>
                <w:szCs w:val="1"/>
                <w:color w:val="auto"/>
              </w:rPr>
            </w:pPr>
          </w:p>
        </w:tc>
      </w:tr>
      <w:tr>
        <w:trPr>
          <w:trHeight w:val="219"/>
        </w:trPr>
        <w:tc>
          <w:tcPr>
            <w:tcW w:w="5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19,725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7,454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30,957</w:t>
            </w:r>
          </w:p>
        </w:tc>
        <w:tc>
          <w:tcPr>
            <w:tcW w:w="0" w:type="dxa"/>
            <w:vAlign w:val="bottom"/>
          </w:tcPr>
          <w:p>
            <w:pPr>
              <w:spacing w:after="0"/>
              <w:rPr>
                <w:sz w:val="1"/>
                <w:szCs w:val="1"/>
                <w:color w:val="auto"/>
              </w:rPr>
            </w:pPr>
          </w:p>
        </w:tc>
      </w:tr>
      <w:tr>
        <w:trPr>
          <w:trHeight w:val="21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12,220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8,504</w:t>
            </w:r>
          </w:p>
        </w:tc>
        <w:tc>
          <w:tcPr>
            <w:tcW w:w="0" w:type="dxa"/>
            <w:vAlign w:val="bottom"/>
          </w:tcPr>
          <w:p>
            <w:pPr>
              <w:spacing w:after="0"/>
              <w:rPr>
                <w:sz w:val="1"/>
                <w:szCs w:val="1"/>
                <w:color w:val="auto"/>
              </w:rPr>
            </w:pPr>
          </w:p>
        </w:tc>
      </w:tr>
      <w:tr>
        <w:trPr>
          <w:trHeight w:val="219"/>
        </w:trPr>
        <w:tc>
          <w:tcPr>
            <w:tcW w:w="5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2,301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1,726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12,094</w:t>
            </w:r>
          </w:p>
        </w:tc>
        <w:tc>
          <w:tcPr>
            <w:tcW w:w="0" w:type="dxa"/>
            <w:vAlign w:val="bottom"/>
          </w:tcPr>
          <w:p>
            <w:pPr>
              <w:spacing w:after="0"/>
              <w:rPr>
                <w:sz w:val="1"/>
                <w:szCs w:val="1"/>
                <w:color w:val="auto"/>
              </w:rPr>
            </w:pPr>
          </w:p>
        </w:tc>
      </w:tr>
      <w:tr>
        <w:trPr>
          <w:trHeight w:val="21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9,919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(1,664)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(3,590)</w:t>
            </w:r>
          </w:p>
        </w:tc>
        <w:tc>
          <w:tcPr>
            <w:tcW w:w="0" w:type="dxa"/>
            <w:vAlign w:val="bottom"/>
          </w:tcPr>
          <w:p>
            <w:pPr>
              <w:spacing w:after="0"/>
              <w:rPr>
                <w:sz w:val="1"/>
                <w:szCs w:val="1"/>
                <w:color w:val="auto"/>
              </w:rPr>
            </w:pPr>
          </w:p>
        </w:tc>
      </w:tr>
      <w:tr>
        <w:trPr>
          <w:trHeight w:val="21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4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(7,748)</w:t>
            </w:r>
          </w:p>
        </w:tc>
        <w:tc>
          <w:tcPr>
            <w:tcW w:w="0" w:type="dxa"/>
            <w:vAlign w:val="bottom"/>
          </w:tcPr>
          <w:p>
            <w:pPr>
              <w:spacing w:after="0"/>
              <w:rPr>
                <w:sz w:val="1"/>
                <w:szCs w:val="1"/>
                <w:color w:val="auto"/>
              </w:rPr>
            </w:pPr>
          </w:p>
        </w:tc>
      </w:tr>
      <w:tr>
        <w:trPr>
          <w:trHeight w:val="186"/>
        </w:trPr>
        <w:tc>
          <w:tcPr>
            <w:tcW w:w="5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3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Income (loss) before income taxes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color w:val="auto"/>
              </w:rPr>
              <w:t>9,919</w:t>
            </w:r>
          </w:p>
        </w:tc>
        <w:tc>
          <w:tcPr>
            <w:tcW w:w="100" w:type="dxa"/>
            <w:vAlign w:val="bottom"/>
          </w:tcPr>
          <w:p>
            <w:pPr>
              <w:spacing w:after="0"/>
              <w:rPr>
                <w:sz w:val="14"/>
                <w:szCs w:val="14"/>
                <w:color w:val="auto"/>
              </w:rPr>
            </w:pPr>
          </w:p>
        </w:tc>
        <w:tc>
          <w:tcPr>
            <w:tcW w:w="2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auto"/>
              </w:rPr>
              <w:t>(1,664)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(19,593)</w:t>
            </w:r>
          </w:p>
        </w:tc>
        <w:tc>
          <w:tcPr>
            <w:tcW w:w="100" w:type="dxa"/>
            <w:vAlign w:val="bottom"/>
          </w:tcPr>
          <w:p>
            <w:pPr>
              <w:spacing w:after="0"/>
              <w:rPr>
                <w:sz w:val="14"/>
                <w:szCs w:val="14"/>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auto"/>
              </w:rPr>
              <w:t>(11,338)</w:t>
            </w:r>
          </w:p>
        </w:tc>
        <w:tc>
          <w:tcPr>
            <w:tcW w:w="0" w:type="dxa"/>
            <w:vAlign w:val="bottom"/>
          </w:tcPr>
          <w:p>
            <w:pPr>
              <w:spacing w:after="0"/>
              <w:rPr>
                <w:sz w:val="1"/>
                <w:szCs w:val="1"/>
                <w:color w:val="auto"/>
              </w:rPr>
            </w:pPr>
          </w:p>
        </w:tc>
      </w:tr>
      <w:tr>
        <w:trPr>
          <w:trHeight w:val="211"/>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Margins: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profit (loss) / service revenue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N/M</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23"/>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Income (loss) from operations / service revenue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N/M</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93"/>
        </w:trPr>
        <w:tc>
          <w:tcPr>
            <w:tcW w:w="5240" w:type="dxa"/>
            <w:vAlign w:val="bottom"/>
          </w:tcPr>
          <w:p>
            <w:pPr>
              <w:spacing w:after="0"/>
              <w:rPr>
                <w:sz w:val="20"/>
                <w:szCs w:val="20"/>
                <w:color w:val="auto"/>
              </w:rPr>
            </w:pPr>
            <w:r>
              <w:rPr>
                <w:rFonts w:ascii="Times New Roman" w:cs="Times New Roman" w:eastAsia="Times New Roman" w:hAnsi="Times New Roman"/>
                <w:sz w:val="17"/>
                <w:szCs w:val="17"/>
                <w:color w:val="auto"/>
              </w:rPr>
              <w:t>_____________________________________</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N/M — not meaningful.</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140" w:type="dxa"/>
            <w:vAlign w:val="bottom"/>
          </w:tcPr>
          <w:p>
            <w:pPr>
              <w:spacing w:after="0"/>
              <w:rPr>
                <w:sz w:val="10"/>
                <w:szCs w:val="10"/>
                <w:color w:val="auto"/>
              </w:rPr>
            </w:pPr>
          </w:p>
        </w:tc>
        <w:tc>
          <w:tcPr>
            <w:tcW w:w="13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w w:val="97"/>
              </w:rPr>
              <w:t>Servicer and Real</w:t>
            </w:r>
          </w:p>
        </w:tc>
        <w:tc>
          <w:tcPr>
            <w:tcW w:w="220" w:type="dxa"/>
            <w:vAlign w:val="bottom"/>
          </w:tcPr>
          <w:p>
            <w:pPr>
              <w:spacing w:after="0"/>
              <w:rPr>
                <w:sz w:val="10"/>
                <w:szCs w:val="10"/>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0"/>
                <w:szCs w:val="10"/>
                <w:color w:val="auto"/>
              </w:rPr>
            </w:pPr>
          </w:p>
        </w:tc>
        <w:tc>
          <w:tcPr>
            <w:tcW w:w="12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Corporate and</w:t>
            </w:r>
          </w:p>
        </w:tc>
        <w:tc>
          <w:tcPr>
            <w:tcW w:w="200" w:type="dxa"/>
            <w:vAlign w:val="bottom"/>
          </w:tcPr>
          <w:p>
            <w:pPr>
              <w:spacing w:after="0"/>
              <w:rPr>
                <w:sz w:val="10"/>
                <w:szCs w:val="10"/>
                <w:color w:val="auto"/>
              </w:rPr>
            </w:pPr>
          </w:p>
        </w:tc>
        <w:tc>
          <w:tcPr>
            <w:tcW w:w="1220" w:type="dxa"/>
            <w:vAlign w:val="bottom"/>
          </w:tcPr>
          <w:p>
            <w:pPr>
              <w:jc w:val="center"/>
              <w:ind w:right="117"/>
              <w:spacing w:after="0" w:line="122"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1"/>
        </w:trPr>
        <w:tc>
          <w:tcPr>
            <w:tcW w:w="5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200" w:type="dxa"/>
            <w:vAlign w:val="bottom"/>
          </w:tcPr>
          <w:p>
            <w:pPr>
              <w:spacing w:after="0"/>
              <w:rPr>
                <w:sz w:val="16"/>
                <w:szCs w:val="16"/>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7"/>
              </w:rPr>
              <w:t>Altisource</w:t>
            </w:r>
          </w:p>
        </w:tc>
        <w:tc>
          <w:tcPr>
            <w:tcW w:w="0" w:type="dxa"/>
            <w:vAlign w:val="bottom"/>
          </w:tcPr>
          <w:p>
            <w:pPr>
              <w:spacing w:after="0"/>
              <w:rPr>
                <w:sz w:val="1"/>
                <w:szCs w:val="1"/>
                <w:color w:val="auto"/>
              </w:rPr>
            </w:pPr>
          </w:p>
        </w:tc>
      </w:tr>
      <w:tr>
        <w:trPr>
          <w:trHeight w:val="189"/>
        </w:trPr>
        <w:tc>
          <w:tcPr>
            <w:tcW w:w="5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Service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27,157</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10,606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37,763</w:t>
            </w: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Reimbursable expenses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1,592</w:t>
            </w:r>
          </w:p>
        </w:tc>
        <w:tc>
          <w:tcPr>
            <w:tcW w:w="0" w:type="dxa"/>
            <w:vAlign w:val="bottom"/>
          </w:tcPr>
          <w:p>
            <w:pPr>
              <w:spacing w:after="0"/>
              <w:rPr>
                <w:sz w:val="1"/>
                <w:szCs w:val="1"/>
                <w:color w:val="auto"/>
              </w:rPr>
            </w:pPr>
          </w:p>
        </w:tc>
      </w:tr>
      <w:tr>
        <w:trPr>
          <w:trHeight w:val="219"/>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12"/>
        </w:trPr>
        <w:tc>
          <w:tcPr>
            <w:tcW w:w="5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28,536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10,980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39,516</w:t>
            </w:r>
          </w:p>
        </w:tc>
        <w:tc>
          <w:tcPr>
            <w:tcW w:w="0" w:type="dxa"/>
            <w:vAlign w:val="bottom"/>
          </w:tcPr>
          <w:p>
            <w:pPr>
              <w:spacing w:after="0"/>
              <w:rPr>
                <w:sz w:val="1"/>
                <w:szCs w:val="1"/>
                <w:color w:val="auto"/>
              </w:rPr>
            </w:pPr>
          </w:p>
        </w:tc>
      </w:tr>
      <w:tr>
        <w:trPr>
          <w:trHeight w:val="219"/>
        </w:trPr>
        <w:tc>
          <w:tcPr>
            <w:tcW w:w="5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19,740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9,307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33,869</w:t>
            </w:r>
          </w:p>
        </w:tc>
        <w:tc>
          <w:tcPr>
            <w:tcW w:w="0" w:type="dxa"/>
            <w:vAlign w:val="bottom"/>
          </w:tcPr>
          <w:p>
            <w:pPr>
              <w:spacing w:after="0"/>
              <w:rPr>
                <w:sz w:val="1"/>
                <w:szCs w:val="1"/>
                <w:color w:val="auto"/>
              </w:rPr>
            </w:pPr>
          </w:p>
        </w:tc>
      </w:tr>
      <w:tr>
        <w:trPr>
          <w:trHeight w:val="21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 (loss)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8,796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1,673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5,647</w:t>
            </w:r>
          </w:p>
        </w:tc>
        <w:tc>
          <w:tcPr>
            <w:tcW w:w="0" w:type="dxa"/>
            <w:vAlign w:val="bottom"/>
          </w:tcPr>
          <w:p>
            <w:pPr>
              <w:spacing w:after="0"/>
              <w:rPr>
                <w:sz w:val="1"/>
                <w:szCs w:val="1"/>
                <w:color w:val="auto"/>
              </w:rPr>
            </w:pPr>
          </w:p>
        </w:tc>
      </w:tr>
      <w:tr>
        <w:trPr>
          <w:trHeight w:val="219"/>
        </w:trPr>
        <w:tc>
          <w:tcPr>
            <w:tcW w:w="5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3,059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2,120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13,974</w:t>
            </w:r>
          </w:p>
        </w:tc>
        <w:tc>
          <w:tcPr>
            <w:tcW w:w="0" w:type="dxa"/>
            <w:vAlign w:val="bottom"/>
          </w:tcPr>
          <w:p>
            <w:pPr>
              <w:spacing w:after="0"/>
              <w:rPr>
                <w:sz w:val="1"/>
                <w:szCs w:val="1"/>
                <w:color w:val="auto"/>
              </w:rPr>
            </w:pPr>
          </w:p>
        </w:tc>
      </w:tr>
      <w:tr>
        <w:trPr>
          <w:trHeight w:val="21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5,737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(8,327)</w:t>
            </w:r>
          </w:p>
        </w:tc>
        <w:tc>
          <w:tcPr>
            <w:tcW w:w="0" w:type="dxa"/>
            <w:vAlign w:val="bottom"/>
          </w:tcPr>
          <w:p>
            <w:pPr>
              <w:spacing w:after="0"/>
              <w:rPr>
                <w:sz w:val="1"/>
                <w:szCs w:val="1"/>
                <w:color w:val="auto"/>
              </w:rPr>
            </w:pPr>
          </w:p>
        </w:tc>
      </w:tr>
      <w:tr>
        <w:trPr>
          <w:trHeight w:val="21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4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(2,816)</w:t>
            </w:r>
          </w:p>
        </w:tc>
        <w:tc>
          <w:tcPr>
            <w:tcW w:w="0" w:type="dxa"/>
            <w:vAlign w:val="bottom"/>
          </w:tcPr>
          <w:p>
            <w:pPr>
              <w:spacing w:after="0"/>
              <w:rPr>
                <w:sz w:val="1"/>
                <w:szCs w:val="1"/>
                <w:color w:val="auto"/>
              </w:rPr>
            </w:pPr>
          </w:p>
        </w:tc>
      </w:tr>
      <w:tr>
        <w:trPr>
          <w:trHeight w:val="186"/>
        </w:trPr>
        <w:tc>
          <w:tcPr>
            <w:tcW w:w="5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34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Income (loss) before income taxes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color w:val="auto"/>
              </w:rPr>
              <w:t>5,737</w:t>
            </w:r>
          </w:p>
        </w:tc>
        <w:tc>
          <w:tcPr>
            <w:tcW w:w="100" w:type="dxa"/>
            <w:vAlign w:val="bottom"/>
          </w:tcPr>
          <w:p>
            <w:pPr>
              <w:spacing w:after="0"/>
              <w:rPr>
                <w:sz w:val="14"/>
                <w:szCs w:val="14"/>
                <w:color w:val="auto"/>
              </w:rPr>
            </w:pPr>
          </w:p>
        </w:tc>
        <w:tc>
          <w:tcPr>
            <w:tcW w:w="2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(16,433)</w:t>
            </w:r>
          </w:p>
        </w:tc>
        <w:tc>
          <w:tcPr>
            <w:tcW w:w="100" w:type="dxa"/>
            <w:vAlign w:val="bottom"/>
          </w:tcPr>
          <w:p>
            <w:pPr>
              <w:spacing w:after="0"/>
              <w:rPr>
                <w:sz w:val="14"/>
                <w:szCs w:val="14"/>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auto"/>
              </w:rPr>
              <w:t>(11,143)</w:t>
            </w:r>
          </w:p>
        </w:tc>
        <w:tc>
          <w:tcPr>
            <w:tcW w:w="0" w:type="dxa"/>
            <w:vAlign w:val="bottom"/>
          </w:tcPr>
          <w:p>
            <w:pPr>
              <w:spacing w:after="0"/>
              <w:rPr>
                <w:sz w:val="1"/>
                <w:szCs w:val="1"/>
                <w:color w:val="auto"/>
              </w:rPr>
            </w:pPr>
          </w:p>
        </w:tc>
      </w:tr>
      <w:tr>
        <w:trPr>
          <w:trHeight w:val="211"/>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Margins: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profit (loss) / service revenue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N/M</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3"/>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Income (loss) from operations / service revenue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N/M</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Servicer and Real Estate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line of business was as follows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89"/>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Solutions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18,534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Marketplace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Technology and SaaS Products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2"/>
        </w:trPr>
        <w:tc>
          <w:tcPr>
            <w:tcW w:w="6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service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6"/>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Reimbursable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Solutions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19"/>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Marketplace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2"/>
        </w:trPr>
        <w:tc>
          <w:tcPr>
            <w:tcW w:w="67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reimbursable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06"/>
        </w:trPr>
        <w:tc>
          <w:tcPr>
            <w:tcW w:w="6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9"/>
        </w:trPr>
        <w:tc>
          <w:tcPr>
            <w:tcW w:w="67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28,536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recognized service revenue of $29.8 million for the three months ended March 31, 2023, a 10% increase compared to the three months ended March 31, 2022. We also recognized reimbursable expense revenue of $2.2 million for the three months ended March 31, 2023, a 58% increase compared to the three months ended March 31, 2022. The increase in service revenue in the Servicer and Real Estate segment for the three months ended March 31, 2023 was driven by the continuing recovery of the default market. The increase in our Solutions business is primarily driven by higher property preservation referrals in the Field Services business. The increase in the Technology and SaaS Products business was from higher professional services revenue in the Equator business.</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pandemic and related measures and the rapid rise in mortgage interest rates the seasonal impact to revenue may not follow historical patterns.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and Gross Profit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of revenue consisted of the following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89"/>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Outside fees and services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8,624</w:t>
            </w:r>
          </w:p>
        </w:tc>
        <w:tc>
          <w:tcPr>
            <w:tcW w:w="1520" w:type="dxa"/>
            <w:vAlign w:val="bottom"/>
            <w:gridSpan w:val="2"/>
            <w:shd w:val="clear" w:color="auto" w:fill="CCEEFF"/>
          </w:tcPr>
          <w:p>
            <w:pPr>
              <w:jc w:val="center"/>
              <w:ind w:left="1134"/>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7,098</w:t>
            </w:r>
          </w:p>
        </w:tc>
        <w:tc>
          <w:tcPr>
            <w:tcW w:w="1520" w:type="dxa"/>
            <w:vAlign w:val="bottom"/>
            <w:gridSpan w:val="2"/>
          </w:tcPr>
          <w:p>
            <w:pPr>
              <w:jc w:val="center"/>
              <w:ind w:left="1114"/>
              <w:spacing w:after="0"/>
              <w:rPr>
                <w:sz w:val="20"/>
                <w:szCs w:val="20"/>
                <w:color w:val="auto"/>
              </w:rPr>
            </w:pPr>
            <w:r>
              <w:rPr>
                <w:rFonts w:ascii="Times New Roman" w:cs="Times New Roman" w:eastAsia="Times New Roman" w:hAnsi="Times New Roman"/>
                <w:sz w:val="17"/>
                <w:szCs w:val="17"/>
                <w:color w:val="auto"/>
                <w:w w:val="98"/>
              </w:rPr>
              <w:t>(19)</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Reimbursable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520" w:type="dxa"/>
            <w:vAlign w:val="bottom"/>
            <w:gridSpan w:val="2"/>
            <w:shd w:val="clear" w:color="auto" w:fill="CCEEFF"/>
          </w:tcPr>
          <w:p>
            <w:pPr>
              <w:jc w:val="center"/>
              <w:ind w:left="1134"/>
              <w:spacing w:after="0"/>
              <w:rPr>
                <w:sz w:val="20"/>
                <w:szCs w:val="20"/>
                <w:color w:val="auto"/>
              </w:rPr>
            </w:pPr>
            <w:r>
              <w:rPr>
                <w:rFonts w:ascii="Times New Roman" w:cs="Times New Roman" w:eastAsia="Times New Roman" w:hAnsi="Times New Roman"/>
                <w:sz w:val="17"/>
                <w:szCs w:val="17"/>
                <w:color w:val="auto"/>
              </w:rPr>
              <w:t>58</w:t>
            </w: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Technology and telecommunications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1520" w:type="dxa"/>
            <w:vAlign w:val="bottom"/>
            <w:gridSpan w:val="2"/>
          </w:tcPr>
          <w:p>
            <w:pPr>
              <w:jc w:val="center"/>
              <w:ind w:left="1114"/>
              <w:spacing w:after="0"/>
              <w:rPr>
                <w:sz w:val="20"/>
                <w:szCs w:val="20"/>
                <w:color w:val="auto"/>
              </w:rPr>
            </w:pPr>
            <w:r>
              <w:rPr>
                <w:rFonts w:ascii="Times New Roman" w:cs="Times New Roman" w:eastAsia="Times New Roman" w:hAnsi="Times New Roman"/>
                <w:sz w:val="17"/>
                <w:szCs w:val="17"/>
                <w:color w:val="auto"/>
                <w:w w:val="98"/>
              </w:rPr>
              <w:t>(43)</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520" w:type="dxa"/>
            <w:vAlign w:val="bottom"/>
            <w:gridSpan w:val="2"/>
            <w:shd w:val="clear" w:color="auto" w:fill="CCEEFF"/>
          </w:tcPr>
          <w:p>
            <w:pPr>
              <w:jc w:val="center"/>
              <w:ind w:left="1114"/>
              <w:spacing w:after="0"/>
              <w:rPr>
                <w:sz w:val="20"/>
                <w:szCs w:val="20"/>
                <w:color w:val="auto"/>
              </w:rPr>
            </w:pPr>
            <w:r>
              <w:rPr>
                <w:rFonts w:ascii="Times New Roman" w:cs="Times New Roman" w:eastAsia="Times New Roman" w:hAnsi="Times New Roman"/>
                <w:sz w:val="17"/>
                <w:szCs w:val="17"/>
                <w:color w:val="auto"/>
                <w:w w:val="98"/>
              </w:rPr>
              <w:t>(13)</w:t>
            </w:r>
          </w:p>
        </w:tc>
      </w:t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44"/>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ind w:left="1043"/>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Cost of revenue for the three months ended March 31, 2023 of $19.7 million was relatively flat compared to the three months ended March 31, 2022. The stable cost of revenue for the three months ended March 31, 2023 is primarily driven by lower compensation and benefits primarily due to cost savings initiatives and lower technology and telecommunications due to a change in the terms of a vendor agreement for property management technologies and other cost savings initiatives. These decreases are largely offset by higher outside fees and services in the Field Services business in the Solutions business from revenue growth and an increase in reimbursable expenses largely due to revenue growth and a higher volume of asset resolution and asset management activities.</w:t>
      </w:r>
    </w:p>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Gross profit increased to $12.2 million, representing 41% of service revenue, for the three months ended March 31, 2023 compared to $8.8 million, representing 32% of service revenue, for the three months ended March 31, 2022. Gross profit as a</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percentage of service revenue for the three months ended March 31, 2023 increased primarily due to efficiency initiatives and cost savings measures, partially offset by revenue mix with revenue growth in our lower margin Field Services business. Our margins can vary substantially depending upon the service revenue mix.</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SG&amp;A expenses consisted of the following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89"/>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Marketing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 related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44"/>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SG&amp;A for the three months ended March 31, 2023 of $2.3 million decreased by 25% compared to the three months ended March 31, 2022. The decrease in SG&amp;A for the three months ended March 31, 2023 is primarily due to lower professional services driven by certain non-recurring expenses incurred in the first quarter of 2022, lower Other expenses, including reversal of bad debt expense from collection of aged receivables in the first quarter of 2023, and lower occupancy related costs relating to cost savings initiatives.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from Operations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Income from operations increased to $9.9 million, representing 33% of service revenue, for the three months ended March 31, 2023 compared to $5.7 million, representing 21% of service revenue, for the three months ended March 31, 2022. The increase in operating income as a percentage of service revenue for the three months ended March 31, 2023 is primarily the result of higher gross profit margins and a reduction in SG&amp;A expenses with growth in revenue, discussed above.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Origination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business unit was as follows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89"/>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Lenders One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Solutions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9"/>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Technology and SaaS Products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6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service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6"/>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Reimbursable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Solutions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2"/>
        </w:trPr>
        <w:tc>
          <w:tcPr>
            <w:tcW w:w="6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reimbursable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6"/>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44"/>
        </w:trPr>
        <w:tc>
          <w:tcPr>
            <w:tcW w:w="67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recognized service revenue of $7.3 million for the three months ended March 31, 2023, a 31% decrease compared to the three months ended March 31, 2022. We also recognized reimbursable expense revenue of $0.1 million for the three months ended March 31, 2023, a 41% decrease compared to the three months ended March 31, 2022. The decrease in service revenue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Origination segment for the three months ended March 31, 2023 is primarily driven by the overall market decline in mortgage originations. The 1% decline in Lenders One revenue is lower than the estimated 52% overall market decline as we onboarded sales wins with our solutions that are designed to help our members save money. The decline in the Solutions business revenue was greater than the overall market decline as a greater percentage of revenue in some of our Solutions businesses was derived from refinance transactions which declined at a greater rate than the overall market.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and Gross Profit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of revenue consisted of the following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89"/>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Outside fees and services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4,279</w:t>
            </w:r>
          </w:p>
        </w:tc>
        <w:tc>
          <w:tcPr>
            <w:tcW w:w="1520" w:type="dxa"/>
            <w:vAlign w:val="bottom"/>
            <w:gridSpan w:val="2"/>
            <w:shd w:val="clear" w:color="auto" w:fill="CCEEFF"/>
          </w:tcPr>
          <w:p>
            <w:pPr>
              <w:jc w:val="center"/>
              <w:ind w:left="1134"/>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4,305</w:t>
            </w:r>
          </w:p>
        </w:tc>
        <w:tc>
          <w:tcPr>
            <w:tcW w:w="1520" w:type="dxa"/>
            <w:vAlign w:val="bottom"/>
            <w:gridSpan w:val="2"/>
          </w:tcPr>
          <w:p>
            <w:pPr>
              <w:jc w:val="center"/>
              <w:ind w:left="1114"/>
              <w:spacing w:after="0"/>
              <w:rPr>
                <w:sz w:val="20"/>
                <w:szCs w:val="20"/>
                <w:color w:val="auto"/>
              </w:rPr>
            </w:pPr>
            <w:r>
              <w:rPr>
                <w:rFonts w:ascii="Times New Roman" w:cs="Times New Roman" w:eastAsia="Times New Roman" w:hAnsi="Times New Roman"/>
                <w:sz w:val="17"/>
                <w:szCs w:val="17"/>
                <w:color w:val="auto"/>
                <w:w w:val="98"/>
              </w:rPr>
              <w:t>(50)</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telecommunications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520" w:type="dxa"/>
            <w:vAlign w:val="bottom"/>
            <w:gridSpan w:val="2"/>
            <w:shd w:val="clear" w:color="auto" w:fill="CCEEFF"/>
          </w:tcPr>
          <w:p>
            <w:pPr>
              <w:jc w:val="center"/>
              <w:ind w:left="1114"/>
              <w:spacing w:after="0"/>
              <w:rPr>
                <w:sz w:val="20"/>
                <w:szCs w:val="20"/>
                <w:color w:val="auto"/>
              </w:rPr>
            </w:pPr>
            <w:r>
              <w:rPr>
                <w:rFonts w:ascii="Times New Roman" w:cs="Times New Roman" w:eastAsia="Times New Roman" w:hAnsi="Times New Roman"/>
                <w:sz w:val="17"/>
                <w:szCs w:val="17"/>
                <w:color w:val="auto"/>
                <w:w w:val="98"/>
              </w:rPr>
              <w:t>(34)</w:t>
            </w: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Reimbursable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520" w:type="dxa"/>
            <w:vAlign w:val="bottom"/>
            <w:gridSpan w:val="2"/>
          </w:tcPr>
          <w:p>
            <w:pPr>
              <w:jc w:val="center"/>
              <w:ind w:left="1114"/>
              <w:spacing w:after="0"/>
              <w:rPr>
                <w:sz w:val="20"/>
                <w:szCs w:val="20"/>
                <w:color w:val="auto"/>
              </w:rPr>
            </w:pPr>
            <w:r>
              <w:rPr>
                <w:rFonts w:ascii="Times New Roman" w:cs="Times New Roman" w:eastAsia="Times New Roman" w:hAnsi="Times New Roman"/>
                <w:sz w:val="17"/>
                <w:szCs w:val="17"/>
                <w:color w:val="auto"/>
                <w:w w:val="98"/>
              </w:rPr>
              <w:t>(41)</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1043"/>
              <w:spacing w:after="0"/>
              <w:rPr>
                <w:sz w:val="20"/>
                <w:szCs w:val="20"/>
                <w:color w:val="auto"/>
              </w:rPr>
            </w:pPr>
            <w:r>
              <w:rPr>
                <w:rFonts w:ascii="Times New Roman" w:cs="Times New Roman" w:eastAsia="Times New Roman" w:hAnsi="Times New Roman"/>
                <w:sz w:val="17"/>
                <w:szCs w:val="17"/>
                <w:color w:val="auto"/>
              </w:rPr>
              <w:t>—</w:t>
            </w:r>
          </w:p>
        </w:tc>
      </w:t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44"/>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9,307</w:t>
            </w:r>
          </w:p>
        </w:tc>
        <w:tc>
          <w:tcPr>
            <w:tcW w:w="1520" w:type="dxa"/>
            <w:vAlign w:val="bottom"/>
            <w:tcBorders>
              <w:bottom w:val="single" w:sz="8" w:color="CCEEFF"/>
            </w:tcBorders>
            <w:gridSpan w:val="2"/>
            <w:shd w:val="clear" w:color="auto" w:fill="CCEEFF"/>
          </w:tcPr>
          <w:p>
            <w:pPr>
              <w:jc w:val="center"/>
              <w:ind w:left="1114"/>
              <w:spacing w:after="0"/>
              <w:rPr>
                <w:sz w:val="20"/>
                <w:szCs w:val="20"/>
                <w:color w:val="auto"/>
              </w:rPr>
            </w:pPr>
            <w:r>
              <w:rPr>
                <w:rFonts w:ascii="Times New Roman" w:cs="Times New Roman" w:eastAsia="Times New Roman" w:hAnsi="Times New Roman"/>
                <w:sz w:val="17"/>
                <w:szCs w:val="17"/>
                <w:color w:val="auto"/>
                <w:w w:val="98"/>
              </w:rPr>
              <w:t>(20)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revenue for the three months ended March 31, 2023 of $7.5 million decreased by 20% compared to the three months ended March 31, 2022. The decrease in cost of revenue for the three months ended March 31, 2023 was primarily driven by the alignment of compensation and benefits with lower service revenue discussed above, partially offset by an increase in outside fees and services from growth in sales of certain Lenders One reseller solutions.</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Gross profit decreased to $0.1 million, representing 1% of service revenue, for the three months ended March 31, 2023 compared to $1.7 million, representing 16% of service revenue, for the three months ended March 31, 2022. Gross profit as a percentage of service revenue decreased primarily as costs did not decline at the same rate that revenue declined.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SG&amp;A expenses consisted of the following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89"/>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520" w:type="dxa"/>
            <w:vAlign w:val="bottom"/>
            <w:gridSpan w:val="2"/>
            <w:shd w:val="clear" w:color="auto" w:fill="CCEEFF"/>
          </w:tcPr>
          <w:p>
            <w:pPr>
              <w:jc w:val="center"/>
              <w:ind w:left="1134"/>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tcPr>
          <w:p>
            <w:pPr>
              <w:spacing w:after="0"/>
              <w:rPr>
                <w:sz w:val="19"/>
                <w:szCs w:val="19"/>
                <w:color w:val="auto"/>
              </w:rPr>
            </w:pPr>
          </w:p>
        </w:tc>
        <w:tc>
          <w:tcPr>
            <w:tcW w:w="1420" w:type="dxa"/>
            <w:vAlign w:val="bottom"/>
          </w:tcPr>
          <w:p>
            <w:pPr>
              <w:jc w:val="center"/>
              <w:ind w:left="1043"/>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520" w:type="dxa"/>
            <w:vAlign w:val="bottom"/>
            <w:gridSpan w:val="2"/>
            <w:shd w:val="clear" w:color="auto" w:fill="CCEEFF"/>
          </w:tcPr>
          <w:p>
            <w:pPr>
              <w:jc w:val="center"/>
              <w:ind w:left="1114"/>
              <w:spacing w:after="0"/>
              <w:rPr>
                <w:sz w:val="20"/>
                <w:szCs w:val="20"/>
                <w:color w:val="auto"/>
              </w:rPr>
            </w:pPr>
            <w:r>
              <w:rPr>
                <w:rFonts w:ascii="Times New Roman" w:cs="Times New Roman" w:eastAsia="Times New Roman" w:hAnsi="Times New Roman"/>
                <w:sz w:val="17"/>
                <w:szCs w:val="17"/>
                <w:color w:val="auto"/>
                <w:w w:val="98"/>
              </w:rPr>
              <w:t>(18)</w:t>
            </w: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Marketing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520" w:type="dxa"/>
            <w:vAlign w:val="bottom"/>
            <w:gridSpan w:val="2"/>
          </w:tcPr>
          <w:p>
            <w:pPr>
              <w:jc w:val="center"/>
              <w:ind w:left="1114"/>
              <w:spacing w:after="0"/>
              <w:rPr>
                <w:sz w:val="20"/>
                <w:szCs w:val="20"/>
                <w:color w:val="auto"/>
              </w:rPr>
            </w:pPr>
            <w:r>
              <w:rPr>
                <w:rFonts w:ascii="Times New Roman" w:cs="Times New Roman" w:eastAsia="Times New Roman" w:hAnsi="Times New Roman"/>
                <w:sz w:val="17"/>
                <w:szCs w:val="17"/>
                <w:color w:val="auto"/>
                <w:w w:val="98"/>
              </w:rPr>
              <w:t>(82)</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 related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520" w:type="dxa"/>
            <w:vAlign w:val="bottom"/>
            <w:gridSpan w:val="2"/>
            <w:shd w:val="clear" w:color="auto" w:fill="CCEEFF"/>
          </w:tcPr>
          <w:p>
            <w:pPr>
              <w:jc w:val="center"/>
              <w:ind w:left="1114"/>
              <w:spacing w:after="0"/>
              <w:rPr>
                <w:sz w:val="20"/>
                <w:szCs w:val="20"/>
                <w:color w:val="auto"/>
              </w:rPr>
            </w:pPr>
            <w:r>
              <w:rPr>
                <w:rFonts w:ascii="Times New Roman" w:cs="Times New Roman" w:eastAsia="Times New Roman" w:hAnsi="Times New Roman"/>
                <w:sz w:val="17"/>
                <w:szCs w:val="17"/>
                <w:color w:val="auto"/>
                <w:w w:val="98"/>
              </w:rPr>
              <w:t>(57)</w:t>
            </w:r>
          </w:p>
        </w:tc>
      </w:tr>
      <w:tr>
        <w:trPr>
          <w:trHeight w:val="21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520" w:type="dxa"/>
            <w:vAlign w:val="bottom"/>
            <w:tcBorders>
              <w:bottom w:val="single" w:sz="8" w:color="CCEEFF"/>
            </w:tcBorders>
            <w:gridSpan w:val="2"/>
          </w:tcPr>
          <w:p>
            <w:pPr>
              <w:jc w:val="center"/>
              <w:ind w:left="1114"/>
              <w:spacing w:after="0"/>
              <w:rPr>
                <w:sz w:val="20"/>
                <w:szCs w:val="20"/>
                <w:color w:val="auto"/>
              </w:rPr>
            </w:pPr>
            <w:r>
              <w:rPr>
                <w:rFonts w:ascii="Times New Roman" w:cs="Times New Roman" w:eastAsia="Times New Roman" w:hAnsi="Times New Roman"/>
                <w:sz w:val="17"/>
                <w:szCs w:val="17"/>
                <w:color w:val="auto"/>
                <w:w w:val="98"/>
              </w:rPr>
              <w:t>(31)</w:t>
            </w:r>
          </w:p>
        </w:tc>
      </w:tr>
      <w:tr>
        <w:trPr>
          <w:trHeight w:val="186"/>
        </w:trPr>
        <w:tc>
          <w:tcPr>
            <w:tcW w:w="6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2,120</w:t>
            </w:r>
          </w:p>
        </w:tc>
        <w:tc>
          <w:tcPr>
            <w:tcW w:w="1520" w:type="dxa"/>
            <w:vAlign w:val="bottom"/>
            <w:gridSpan w:val="2"/>
          </w:tcPr>
          <w:p>
            <w:pPr>
              <w:jc w:val="center"/>
              <w:ind w:left="1114"/>
              <w:spacing w:after="0"/>
              <w:rPr>
                <w:sz w:val="20"/>
                <w:szCs w:val="20"/>
                <w:color w:val="auto"/>
              </w:rPr>
            </w:pPr>
            <w:r>
              <w:rPr>
                <w:rFonts w:ascii="Times New Roman" w:cs="Times New Roman" w:eastAsia="Times New Roman" w:hAnsi="Times New Roman"/>
                <w:sz w:val="17"/>
                <w:szCs w:val="17"/>
                <w:color w:val="auto"/>
                <w:w w:val="98"/>
              </w:rPr>
              <w:t>(19)</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SG&amp;A for the three months ended March 31, 2023 of $1.7 million decreased by 19% compared to the three months ended March 31, 2022. The decrease in SG&amp;A for the three months ended March 31, 2023 is primarily due to lower marketing costs from efficiency measures and lower occupancy related costs. The decrease for the three months ended March 31, 2023 was partially offset by an increase in the number of sales employees.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from Operations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Loss from operations increased to $(1.7) million, representing (23)% of service revenue, for the three months ended March 31, 2023 compared to $(0.4) million, representing (4)% of service revenue, for the three months ended March 31, 2022. The increase in operating loss as a percentage of service revenue for the three months ended March 31, 2023 is primarily the result of lower gross profit margins, as discussed above, and the percentage reduction in SG&amp;A expenses was lower than the percentage change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and Others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of revenue consisted of the following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89"/>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Technology and telecommunications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44"/>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revenue for the three months ended March 31, 2023 of $3.8 million decreased by 22% compared to the three months ended March 31, 2022. The decrease in cost of revenue for the three months ended March 31, 2023 is primarily driven by lower compensation and benefits and technology and telecommunications due to cost savings initiatives.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SG&amp;A expenses consisted of the following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89"/>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benefits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Occupancy related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Marketing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_____________________________________</w:t>
            </w: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N/M — not meaningful.</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SG&amp;A for the three months ended March 31, 2023 of $8.1 million decreased by 8% compared to the three months ended March 31, 2022. The decrease was primarily driven by lower professional services and Other expenses. Professional services for the three months ended March 31, 2023 decreased due to lower insurance, legal and audit related expenses. The decreases for the three months ended March 31, 2023 were partially offset by an increase in compensation and benefits in the first quarter of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principally includes interest expense and other non-operating gains and losses.</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Other income (expense), net was $(7.7) million for the three months ended March 31, 2023 compared to $(2.8) million for the three months ended March 31, 2022. The change for the three months ended March 31, 2023 was primarily driven by an increase of $3.2 million in interest expense driven by higher interest rates on our SSTL and higher amortization of debt discount and debt issuance and amendment costs, and $3.2 million of debt amendment costs in the three months ended March 31, 2023, partially offset by higher interest and other income.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LIQUIDITY AND CAPITAL RESOURCES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primary source of liquidity has historically been cash flow from operations, cash proceeds from sales of businesses and cash on hand. However, due to governmental and market responses to the COVID-19 pandemic, revenue has declined significantly. The lower revenue, partially offset by cost savings initiatives, resulted in negative operating cash flow from operations for the three months ended March 31, 2023 and 2022. We believe our anticipated revenue growth from the return of the default market, on-boarding sales wins, and revenue mix together with our reduced cost structure, should help reduce negative operating cash flow. 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We also use cash for repayments of our long-term debt and capital investments. In addition, from time to time we consider and evaluate business acquisitions, dispositions, closures or other similar actions that are aligned with our strategy.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Secured Term Loans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senior secured term loans (“SSTL”). Effective February 14, 2023, Altisource Portfolio Solutions S.A. and Altisource S.à r.l. entered into Amendment No. 2 to the Credit Agreement (as amended by Amendment No. 2, the “Amended Credit Agreement”). Altisource Portfolio Solutions S.A. and certain subsidiaries are guarantors of the SSTL (collectively, the “Guarantors”).</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maturity date of the SSTL under the Amended Credit Agreement is April 30, 2025. If Aggregate Paydowns are equal to or greater than $30 million, then (subject to the representations and warranties being true and correct as of such date and there being no default or event of default being in existence as of such date) the maturity date of the SSTL may be extended at the Company’s option to April 30, 2026. Such extension is conditioned upon the Company’s payment of a 2% payment-in-kind extension fee.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February 2023, the Company made payments of $20 million toward the determination of Aggregate Paydowns.</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All amounts outstanding under the SSTL will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to the scheduled principal payments, subject to certain exceptions, the SSTL is subject to mandatory prepayment upon issuances of debt, certain casualty and condemnation events and sales of assets, as well as 50% of Consolidated Excess Cash Flow, as calculated in accordance with the provisions of the Amended Credit Agreement.</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14"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7"/>
          <w:szCs w:val="17"/>
          <w:color w:val="auto"/>
        </w:rPr>
        <w:t>Through March 29, 2023, the SSTL’s interest rate was the Adjusted Eurodollar Rate plus 4.00%. Beginning March 30, 2023, the SSTL bears interest at rates based upon, at our option, the Secured Overnight Financing Rate (“SOFR”) or the Base Rate. SOFR term loans initially bear interest at a rate per annum equal to SOFR plus 5.00% payable in cash plus 5.00% payable in kind (“PIK”). Base Rate loans initially bear interest at a rate per annum equal to the Base Rate plus 4.00% payable in cash plus 5.00% PIK. Base Rate term loans bear interest at a rate per annum equal to the sum of (i) the greater of (x) the Base Rate and (y)</w:t>
      </w:r>
    </w:p>
    <w:p>
      <w:pPr>
        <w:spacing w:after="0" w:line="1"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7"/>
          <w:szCs w:val="17"/>
          <w:color w:val="auto"/>
        </w:rPr>
        <w:t>2.00% plus (ii) 4.00%. The interest rate as of March 31, 2023 was 14.49%. The PIK component of the interest rate is subject to adjustment based on the amount of Aggregate Paydowns as set forth in the table below. Based on Aggregate Paydowns of $20 million through March 31, 2023, the PIK component of the interest rate declined to 4.50%.</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0" w:type="dxa"/>
            <w:vAlign w:val="bottom"/>
          </w:tcPr>
          <w:p>
            <w:pPr>
              <w:ind w:left="3960"/>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3960" w:type="dxa"/>
            <w:vAlign w:val="bottom"/>
          </w:tcPr>
          <w:p>
            <w:pPr>
              <w:jc w:val="center"/>
              <w:ind w:left="1876"/>
              <w:spacing w:after="0"/>
              <w:rPr>
                <w:sz w:val="20"/>
                <w:szCs w:val="20"/>
                <w:color w:val="auto"/>
              </w:rPr>
            </w:pPr>
            <w:r>
              <w:rPr>
                <w:rFonts w:ascii="Times New Roman" w:cs="Times New Roman" w:eastAsia="Times New Roman" w:hAnsi="Times New Roman"/>
                <w:sz w:val="14"/>
                <w:szCs w:val="14"/>
                <w:b w:val="1"/>
                <w:bCs w:val="1"/>
                <w:color w:val="auto"/>
                <w:w w:val="98"/>
              </w:rPr>
              <w:t>PIK Component of Interest Rate</w:t>
            </w:r>
          </w:p>
        </w:tc>
      </w:tr>
      <w:tr>
        <w:trPr>
          <w:trHeight w:val="22"/>
        </w:trPr>
        <w:tc>
          <w:tcPr>
            <w:tcW w:w="72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r>
      <w:tr>
        <w:trPr>
          <w:trHeight w:val="22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$20 million</w:t>
            </w:r>
          </w:p>
        </w:tc>
        <w:tc>
          <w:tcPr>
            <w:tcW w:w="3960" w:type="dxa"/>
            <w:vAlign w:val="bottom"/>
            <w:shd w:val="clear" w:color="auto" w:fill="CCEEFF"/>
          </w:tcPr>
          <w:p>
            <w:pPr>
              <w:jc w:val="center"/>
              <w:ind w:left="1876"/>
              <w:spacing w:after="0"/>
              <w:rPr>
                <w:sz w:val="20"/>
                <w:szCs w:val="20"/>
                <w:color w:val="auto"/>
              </w:rPr>
            </w:pPr>
            <w:r>
              <w:rPr>
                <w:rFonts w:ascii="Times New Roman" w:cs="Times New Roman" w:eastAsia="Times New Roman" w:hAnsi="Times New Roman"/>
                <w:sz w:val="17"/>
                <w:szCs w:val="17"/>
                <w:color w:val="auto"/>
              </w:rPr>
              <w:t>5.00%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 million+ but less than below</w:t>
            </w:r>
          </w:p>
        </w:tc>
        <w:tc>
          <w:tcPr>
            <w:tcW w:w="3960" w:type="dxa"/>
            <w:vAlign w:val="bottom"/>
          </w:tcPr>
          <w:p>
            <w:pPr>
              <w:jc w:val="center"/>
              <w:ind w:left="1876"/>
              <w:spacing w:after="0"/>
              <w:rPr>
                <w:sz w:val="20"/>
                <w:szCs w:val="20"/>
                <w:color w:val="auto"/>
              </w:rPr>
            </w:pPr>
            <w:r>
              <w:rPr>
                <w:rFonts w:ascii="Times New Roman" w:cs="Times New Roman" w:eastAsia="Times New Roman" w:hAnsi="Times New Roman"/>
                <w:sz w:val="17"/>
                <w:szCs w:val="17"/>
                <w:color w:val="auto"/>
              </w:rPr>
              <w:t>4.50%</w:t>
            </w:r>
          </w:p>
        </w:tc>
      </w:tr>
      <w:tr>
        <w:trPr>
          <w:trHeight w:val="23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million+ but less than below</w:t>
            </w:r>
          </w:p>
        </w:tc>
        <w:tc>
          <w:tcPr>
            <w:tcW w:w="3960" w:type="dxa"/>
            <w:vAlign w:val="bottom"/>
            <w:shd w:val="clear" w:color="auto" w:fill="CCEEFF"/>
          </w:tcPr>
          <w:p>
            <w:pPr>
              <w:jc w:val="center"/>
              <w:ind w:left="1876"/>
              <w:spacing w:after="0"/>
              <w:rPr>
                <w:sz w:val="20"/>
                <w:szCs w:val="20"/>
                <w:color w:val="auto"/>
              </w:rPr>
            </w:pPr>
            <w:r>
              <w:rPr>
                <w:rFonts w:ascii="Times New Roman" w:cs="Times New Roman" w:eastAsia="Times New Roman" w:hAnsi="Times New Roman"/>
                <w:sz w:val="17"/>
                <w:szCs w:val="17"/>
                <w:color w:val="auto"/>
              </w:rPr>
              <w:t>3.75%</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 million+ but less than below</w:t>
            </w:r>
          </w:p>
        </w:tc>
        <w:tc>
          <w:tcPr>
            <w:tcW w:w="3960" w:type="dxa"/>
            <w:vAlign w:val="bottom"/>
          </w:tcPr>
          <w:p>
            <w:pPr>
              <w:jc w:val="center"/>
              <w:ind w:left="1876"/>
              <w:spacing w:after="0"/>
              <w:rPr>
                <w:sz w:val="20"/>
                <w:szCs w:val="20"/>
                <w:color w:val="auto"/>
              </w:rPr>
            </w:pPr>
            <w:r>
              <w:rPr>
                <w:rFonts w:ascii="Times New Roman" w:cs="Times New Roman" w:eastAsia="Times New Roman" w:hAnsi="Times New Roman"/>
                <w:sz w:val="17"/>
                <w:szCs w:val="17"/>
                <w:color w:val="auto"/>
              </w:rPr>
              <w:t>3.50%</w:t>
            </w:r>
          </w:p>
        </w:tc>
      </w:tr>
      <w:tr>
        <w:trPr>
          <w:trHeight w:val="23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$45 million+ but less than below</w:t>
            </w:r>
          </w:p>
        </w:tc>
        <w:tc>
          <w:tcPr>
            <w:tcW w:w="3960" w:type="dxa"/>
            <w:vAlign w:val="bottom"/>
            <w:shd w:val="clear" w:color="auto" w:fill="CCEEFF"/>
          </w:tcPr>
          <w:p>
            <w:pPr>
              <w:jc w:val="center"/>
              <w:ind w:left="1876"/>
              <w:spacing w:after="0"/>
              <w:rPr>
                <w:sz w:val="20"/>
                <w:szCs w:val="20"/>
                <w:color w:val="auto"/>
              </w:rPr>
            </w:pPr>
            <w:r>
              <w:rPr>
                <w:rFonts w:ascii="Times New Roman" w:cs="Times New Roman" w:eastAsia="Times New Roman" w:hAnsi="Times New Roman"/>
                <w:sz w:val="17"/>
                <w:szCs w:val="17"/>
                <w:color w:val="auto"/>
              </w:rPr>
              <w:t>3.00%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$50 million+ but less than below</w:t>
            </w:r>
          </w:p>
        </w:tc>
        <w:tc>
          <w:tcPr>
            <w:tcW w:w="3960" w:type="dxa"/>
            <w:vAlign w:val="bottom"/>
          </w:tcPr>
          <w:p>
            <w:pPr>
              <w:jc w:val="center"/>
              <w:ind w:left="1876"/>
              <w:spacing w:after="0"/>
              <w:rPr>
                <w:sz w:val="20"/>
                <w:szCs w:val="20"/>
                <w:color w:val="auto"/>
              </w:rPr>
            </w:pPr>
            <w:r>
              <w:rPr>
                <w:rFonts w:ascii="Times New Roman" w:cs="Times New Roman" w:eastAsia="Times New Roman" w:hAnsi="Times New Roman"/>
                <w:sz w:val="17"/>
                <w:szCs w:val="17"/>
                <w:color w:val="auto"/>
              </w:rPr>
              <w:t>2.50%</w:t>
            </w:r>
          </w:p>
        </w:tc>
      </w:tr>
      <w:tr>
        <w:trPr>
          <w:trHeight w:val="23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$55 million+ but less than below</w:t>
            </w:r>
          </w:p>
        </w:tc>
        <w:tc>
          <w:tcPr>
            <w:tcW w:w="3960" w:type="dxa"/>
            <w:vAlign w:val="bottom"/>
            <w:shd w:val="clear" w:color="auto" w:fill="CCEEFF"/>
          </w:tcPr>
          <w:p>
            <w:pPr>
              <w:jc w:val="center"/>
              <w:ind w:left="1876"/>
              <w:spacing w:after="0"/>
              <w:rPr>
                <w:sz w:val="20"/>
                <w:szCs w:val="20"/>
                <w:color w:val="auto"/>
              </w:rPr>
            </w:pPr>
            <w:r>
              <w:rPr>
                <w:rFonts w:ascii="Times New Roman" w:cs="Times New Roman" w:eastAsia="Times New Roman" w:hAnsi="Times New Roman"/>
                <w:sz w:val="17"/>
                <w:szCs w:val="17"/>
                <w:color w:val="auto"/>
              </w:rPr>
              <w:t>2.00%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 million+ but less than below</w:t>
            </w:r>
          </w:p>
        </w:tc>
        <w:tc>
          <w:tcPr>
            <w:tcW w:w="3960" w:type="dxa"/>
            <w:vAlign w:val="bottom"/>
          </w:tcPr>
          <w:p>
            <w:pPr>
              <w:jc w:val="center"/>
              <w:ind w:left="1876"/>
              <w:spacing w:after="0"/>
              <w:rPr>
                <w:sz w:val="20"/>
                <w:szCs w:val="20"/>
                <w:color w:val="auto"/>
              </w:rPr>
            </w:pPr>
            <w:r>
              <w:rPr>
                <w:rFonts w:ascii="Times New Roman" w:cs="Times New Roman" w:eastAsia="Times New Roman" w:hAnsi="Times New Roman"/>
                <w:sz w:val="17"/>
                <w:szCs w:val="17"/>
                <w:color w:val="auto"/>
              </w:rPr>
              <w:t>1.00%</w:t>
            </w:r>
          </w:p>
        </w:tc>
      </w:tr>
      <w:tr>
        <w:trPr>
          <w:trHeight w:val="23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$65 million+ but less than below</w:t>
            </w:r>
          </w:p>
        </w:tc>
        <w:tc>
          <w:tcPr>
            <w:tcW w:w="3960" w:type="dxa"/>
            <w:vAlign w:val="bottom"/>
            <w:shd w:val="clear" w:color="auto" w:fill="CCEEFF"/>
          </w:tcPr>
          <w:p>
            <w:pPr>
              <w:jc w:val="center"/>
              <w:ind w:left="1876"/>
              <w:spacing w:after="0"/>
              <w:rPr>
                <w:sz w:val="20"/>
                <w:szCs w:val="20"/>
                <w:color w:val="auto"/>
              </w:rPr>
            </w:pPr>
            <w:r>
              <w:rPr>
                <w:rFonts w:ascii="Times New Roman" w:cs="Times New Roman" w:eastAsia="Times New Roman" w:hAnsi="Times New Roman"/>
                <w:sz w:val="17"/>
                <w:szCs w:val="17"/>
                <w:color w:val="auto"/>
              </w:rPr>
              <w:t>0.50%</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$70 million+</w:t>
            </w:r>
          </w:p>
        </w:tc>
        <w:tc>
          <w:tcPr>
            <w:tcW w:w="3960" w:type="dxa"/>
            <w:vAlign w:val="bottom"/>
          </w:tcPr>
          <w:p>
            <w:pPr>
              <w:jc w:val="center"/>
              <w:ind w:left="1876"/>
              <w:spacing w:after="0"/>
              <w:rPr>
                <w:sz w:val="20"/>
                <w:szCs w:val="20"/>
                <w:color w:val="auto"/>
              </w:rPr>
            </w:pPr>
            <w:r>
              <w:rPr>
                <w:rFonts w:ascii="Times New Roman" w:cs="Times New Roman" w:eastAsia="Times New Roman" w:hAnsi="Times New Roman"/>
                <w:sz w:val="17"/>
                <w:szCs w:val="17"/>
                <w:color w:val="auto"/>
              </w:rPr>
              <w:t>0.00%</w:t>
            </w:r>
          </w:p>
        </w:tc>
      </w:tr>
    </w:tbl>
    <w:p>
      <w:pPr>
        <w:spacing w:after="0" w:line="23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3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Amended Credit Agreement includes covenants that restrict or limit, among other things, our ability, subject to certain exceptions and baskets, to incur additional debt, pay dividends and repurchase shares of our common stock. Under the Amended Credit Agreement, we are not permitted to repurchase shares except for limited circumstances. In the event we require additional liquidity, our ability to obtain it may be limited by the Credit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2023, the outstanding principal balance of the SSTL was $227.2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Revolver</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22, 2021 Altisource S.à r.l, a subsidiary of Altisource Portfolio Solutions S.A., entered into a revolving credit facility with a related party, STS Master Fund, Ltd. (“STS”) (the “Revolver”). STS is an investment fund managed by Deer Park. Deer Park owns approximately 20% of Altisource’s common stock as of March 31, 2023 and owns Altisource debt as a lender under the Amended Credit Agreement. Deer Park’s Chief Investment Officer and managing partner was a member of Altisource’s Board of Directors until his resignation on March 1, 2022. The replacement director appointed by the Board of Directors is a current employee of Deer Park.</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maturity date of the Amended Revolver coincides with the maturity date of the SSTL under the Amended Credit Agreement, as it may be extended. The outstanding balance on the Amended Revolver is due and payable on such maturity date.</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2023, there was no outstanding debt under the Amended Revolver.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our cash flows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89"/>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102,149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44"/>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83,887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Cash flows from operating activities generally consist of the cash effects of transactions and events that enter into the determination of net loss. For the three months ended March 31, 2023, net cash used in operating activities was $(3.1) million compared to net cash used in operating activities of $(16.9) million for the three months ended March 31, 2022. During the three months ended March 31, 2023, the decrease in cash used in operating activities was driven by a $14.8 million decrease in cash used for working capital and a $1.1 million increase in non-cash interest expense (amortization of debt discount and amortization of debt issuance and amendment costs), partially offset by a $0.8 million increase in net loss and a $0.3 million decrease in non-cash depreciation, amortization of intangibles, stock based compensation expenses and deferred income tax expenses. The increase in net loss was primarily due to higher interest expense driven by higher interest rates on our SSTL, debt amendment costs and lower gross profit in the Origination segment from lower revenue, partially offset by higher gross profit in the Servicer and Real Estate segment from revenue growth, our cash cost savings measures, and lower SG&amp;A expenses. The decrease in cash used for changes in working capital was primarily driven by the $4.7 million net collection of taxes receivable in the first quarter of 2023 compared to a net payment of taxes of $3.3 million in the first quarter of 2022, a $2.0 million return of surety bonds, and no cash bonuses paid in the three months ended March 31, 2023. Non-cash interest expense increased as a result of the February 2023 Amended Credit Agreement.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Cash flows from investing activities for the three months ended March 31, 2022 consisted of additions to premises and equipment and proceeds from the sale of a business. Net cash used in investing activities was $(0.1) million for the three months ended March 31, 2022 (no comparable amount for the three months ended March 31, 2023). In addition, we used $(0.1) million for the three months ended March 31, 2022 for additions to premises and equipment primarily related to investments in the development of certain software applications and facility improvements (no comparable amount for the three months ended March 31,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Net cash used in financing activities were $(4.9) million and $(1.3) million for the three months ended March 31, 2023 and 2022, respectively. During the three months ended March 31, 2023, we received proceeds from the issuance of common stock, net of issuance costs of $20.5 million and used $(20.0) million of the proceeds for repayment of debt. Also during the three months ended March 31, 2023, we paid $(4.8) million to lenders or others on behalf of the lenders related to the debt amendment. During the three months ended March 31, 2023 and 2022, we made payments of $(0.5) million and $(1.0)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three months ended March 31, 2023 and 2022, we distributed $(0.1) million and $(0.3) million, respectively, to non-controlling interests.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Future Uses of Cash</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Our significant future liquidity obligations primarily pertain to the maturity of the Amended Credit Agreement, interest expense under the Amended Credit Agreement (see Liquidity section above), distributions to Lenders One members and operating lease payments on certain of our premises and equipment.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future uses of cash include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320" w:type="dxa"/>
            <w:vAlign w:val="bottom"/>
          </w:tcPr>
          <w:p>
            <w:pPr>
              <w:spacing w:after="0" w:line="20" w:lineRule="exact"/>
              <w:rPr>
                <w:sz w:val="1"/>
                <w:szCs w:val="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2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2026-2027</w:t>
            </w:r>
          </w:p>
        </w:tc>
        <w:tc>
          <w:tcPr>
            <w:tcW w:w="0" w:type="dxa"/>
            <w:vAlign w:val="bottom"/>
          </w:tcPr>
          <w:p>
            <w:pPr>
              <w:spacing w:after="0"/>
              <w:rPr>
                <w:sz w:val="1"/>
                <w:szCs w:val="1"/>
                <w:color w:val="auto"/>
              </w:rPr>
            </w:pPr>
          </w:p>
        </w:tc>
      </w:tr>
      <w:tr>
        <w:trPr>
          <w:trHeight w:val="189"/>
        </w:trPr>
        <w:tc>
          <w:tcPr>
            <w:tcW w:w="5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Senior secured term loans </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22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Interest expense payments </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payments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19,629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285,200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5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240" w:hanging="237"/>
        <w:spacing w:after="0" w:line="243" w:lineRule="auto"/>
        <w:tabs>
          <w:tab w:leader="none" w:pos="313"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outstanding balance of our SSTL as of March 31, 2023 is $227.2 million and is due on April 30, 2025. The maturity date of the SSTL may be extended to April 30, 2026 at the Company’s option if Aggregate Paydowns made prior to February 14, 2024 total $30 million or more. In the first quarter of 2023, the Company made $20 million of payments toward the determination of Aggregate Paydowns. The table herein reflects a maturity of April 2025 as the Company has not made Aggregate Paydowns of $30 million or more at the time of this filing. The increase in outstanding balance is from the PIK component of our interest expense and is assumed to be paid in kind.</w:t>
      </w:r>
    </w:p>
    <w:p>
      <w:pPr>
        <w:ind w:left="240" w:hanging="237"/>
        <w:spacing w:after="0" w:line="220" w:lineRule="auto"/>
        <w:tabs>
          <w:tab w:leader="none" w:pos="341"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Estimated future interest payments based on the SOFR interest rate as of March 31, 2023 and the April 30, 2025 maturity date. Based on the April 30, 2025 maturity date, no interest expense has been included beyond April 30, 2025.</w:t>
      </w:r>
    </w:p>
    <w:p>
      <w:pPr>
        <w:spacing w:after="0" w:line="1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anticipate to fund future liquidity requirements with a combination of existing cash balances, cash anticipated to be generated by operating activities and, as needed, proceeds from the Amended Revolver. For further information, see Note 11 and Note 21 to the condensed consolidated financial statements.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off-balance sheet arrangements consist of escrow arrangements.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hold customers’ assets in escrow accounts at various financial institutions pending completion of certain real estate activities. These amounts are held in escrow accounts for limited periods of time and are not included in the condensed consolidated balance sheets. Amounts held in escrow accounts were $15.8 million and $13.2 million as of March 31, 2023 and December 31, 2022,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Commitments and Contingencies</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three months ended March 31, 2023, there were no significant changes to our contractual obligations from those identified in our Form 10-K for the fiscal year ended December 31, 2022 and this Form 10-Q, other than those that occur in the normal course of business. See Note 21 to the condensed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CRITICAL ACCOUNTING POLICIES, ESTIMATES AND RECENT ACCOUNTING PRONOUNCEMENTS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critical accounting policies are described in the MD&amp;A section of our Form 10-K for the year ended December 31, 2022 filed with the SEC on March 30, 2023. There have been no material changes to our critical accounting policies during the three months ended March 31, 2023.</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and Future Adoption of New Accounting Pronouncements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See Note 1 to the condensed consolidated financial statements for a discussion of recently issued accounting pronouncements, including pronouncements that were adopted in the current period.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financial market risk consists primarily of interest rate and foreign currency exchange rate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Under the terms of the Amended Credit Agreement, the interest rate charged on the SSTL is SOFR (as defined in the Amended Credit Agreement) with a minimum floor of 1.00% plus 5.00% paid in cash plus 5.00% PIK. Based on the first quarter 2023 par paydown of $20 million, the PIK component was reduced to 4.50% and may be further reduced on a prospective basis based on the Aggregate Paydowns made prior to February 14, 2024.</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Based on the principal amount outstanding and SOFR as of March 31, 2023, a one percentage point increase in SOFR above the minimum floor would increase our annual interest expense by approximately $2.3 million. There would be a $2.3 million decrease in our annual interest expense if there was a one percentage point decrease in SOFR.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Currency Exchange Risk</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first quarter of 2023, a one percentage point increase or decrease in value of the Indian rupee in relation to the United States dollar would increase or decrease our annual expenses by approximately $0.1 million.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65"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March 31, 2023,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March 31, 2023.</w:t>
      </w:r>
    </w:p>
    <w:p>
      <w:pPr>
        <w:spacing w:after="0" w:line="110" w:lineRule="exact"/>
        <w:rPr>
          <w:sz w:val="20"/>
          <w:szCs w:val="20"/>
          <w:color w:val="auto"/>
        </w:rPr>
      </w:pPr>
    </w:p>
    <w:p>
      <w:pPr>
        <w:ind w:left="320" w:hanging="317"/>
        <w:spacing w:after="0"/>
        <w:tabs>
          <w:tab w:leader="none" w:pos="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Internal Control over Financial Reporting</w:t>
      </w:r>
    </w:p>
    <w:p>
      <w:pPr>
        <w:spacing w:after="0" w:line="16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the Exchange Act Rules 13a-15(f) and 15d-15(f)) that occurred during the quarter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Matters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the date of this filing, there have been no material changes in our risk factors from those disclosed in Part I, Item 1A, of our Form 10-K for the year ended December 31, 2022 filed with the SEC on March 30, 2023.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There were no purchases of shares of common stock during the three months ended March 31, 2023. 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 As of March 31, 2023, the maximum number of shares that may be purchased under the repurchase program is 2.4 million shares of the Company’s common stock. In addition to the share repurchase program, during the three months ended March 31, 2023, 83,250 common shares were withheld from employees to satisfy tax withholding obligations that arose from the vesting of restricted shares.</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February 14, 2023, the lenders under the Amended Credit Agreement received warrants to purchase 3,223,851 shares of Altisource common stock (the “Warrant Shares”). The exercise price per share of common stock under each Warrant is equal to $0.01. The number of Warrant Shares is subject to reduction based on the amount of par paydowns on the SSTL in the aggregate using proceeds from issuances of equity interests or from junior indebtedness made prior to February 14, 2024 (“Aggregate Paydowns”) as set forth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5220" w:type="dxa"/>
            <w:vAlign w:val="bottom"/>
          </w:tcPr>
          <w:p>
            <w:pPr>
              <w:jc w:val="center"/>
              <w:ind w:left="3118"/>
              <w:spacing w:after="0"/>
              <w:rPr>
                <w:sz w:val="20"/>
                <w:szCs w:val="20"/>
                <w:color w:val="auto"/>
              </w:rPr>
            </w:pPr>
            <w:r>
              <w:rPr>
                <w:rFonts w:ascii="Times New Roman" w:cs="Times New Roman" w:eastAsia="Times New Roman" w:hAnsi="Times New Roman"/>
                <w:sz w:val="14"/>
                <w:szCs w:val="14"/>
                <w:b w:val="1"/>
                <w:bCs w:val="1"/>
                <w:color w:val="auto"/>
                <w:w w:val="97"/>
              </w:rPr>
              <w:t>Warrant Shares</w:t>
            </w:r>
          </w:p>
        </w:tc>
      </w:tr>
      <w:tr>
        <w:trPr>
          <w:trHeight w:val="22"/>
        </w:trPr>
        <w:tc>
          <w:tcPr>
            <w:tcW w:w="602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than $20 million</w:t>
            </w:r>
          </w:p>
        </w:tc>
        <w:tc>
          <w:tcPr>
            <w:tcW w:w="5220" w:type="dxa"/>
            <w:vAlign w:val="bottom"/>
            <w:shd w:val="clear" w:color="auto" w:fill="CCEEFF"/>
          </w:tcPr>
          <w:p>
            <w:pPr>
              <w:jc w:val="center"/>
              <w:ind w:left="3118"/>
              <w:spacing w:after="0"/>
              <w:rPr>
                <w:sz w:val="20"/>
                <w:szCs w:val="20"/>
                <w:color w:val="auto"/>
              </w:rPr>
            </w:pPr>
            <w:r>
              <w:rPr>
                <w:rFonts w:ascii="Times New Roman" w:cs="Times New Roman" w:eastAsia="Times New Roman" w:hAnsi="Times New Roman"/>
                <w:sz w:val="17"/>
                <w:szCs w:val="17"/>
                <w:color w:val="auto"/>
              </w:rPr>
              <w:t>3,223,851</w:t>
            </w:r>
          </w:p>
        </w:tc>
      </w:tr>
      <w:tr>
        <w:trPr>
          <w:trHeight w:val="228"/>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 million+ but less than below</w:t>
            </w:r>
          </w:p>
        </w:tc>
        <w:tc>
          <w:tcPr>
            <w:tcW w:w="5220" w:type="dxa"/>
            <w:vAlign w:val="bottom"/>
          </w:tcPr>
          <w:p>
            <w:pPr>
              <w:jc w:val="center"/>
              <w:ind w:left="3118"/>
              <w:spacing w:after="0"/>
              <w:rPr>
                <w:sz w:val="20"/>
                <w:szCs w:val="20"/>
                <w:color w:val="auto"/>
              </w:rPr>
            </w:pPr>
            <w:r>
              <w:rPr>
                <w:rFonts w:ascii="Times New Roman" w:cs="Times New Roman" w:eastAsia="Times New Roman" w:hAnsi="Times New Roman"/>
                <w:sz w:val="17"/>
                <w:szCs w:val="17"/>
                <w:color w:val="auto"/>
              </w:rPr>
              <w:t>2,578,743</w:t>
            </w:r>
          </w:p>
        </w:tc>
      </w:tr>
      <w:tr>
        <w:trPr>
          <w:trHeight w:val="23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million+</w:t>
            </w:r>
          </w:p>
        </w:tc>
        <w:tc>
          <w:tcPr>
            <w:tcW w:w="5220" w:type="dxa"/>
            <w:vAlign w:val="bottom"/>
            <w:shd w:val="clear" w:color="auto" w:fill="CCEEFF"/>
          </w:tcPr>
          <w:p>
            <w:pPr>
              <w:jc w:val="center"/>
              <w:ind w:left="3118"/>
              <w:spacing w:after="0"/>
              <w:rPr>
                <w:sz w:val="20"/>
                <w:szCs w:val="20"/>
                <w:color w:val="auto"/>
              </w:rPr>
            </w:pPr>
            <w:r>
              <w:rPr>
                <w:rFonts w:ascii="Times New Roman" w:cs="Times New Roman" w:eastAsia="Times New Roman" w:hAnsi="Times New Roman"/>
                <w:sz w:val="17"/>
                <w:szCs w:val="17"/>
                <w:color w:val="auto"/>
              </w:rPr>
              <w:t>1,612,705</w:t>
            </w: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2023, the Company made payments toward the determination of Aggregate Paydowns of $20 million. As a result, the number of Warrant Shares as of March 31, 2023 is 2,578,743.</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10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20"/>
                <w:szCs w:val="20"/>
                <w:color w:val="auto"/>
              </w:rPr>
            </w:pPr>
          </w:p>
        </w:tc>
        <w:tc>
          <w:tcPr>
            <w:tcW w:w="101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2C2C2C"/>
              </w:rPr>
              <w:t>*</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1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Section 302 Certification of the Chief Executive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shd w:val="clear" w:color="auto" w:fill="0000FF"/>
          </w:tcPr>
          <w:p>
            <w:pPr>
              <w:spacing w:after="0" w:line="20" w:lineRule="exact"/>
              <w:rPr>
                <w:sz w:val="1"/>
                <w:szCs w:val="1"/>
                <w:color w:val="auto"/>
              </w:rPr>
            </w:pPr>
          </w:p>
        </w:tc>
        <w:tc>
          <w:tcPr>
            <w:tcW w:w="2360" w:type="dxa"/>
            <w:vAlign w:val="bottom"/>
            <w:tcBorders>
              <w:left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2C2C2C"/>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Section 302 Certification of the Chief Financial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2C2C2C"/>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Certification by the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shd w:val="clear" w:color="auto" w:fill="0000FF"/>
          </w:tcPr>
          <w:p>
            <w:pPr>
              <w:spacing w:after="0" w:line="20" w:lineRule="exact"/>
              <w:rPr>
                <w:sz w:val="1"/>
                <w:szCs w:val="1"/>
                <w:color w:val="auto"/>
              </w:rPr>
            </w:pPr>
          </w:p>
        </w:tc>
        <w:tc>
          <w:tcPr>
            <w:tcW w:w="23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color w:val="2C2C2C"/>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Pursuant to Rule 405 of Regulation S-T, the following financial information from the Company’s Quarterly Report on Form 10-Q for the period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gridSpan w:val="3"/>
          </w:tcPr>
          <w:p>
            <w:pPr>
              <w:spacing w:after="0" w:line="177" w:lineRule="exact"/>
              <w:rPr>
                <w:sz w:val="20"/>
                <w:szCs w:val="20"/>
                <w:color w:val="auto"/>
              </w:rPr>
            </w:pPr>
            <w:r>
              <w:rPr>
                <w:rFonts w:ascii="Times New Roman" w:cs="Times New Roman" w:eastAsia="Times New Roman" w:hAnsi="Times New Roman"/>
                <w:sz w:val="17"/>
                <w:szCs w:val="17"/>
                <w:color w:val="auto"/>
              </w:rPr>
              <w:t>ended March 31, 2023 is formatted in Inline XBRL interactive data files: (i) Condensed Consolidated Balance Sheets as of March 31, 2023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3"/>
          </w:tcPr>
          <w:p>
            <w:pPr>
              <w:spacing w:after="0" w:line="172" w:lineRule="exact"/>
              <w:rPr>
                <w:sz w:val="20"/>
                <w:szCs w:val="20"/>
                <w:color w:val="auto"/>
              </w:rPr>
            </w:pPr>
            <w:r>
              <w:rPr>
                <w:rFonts w:ascii="Times New Roman" w:cs="Times New Roman" w:eastAsia="Times New Roman" w:hAnsi="Times New Roman"/>
                <w:sz w:val="17"/>
                <w:szCs w:val="17"/>
                <w:color w:val="auto"/>
              </w:rPr>
              <w:t>December 31, 2022; (ii) Condensed Consolidated Statements of Operations and Comprehensive Loss for the three months ended March 31, 2023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3"/>
          </w:tcPr>
          <w:p>
            <w:pPr>
              <w:spacing w:after="0" w:line="167" w:lineRule="exact"/>
              <w:rPr>
                <w:sz w:val="20"/>
                <w:szCs w:val="20"/>
                <w:color w:val="auto"/>
              </w:rPr>
            </w:pPr>
            <w:r>
              <w:rPr>
                <w:rFonts w:ascii="Times New Roman" w:cs="Times New Roman" w:eastAsia="Times New Roman" w:hAnsi="Times New Roman"/>
                <w:sz w:val="17"/>
                <w:szCs w:val="17"/>
                <w:color w:val="auto"/>
              </w:rPr>
              <w:t>and 2022; (iii) Condensed Consolidated Statements of Equity for the three months ended March 31, 2023 and 2022; (iv) Condensed Consolidated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Statements of Cash Flows for the three months ended March 31, 2023 and 2022; and (v) Notes to Condensed Consolidated Financial Statements.</w:t>
            </w:r>
          </w:p>
        </w:tc>
        <w:tc>
          <w:tcPr>
            <w:tcW w:w="0" w:type="dxa"/>
            <w:vAlign w:val="bottom"/>
          </w:tcPr>
          <w:p>
            <w:pPr>
              <w:spacing w:after="0"/>
              <w:rPr>
                <w:sz w:val="1"/>
                <w:szCs w:val="1"/>
                <w:color w:val="auto"/>
              </w:rPr>
            </w:pPr>
          </w:p>
        </w:tc>
      </w:tr>
      <w:tr>
        <w:trPr>
          <w:trHeight w:val="280"/>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104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spacing w:after="0" w:line="28" w:lineRule="exact"/>
        <w:rPr>
          <w:sz w:val="20"/>
          <w:szCs w:val="20"/>
          <w:color w:val="auto"/>
        </w:rPr>
      </w:pPr>
    </w:p>
    <w:p>
      <w:pPr>
        <w:ind w:left="1100" w:hanging="1080"/>
        <w:spacing w:after="0"/>
        <w:tabs>
          <w:tab w:leader="none" w:pos="11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3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ALTISOURCE PORTFOLIO SOLUTIONS S.A.</w:t>
      </w:r>
    </w:p>
    <w:p>
      <w:pPr>
        <w:spacing w:after="0" w:line="2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(Registrant)</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700" w:val="left"/>
          <w:tab w:leader="none" w:pos="6360" w:val="left"/>
          <w:tab w:leader="none" w:pos="68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April 27, 2023</w:t>
      </w:r>
      <w:r>
        <w:rPr>
          <w:sz w:val="20"/>
          <w:szCs w:val="20"/>
          <w:color w:val="auto"/>
        </w:rPr>
        <w:tab/>
      </w:r>
      <w:r>
        <w:rPr>
          <w:rFonts w:ascii="Times New Roman" w:cs="Times New Roman" w:eastAsia="Times New Roman" w:hAnsi="Times New Roman"/>
          <w:sz w:val="17"/>
          <w:szCs w:val="17"/>
          <w:color w:val="auto"/>
        </w:rPr>
        <w:t>By:</w:t>
        <w:tab/>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17145</wp:posOffset>
            </wp:positionV>
            <wp:extent cx="27914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Michelle D. Esterman</w:t>
      </w:r>
    </w:p>
    <w:p>
      <w:pPr>
        <w:spacing w:after="0" w:line="2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(On behalf of the Registrant and as its Principal Financial</w:t>
      </w:r>
    </w:p>
    <w:p>
      <w:pPr>
        <w:ind w:left="6860"/>
        <w:spacing w:after="0"/>
        <w:rPr>
          <w:sz w:val="20"/>
          <w:szCs w:val="20"/>
          <w:color w:val="auto"/>
        </w:rPr>
      </w:pPr>
      <w:r>
        <w:rPr>
          <w:rFonts w:ascii="Times New Roman" w:cs="Times New Roman" w:eastAsia="Times New Roman" w:hAnsi="Times New Roman"/>
          <w:sz w:val="17"/>
          <w:szCs w:val="17"/>
          <w:color w:val="auto"/>
        </w:rPr>
        <w:t>Officer and Principal Accounting Officer)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12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 PURSUANT TO SECTION 302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B. Shepro, hereby certify that:</w:t>
      </w:r>
    </w:p>
    <w:p>
      <w:pPr>
        <w:spacing w:after="0" w:line="165"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ended March 31, 2023 of Altisource Portfolio Solutions S.A.;</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9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70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100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1009"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940" w:hanging="318"/>
        <w:spacing w:after="0" w:line="287" w:lineRule="auto"/>
        <w:tabs>
          <w:tab w:leader="none" w:pos="100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102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8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40" w:hanging="318"/>
        <w:spacing w:after="0" w:line="287" w:lineRule="auto"/>
        <w:tabs>
          <w:tab w:leader="none" w:pos="99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940" w:hanging="318"/>
        <w:spacing w:after="0" w:line="287" w:lineRule="auto"/>
        <w:tabs>
          <w:tab w:leader="none" w:pos="1013"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Date: April 27, 2023</w:t>
            </w:r>
          </w:p>
        </w:tc>
        <w:tc>
          <w:tcPr>
            <w:tcW w:w="7180" w:type="dxa"/>
            <w:vAlign w:val="bottom"/>
            <w:gridSpan w:val="2"/>
          </w:tcPr>
          <w:p>
            <w:pPr>
              <w:ind w:left="2320"/>
              <w:spacing w:after="0"/>
              <w:rPr>
                <w:sz w:val="20"/>
                <w:szCs w:val="20"/>
                <w:color w:val="auto"/>
              </w:rPr>
            </w:pPr>
            <w:r>
              <w:rPr>
                <w:rFonts w:ascii="Times New Roman" w:cs="Times New Roman" w:eastAsia="Times New Roman" w:hAnsi="Times New Roman"/>
                <w:sz w:val="17"/>
                <w:szCs w:val="17"/>
                <w:color w:val="auto"/>
              </w:rPr>
              <w:t>By:   /s/ William B. Shepro</w:t>
            </w:r>
          </w:p>
        </w:tc>
      </w:tr>
      <w:tr>
        <w:trPr>
          <w:trHeight w:val="209"/>
        </w:trPr>
        <w:tc>
          <w:tcPr>
            <w:tcW w:w="3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William B. Shepro</w:t>
            </w:r>
          </w:p>
        </w:tc>
      </w:tr>
      <w:tr>
        <w:trPr>
          <w:trHeight w:val="219"/>
        </w:trPr>
        <w:tc>
          <w:tcPr>
            <w:tcW w:w="37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Chairman and Chief Executive Officer</w:t>
            </w:r>
          </w:p>
        </w:tc>
      </w:tr>
      <w:tr>
        <w:trPr>
          <w:trHeight w:val="223"/>
        </w:trPr>
        <w:tc>
          <w:tcPr>
            <w:tcW w:w="37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85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 PURSUANT TO SECTION 302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Michelle D. Esterman, hereby certify that:</w:t>
      </w:r>
    </w:p>
    <w:p>
      <w:pPr>
        <w:spacing w:after="0" w:line="165"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ended March 31, 2023 of Altisource Portfolio Solutions S.A.;</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9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70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1002"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100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940" w:hanging="318"/>
        <w:spacing w:after="0" w:line="287" w:lineRule="auto"/>
        <w:tabs>
          <w:tab w:leader="none" w:pos="100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102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8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40" w:hanging="318"/>
        <w:spacing w:after="0" w:line="287" w:lineRule="auto"/>
        <w:tabs>
          <w:tab w:leader="none" w:pos="99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940" w:hanging="318"/>
        <w:spacing w:after="0" w:line="287" w:lineRule="auto"/>
        <w:tabs>
          <w:tab w:leader="none" w:pos="1013"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Date: April 27, 2023</w:t>
            </w:r>
          </w:p>
        </w:tc>
        <w:tc>
          <w:tcPr>
            <w:tcW w:w="7180" w:type="dxa"/>
            <w:vAlign w:val="bottom"/>
            <w:gridSpan w:val="2"/>
          </w:tcPr>
          <w:p>
            <w:pPr>
              <w:ind w:left="2320"/>
              <w:spacing w:after="0"/>
              <w:rPr>
                <w:sz w:val="20"/>
                <w:szCs w:val="20"/>
                <w:color w:val="auto"/>
              </w:rPr>
            </w:pPr>
            <w:r>
              <w:rPr>
                <w:rFonts w:ascii="Times New Roman" w:cs="Times New Roman" w:eastAsia="Times New Roman" w:hAnsi="Times New Roman"/>
                <w:sz w:val="17"/>
                <w:szCs w:val="17"/>
                <w:color w:val="auto"/>
              </w:rPr>
              <w:t>By:   /s/ Michelle D. Esterman</w:t>
            </w:r>
          </w:p>
        </w:tc>
      </w:tr>
      <w:tr>
        <w:trPr>
          <w:trHeight w:val="209"/>
        </w:trPr>
        <w:tc>
          <w:tcPr>
            <w:tcW w:w="3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Michelle D. Esterman</w:t>
            </w:r>
          </w:p>
        </w:tc>
      </w:tr>
      <w:tr>
        <w:trPr>
          <w:trHeight w:val="219"/>
        </w:trPr>
        <w:tc>
          <w:tcPr>
            <w:tcW w:w="37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171"/>
        </w:trPr>
        <w:tc>
          <w:tcPr>
            <w:tcW w:w="3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40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(Principal Financial Officer and</w:t>
            </w:r>
          </w:p>
        </w:tc>
      </w:tr>
      <w:tr>
        <w:trPr>
          <w:trHeight w:val="223"/>
        </w:trPr>
        <w:tc>
          <w:tcPr>
            <w:tcW w:w="37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r>
    </w:tbl>
    <w:p>
      <w:pPr>
        <w:sectPr>
          <w:pgSz w:w="11900" w:h="16838" w:orient="portrait"/>
          <w:cols w:equalWidth="0" w:num="1">
            <w:col w:w="11240"/>
          </w:cols>
          <w:pgMar w:left="320" w:top="85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5" w:lineRule="exact"/>
        <w:rPr>
          <w:sz w:val="20"/>
          <w:szCs w:val="20"/>
          <w:color w:val="auto"/>
        </w:rPr>
      </w:pPr>
    </w:p>
    <w:p>
      <w:pPr>
        <w:jc w:val="center"/>
        <w:ind w:left="340" w:right="2340"/>
        <w:spacing w:after="0" w:line="264" w:lineRule="auto"/>
        <w:rPr>
          <w:sz w:val="20"/>
          <w:szCs w:val="20"/>
          <w:color w:val="auto"/>
        </w:rPr>
      </w:pPr>
      <w:r>
        <w:rPr>
          <w:rFonts w:ascii="Times New Roman" w:cs="Times New Roman" w:eastAsia="Times New Roman" w:hAnsi="Times New Roman"/>
          <w:sz w:val="17"/>
          <w:szCs w:val="17"/>
          <w:b w:val="1"/>
          <w:bCs w:val="1"/>
          <w:color w:val="auto"/>
        </w:rPr>
        <w:t>CERTIFICATION UNDER SECTION 906 OF THE SARBANES-OXLEY ACT OF 2002 (UNITED STATES CODE, TITLE 18, CHAPTER 63, SECTION 1350) ACCOMPANYING QUARTERLY REPORT ON FORM 10-Q OF ALTISOURCE PORTFOLIO SOLUTIONS S.A. FOR THE QUARTER ENDED MARCH 31, 2023</w:t>
      </w: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Altisource Portfolio Solutions S.A. (the “Company”) for the quarterly period ended March 31, 2023,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14" w:lineRule="exact"/>
        <w:rPr>
          <w:sz w:val="20"/>
          <w:szCs w:val="20"/>
          <w:color w:val="auto"/>
        </w:rPr>
      </w:pPr>
    </w:p>
    <w:p>
      <w:pPr>
        <w:ind w:left="680" w:hanging="367"/>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165" w:lineRule="exact"/>
        <w:rPr>
          <w:rFonts w:ascii="Times New Roman" w:cs="Times New Roman" w:eastAsia="Times New Roman" w:hAnsi="Times New Roman"/>
          <w:sz w:val="17"/>
          <w:szCs w:val="17"/>
          <w:color w:val="auto"/>
        </w:rPr>
      </w:pPr>
    </w:p>
    <w:p>
      <w:pPr>
        <w:ind w:left="680" w:hanging="367"/>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William B. Shepro</w:t>
            </w:r>
          </w:p>
        </w:tc>
        <w:tc>
          <w:tcPr>
            <w:tcW w:w="10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Michelle D. Esterman</w:t>
            </w:r>
          </w:p>
        </w:tc>
      </w:tr>
      <w:tr>
        <w:trPr>
          <w:trHeight w:val="209"/>
        </w:trPr>
        <w:tc>
          <w:tcPr>
            <w:tcW w:w="5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William B. Shepro</w:t>
            </w:r>
          </w:p>
        </w:tc>
        <w:tc>
          <w:tcPr>
            <w:tcW w:w="10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Michelle D. Esterman</w:t>
            </w:r>
          </w:p>
        </w:tc>
      </w:tr>
      <w:tr>
        <w:trPr>
          <w:trHeight w:val="219"/>
        </w:trPr>
        <w:tc>
          <w:tcPr>
            <w:tcW w:w="5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Chairman and Chief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9"/>
        </w:trPr>
        <w:tc>
          <w:tcPr>
            <w:tcW w:w="5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 and</w:t>
            </w:r>
          </w:p>
        </w:tc>
      </w:tr>
      <w:tr>
        <w:trPr>
          <w:trHeight w:val="219"/>
        </w:trPr>
        <w:tc>
          <w:tcPr>
            <w:tcW w:w="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r>
      <w:tr>
        <w:trPr>
          <w:trHeight w:val="223"/>
        </w:trPr>
        <w:tc>
          <w:tcPr>
            <w:tcW w:w="5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April 27, 2023</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April 27, 2023</w:t>
            </w: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lowerRoman"/>
      <w:start w:val="3"/>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2023-04-27T06:10:40Z</dcterms:created>
  <dcterms:modified xsi:type="dcterms:W3CDTF">2023-04-27T06:10:40Z</dcterms:modified>
</cp:coreProperties>
</file>