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-325120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quarterly period ended June 30, 2018</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479"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3175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86" w:lineRule="exact"/>
        <w:rPr>
          <w:sz w:val="24"/>
          <w:szCs w:val="24"/>
          <w:color w:val="auto"/>
        </w:rPr>
      </w:pPr>
    </w:p>
    <w:p>
      <w:pPr>
        <w:sectPr>
          <w:pgSz w:w="11900" w:h="16838" w:orient="portrait"/>
          <w:cols w:equalWidth="0" w:num="2">
            <w:col w:w="7400" w:space="720"/>
            <w:col w:w="3300"/>
          </w:cols>
          <w:pgMar w:left="240" w:top="621" w:right="239" w:bottom="1440" w:gutter="0" w:footer="0" w:header="0"/>
          <w:type w:val="continuous"/>
        </w:sectPr>
      </w:pPr>
    </w:p>
    <w:p>
      <w:pPr>
        <w:ind w:left="11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780" w:space="720"/>
            <w:col w:w="3920"/>
          </w:cols>
          <w:pgMar w:left="240" w:top="621" w:right="239" w:bottom="1440" w:gutter="0" w:footer="0" w:header="0"/>
          <w:type w:val="continuous"/>
        </w:sectPr>
      </w:pP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Grand Duchy of Luxembourg</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 (Zip Code)</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(352) 24 69 79 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w:t>
      </w:r>
    </w:p>
    <w:p>
      <w:pPr>
        <w:sectPr>
          <w:pgSz w:w="11900" w:h="16838" w:orient="portrait"/>
          <w:cols w:equalWidth="0" w:num="1">
            <w:col w:w="11420"/>
          </w:cols>
          <w:pgMar w:left="240" w:top="621" w:right="239" w:bottom="1440" w:gutter="0" w:footer="0" w:header="0"/>
          <w:type w:val="continuous"/>
        </w:sectPr>
      </w:pPr>
    </w:p>
    <w:p>
      <w:pPr>
        <w:spacing w:after="0" w:line="205"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27" w:lineRule="exact"/>
        <w:rPr>
          <w:sz w:val="24"/>
          <w:szCs w:val="24"/>
          <w:color w:val="auto"/>
        </w:rPr>
      </w:pPr>
    </w:p>
    <w:p>
      <w:pPr>
        <w:ind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Arial" w:cs="Arial" w:eastAsia="Arial" w:hAnsi="Arial"/>
          <w:sz w:val="13"/>
          <w:szCs w:val="13"/>
          <w:b w:val="1"/>
          <w:bCs w:val="1"/>
          <w:color w:val="auto"/>
        </w:rPr>
        <w:t>o</w:t>
      </w:r>
    </w:p>
    <w:p>
      <w:pPr>
        <w:spacing w:after="0" w:line="12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(as defined in</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Rule 12b-2 of the Exchange Act):</w:t>
      </w:r>
    </w:p>
    <w:p>
      <w:pPr>
        <w:spacing w:after="0" w:line="137" w:lineRule="exact"/>
        <w:rPr>
          <w:sz w:val="24"/>
          <w:szCs w:val="24"/>
          <w:color w:val="auto"/>
        </w:rPr>
      </w:pPr>
    </w:p>
    <w:tbl>
      <w:tblPr>
        <w:tblLayout w:type="fixed"/>
        <w:tblInd w:w="160" w:type="dxa"/>
        <w:tblCellMar>
          <w:top w:w="0" w:type="dxa"/>
          <w:left w:w="0" w:type="dxa"/>
          <w:bottom w:w="0" w:type="dxa"/>
          <w:right w:w="0" w:type="dxa"/>
        </w:tblCellMar>
      </w:tblPr>
      <w:tr>
        <w:trPr>
          <w:trHeight w:val="226"/>
        </w:trPr>
        <w:tc>
          <w:tcPr>
            <w:tcW w:w="600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3660" w:type="dxa"/>
            <w:vAlign w:val="bottom"/>
          </w:tcPr>
          <w:p>
            <w:pPr>
              <w:ind w:left="19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0"/>
        </w:trPr>
        <w:tc>
          <w:tcPr>
            <w:tcW w:w="6000" w:type="dxa"/>
            <w:vAlign w:val="bottom"/>
          </w:tcPr>
          <w:p>
            <w:pPr>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3660" w:type="dxa"/>
            <w:vAlign w:val="bottom"/>
          </w:tcPr>
          <w:p>
            <w:pPr>
              <w:ind w:left="1980"/>
              <w:spacing w:after="0"/>
              <w:rPr>
                <w:sz w:val="20"/>
                <w:szCs w:val="20"/>
                <w:color w:val="auto"/>
              </w:rPr>
            </w:pPr>
            <w:r>
              <w:rPr>
                <w:rFonts w:ascii="Arial" w:cs="Arial" w:eastAsia="Arial" w:hAnsi="Arial"/>
                <w:sz w:val="14"/>
                <w:szCs w:val="14"/>
                <w:color w:val="auto"/>
                <w:w w:val="92"/>
              </w:rPr>
              <w:t>Smaller reporting company o</w:t>
            </w:r>
          </w:p>
        </w:tc>
      </w:tr>
      <w:tr>
        <w:trPr>
          <w:trHeight w:val="270"/>
        </w:trPr>
        <w:tc>
          <w:tcPr>
            <w:tcW w:w="6000" w:type="dxa"/>
            <w:vAlign w:val="bottom"/>
          </w:tcPr>
          <w:p>
            <w:pPr>
              <w:spacing w:after="0"/>
              <w:rPr>
                <w:sz w:val="23"/>
                <w:szCs w:val="23"/>
                <w:color w:val="auto"/>
              </w:rPr>
            </w:pPr>
          </w:p>
        </w:tc>
        <w:tc>
          <w:tcPr>
            <w:tcW w:w="3660" w:type="dxa"/>
            <w:vAlign w:val="bottom"/>
          </w:tcPr>
          <w:p>
            <w:pPr>
              <w:ind w:left="1980"/>
              <w:spacing w:after="0"/>
              <w:rPr>
                <w:sz w:val="20"/>
                <w:szCs w:val="20"/>
                <w:color w:val="auto"/>
              </w:rPr>
            </w:pPr>
            <w:r>
              <w:rPr>
                <w:rFonts w:ascii="Arial" w:cs="Arial" w:eastAsia="Arial" w:hAnsi="Arial"/>
                <w:sz w:val="14"/>
                <w:szCs w:val="14"/>
                <w:color w:val="auto"/>
                <w:w w:val="93"/>
              </w:rPr>
              <w:t>Emerging growth company o</w:t>
            </w:r>
          </w:p>
        </w:tc>
      </w:tr>
    </w:tbl>
    <w:p>
      <w:pPr>
        <w:spacing w:after="0" w:line="4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by Section 13(a) of the Exchange Act. o</w:t>
      </w:r>
    </w:p>
    <w:p>
      <w:pPr>
        <w:spacing w:after="0" w:line="9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4"/>
          <w:szCs w:val="14"/>
          <w:b w:val="1"/>
          <w:bCs w:val="1"/>
          <w:color w:val="auto"/>
        </w:rPr>
        <w:t>o</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As of July 20, 2018, there were 17,006,516 outstanding shares of the registrant’s shares of beneficial interest (excluding 8,406,232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218440</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132715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7860" w:type="dxa"/>
            <w:vAlign w:val="bottom"/>
            <w:gridSpan w:val="11"/>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85"/>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9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1640" w:type="dxa"/>
            <w:vAlign w:val="bottom"/>
            <w:tcBorders>
              <w:top w:val="single" w:sz="8" w:color="0000EE"/>
            </w:tcBorders>
            <w:gridSpan w:val="6"/>
          </w:tcPr>
          <w:p>
            <w:pPr>
              <w:spacing w:after="0"/>
              <w:rPr>
                <w:sz w:val="21"/>
                <w:szCs w:val="21"/>
                <w:color w:val="auto"/>
              </w:rPr>
            </w:pPr>
          </w:p>
        </w:tc>
        <w:tc>
          <w:tcPr>
            <w:tcW w:w="4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620" w:type="dxa"/>
            <w:vAlign w:val="bottom"/>
            <w:gridSpan w:val="2"/>
          </w:tcPr>
          <w:p>
            <w:pPr>
              <w:jc w:val="center"/>
              <w:ind w:left="432"/>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2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w:t>
              </w:r>
            </w:hyperlink>
          </w:p>
        </w:tc>
        <w:tc>
          <w:tcPr>
            <w:tcW w:w="32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5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24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96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520" w:type="dxa"/>
            <w:vAlign w:val="bottom"/>
          </w:tcPr>
          <w:p>
            <w:pPr>
              <w:spacing w:after="0"/>
              <w:rPr>
                <w:sz w:val="21"/>
                <w:szCs w:val="2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3</w:t>
              </w:r>
            </w:hyperlink>
          </w:p>
        </w:tc>
        <w:tc>
          <w:tcPr>
            <w:tcW w:w="914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4</w:t>
              </w:r>
            </w:hyperlink>
          </w:p>
        </w:tc>
        <w:tc>
          <w:tcPr>
            <w:tcW w:w="914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2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PART II — Other Information</w:t>
              </w:r>
            </w:hyperlink>
          </w:p>
        </w:tc>
        <w:tc>
          <w:tcPr>
            <w:tcW w:w="806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Item 1A</w:t>
              </w:r>
            </w:hyperlink>
          </w:p>
        </w:tc>
        <w:tc>
          <w:tcPr>
            <w:tcW w:w="38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18"/>
                <w:szCs w:val="18"/>
                <w:color w:val="0000EE"/>
                <w:w w:val="81"/>
              </w:rPr>
            </w:pPr>
            <w:hyperlink w:anchor="page50">
              <w:r>
                <w:rPr>
                  <w:rFonts w:ascii="Arial" w:cs="Arial" w:eastAsia="Arial" w:hAnsi="Arial"/>
                  <w:sz w:val="18"/>
                  <w:szCs w:val="18"/>
                  <w:color w:val="0000EE"/>
                  <w:w w:val="81"/>
                </w:rPr>
                <w:t>Risk Factors</w:t>
              </w:r>
            </w:hyperlink>
          </w:p>
        </w:tc>
        <w:tc>
          <w:tcPr>
            <w:tcW w:w="830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0">
              <w:r>
                <w:rPr>
                  <w:rFonts w:ascii="Arial" w:cs="Arial" w:eastAsia="Arial" w:hAnsi="Arial"/>
                  <w:sz w:val="17"/>
                  <w:szCs w:val="17"/>
                  <w:color w:val="0000EE"/>
                  <w:w w:val="73"/>
                </w:rPr>
                <w:t>47</w:t>
              </w:r>
            </w:hyperlink>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48</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6</w:t>
              </w:r>
            </w:hyperlink>
          </w:p>
        </w:tc>
        <w:tc>
          <w:tcPr>
            <w:tcW w:w="914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49</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SIGNATURES</w:t>
              </w:r>
            </w:hyperlink>
          </w:p>
        </w:tc>
        <w:tc>
          <w:tcPr>
            <w:tcW w:w="914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3">
              <w:r>
                <w:rPr>
                  <w:rFonts w:ascii="Arial" w:cs="Arial" w:eastAsia="Arial" w:hAnsi="Arial"/>
                  <w:sz w:val="17"/>
                  <w:szCs w:val="17"/>
                  <w:color w:val="0000EE"/>
                  <w:w w:val="73"/>
                </w:rPr>
                <w:t>50</w:t>
              </w:r>
            </w:hyperlink>
          </w:p>
        </w:tc>
        <w:tc>
          <w:tcPr>
            <w:tcW w:w="52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8340" w:type="dxa"/>
            <w:vAlign w:val="bottom"/>
            <w:tcBorders>
              <w:bottom w:val="single" w:sz="8" w:color="CCEEFF"/>
            </w:tcBorders>
            <w:shd w:val="clear" w:color="auto" w:fill="CCEEFF"/>
          </w:tcPr>
          <w:p>
            <w:pPr>
              <w:ind w:left="5420"/>
              <w:spacing w:after="0"/>
              <w:rPr>
                <w:sz w:val="20"/>
                <w:szCs w:val="20"/>
                <w:color w:val="auto"/>
              </w:rPr>
            </w:pPr>
            <w:r>
              <w:rPr>
                <w:rFonts w:ascii="Arial" w:cs="Arial" w:eastAsia="Arial" w:hAnsi="Arial"/>
                <w:sz w:val="16"/>
                <w:szCs w:val="16"/>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105,006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in equity securities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49,153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64,742</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271,641</w:t>
            </w: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86,283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86,283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305,056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303,707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10,195</w:t>
            </w:r>
          </w:p>
        </w:tc>
      </w:tr>
      <w:tr>
        <w:trPr>
          <w:trHeight w:val="264"/>
        </w:trPr>
        <w:tc>
          <w:tcPr>
            <w:tcW w:w="83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809,896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865,164</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7"/>
        </w:trPr>
        <w:tc>
          <w:tcPr>
            <w:tcW w:w="8340" w:type="dxa"/>
            <w:vAlign w:val="bottom"/>
            <w:tcBorders>
              <w:bottom w:val="single" w:sz="8" w:color="CCEEFF"/>
            </w:tcBorders>
            <w:shd w:val="clear" w:color="auto" w:fill="CCEEFF"/>
          </w:tcPr>
          <w:p>
            <w:pPr>
              <w:ind w:left="4740"/>
              <w:spacing w:after="0"/>
              <w:rPr>
                <w:sz w:val="20"/>
                <w:szCs w:val="20"/>
                <w:color w:val="auto"/>
              </w:rPr>
            </w:pPr>
            <w:r>
              <w:rPr>
                <w:rFonts w:ascii="Arial" w:cs="Arial" w:eastAsia="Arial" w:hAnsi="Arial"/>
                <w:sz w:val="16"/>
                <w:szCs w:val="16"/>
                <w:color w:val="auto"/>
              </w:rPr>
              <w:t>LIABILITIES AND EQUITY</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9,414</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109,561</w:t>
            </w:r>
          </w:p>
        </w:tc>
      </w:tr>
      <w:tr>
        <w:trPr>
          <w:trHeight w:val="270"/>
        </w:trPr>
        <w:tc>
          <w:tcPr>
            <w:tcW w:w="8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12,282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contingencies and regulatory matters (Note 19)</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($1.00 par value; 100,000 shares authorized, 25,413 issued and 17,027 outstanding as of June 30,</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3"/>
              </w:rPr>
              <w:t>2018; 100,000 shares authorized, 25,413 shares issued and 17,418 outstanding as of December 31, 2017)</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116,586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112,475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626,600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733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Treasury stock, at cost (8,386 shares as of June 30, 2018 and 7,995 shares as of December 31, 2017)</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(426,609)</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310,887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338,612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1,373</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312,291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339,985</w:t>
            </w:r>
          </w:p>
        </w:tc>
      </w:tr>
      <w:tr>
        <w:trPr>
          <w:trHeight w:val="264"/>
        </w:trPr>
        <w:tc>
          <w:tcPr>
            <w:tcW w:w="83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809,896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865,164</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94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948"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491,168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163,206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185,393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310,400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363,346</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65,292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105,594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127,822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86,048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100,171</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27,651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(11,263)</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Unrealized gain (loss) on investment in equity securities (Note 3)</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5,518</w:t>
            </w:r>
          </w:p>
        </w:tc>
      </w:tr>
      <w:tr>
        <w:trPr>
          <w:trHeight w:val="237"/>
        </w:trPr>
        <w:tc>
          <w:tcPr>
            <w:tcW w:w="654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21,906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(5,024)</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30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Altisource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15,580</w:t>
            </w:r>
          </w:p>
        </w:tc>
      </w:tr>
      <w:tr>
        <w:trPr>
          <w:trHeight w:val="257"/>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0.84</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0.82</w:t>
            </w:r>
          </w:p>
        </w:tc>
      </w:tr>
      <w:tr>
        <w:trPr>
          <w:trHeight w:val="257"/>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17,142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18,335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18,497</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91"/>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17,553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18,836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17,260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19,069</w:t>
            </w:r>
          </w:p>
        </w:tc>
      </w:tr>
      <w:tr>
        <w:trPr>
          <w:trHeight w:val="257"/>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16,882</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Reclassification of unrealized gain on investment in equity securities, net of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provision of $200, to retained earnings from the cumulative effect of an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7"/>
        </w:trPr>
        <w:tc>
          <w:tcPr>
            <w:tcW w:w="6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accounting change (Note 1)</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540" w:type="dxa"/>
            <w:vAlign w:val="bottom"/>
          </w:tcPr>
          <w:p>
            <w:pPr>
              <w:ind w:left="280"/>
              <w:spacing w:after="0"/>
              <w:rPr>
                <w:sz w:val="20"/>
                <w:szCs w:val="20"/>
                <w:color w:val="auto"/>
              </w:rPr>
            </w:pPr>
            <w:r>
              <w:rPr>
                <w:rFonts w:ascii="Arial" w:cs="Arial" w:eastAsia="Arial" w:hAnsi="Arial"/>
                <w:sz w:val="18"/>
                <w:szCs w:val="18"/>
                <w:color w:val="auto"/>
                <w:w w:val="95"/>
              </w:rPr>
              <w:t>Unrealized (loss) gain on investment in equity securities, net of income tax benefit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540" w:type="dxa"/>
            <w:vAlign w:val="bottom"/>
          </w:tcPr>
          <w:p>
            <w:pPr>
              <w:ind w:left="440"/>
              <w:spacing w:after="0"/>
              <w:rPr>
                <w:sz w:val="20"/>
                <w:szCs w:val="20"/>
                <w:color w:val="auto"/>
              </w:rPr>
            </w:pPr>
            <w:r>
              <w:rPr>
                <w:rFonts w:ascii="Arial" w:cs="Arial" w:eastAsia="Arial" w:hAnsi="Arial"/>
                <w:sz w:val="18"/>
                <w:szCs w:val="18"/>
                <w:color w:val="auto"/>
              </w:rPr>
              <w:t>(provision) of $0, $2,593, $0, $(2,132)</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5,742</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(loss), net of tax</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22,624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21,322</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Altisource Equity</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3"/>
                <w:szCs w:val="13"/>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 other</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Treasury 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9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7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paid-in capital</w:t>
            </w:r>
          </w:p>
        </w:tc>
        <w:tc>
          <w:tcPr>
            <w:tcW w:w="18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2016</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333,786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62,194</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15,580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16,882</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Other comprehensive income, net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of tax</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Cumulative effect of an accounting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change (Note 13)</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issuance of restricted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Treasury shares withheld for the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rPr>
                <w:sz w:val="20"/>
                <w:szCs w:val="20"/>
                <w:color w:val="auto"/>
              </w:rPr>
            </w:pPr>
            <w:r>
              <w:rPr>
                <w:rFonts w:ascii="Arial" w:cs="Arial" w:eastAsia="Arial" w:hAnsi="Arial"/>
                <w:sz w:val="16"/>
                <w:szCs w:val="16"/>
                <w:color w:val="auto"/>
                <w:w w:val="95"/>
              </w:rPr>
              <w:t>payment of tax on restricted share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issuances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(18,573)</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June 30, 2017</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110,078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341,926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66,723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339,985</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Share-based compensation 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4,111</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Cumulative effect of accounting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changes (Note 1)</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(10,448)</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issuance of restricted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Treasury shares withheld for the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rPr>
                <w:sz w:val="20"/>
                <w:szCs w:val="20"/>
                <w:color w:val="auto"/>
              </w:rPr>
            </w:pPr>
            <w:r>
              <w:rPr>
                <w:rFonts w:ascii="Arial" w:cs="Arial" w:eastAsia="Arial" w:hAnsi="Arial"/>
                <w:sz w:val="16"/>
                <w:szCs w:val="16"/>
                <w:color w:val="auto"/>
                <w:w w:val="95"/>
              </w:rPr>
              <w:t>payment of tax on restricted share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rPr>
                <w:sz w:val="20"/>
                <w:szCs w:val="20"/>
                <w:color w:val="auto"/>
              </w:rPr>
            </w:pPr>
            <w:r>
              <w:rPr>
                <w:rFonts w:ascii="Arial" w:cs="Arial" w:eastAsia="Arial" w:hAnsi="Arial"/>
                <w:sz w:val="16"/>
                <w:szCs w:val="16"/>
                <w:color w:val="auto"/>
              </w:rPr>
              <w:t>issuances and stock option</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exercises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(21,121)</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June 30, 2018</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25,413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116,586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596,268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312,291</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148" w:lineRule="exact"/>
        <w:rPr>
          <w:sz w:val="20"/>
          <w:szCs w:val="20"/>
          <w:color w:val="auto"/>
        </w:rPr>
      </w:pPr>
    </w:p>
    <w:p>
      <w:pPr>
        <w:ind w:left="9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18,895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on investment in 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early extinguishment of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refinancing (Note 10)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12,517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Repayments and repurchases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(421,821)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shares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tax withholding on issuance of restricted shares and stock option exercises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(41,677)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153,421</w:t>
            </w:r>
          </w:p>
        </w:tc>
      </w:tr>
      <w:tr>
        <w:trPr>
          <w:trHeight w:val="264"/>
        </w:trPr>
        <w:tc>
          <w:tcPr>
            <w:tcW w:w="83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90,352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118,603</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11,540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12,668</w:t>
            </w:r>
          </w:p>
        </w:tc>
      </w:tr>
      <w:tr>
        <w:trPr>
          <w:trHeight w:val="270"/>
        </w:trPr>
        <w:tc>
          <w:tcPr>
            <w:tcW w:w="8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Increase (decrease) in payables for purchases of premises and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payables for purchases of treasury shares</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3,042</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the current year presentation.</w:t>
      </w:r>
    </w:p>
    <w:p>
      <w:pPr>
        <w:spacing w:after="0" w:line="12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June 30, 2018, Lenders One had total assets of $4.8 million and total liabilities of $3.1 million. As of December 31, 2017, Lenders One had total assets of $4.6 million and total liabilities of $3.1 million.</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2017, as filed with the SEC on February 22,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and during 2016, the FASB issued additional guidance providing clarifications and corrections, including: ASU No. 2016-08,</w:t>
      </w:r>
      <w:r>
        <w:rPr>
          <w:rFonts w:ascii="Arial" w:cs="Arial" w:eastAsia="Arial" w:hAnsi="Arial"/>
          <w:sz w:val="17"/>
          <w:szCs w:val="17"/>
          <w:i w:val="1"/>
          <w:iCs w:val="1"/>
          <w:color w:val="auto"/>
        </w:rPr>
        <w:t xml:space="preserve"> Revenue from Contracts with Customers (Topic 606): Principal versus Agent Considerations (Reporting Revenue Gross versus Net), </w:t>
      </w:r>
      <w:r>
        <w:rPr>
          <w:rFonts w:ascii="Arial" w:cs="Arial" w:eastAsia="Arial" w:hAnsi="Arial"/>
          <w:sz w:val="17"/>
          <w:szCs w:val="17"/>
          <w:color w:val="auto"/>
        </w:rPr>
        <w:t>ASU No.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ASU No. 2016-12,</w:t>
      </w:r>
      <w:r>
        <w:rPr>
          <w:rFonts w:ascii="Arial" w:cs="Arial" w:eastAsia="Arial" w:hAnsi="Arial"/>
          <w:sz w:val="17"/>
          <w:szCs w:val="17"/>
          <w:i w:val="1"/>
          <w:iCs w:val="1"/>
          <w:color w:val="auto"/>
        </w:rPr>
        <w:t xml:space="preserve"> Revenue from Contracts with Customers (Topic 606): Narrow-Scope Improvements and Practical Expedients, </w:t>
      </w:r>
      <w:r>
        <w:rPr>
          <w:rFonts w:ascii="Arial" w:cs="Arial" w:eastAsia="Arial" w:hAnsi="Arial"/>
          <w:sz w:val="17"/>
          <w:szCs w:val="17"/>
          <w:color w:val="auto"/>
        </w:rPr>
        <w:t>and ASU No.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(collectively “Topic 606”)</w:t>
      </w:r>
      <w:r>
        <w:rPr>
          <w:rFonts w:ascii="Arial" w:cs="Arial" w:eastAsia="Arial" w:hAnsi="Arial"/>
          <w:sz w:val="17"/>
          <w:szCs w:val="17"/>
          <w:i w:val="1"/>
          <w:iCs w:val="1"/>
          <w:color w:val="auto"/>
        </w:rPr>
        <w:t xml:space="preserve">. </w:t>
      </w:r>
      <w:r>
        <w:rPr>
          <w:rFonts w:ascii="Arial" w:cs="Arial" w:eastAsia="Arial" w:hAnsi="Arial"/>
          <w:sz w:val="17"/>
          <w:szCs w:val="17"/>
          <w:color w:val="auto"/>
        </w:rPr>
        <w:t>Topic 606 establishes a single comprehensive model for entities to use in accounting for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arising from contracts with customers and supersedes most prior revenue recognition guidance. This new standard requires that an entity recognize revenue for the transfer of promised goods or services to a customer in an amount that reflects the consideration that the entity expects to receive and consistent with the delivery of the performance obligation described in the underlying contract with the customer.</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adopted Topic 606 effective January 1, 2018 using the cumulative effect method. As a result of this adoption, the Company recognized an $11.2 million increase in deferred revenue, a $1.1 million increase in unbilled accounts receivable, a $0.3 million increase in other current liabilities and a $10.4 million decrease in retained earnings as of January 1, 2018. Because the Company adopted Topic 606 retrospectively with a cumulative effect as of January 1, 2018, the comparative results as of December 31, 2017 and for the three and six months ended June 30, 2017 have not been restated and continue to be reported under Accounting Standards Codification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SEC Staff Accounting Bulletin Topic 13, </w:t>
      </w:r>
      <w:r>
        <w:rPr>
          <w:rFonts w:ascii="Arial" w:cs="Arial" w:eastAsia="Arial" w:hAnsi="Arial"/>
          <w:sz w:val="17"/>
          <w:szCs w:val="17"/>
          <w:i w:val="1"/>
          <w:iCs w:val="1"/>
          <w:color w:val="auto"/>
        </w:rPr>
        <w:t>Revenue Recognition</w:t>
      </w:r>
      <w:r>
        <w:rPr>
          <w:rFonts w:ascii="Arial" w:cs="Arial" w:eastAsia="Arial" w:hAnsi="Arial"/>
          <w:sz w:val="17"/>
          <w:szCs w:val="17"/>
          <w:color w:val="auto"/>
        </w:rPr>
        <w:t>. The details of the significant changes and quantitative impact of the adoption of Topic 606 are described below. Also see Note 14 for additional information on revenue, including disaggregation of revenue and contract balances.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adoption of Topic 606, the Company’s accounting policy for revenue recognition is as follows: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revenue from the services we provide in accordance with the 5-step process outlined in Topic 606. 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 A description of our principal revenue generating activities by reportable segment are as follows: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Market</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w:t>
      </w:r>
    </w:p>
    <w:p>
      <w:pPr>
        <w:spacing w:after="0" w:line="63"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loan servicing technologies, we recognize revenue based on the number of loans on the system, on a per-transaction basis or over the estimated average number of months the loans and real estate owned (“REO”) are on the platform, as applicable. We generally recognize revenue for professional services relating to loan servicing technologies over the contract period. For our loan origination system, we generally recognize revenue over the contract term, beginning on the commencement date of each contract. For foreclosure trustee services, we recognize revenue over the period during which we perform the related services, with full recognition upon completion and/or recording the related foreclosure deed. For loan disbursement processing services, we recognize revenue over the period during which we perform the processing services with full recognition upon completion of the disbursements. We use judgment to determine the period over which we recognize revenue for certain of these services. For mortgage charge-off collections performed on behalf of our clients, we recognize revenue as a percentage of amounts collected following collection from the borrowers.</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real estate brokerage and auction services, we recognize revenue on a net basis as we perform services as an agent without assuming the risks and rewards of ownership of the asset and the commission earned on the sale is a fixed percentage or amount.</w:t>
      </w:r>
    </w:p>
    <w:p>
      <w:pPr>
        <w:spacing w:after="0" w:line="8"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Reimbursable expenses revenue, primarily related to our property preservation and inspection services, real estate sales and our foreclosure trustee services businesses, is included in revenue with an equal amount recognized in cost of revenue. These amounts are recognized on a gross basis, principally because generally we have control over selection of vendors and the vendor relationship is with us, rather than with our customers.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Market</w:t>
      </w:r>
    </w:p>
    <w:p>
      <w:pPr>
        <w:spacing w:after="0" w:line="171"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w:t>
      </w:r>
    </w:p>
    <w:p>
      <w:pPr>
        <w:spacing w:after="0" w:line="63" w:lineRule="exact"/>
        <w:rPr>
          <w:rFonts w:ascii="Arial" w:cs="Arial" w:eastAsia="Arial" w:hAnsi="Arial"/>
          <w:sz w:val="18"/>
          <w:szCs w:val="18"/>
          <w:color w:val="auto"/>
        </w:rPr>
      </w:pPr>
    </w:p>
    <w:p>
      <w:pPr>
        <w:jc w:val="both"/>
        <w:ind w:left="680" w:hanging="321"/>
        <w:spacing w:after="0" w:line="295"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our renovation services, revenue is recognized over the period of the construction activity, based on the estimated percentage of completion of the projects. We use judgment to determine the period over which we recognize revenue for certain of these services. For real estate brokerage and auction services, we recognize revenue on a net basis as we perform services as an agent without assuming the risks and rewards of ownership of the asset and the commission earned on the sale is a fixed percentage or amount. For the buy-renovate-lease-sell business, we recognize revenue associated with our sales of short-term investments in real estate on a gross basis as we assume the risks and rewards of ownership of the asset.</w:t>
      </w:r>
    </w:p>
    <w:p>
      <w:pPr>
        <w:spacing w:after="0" w:line="3" w:lineRule="exact"/>
        <w:rPr>
          <w:rFonts w:ascii="Arial" w:cs="Arial" w:eastAsia="Arial" w:hAnsi="Arial"/>
          <w:sz w:val="16"/>
          <w:szCs w:val="16"/>
          <w:color w:val="auto"/>
        </w:rPr>
      </w:pPr>
    </w:p>
    <w:p>
      <w:pPr>
        <w:jc w:val="both"/>
        <w:ind w:left="680" w:hanging="321"/>
        <w:spacing w:after="0" w:line="264"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Reimbursable expenses revenue, primarily related to our real estate sales business, is included in revenue with an equal offsetting expense recognized in cost of revenue. These amounts are recognized on a gross basis, principally because generally we have control over selection of vendors and the vendor relationship is with us, rather than with our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 Corporate and Eliminations</w:t>
      </w:r>
    </w:p>
    <w:p>
      <w:pPr>
        <w:spacing w:after="0" w:line="171" w:lineRule="exact"/>
        <w:rPr>
          <w:sz w:val="20"/>
          <w:szCs w:val="20"/>
          <w:color w:val="auto"/>
        </w:rPr>
      </w:pPr>
    </w:p>
    <w:p>
      <w:pPr>
        <w:jc w:val="both"/>
        <w:ind w:left="68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 We generally earn fees for our post-charge-off consumer debt collection services as a percentage of the amount we collect on delinquent consumer receivables and recognize revenue following collection from the borrowers. We provide customer relationship management services for which we typically earn and recognize revenue on a per-person, per-call or per-minute basis as the related services are performed.</w:t>
      </w:r>
    </w:p>
    <w:p>
      <w:pPr>
        <w:spacing w:after="0" w:line="24"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information technology (“IT”) infrastructure services we provide to Ocwen Financial Corporation (“Ocwen”), Front Yard Residential Corporation (“RESI”) and Altisource Asset Management Corporation (“AAMC”), we recognize revenue primarily based on the number of users of the applicable systems, fixed fees and the number and type of licensed platforms. We recognize revenue associated with implementation services upon completion and maintenance services ratably over the related service period.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adopting Topic 606 on the Company’s condensed consolidated balance sheet as of June 30,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center"/>
              <w:ind w:right="131"/>
              <w:spacing w:after="0"/>
              <w:rPr>
                <w:sz w:val="20"/>
                <w:szCs w:val="20"/>
                <w:color w:val="auto"/>
              </w:rPr>
            </w:pPr>
            <w:r>
              <w:rPr>
                <w:rFonts w:ascii="Arial" w:cs="Arial" w:eastAsia="Arial" w:hAnsi="Arial"/>
                <w:sz w:val="14"/>
                <w:szCs w:val="14"/>
                <w:b w:val="1"/>
                <w:bCs w:val="1"/>
                <w:color w:val="auto"/>
                <w:w w:val="92"/>
              </w:rPr>
              <w:t>Impact of the adoption of Topic 606</w:t>
            </w:r>
          </w:p>
        </w:tc>
        <w:tc>
          <w:tcPr>
            <w:tcW w:w="0" w:type="dxa"/>
            <w:vAlign w:val="bottom"/>
          </w:tcPr>
          <w:p>
            <w:pPr>
              <w:spacing w:after="0"/>
              <w:rPr>
                <w:sz w:val="1"/>
                <w:szCs w:val="1"/>
                <w:color w:val="auto"/>
              </w:rPr>
            </w:pPr>
          </w:p>
        </w:tc>
      </w:tr>
      <w:tr>
        <w:trPr>
          <w:trHeight w:val="152"/>
        </w:trPr>
        <w:tc>
          <w:tcPr>
            <w:tcW w:w="39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3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92"/>
        </w:trPr>
        <w:tc>
          <w:tcPr>
            <w:tcW w:w="394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adoption of Topic 606</w:t>
            </w:r>
          </w:p>
        </w:tc>
        <w:tc>
          <w:tcPr>
            <w:tcW w:w="0" w:type="dxa"/>
            <w:vAlign w:val="bottom"/>
          </w:tcPr>
          <w:p>
            <w:pPr>
              <w:spacing w:after="0"/>
              <w:rPr>
                <w:sz w:val="1"/>
                <w:szCs w:val="1"/>
                <w:color w:val="auto"/>
              </w:rPr>
            </w:pPr>
          </w:p>
        </w:tc>
      </w:tr>
      <w:tr>
        <w:trPr>
          <w:trHeight w:val="270"/>
        </w:trPr>
        <w:tc>
          <w:tcPr>
            <w:tcW w:w="3940" w:type="dxa"/>
            <w:vAlign w:val="bottom"/>
            <w:tcBorders>
              <w:top w:val="single" w:sz="8" w:color="auto"/>
            </w:tcBorders>
          </w:tcPr>
          <w:p>
            <w:pPr>
              <w:spacing w:after="0"/>
              <w:rPr>
                <w:sz w:val="23"/>
                <w:szCs w:val="23"/>
                <w:color w:val="auto"/>
              </w:rPr>
            </w:pPr>
          </w:p>
        </w:tc>
        <w:tc>
          <w:tcPr>
            <w:tcW w:w="2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46,068</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243,189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243,831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810,538</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124,549</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605,067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Altisource equity</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310,887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319,686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321,090</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809,896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810,538</w:t>
            </w:r>
          </w:p>
        </w:tc>
        <w:tc>
          <w:tcPr>
            <w:tcW w:w="0" w:type="dxa"/>
            <w:vAlign w:val="bottom"/>
          </w:tcPr>
          <w:p>
            <w:pPr>
              <w:spacing w:after="0"/>
              <w:rPr>
                <w:sz w:val="1"/>
                <w:szCs w:val="1"/>
                <w:color w:val="auto"/>
              </w:rPr>
            </w:pPr>
          </w:p>
        </w:tc>
      </w:tr>
      <w:tr>
        <w:trPr>
          <w:trHeight w:val="702"/>
        </w:trPr>
        <w:tc>
          <w:tcPr>
            <w:tcW w:w="3940" w:type="dxa"/>
            <w:vAlign w:val="bottom"/>
          </w:tcPr>
          <w:p>
            <w:pPr>
              <w:spacing w:after="0"/>
              <w:rPr>
                <w:sz w:val="24"/>
                <w:szCs w:val="24"/>
                <w:color w:val="auto"/>
              </w:rPr>
            </w:pPr>
          </w:p>
        </w:tc>
        <w:tc>
          <w:tcPr>
            <w:tcW w:w="2700" w:type="dxa"/>
            <w:vAlign w:val="bottom"/>
          </w:tcPr>
          <w:p>
            <w:pPr>
              <w:jc w:val="right"/>
              <w:ind w:right="79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impact of adopting Topic 606 on the Company’s condensed consolidated statement of operations and comprehensive income for the three months ended June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Impact of the adoption of Topic 606</w:t>
            </w:r>
          </w:p>
        </w:tc>
        <w:tc>
          <w:tcPr>
            <w:tcW w:w="0" w:type="dxa"/>
            <w:vAlign w:val="bottom"/>
          </w:tcPr>
          <w:p>
            <w:pPr>
              <w:spacing w:after="0"/>
              <w:rPr>
                <w:sz w:val="1"/>
                <w:szCs w:val="1"/>
                <w:color w:val="auto"/>
              </w:rPr>
            </w:pPr>
          </w:p>
        </w:tc>
      </w:tr>
      <w:tr>
        <w:trPr>
          <w:trHeight w:val="152"/>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3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adoption of Topic 606</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217,353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163,206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163,868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53,485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10,561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impact of adopting Topic 606 on the Company’s condensed consolidated statement of operations and comprehensive income for the six months ended June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Impact of the adoption of Topic 606</w:t>
            </w:r>
          </w:p>
        </w:tc>
        <w:tc>
          <w:tcPr>
            <w:tcW w:w="0" w:type="dxa"/>
            <w:vAlign w:val="bottom"/>
          </w:tcPr>
          <w:p>
            <w:pPr>
              <w:spacing w:after="0"/>
              <w:rPr>
                <w:sz w:val="1"/>
                <w:szCs w:val="1"/>
                <w:color w:val="auto"/>
              </w:rPr>
            </w:pPr>
          </w:p>
        </w:tc>
      </w:tr>
      <w:tr>
        <w:trPr>
          <w:trHeight w:val="152"/>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3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2"/>
              </w:rPr>
              <w:t>Balances without</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adoption of Topic 606</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415,994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415,203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310,400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311,859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103,344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19,546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17,296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Altisource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Topic 606 did not have any impact on net cash flows used in operating, financing or investing activities on the Company’s condensed consolidated statement of cash flows for the six months ended June 30,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This standard requires equity investments (except those accounted for under the equity method of accounting or those that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was effective for the Company on January 1, 2018. The adoption of this standard resulted in a cumulative effect adjustment to increase retained earnings and decrease accumulated other comprehensive income by $0.7 million on January 1, 2018. Changes in the fair value of the Company’s investment in RESI subsequent to January 1, 2018, as well as any equity investments acquired in the future, will be reflected as a component of net income in the Company’s consolidated statements of operations and comprehensive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Recently Adopted Accounting Pronouncements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This standard addresses eight specific cash flow issues with the objective of reducing the existing diversity in practice. This standard was effective for the Company on January 1, 2018, and the adoption of this guidance did not have any effect on the Company’s condensed consolidated statement of cash flows.</w:t>
      </w:r>
    </w:p>
    <w:p>
      <w:pPr>
        <w:sectPr>
          <w:pgSz w:w="11900" w:h="16838" w:orient="portrait"/>
          <w:cols w:equalWidth="0" w:num="1">
            <w:col w:w="11420"/>
          </w:cols>
          <w:pgMar w:left="240" w:top="125"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This standard requires that companies recognize the income tax consequences of an intra-entity transfer of an asset (other than inventory) when the transfer occurs. Previous guidance prohibited companies from recognizing current and deferred income taxes for an intra-entity asset transfer until the asset has been sold to an outside party. This standard was effective for the Company on January 1, 2018, and the adoption of this guidance did not have any effect on the Company’s results of operations and financial position.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This standard requires that companies include restricted cash and restricted cash equivalents in their cash and cash equivalent balances in the statement of cash flows. Therefore, amounts generally described as restricted cash and restricted cash equivalents should be included with cash and cash equivalents when reconciling the beginning-of-period and end-of-period total amounts shown on the statement of cash flows. This standard was effective for the Company on January 1, 2018, and was adopted using the retrospective transition method, as required by the standard. The adoption of this standard resulted in the classification of the Company’s restricted cash with cash and cash equivalents reported in the Company’s condensed consolidated statements of cash flows. As a result, the Company included $5.8 million, $3.8 million, $4.4 million and $4.1 million of restricted cash with cash and cash equivalents in its condensed consolidated statements of cash flows as of June 30, 2018, December 31, 2017, June 30, 2017 and December 31, 2016, respectively.</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This standard clarifies the definition of a business and provides a screen to determine if a set of inputs, processes and outputs is a business. The screen requires that when substantially all of the fair value of gross assets acquired (or disposed of) is concentrated in a single identifiable asset or a group of similar identifiable assets, the assets acquired would not be a business. Under the new guidance, in order to be considered a business, an acquisition must include, at a minimum, an input and a substantive process that together significantly contribute to the ability to create output. In addition, the standard narrows the definition of the term “output” so that it is consistent with how it is described in Topic 606</w:t>
      </w:r>
      <w:r>
        <w:rPr>
          <w:rFonts w:ascii="Arial" w:cs="Arial" w:eastAsia="Arial" w:hAnsi="Arial"/>
          <w:sz w:val="17"/>
          <w:szCs w:val="17"/>
          <w:i w:val="1"/>
          <w:iCs w:val="1"/>
          <w:color w:val="auto"/>
        </w:rPr>
        <w:t>.</w:t>
      </w:r>
      <w:r>
        <w:rPr>
          <w:rFonts w:ascii="Arial" w:cs="Arial" w:eastAsia="Arial" w:hAnsi="Arial"/>
          <w:sz w:val="17"/>
          <w:szCs w:val="17"/>
          <w:color w:val="auto"/>
        </w:rPr>
        <w:t xml:space="preserve"> This standard was effective for the Company on January 1, 2018, and the adoption of this guidance did not have any effect on the Company’s results of operations and financial position.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2017, the FASB issued ASU No. 2017-05, </w:t>
      </w:r>
      <w:r>
        <w:rPr>
          <w:rFonts w:ascii="Arial" w:cs="Arial" w:eastAsia="Arial" w:hAnsi="Arial"/>
          <w:sz w:val="18"/>
          <w:szCs w:val="18"/>
          <w:i w:val="1"/>
          <w:iCs w:val="1"/>
          <w:color w:val="auto"/>
        </w:rPr>
        <w:t>Other Income-Gains and Losses from the Derecognition of Nonfinancial Assets (Subtopic 610-20):</w:t>
      </w:r>
      <w:r>
        <w:rPr>
          <w:rFonts w:ascii="Arial" w:cs="Arial" w:eastAsia="Arial" w:hAnsi="Arial"/>
          <w:sz w:val="18"/>
          <w:szCs w:val="18"/>
          <w:color w:val="auto"/>
        </w:rPr>
        <w:t xml:space="preserve"> </w:t>
      </w:r>
      <w:r>
        <w:rPr>
          <w:rFonts w:ascii="Arial" w:cs="Arial" w:eastAsia="Arial" w:hAnsi="Arial"/>
          <w:sz w:val="18"/>
          <w:szCs w:val="18"/>
          <w:i w:val="1"/>
          <w:iCs w:val="1"/>
          <w:color w:val="auto"/>
        </w:rPr>
        <w:t>Clarifying the Scope of Asset Derecognition Guidance and Accounting for Partial Sales of Nonfinancial Assets</w:t>
      </w:r>
      <w:r>
        <w:rPr>
          <w:rFonts w:ascii="Arial" w:cs="Arial" w:eastAsia="Arial" w:hAnsi="Arial"/>
          <w:sz w:val="18"/>
          <w:szCs w:val="18"/>
          <w:color w:val="auto"/>
        </w:rPr>
        <w:t>. This standard was issued to clarify the scope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Subtopic 610-20, </w:t>
      </w:r>
      <w:r>
        <w:rPr>
          <w:rFonts w:ascii="Arial" w:cs="Arial" w:eastAsia="Arial" w:hAnsi="Arial"/>
          <w:sz w:val="18"/>
          <w:szCs w:val="18"/>
          <w:i w:val="1"/>
          <w:iCs w:val="1"/>
          <w:color w:val="auto"/>
        </w:rPr>
        <w:t>Other Income-Gains and Losses from the Derecognition of Nonfinancial Assets</w:t>
      </w:r>
      <w:r>
        <w:rPr>
          <w:rFonts w:ascii="Arial" w:cs="Arial" w:eastAsia="Arial" w:hAnsi="Arial"/>
          <w:sz w:val="18"/>
          <w:szCs w:val="18"/>
          <w:color w:val="auto"/>
        </w:rPr>
        <w:t>, and to add guidance for partial sales of nonfinancial assets. Subtopic 610-20 provides guidance for recognizing gains and losses from the transfer of nonfinancial assets in contracts with noncustomers. This standard was effective for the Company on January 1, 2018, and the adoption of this guidance did not have any effect on the Company’s results of operations and financial position.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the FASB issued ASU No. 2017-09, C</w:t>
      </w:r>
      <w:r>
        <w:rPr>
          <w:rFonts w:ascii="Arial" w:cs="Arial" w:eastAsia="Arial" w:hAnsi="Arial"/>
          <w:sz w:val="18"/>
          <w:szCs w:val="18"/>
          <w:i w:val="1"/>
          <w:iCs w:val="1"/>
          <w:color w:val="auto"/>
        </w:rPr>
        <w:t>ompensation—Stock Compensation (Topic 718): Scope of Modification Accounting</w:t>
      </w:r>
      <w:r>
        <w:rPr>
          <w:rFonts w:ascii="Arial" w:cs="Arial" w:eastAsia="Arial" w:hAnsi="Arial"/>
          <w:sz w:val="18"/>
          <w:szCs w:val="18"/>
          <w:color w:val="auto"/>
        </w:rPr>
        <w:t>. This standard provides guidance about which changes to the terms or conditions of a share-based payment award require the application of modification accounting. This standard requires companies to continue to apply modification accounting, unless the fair value, vesting conditions and classification of an award all do not change as a result of the modification. This standard was effective for the Company on January 1, 2018, and the adoption of this guidance did not have any effect on the Company’s results of operations and financial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standard introduces a new lessee model that brings substantially all leases on the balance sheet. This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of this guidance on its results of operations and financial position. Based on the Company’s preliminary analysis of arrangements where the Company is a lessee, we estimate that the new standard, if implemented as of June 30, 2018, would result in approximately $17.6 million right-of-use assets and lease liabilities on the Company’s condensed consolidated balance sheet as of June 30, 2018. The Company will continue to analyze the impact of this guidance and refine the estimated impact on its results of operations and financial position.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consolidated financial statements.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The amendments in this standard better align an entity’s risk management activities and financial reporting for hedging relationships through changes to both the designation and measurement guidance for qualifying hedging relationships and the presentation of hedging results. This standard will be effective for annual periods beginning after December 15, 2018, including interim periods within that reporting period. Early application is permitted. The Company currently does not expect the adoption of this guidance to have a material effect on its results of operations and 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three and six months ended June 30, 2018, Ocwen was our largest customer, accounting for 51% of our total revenue for the six months ended June 30, 2018 (50% of our revenue for the second quarter of 2018). Ocwen is a residential mortgage loan servicer of mortgage servicing rights (“MSRs”) it owns, including those MSRs in which others have an economic interest, and a subservicer of MSRs owned by others. Ocwen purchases certain mortgage services and technology services from us under the terms of master services agreements and amendments thereto (collectively, the “Ocwen Services Agreements”) with terms extending through August 2025. Certain of the Ocwen Service Agreements contain a “most favored nation” provision and also grant the parties the right to renegotiate pricing, among other things. Certain of the Ocwen Service Agreements also prohibit Ocwen from establishing fee-based businesses that would directly or indirectly compete with Altisource’s services with respect to the Homeward Residential, Inc. and Residential Capital, LLC loan portfolios acquired by Ocwen in December 2012 and February 2013, respectively. Ocwen also purchases certain origination services from Altisource under an agreement that continues until January 2019, but which is subject to a 90 day termination right by Ocwen.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 portfolios serviced by Ocwen when Ocwen designates us as the service provider and revenue earned directly from Ocwen. For the six months ended June 30, 2018 and 2017, we generated revenue from Ocwen of $210.8 million and $285.6 million, respectively ($108.8 million and $144.2 million for the second quarter of 2018 and 2017, respectively). Revenue from Ocwen as a percentage of segment and consolidated revenue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26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w w:val="91"/>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800" w:type="dxa"/>
            <w:vAlign w:val="bottom"/>
          </w:tcPr>
          <w:p>
            <w:pPr>
              <w:spacing w:after="0"/>
              <w:rPr>
                <w:sz w:val="14"/>
                <w:szCs w:val="14"/>
                <w:color w:val="auto"/>
              </w:rPr>
            </w:pPr>
          </w:p>
        </w:tc>
      </w:tr>
      <w:tr>
        <w:trPr>
          <w:trHeight w:val="192"/>
        </w:trPr>
        <w:tc>
          <w:tcPr>
            <w:tcW w:w="59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760" w:type="dxa"/>
            <w:vAlign w:val="bottom"/>
            <w:gridSpan w:val="2"/>
          </w:tcPr>
          <w:p>
            <w:pPr>
              <w:ind w:left="6400"/>
              <w:spacing w:after="0"/>
              <w:rPr>
                <w:sz w:val="20"/>
                <w:szCs w:val="20"/>
                <w:color w:val="auto"/>
              </w:rPr>
            </w:pPr>
            <w:r>
              <w:rPr>
                <w:rFonts w:ascii="Arial" w:cs="Arial" w:eastAsia="Arial" w:hAnsi="Arial"/>
                <w:sz w:val="14"/>
                <w:szCs w:val="14"/>
                <w:b w:val="1"/>
                <w:bCs w:val="1"/>
                <w:color w:val="auto"/>
              </w:rPr>
              <w:t>2018</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13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right"/>
              <w:ind w:right="434"/>
              <w:spacing w:after="0"/>
              <w:rPr>
                <w:sz w:val="20"/>
                <w:szCs w:val="20"/>
                <w:color w:val="auto"/>
              </w:rPr>
            </w:pPr>
            <w:r>
              <w:rPr>
                <w:rFonts w:ascii="Arial" w:cs="Arial" w:eastAsia="Arial" w:hAnsi="Arial"/>
                <w:sz w:val="14"/>
                <w:szCs w:val="14"/>
                <w:b w:val="1"/>
                <w:bCs w:val="1"/>
                <w:color w:val="auto"/>
                <w:w w:val="83"/>
              </w:rPr>
              <w:t>2017</w:t>
            </w:r>
          </w:p>
        </w:tc>
      </w:tr>
      <w:tr>
        <w:trPr>
          <w:trHeight w:val="270"/>
        </w:trPr>
        <w:tc>
          <w:tcPr>
            <w:tcW w:w="590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earn additional revenue related to the loan portfolios serviced by Ocwen when a party other than Ocwen or the MSR owner selects Altisource as the service provider. For the six months ended June 30, 2018 and 2017, we recognized revenue of $26.2 million and $82.9 million, respectively ($11.0 million and $41.2 million for the second quarter of 2018 and 2017, respectively), related to the loan portfolios serviced by Ocwen when a party other than Ocwen or the MSR owner selected Altisource as the service provider. These amounts are not included in deriving revenue from Ocwen as a percentage of revenue in the table above.</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2018, accounts receivable from Ocwen totaled $16.5 million, $12.2 million of which was billed and $4.3 million of which was unbilled. As of December 31, 2017, accounts receivable from Ocwen totaled $18.9 million, $13.6 million of which was billed and $5.3 million of which was unbilled.</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2018, New Residential Investment Corp. (individually, together with one or more of its subsidiaries or one or more of its subsidiaries individually, “NRZ”) owned Ocwen-serviced MSRs and rights to MSRs (the “Subject MSRs”) with underlying unpaid principal balances (“UPB”) of $98.3 billion. As of March 31, 2018, Ocwen serviced and subserviced MSRs with underlying UPB of $173.4 billion. As previously disclosed, in July 2017, Ocwen and NRZ entered into agreements to convert NRZ’s economic rights to the Subject MSRs into fully-owned MSRs in exchange for payments from NRZ to Ocwen when such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Subject MSRs and the right to designate the broker for REO properties in such portfolios. The Brokerage Agreement provides that Altisource is the exclusive provider of brokerage services for REO associated with the Subject MSRs, irrespective of the sub-servicer. NRZ’s brokerage subsidiary receives a cooperative brokerage commission on the sale of certain REO properties from these portfolios subject to certain exceptions.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2018, we earned revenue from NRZ of $8.9 million and $19.2 million, respectively, following the transfer of certain of the Subject MSRs from Ocwen to NRZ (the “Transferred MSRs”) (no comparative amounts in 2017). For the three and six months ended June 30, 2018, we earned additional revenue of $26.7 million and $42.8 million relating to the Transferred MSRs when a party other than NRZ selects Altisource as the service provider (no comparative amounts in 2017).</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28, 2017, Altisource and NRZ also entered into a non-binding Letter of Intent, as amended, to enter into a Services Agreement (the “Services LOI”), setting forth the terms pursuant to which Altisource would remain the exclusive service provider of fee-based services for the Subject MSRs through August 2025. The Services LOI was amended to continue through August 31, 2018.</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by Altisource and NRZ during the term of the Services LOI, as extended.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anticipate that revenue from NRZ will increase over time and revenue from Ocwen will decrease. As Subject MSRs continue to transfer from Ocwen to NRZ and following the anticipated execution of the Services Agreement, we expect that NRZ will become our largest customer. Had all of the Subject MSRs been transferred to NRZ and the Brokerage Agreement and the Services Agreement with NRZ been in place as of January 1, 2018, we estimate that approximately 48% of our revenue for the six months ended June 30, 2018 would have been related to NRZ. There can be no assurance that the parties will reach an agreement with respect to the terms of the Services Agreement or that a Services Agreement will be entered into on a timely basis or at all.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IN EQUITY SECURITIES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2016, we purchased 4.1 million shares of RESI common stock for $48.2 million. This investment is reflected in the condensed consolidated balance sheets at a fair value of $43.2 million as of June 30, 2018 and $49.2 million as of December 31, 2017. During the three and six months ended June 30, 2018, we recognized an unrealized gain (loss) of $1.5 million and $(6.0) million, respectively, on our investment in RESI in other income (expense), net in the condensed consolidated statements of operations and comprehensive income as a result of a change in the market value of RESI common shares. During the three and six months ended June 30, 2017, an unrealized gain (loss) on our investment in RESI of $(7.0) million and $5.7 million, respectively, net of income tax expense (benefit), was reflected in other comprehensive income in the condensed consolidated statements of operations and comprehensive income (see Note 1 for additional information on the adoption of the new accounting standard on investments in equity securities). During the six months ended June 30, 2018 and 2017, we earned dividends of $1.2 million in each period related to this investment ($0.6 million in both the second quarter of 2018 and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39,313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40,787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Unbilled</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17,446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22,532</w:t>
            </w:r>
          </w:p>
        </w:tc>
      </w:tr>
      <w:tr>
        <w:trPr>
          <w:trHeight w:val="27"/>
        </w:trPr>
        <w:tc>
          <w:tcPr>
            <w:tcW w:w="8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63,319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(10,579)</w:t>
            </w:r>
          </w:p>
        </w:tc>
      </w:tr>
      <w:tr>
        <w:trPr>
          <w:trHeight w:val="27"/>
        </w:trPr>
        <w:tc>
          <w:tcPr>
            <w:tcW w:w="8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45,426</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52,740</w:t>
            </w:r>
          </w:p>
        </w:tc>
      </w:tr>
      <w:tr>
        <w:trPr>
          <w:trHeight w:val="20"/>
        </w:trPr>
        <w:tc>
          <w:tcPr>
            <w:tcW w:w="8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and sales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 in real estate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7,501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70,009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64,742</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PREMISES AND EQUIPMENT, NET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Premises and equipment, net consists of the following:</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179,567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32,658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33,417</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14,092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9,388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236,464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(163,191)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58,820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Depreciation and amortization expense totaled $17.0 million and $18.9 million for the six months ended June 30, 2018 and 2017, respectively ($8.3 million and $8.9 million for the second quarter of 2018 and 2017, respectively), and is included in cost of revenue for operating assets and in selling, general and administrative expenses for non-operating assets in the accompanying condensed consolidated statements of operations and comprehensive income.</w:t>
      </w:r>
    </w:p>
    <w:p>
      <w:pPr>
        <w:sectPr>
          <w:pgSz w:w="11900" w:h="16838" w:orient="portrait"/>
          <w:cols w:equalWidth="0" w:num="1">
            <w:col w:w="11420"/>
          </w:cols>
          <w:pgMar w:left="240" w:top="125" w:right="239" w:bottom="1440" w:gutter="0" w:footer="0" w:header="0"/>
          <w:type w:val="continuous"/>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Other Businesses,</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2"/>
                <w:szCs w:val="12"/>
                <w:color w:val="auto"/>
              </w:rPr>
            </w:pPr>
          </w:p>
        </w:tc>
        <w:tc>
          <w:tcPr>
            <w:tcW w:w="1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vMerge w:val="restart"/>
          </w:tcPr>
          <w:p>
            <w:pPr>
              <w:spacing w:after="0"/>
              <w:rPr>
                <w:sz w:val="12"/>
                <w:szCs w:val="12"/>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0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3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1"/>
              </w:rPr>
              <w:t>Balance as of June 30, 2018 and December 31, 2017</w:t>
            </w: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73,259</w:t>
            </w: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10,056</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80" w:type="dxa"/>
            <w:vAlign w:val="bottom"/>
            <w:gridSpan w:val="4"/>
          </w:tcPr>
          <w:p>
            <w:pPr>
              <w:spacing w:after="0"/>
              <w:rPr>
                <w:sz w:val="20"/>
                <w:szCs w:val="20"/>
                <w:color w:val="auto"/>
              </w:rPr>
            </w:pPr>
            <w:r>
              <w:rPr>
                <w:rFonts w:ascii="Arial" w:cs="Arial" w:eastAsia="Arial" w:hAnsi="Arial"/>
                <w:sz w:val="18"/>
                <w:szCs w:val="18"/>
                <w:color w:val="auto"/>
              </w:rPr>
              <w:t>Intangible assets, net consist of the following:</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24"/>
                <w:szCs w:val="24"/>
                <w:color w:val="auto"/>
              </w:rPr>
            </w:pPr>
          </w:p>
        </w:tc>
        <w:tc>
          <w:tcPr>
            <w:tcW w:w="238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24"/>
                <w:szCs w:val="24"/>
                <w:color w:val="auto"/>
              </w:rPr>
            </w:pPr>
          </w:p>
        </w:tc>
        <w:tc>
          <w:tcPr>
            <w:tcW w:w="2360" w:type="dxa"/>
            <w:vAlign w:val="bottom"/>
            <w:gridSpan w:val="11"/>
            <w:vMerge w:val="restart"/>
          </w:tcPr>
          <w:p>
            <w:pPr>
              <w:ind w:left="200"/>
              <w:spacing w:after="0"/>
              <w:rPr>
                <w:sz w:val="20"/>
                <w:szCs w:val="20"/>
                <w:color w:val="auto"/>
              </w:rPr>
            </w:pPr>
            <w:r>
              <w:rPr>
                <w:rFonts w:ascii="Arial" w:cs="Arial" w:eastAsia="Arial" w:hAnsi="Arial"/>
                <w:sz w:val="14"/>
                <w:szCs w:val="14"/>
                <w:b w:val="1"/>
                <w:bCs w:val="1"/>
                <w:color w:val="auto"/>
              </w:rPr>
              <w:t>Accumulated amortization</w:t>
            </w:r>
          </w:p>
        </w:tc>
        <w:tc>
          <w:tcPr>
            <w:tcW w:w="240" w:type="dxa"/>
            <w:vAlign w:val="bottom"/>
          </w:tcPr>
          <w:p>
            <w:pPr>
              <w:spacing w:after="0"/>
              <w:rPr>
                <w:sz w:val="24"/>
                <w:szCs w:val="24"/>
                <w:color w:val="auto"/>
              </w:rPr>
            </w:pPr>
          </w:p>
        </w:tc>
        <w:tc>
          <w:tcPr>
            <w:tcW w:w="2260" w:type="dxa"/>
            <w:vAlign w:val="bottom"/>
            <w:gridSpan w:val="7"/>
            <w:vMerge w:val="restart"/>
          </w:tcPr>
          <w:p>
            <w:pPr>
              <w:jc w:val="right"/>
              <w:ind w:right="69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238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11"/>
            <w:vMerge w:val="continue"/>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estimated</w:t>
            </w: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8"/>
                <w:szCs w:val="8"/>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8"/>
                <w:szCs w:val="8"/>
                <w:color w:val="auto"/>
              </w:rPr>
            </w:pPr>
          </w:p>
        </w:tc>
        <w:tc>
          <w:tcPr>
            <w:tcW w:w="112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8"/>
                <w:szCs w:val="8"/>
                <w:color w:val="auto"/>
              </w:rPr>
            </w:pPr>
          </w:p>
        </w:tc>
        <w:tc>
          <w:tcPr>
            <w:tcW w:w="112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8"/>
                <w:szCs w:val="8"/>
                <w:color w:val="auto"/>
              </w:rPr>
            </w:pPr>
          </w:p>
        </w:tc>
        <w:tc>
          <w:tcPr>
            <w:tcW w:w="9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useful life</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0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2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rPr>
              <w:t>Customer related intangible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340"/>
              <w:spacing w:after="0"/>
              <w:rPr>
                <w:sz w:val="20"/>
                <w:szCs w:val="20"/>
                <w:color w:val="auto"/>
              </w:rPr>
            </w:pPr>
            <w:r>
              <w:rPr>
                <w:rFonts w:ascii="Arial" w:cs="Arial" w:eastAsia="Arial" w:hAnsi="Arial"/>
                <w:sz w:val="18"/>
                <w:szCs w:val="18"/>
                <w:color w:val="auto"/>
              </w:rPr>
              <w:t>assets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273,172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277,828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(196,315)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(188,258)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76,857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89,570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(14,748)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(13,865)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21,135</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w w:val="98"/>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12,554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(8,881)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6,074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326,001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333,787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(220,627)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(213,722)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105,374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120,065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$14.7 million and $18.5 million for the six months ended June 30, 2018 and 2017, respectively ($7.5 million and $9.4 million for the second quarter of 2018 and 2017, respectively). Anticipated annual definite lived intangible asset amortization is $25.7 million in 2018, $20.6 million in 2019, $17.9 million in 2020, $13.4 million in 2021 and $7.3 million in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52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11,174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ind w:right="320"/>
        <w:spacing w:after="0" w:line="470" w:lineRule="auto"/>
        <w:rPr>
          <w:sz w:val="20"/>
          <w:szCs w:val="20"/>
          <w:color w:val="auto"/>
        </w:rPr>
      </w:pPr>
      <w:r>
        <w:rPr>
          <w:rFonts w:ascii="Arial" w:cs="Arial" w:eastAsia="Arial" w:hAnsi="Arial"/>
          <w:sz w:val="18"/>
          <w:szCs w:val="18"/>
          <w:b w:val="1"/>
          <w:bCs w:val="1"/>
          <w:color w:val="auto"/>
        </w:rPr>
        <w:t xml:space="preserve">NOTE 9 — ACCOUNTS PAYABLE, ACCRUED EXPENSES AND OTHER CURRENT LIABILITIES </w:t>
      </w:r>
      <w:r>
        <w:rPr>
          <w:rFonts w:ascii="Arial" w:cs="Arial" w:eastAsia="Arial" w:hAnsi="Arial"/>
          <w:sz w:val="18"/>
          <w:szCs w:val="18"/>
          <w:color w:val="auto"/>
        </w:rPr>
        <w:t>Accounts payable and accrued expenses consist of the following:</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15,682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27,268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41,363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67,646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84,400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 LONG-TERM DEBT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413,581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395,532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409,281</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354,332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403,336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 2018, Altisource Portfolio Solutions S.A. and its wholly-owned subsidiary, Altisource S.à r.l. entered into a credit agreement (the “Credit Agreement”)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Proceeds from the Term B Loans were used to repay the Company’s prior senior secured term loan, which had an outstanding balance of $412.1 million as of April 3, 2018. In connection with the refinancing, we recognized a loss of $4.4 million from the write-off of unamortized debt issuance costs and debt discount in the second quarter of 2018. This loss was included in other income (expense), net in the condensed consolidated statements of operations and comprehensive income.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B Loans must be repaid in consecutive quarterly principal installments with $24.7 million due in 2018, $41.2 million due in 2019, $25.7 million due in 2020 and $12.4 million due annually thereafter, with the balance due at maturity. During the three months ended June 30, 2018, the Company repaid $8.2 million of the Term B Loans.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ectPr>
          <w:pgSz w:w="11900" w:h="16838" w:orient="portrait"/>
          <w:cols w:equalWidth="0" w:num="1">
            <w:col w:w="11420"/>
          </w:cols>
          <w:pgMar w:left="240" w:top="125" w:right="239" w:bottom="1440" w:gutter="0" w:footer="0" w:header="0"/>
          <w:type w:val="continuous"/>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casualty and condemnation events and sales of assets, as well as from a percentage of Consolidated Excess Cash Flow if the leverage ratio is greater than 3.00 to 1.00, as calculated in accordance with the provisions of the Credit Agreement (the percentage increases if the leverage ratio exceeds 3.50 to 1.00). Certain mandatory prepayments reduce future contractual amortization payments by an amount equal to the mandatory prepayment. No mandatory prepayments were owed for the three months ended June 30, 2018.</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at June 30, 2018 was 6.33%.</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 (ii) 4.00%. Base Rate revolving loans bear interest at a rate per annum equal to the sum of (i) the Base Rate plus (ii) 3.00%. The unused commitment fee is 0.50%. There were no borrowings outstanding under the revolving credit facility as of June 30, 2018.</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w:t>
      </w:r>
    </w:p>
    <w:p>
      <w:pPr>
        <w:spacing w:after="0" w:line="1" w:lineRule="exact"/>
        <w:rPr>
          <w:sz w:val="20"/>
          <w:szCs w:val="20"/>
          <w:color w:val="auto"/>
        </w:rPr>
      </w:pPr>
    </w:p>
    <w:p>
      <w:pPr>
        <w:ind w:firstLine="8"/>
        <w:spacing w:after="0" w:line="290"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2018, debt issuance costs were $4.3 million, net of $0.2 million of accumulated amortization. At December 31, 2017, debt issuance costs related to the prior term loans were $3.2 million, net of $7.1 million of accumulated amortization.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second quarter of 2017, we repurchased portions of our prior senior secured term loan with an aggregate par value of $26.0 million at a weighted average discount of 16.5%, recognizing a net gain of $3.9 million on the early extinguishment of debt (no comparative amounts in 2018). The net gain was included in other income (expense), net in the condensed consolidated statements of operations and comprehensive income.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lef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ind w:lef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68" w:lineRule="exact"/>
        <w:rPr>
          <w:sz w:val="20"/>
          <w:szCs w:val="20"/>
          <w:color w:val="auto"/>
        </w:rPr>
      </w:pPr>
    </w:p>
    <w:p>
      <w:pPr>
        <w:ind w:right="4100"/>
        <w:spacing w:after="0" w:line="470" w:lineRule="auto"/>
        <w:rPr>
          <w:sz w:val="20"/>
          <w:szCs w:val="20"/>
          <w:color w:val="auto"/>
        </w:rPr>
      </w:pPr>
      <w:r>
        <w:rPr>
          <w:rFonts w:ascii="Arial" w:cs="Arial" w:eastAsia="Arial" w:hAnsi="Arial"/>
          <w:sz w:val="18"/>
          <w:szCs w:val="18"/>
          <w:b w:val="1"/>
          <w:bCs w:val="1"/>
          <w:color w:val="auto"/>
        </w:rPr>
        <w:t xml:space="preserve">NOTE 11 — OTHER NON-CURRENT LIABILITIES </w:t>
      </w:r>
      <w:r>
        <w:rPr>
          <w:rFonts w:ascii="Arial" w:cs="Arial" w:eastAsia="Arial" w:hAnsi="Arial"/>
          <w:sz w:val="18"/>
          <w:szCs w:val="18"/>
          <w:color w:val="auto"/>
        </w:rPr>
        <w:t>Other non-current liabilities consist of the following:</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r>
    </w:tbl>
    <w:p>
      <w:pPr>
        <w:spacing w:after="0" w:line="200" w:lineRule="exact"/>
        <w:rPr>
          <w:sz w:val="20"/>
          <w:szCs w:val="20"/>
          <w:color w:val="auto"/>
        </w:rPr>
      </w:pPr>
    </w:p>
    <w:p>
      <w:pPr>
        <w:sectPr>
          <w:pgSz w:w="11900" w:h="16838" w:orient="portrait"/>
          <w:cols w:equalWidth="0" w:num="2">
            <w:col w:w="8300" w:space="60"/>
            <w:col w:w="306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liabilities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2,101</w:t>
            </w:r>
          </w:p>
        </w:tc>
      </w:tr>
      <w:tr>
        <w:trPr>
          <w:trHeight w:val="27"/>
        </w:trPr>
        <w:tc>
          <w:tcPr>
            <w:tcW w:w="8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4,226</w:t>
            </w:r>
          </w:p>
        </w:tc>
      </w:tr>
      <w:tr>
        <w:trPr>
          <w:trHeight w:val="264"/>
        </w:trPr>
        <w:tc>
          <w:tcPr>
            <w:tcW w:w="836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9,407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12,282</w:t>
            </w:r>
          </w:p>
        </w:tc>
      </w:tr>
      <w:tr>
        <w:trPr>
          <w:trHeight w:val="20"/>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 AND FINANCIAL INSTRUMENTS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June 30, 2018 and December 31, 2017.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June 30, 2018</w:t>
            </w: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2017</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Fair value</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Level 2</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6"/>
                <w:shd w:val="clear" w:color="auto" w:fill="CCEEFF"/>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105,006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   105,006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Investment in equity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43,185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43,185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49,153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49,153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403,760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401,067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413,581</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407,377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 in equity securities is carried at fair value and consists of 4.1 million shares of RESI common stock. The investment in equity securities is measured using Level 1 inputs as this security has a quoted price in an active market.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approximately 50% of its revenues from Ocwen (see Note 2 for additional information on Ocwen revenues and accounts receivable balance). The Company mitigates its concentrations of credit risk with respect to accounts receivable by actively monitoring past due accounts and the economic status of larger customers, if known.</w:t>
      </w:r>
    </w:p>
    <w:p>
      <w:pPr>
        <w:spacing w:after="0" w:line="113"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13 — SHAREHOLDERS’ EQUITY AND SHARE-BASED COMPENSATION Share Repurchase Program</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15, 2018, our shareholders approved the renewal of the share repurchase program previously approved by the shareholders on May 17, 2017, which replaced the previous share repurchase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w:t>
      </w:r>
    </w:p>
    <w:p>
      <w:pPr>
        <w:sectPr>
          <w:pgSz w:w="11900" w:h="16838" w:orient="portrait"/>
          <w:cols w:equalWidth="0" w:num="1">
            <w:col w:w="11420"/>
          </w:cols>
          <w:pgMar w:left="240" w:top="125" w:right="239"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June 30, 2018, approximately 4.2 million shares of common stock remain available for repurchase under the program. We purchased 0.8 million shares of common stock at an average price of $27.39 per share during the six months ended June 30, 2018 and 0.8 million shares at an average price of $22.15 per share during the six months ended June 30, 2017 (0.4 million shares at an average price of $27.14 per share for the second quarter of 2018 and 0.4 million shares at an average price of $19.17 per share for the second quarter of 2017). Luxembourg law limits share repurchases to the balance of Altisource Portfolio Solutions S.A. (unconsolidated parent company) retained earnings, less the value of shares repurchased. As of June 30, 2018, we can repurchase up to approximately $142 million of our common stock under Luxembourg law. The Credit Agreement also limits the amount we can spend on share repurchases, which was approximately $456 million as of June 30, 2018, and may prevent repurchases in certain circumstances.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$4.1 million and $1.9 million for the six months ended June 30, 2018 and 2017, respectively ($1.9 million and $1.2 million for the second quarter of 2018 and 2017, respectively). As of June 30, 2018, estimated unrecognized compensation costs related to share-based awards amounted to $14.5 million, which we expect to recognize over a weighted average remaining requisite service period of approximately 2.12 years.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connection with the January 1, 2017 adoption of ASU No. 2016-09, </w:t>
      </w:r>
      <w:r>
        <w:rPr>
          <w:rFonts w:ascii="Arial" w:cs="Arial" w:eastAsia="Arial" w:hAnsi="Arial"/>
          <w:sz w:val="16"/>
          <w:szCs w:val="16"/>
          <w:i w:val="1"/>
          <w:iCs w:val="1"/>
          <w:color w:val="auto"/>
        </w:rPr>
        <w:t>Compensation - Stock Compensation (Topic 718): Improvements to Employee Share-Based Payment Accounting</w:t>
      </w:r>
      <w:r>
        <w:rPr>
          <w:rFonts w:ascii="Arial" w:cs="Arial" w:eastAsia="Arial" w:hAnsi="Arial"/>
          <w:sz w:val="16"/>
          <w:szCs w:val="16"/>
          <w:color w:val="auto"/>
        </w:rPr>
        <w:t>, the Company made an accounting policy election to account for forfeitures in compensation expense as they occur,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to apply the Company’s previous policy of estimating forfeitures. Prior to this accounting change, share-based compensation expense for stock options and restricted shares was recognized net of estimated forfeiture rates ranging from 0% to 40%. This policy election resulted in a cumulative effect adjustment of $0.9 million to retained earnings and additional paid-in capital as of January 1, 2017 using the modified retrospective transition method.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vesting and expire on the earlier of ten years after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 or following termination of service. A total of 575 thousand service-based awards were outstanding as of June 30, 2018.</w:t>
      </w:r>
    </w:p>
    <w:p>
      <w:pPr>
        <w:spacing w:after="0" w:line="93"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i w:val="1"/>
          <w:iCs w:val="1"/>
          <w:color w:val="auto"/>
        </w:rPr>
        <w:t>Market-Based Options</w:t>
      </w:r>
      <w:r>
        <w:rPr>
          <w:rFonts w:ascii="Arial" w:cs="Arial" w:eastAsia="Arial" w:hAnsi="Arial"/>
          <w:sz w:val="16"/>
          <w:szCs w:val="16"/>
          <w:color w:val="auto"/>
        </w:rPr>
        <w:t>. These option grants generally have two components, each of which vests only upon the achievement of certain criteria.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awards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684 thousand market-based awards were outstanding as of June 30, 2018.</w:t>
      </w:r>
    </w:p>
    <w:p>
      <w:pPr>
        <w:spacing w:after="0" w:line="11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These option grants generally begin to vest upon the achievement of certain specific financial measures. Generally, the</w:t>
      </w:r>
      <w:r>
        <w:rPr>
          <w:rFonts w:ascii="Arial" w:cs="Arial" w:eastAsia="Arial" w:hAnsi="Arial"/>
          <w:sz w:val="17"/>
          <w:szCs w:val="17"/>
          <w:i w:val="1"/>
          <w:iCs w:val="1"/>
          <w:color w:val="auto"/>
        </w:rPr>
        <w:t xml:space="preserve"> </w:t>
      </w:r>
      <w:r>
        <w:rPr>
          <w:rFonts w:ascii="Arial" w:cs="Arial" w:eastAsia="Arial" w:hAnsi="Arial"/>
          <w:sz w:val="17"/>
          <w:szCs w:val="17"/>
          <w:color w:val="auto"/>
        </w:rPr>
        <w:t>awards begin vesting if the performance criteria are achieved; one-fourth vest on each anniversary of the grant date. For certain other financial measures, awards cliff-vest upon the achievement of the specific performance during the period from 2018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award is canceled. The options expire on the earlier of ten years after the date of grant or following termination of service. There were 282 thousand performance-based awards outstanding as of June 30, 2018.</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272 thousand stock options (at a weighted average exercise price of $25.06 per share) and 129 thousand stock options (at a weighted average exercise price of $39.13 per share) during the six months ended June 30, 2018 and 2017, respectively.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were determined using the Black-Scholes option pricing model and the fair values of the market-based options were determined using a lattice (binomial) model. The following assumptions were used to determine the fair values as of the grant date: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460" w:type="dxa"/>
            <w:vAlign w:val="bottom"/>
            <w:gridSpan w:val="4"/>
          </w:tcPr>
          <w:p>
            <w:pPr>
              <w:ind w:left="1140"/>
              <w:spacing w:after="0"/>
              <w:rPr>
                <w:sz w:val="20"/>
                <w:szCs w:val="20"/>
                <w:color w:val="auto"/>
              </w:rPr>
            </w:pPr>
            <w:r>
              <w:rPr>
                <w:rFonts w:ascii="Arial" w:cs="Arial" w:eastAsia="Arial" w:hAnsi="Arial"/>
                <w:sz w:val="14"/>
                <w:szCs w:val="14"/>
                <w:b w:val="1"/>
                <w:bCs w:val="1"/>
                <w:color w:val="auto"/>
              </w:rPr>
              <w:t>Six months ended</w:t>
            </w:r>
          </w:p>
        </w:tc>
        <w:tc>
          <w:tcPr>
            <w:tcW w:w="3260" w:type="dxa"/>
            <w:vAlign w:val="bottom"/>
            <w:gridSpan w:val="3"/>
          </w:tcPr>
          <w:p>
            <w:pPr>
              <w:jc w:val="right"/>
              <w:ind w:right="99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470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1133"/>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1093"/>
              <w:spacing w:after="0"/>
              <w:rPr>
                <w:sz w:val="20"/>
                <w:szCs w:val="20"/>
                <w:color w:val="auto"/>
              </w:rPr>
            </w:pPr>
            <w:r>
              <w:rPr>
                <w:rFonts w:ascii="Arial" w:cs="Arial" w:eastAsia="Arial" w:hAnsi="Arial"/>
                <w:sz w:val="14"/>
                <w:szCs w:val="14"/>
                <w:b w:val="1"/>
                <w:bCs w:val="1"/>
                <w:color w:val="auto"/>
              </w:rPr>
              <w:t>June 30, 2017</w:t>
            </w:r>
          </w:p>
        </w:tc>
      </w:tr>
      <w:tr>
        <w:trPr>
          <w:trHeight w:val="264"/>
        </w:trPr>
        <w:tc>
          <w:tcPr>
            <w:tcW w:w="4700" w:type="dxa"/>
            <w:vAlign w:val="bottom"/>
          </w:tcPr>
          <w:p>
            <w:pPr>
              <w:spacing w:after="0"/>
              <w:rPr>
                <w:sz w:val="22"/>
                <w:szCs w:val="22"/>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b w:val="1"/>
                <w:bCs w:val="1"/>
                <w:color w:val="auto"/>
              </w:rPr>
              <w:t>Black-Scholes</w:t>
            </w:r>
          </w:p>
        </w:tc>
        <w:tc>
          <w:tcPr>
            <w:tcW w:w="1720" w:type="dxa"/>
            <w:vAlign w:val="bottom"/>
            <w:gridSpan w:val="2"/>
          </w:tcPr>
          <w:p>
            <w:pPr>
              <w:ind w:left="520"/>
              <w:spacing w:after="0"/>
              <w:rPr>
                <w:sz w:val="20"/>
                <w:szCs w:val="20"/>
                <w:color w:val="auto"/>
              </w:rPr>
            </w:pPr>
            <w:r>
              <w:rPr>
                <w:rFonts w:ascii="Arial" w:cs="Arial" w:eastAsia="Arial" w:hAnsi="Arial"/>
                <w:sz w:val="14"/>
                <w:szCs w:val="14"/>
                <w:b w:val="1"/>
                <w:bCs w:val="1"/>
                <w:color w:val="auto"/>
              </w:rPr>
              <w:t>Binomial</w:t>
            </w: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Black-Scholes</w:t>
            </w:r>
          </w:p>
        </w:tc>
        <w:tc>
          <w:tcPr>
            <w:tcW w:w="1580" w:type="dxa"/>
            <w:vAlign w:val="bottom"/>
          </w:tcPr>
          <w:p>
            <w:pPr>
              <w:jc w:val="right"/>
              <w:ind w:right="413"/>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470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 – 2.98</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 – 2.83</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 – 2.29</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0.77 – 2.38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stock price volatility (%)</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70.31 – 71.86</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71.81 – 71.86</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61.49 – 66.68</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66.68</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6.00 – 6.25</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2.56 – 4.32</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6.00 – 7.50</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3.53 – 3.85</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$16.17 – $19.06</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$14.67 – $18.28</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 – $24.80</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$23.54 – $24.30</w:t>
            </w:r>
          </w:p>
        </w:tc>
      </w:tr>
      <w:tr>
        <w:trPr>
          <w:trHeight w:val="27"/>
        </w:trPr>
        <w:tc>
          <w:tcPr>
            <w:tcW w:w="47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360" w:type="dxa"/>
            <w:vAlign w:val="bottom"/>
          </w:tcPr>
          <w:p>
            <w:pPr>
              <w:spacing w:after="0"/>
              <w:rPr>
                <w:sz w:val="22"/>
                <w:szCs w:val="22"/>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stock options granted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1,693</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1,745,906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271,876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(180,578)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2018</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1,541,452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June 30, 2018</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921,627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2018, the Company modified the performance thresholds that are required to be met in order for vesting to occur for 263 thousand stock options granted to 16 employees in the first quarter of 2018. The award modification did not change the inputs into the valuation model or the Company’s assessment of the probability of vesting as of the effective date of the modifications. Consequently, no incremental compensation expense was required as a result of this modification.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other share-based and similar types of awards are composed of restricted shares and, beginning in 2018, restricted share units. The restricted shares and restricted share units are composed of a combination of service-based awards and performance-based awards.</w:t>
      </w:r>
    </w:p>
    <w:p>
      <w:pPr>
        <w:spacing w:after="0" w:line="9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one to four years with vesting in equal annual installments, vesting of all of the restricted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end of the vesting period or vesting beginning after two years of service. A total of 475 thousand service-based awards were outstanding as of June 30, 2018.</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These awards generally begin to vest upon the achievement of certain specific financial measures. Generally, the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begin vesting if the performance criteria are achieved; one-third vest on each anniversary of the grant date. The number of performance-based restricted shares that may vest will be based on the level of achievement, as specified in the award agreements. If the performance criteria achieved is above threshold performance levels, participants have the opportunity to vest in 80% to 150% of the restricted share award, depending on performance level achieved. If the performance criteria achieved is below a certain threshold, the award is canceled. A total of two thousand performance-based awards were outstanding as of June 30, 2018.</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305 thousand restricted shares and restricted share units (at a weighted average grant date fair value of $25.23 per share) during the six months ended June 30,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right"/>
              <w:ind w:right="115"/>
              <w:spacing w:after="0"/>
              <w:rPr>
                <w:sz w:val="20"/>
                <w:szCs w:val="20"/>
                <w:color w:val="auto"/>
              </w:rPr>
            </w:pPr>
            <w:r>
              <w:rPr>
                <w:rFonts w:ascii="Arial" w:cs="Arial" w:eastAsia="Arial" w:hAnsi="Arial"/>
                <w:sz w:val="14"/>
                <w:szCs w:val="14"/>
                <w:b w:val="1"/>
                <w:bCs w:val="1"/>
                <w:color w:val="auto"/>
              </w:rPr>
              <w:t>Number of restricted</w:t>
            </w:r>
          </w:p>
        </w:tc>
      </w:tr>
      <w:tr>
        <w:trPr>
          <w:trHeight w:val="192"/>
        </w:trPr>
        <w:tc>
          <w:tcPr>
            <w:tcW w:w="9720" w:type="dxa"/>
            <w:vAlign w:val="bottom"/>
          </w:tcPr>
          <w:p>
            <w:pPr>
              <w:spacing w:after="0"/>
              <w:rPr>
                <w:sz w:val="16"/>
                <w:szCs w:val="16"/>
                <w:color w:val="auto"/>
              </w:rPr>
            </w:pPr>
          </w:p>
        </w:tc>
        <w:tc>
          <w:tcPr>
            <w:tcW w:w="17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shares</w:t>
            </w:r>
          </w:p>
        </w:tc>
      </w:tr>
      <w:tr>
        <w:trPr>
          <w:trHeight w:val="270"/>
        </w:trPr>
        <w:tc>
          <w:tcPr>
            <w:tcW w:w="97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356,509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305,282</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(88,043)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700" w:type="dxa"/>
            <w:vAlign w:val="bottom"/>
          </w:tcPr>
          <w:p>
            <w:pPr>
              <w:jc w:val="right"/>
              <w:spacing w:after="0"/>
              <w:rPr>
                <w:sz w:val="20"/>
                <w:szCs w:val="20"/>
                <w:color w:val="auto"/>
              </w:rPr>
            </w:pPr>
            <w:r>
              <w:rPr>
                <w:rFonts w:ascii="Arial" w:cs="Arial" w:eastAsia="Arial" w:hAnsi="Arial"/>
                <w:sz w:val="18"/>
                <w:szCs w:val="18"/>
                <w:color w:val="auto"/>
              </w:rPr>
              <w:t>(96,853)</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4"/>
        </w:trPr>
        <w:tc>
          <w:tcPr>
            <w:tcW w:w="9720" w:type="dxa"/>
            <w:vAlign w:val="bottom"/>
          </w:tcPr>
          <w:p>
            <w:pPr>
              <w:ind w:left="40"/>
              <w:spacing w:after="0"/>
              <w:rPr>
                <w:sz w:val="20"/>
                <w:szCs w:val="20"/>
                <w:color w:val="auto"/>
              </w:rPr>
            </w:pPr>
            <w:r>
              <w:rPr>
                <w:rFonts w:ascii="Arial" w:cs="Arial" w:eastAsia="Arial" w:hAnsi="Arial"/>
                <w:sz w:val="18"/>
                <w:szCs w:val="18"/>
                <w:color w:val="auto"/>
              </w:rPr>
              <w:t>Outstanding at June 30, 2018</w:t>
            </w:r>
          </w:p>
        </w:tc>
        <w:tc>
          <w:tcPr>
            <w:tcW w:w="1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476,895</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REVENUE</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includes service revenue,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 is included in revenue and reduced from net income to arrive at net income attributable to Altisource (see Note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revenue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208,861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397,627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467,946</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9,008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11,891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17,155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21,920</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1,302</w:t>
            </w: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218,556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250,685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415,994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491,168</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the Company adopted Topic 606 effective January 1, 2018 using the cumulative effect method.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segment and major source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Three months ended June 30, 2018</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Revenue recognized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Revenue related to</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when services are</w:t>
            </w:r>
          </w:p>
        </w:tc>
        <w:tc>
          <w:tcPr>
            <w:tcW w:w="1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technology platforms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Reimbursable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performed or assets are</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and professional</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sold</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expenses revenue</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139,084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18,525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8,460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166,069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12,593</w:t>
            </w:r>
          </w:p>
        </w:tc>
        <w:tc>
          <w:tcPr>
            <w:tcW w:w="0" w:type="dxa"/>
            <w:vAlign w:val="bottom"/>
          </w:tcPr>
          <w:p>
            <w:pPr>
              <w:spacing w:after="0"/>
              <w:rPr>
                <w:sz w:val="1"/>
                <w:szCs w:val="1"/>
                <w:color w:val="auto"/>
              </w:rPr>
            </w:pP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 Mortgage Market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149,327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20,817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178,662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Real Estate Solutions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Real Estate Investor Solutions</w:t>
            </w:r>
          </w:p>
        </w:tc>
        <w:tc>
          <w:tcPr>
            <w:tcW w:w="1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21,352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21,833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Real Estate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15,749</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187,206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22,342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218,556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0"/>
              </w:rPr>
              <w:t>Six months ended June 30, 2018</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Revenue recognized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Revenue related to</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when services are</w:t>
            </w:r>
          </w:p>
        </w:tc>
        <w:tc>
          <w:tcPr>
            <w:tcW w:w="1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technology platforms</w:t>
            </w:r>
          </w:p>
        </w:tc>
        <w:tc>
          <w:tcPr>
            <w:tcW w:w="18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Reimbursable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performed or assets are</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and professional</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92"/>
        </w:trPr>
        <w:tc>
          <w:tcPr>
            <w:tcW w:w="5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sold</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services</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expenses revenue</w:t>
            </w: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268,620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36,798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16,062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321,480</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24,520</w:t>
            </w:r>
          </w:p>
        </w:tc>
        <w:tc>
          <w:tcPr>
            <w:tcW w:w="0" w:type="dxa"/>
            <w:vAlign w:val="bottom"/>
          </w:tcPr>
          <w:p>
            <w:pPr>
              <w:spacing w:after="0"/>
              <w:rPr>
                <w:sz w:val="1"/>
                <w:szCs w:val="1"/>
                <w:color w:val="auto"/>
              </w:rPr>
            </w:pPr>
          </w:p>
        </w:tc>
      </w:tr>
      <w:tr>
        <w:trPr>
          <w:trHeight w:val="237"/>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Total Mortgage Market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288,048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41,776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16,176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346,000</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Real Estate Solutions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Real Estate Investor Solutions</w:t>
            </w:r>
          </w:p>
        </w:tc>
        <w:tc>
          <w:tcPr>
            <w:tcW w:w="1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34,750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35,706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Real Estate Market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39,425</w:t>
            </w: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Businesses, Corporate and Eliminations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27,647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30,569</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354,162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44,677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17,155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415,994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contract assets consist of unbilled accounts receivable (see Note 4). Our contract liabilities consist of current deferred revenue as reported on the condensed consolidated balance sheets and non-current deferred revenue (see Note 11). Revenue recognized that was included in the contract liability at the beginning of the period, including amounts added to the contract liability as part of the cumulative effect of the adopting Topic 606, was $5.4 million and $11.3 million for the three and six months ended June 30, 2018,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COST OF REVENUE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54,769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125,758</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68,879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86,255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133,977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167,214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12,049</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10,852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10,941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20,303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22,292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21,920</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6,378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6,526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14,113</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163,206</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185,393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310,400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363,346</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facilities, risk management, sales and marketing roles. This category also includes professional fees, occupancy costs, marketing costs, depreciation and amortization of non-operating assets and other expenses. The components of selling, general and administrative expenses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23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76"/>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28,047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7,189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15,623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19,811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18,539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12,929</w:t>
            </w: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42,924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52,470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86,048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100,171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17 — OTHER INCOME (EXPENSE), NET</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24"/>
                <w:szCs w:val="24"/>
                <w:color w:val="auto"/>
              </w:rPr>
            </w:pPr>
          </w:p>
        </w:tc>
        <w:tc>
          <w:tcPr>
            <w:tcW w:w="23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76"/>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debt refinancing</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Gain on early extinguishment of debt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EARNINGS PER SHARE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22"/>
                <w:szCs w:val="22"/>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70"/>
        </w:trPr>
        <w:tc>
          <w:tcPr>
            <w:tcW w:w="5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75"/>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(loss) attributable to Altisource</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15,580</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Weighted average common shares outstanding, basic</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18,497</w:t>
            </w:r>
          </w:p>
        </w:tc>
      </w:tr>
      <w:tr>
        <w:trPr>
          <w:trHeight w:val="229"/>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restricted shares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restricted share units</w:t>
            </w:r>
          </w:p>
        </w:tc>
        <w:tc>
          <w:tcPr>
            <w:tcW w:w="30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572</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30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17,553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18,836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17,260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19,069</w:t>
            </w:r>
          </w:p>
        </w:tc>
      </w:tr>
      <w:tr>
        <w:trPr>
          <w:trHeight w:val="257"/>
        </w:trPr>
        <w:tc>
          <w:tcPr>
            <w:tcW w:w="5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Earnings (loss) per share: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Basic</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0.82</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six months ended June 30, 2018 and 2017, 0.3 million options and 0.4 million options, respectively (0.3 million options and 0.4 million options for the second quarter of 2018 and 2017, respectively), were excluded from the computation of diluted EPS because they were anti-dilutive since their exercise price was greater than the average market price of our common stock. Also excluded from the computation of diluted EPS for the six months ended June 30, 2018 and 2017 were 0.5 million options, restricted shares and restricted share units and 0.3 million options and restricted shares, respectively (0.5 million options, restricted shares and restricted share units and 0.3 million options and restricted shares for the second quarter of 2018 and 2017, respectively), which begin to vest upon the achievement of certain market criteria related to our common stock price, performance criteria and an annualized rate of return to shareholders that have not yet been met. Furthermore, as a result of the net loss attributable to Altisource for the six months ended June 30, 2018, 0.5 million options, restricted shares and restricted share units were excluded from the computation of diluted EPS for the six months ended June 30, 2018, as their impact was anti-dilutive.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previously disclosed, the Company received a Notice and Opportunity to Respond and Advise (“NORA”) letter on November 10, 2016 from the Consumer Financial Protection Bureau (“CFPB”) indicating that the CFPB was considering a potential enforcement action against Altisource relating to an alleged violation of federal law focused on the REALServicing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platform and certain other technology services provided to Ocwen, including claims related to the features, functioning and support of such technology. The NORA process provides the recipient an opportunity to present its positions to the CFPB before an enforcement action is</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recommended or commenced. On December 5, 2016, we provided a written response to the NORA letter setting forth the legal, policy and factual reasons why we believe an enforcement action is not warranted. By letter dated April 3, 2018, the CFPB informed the Company that the investigation of the Company has been completed and the staff of the CFPB’s Office of Enforcement currently does not intend to recommend that the CFPB take enforcement action, and further that the Company is relieved of the document-retention obligations pursuant to the civil investigative process.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during the three and six months ended June 30, 2018, Ocwen was our largest customer, accounting for 51% of our total revenue for the six months ended June 30, 2018 (50% of our revenue for the second quarter of 2018). Additionally, 6% of our revenue for the six months ended June 30, 2018 (5% of our revenue for the second quarter of 2018) was earned on the loan portfolios serviced by Ocwen, when a party other than Ocwen or the MSR owner selected Altisource as the service provider.</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For example, on May 15, 2017, Ocwen disclosed that on April 20, 2017, the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The forgoing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124" w:lineRule="exact"/>
        <w:rPr>
          <w:sz w:val="20"/>
          <w:szCs w:val="20"/>
          <w:color w:val="auto"/>
        </w:rPr>
      </w:pPr>
    </w:p>
    <w:p>
      <w:pPr>
        <w:ind w:left="560" w:hanging="32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560" w:hanging="322"/>
        <w:spacing w:after="0" w:line="277"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560" w:hanging="32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560" w:hanging="322"/>
        <w:spacing w:after="0" w:line="277"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560" w:hanging="32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the outcome of these matters or the amount of any impact they may have on Altisource. However, in the event these matters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Servicer Solutions, Origination Solutions, Consumer Real Estate Solutions and Real Estate Investor Solutions businesses are focused on diversifying and growing our revenue and customer base and we have a sales and marketing strategy to support these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Ocwen has notified us, disclosed in its filings and stated in connection with resolving several state administrative actions discussed above, that it plans to transition from REALServicing to another mortgage servicing software platform. Furthermore, Ocwen disclosed in its filings that its pending acquisition of PHH Corporation is expected to accelerate its transition to a new servicing platform. Altisource is supporting Ocwen through this transition. We do not anticipate that a servicing technology transition would materially impact the other services we provide to Ocwen. For the six months ended June 30, 2018 and 2017, service revenue from REALServicing was $11.9 million and $13.4 million, respectively ($5.4 million and $6.3 million for the second quarter of 2018 and 2017, respectively).</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above, as of March 31, 2018, NRZ owned the Subject MSRs with underlying UPB of $98.3 billion. As of March 31, 2018, Ocwen serviced and subserviced MSRs with underlying UPB of $173.4 billion. As previously disclosed, in July 2017, Ocwen and NRZ entered into agreements to convert NRZ’s economic rights to the Subject MSRs into fully-owned MSRs in exchange for payments from NRZ to Ocwen when such Subject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28, 2017, Altisource, through its licensed subsidiaries, entered into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Subject MSRs and the right to designate the broker for REO properties in such portfolios. The Brokerage Agreement provides that Altisource is the exclusive provider of brokerage services for REO associated with the Subject MSRs, irrespective of the sub-servicer. NRZ’s brokerage subsidiary receives a cooperative brokerage commission on the sale of certain REO properties from these portfolios subject to certain exceptions.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28, 2017, Altisource and NRZ also entered into the Services LOI, setting forth the terms pursuant to which Altisource would remain the exclusive service provider of fee-based services for the Subject MSRs through August 2025. The Services LOI was amended to continue through August 31, 2018.</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by Altisource and NRZ during the term of the Services LOI, as extended.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anticipate that revenue from NRZ will increase over time and revenue from Ocwen will decrease. As Subject MSRs continue to transfer from Ocwen to NRZ and following the anticipated execution of the Services Agreement, we expect that NRZ will become our largest customer. Had all of the Subject MSRs been transferred to NRZ and the Brokerage Agreement and the Services Agreement with NRZ been in place as of January 1, 2018, we estimate that approximately 48% of our revenue for the six months ended June 30, 2018 would have been related to NRZ. There can be no assurance that the parties will reach an agreement with respect to the terms of the Services Agreement or that a Services Agreement will be entered into on a timely basis or at all.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asset recovery management business’s collections. These amounts are held in escrow and trust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for limited periods of time and are not included in the condensed consolidated balance sheets. Amounts held in escrow and trust accounts were $20.8 million and $35.1 million at June 30, 2018 and December 31, 2017,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report our operations through two reportable segments: </w:t>
      </w:r>
      <w:r>
        <w:rPr>
          <w:rFonts w:ascii="Arial" w:cs="Arial" w:eastAsia="Arial" w:hAnsi="Arial"/>
          <w:sz w:val="16"/>
          <w:szCs w:val="16"/>
          <w:i w:val="1"/>
          <w:iCs w:val="1"/>
          <w:color w:val="auto"/>
        </w:rPr>
        <w:t>Mortgage Market</w:t>
      </w:r>
      <w:r>
        <w:rPr>
          <w:rFonts w:ascii="Arial" w:cs="Arial" w:eastAsia="Arial" w:hAnsi="Arial"/>
          <w:sz w:val="16"/>
          <w:szCs w:val="16"/>
          <w:color w:val="auto"/>
        </w:rPr>
        <w:t xml:space="preserve"> and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In addition, we report </w:t>
      </w:r>
      <w:r>
        <w:rPr>
          <w:rFonts w:ascii="Arial" w:cs="Arial" w:eastAsia="Arial" w:hAnsi="Arial"/>
          <w:sz w:val="16"/>
          <w:szCs w:val="16"/>
          <w:i w:val="1"/>
          <w:iCs w:val="1"/>
          <w:color w:val="auto"/>
        </w:rPr>
        <w:t>Other Businesses, Corporate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Eliminations </w:t>
      </w:r>
      <w:r>
        <w:rPr>
          <w:rFonts w:ascii="Arial" w:cs="Arial" w:eastAsia="Arial" w:hAnsi="Arial"/>
          <w:sz w:val="16"/>
          <w:szCs w:val="16"/>
          <w:color w:val="auto"/>
        </w:rPr>
        <w:t>separately. The</w:t>
      </w:r>
      <w:r>
        <w:rPr>
          <w:rFonts w:ascii="Arial" w:cs="Arial" w:eastAsia="Arial" w:hAnsi="Arial"/>
          <w:sz w:val="16"/>
          <w:szCs w:val="16"/>
          <w:i w:val="1"/>
          <w:iCs w:val="1"/>
          <w:color w:val="auto"/>
        </w:rPr>
        <w:t xml:space="preserve"> Mortgage Market </w:t>
      </w:r>
      <w:r>
        <w:rPr>
          <w:rFonts w:ascii="Arial" w:cs="Arial" w:eastAsia="Arial" w:hAnsi="Arial"/>
          <w:sz w:val="16"/>
          <w:szCs w:val="16"/>
          <w:color w:val="auto"/>
        </w:rPr>
        <w:t>segment provides loan servicers and originators with marketplaces, services and technologies that span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mortgage lifecycle. The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segment provides real estate consumers and rental property investors with marketplaces and services that span the real estate lifecycle. In addition, the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segment includes businesses that provide post-charge-off consumer debt collection services primarily to debt originators (e.g., credit card, auto lending and retail credit), customer relationship management services primarily to the utility, insurance and hotel industries and IT infrastructure management services.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also includes interest expense and costs related to corporate support functions including executive, finance, law, compliance, human resources, vendor management, facilities, risk management, and sales and marketing costs not allocated to the business units as well as eliminations between the reportable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 2018</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200" w:type="dxa"/>
            <w:vAlign w:val="bottom"/>
          </w:tcPr>
          <w:p>
            <w:pPr>
              <w:spacing w:after="0"/>
              <w:rPr>
                <w:sz w:val="13"/>
                <w:szCs w:val="13"/>
                <w:color w:val="auto"/>
              </w:rPr>
            </w:pPr>
          </w:p>
        </w:tc>
        <w:tc>
          <w:tcPr>
            <w:tcW w:w="118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Mortgage Market</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8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218,556</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115,329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28,191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19,686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163,206</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55,350</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20,604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17,140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42,924</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12,426</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42,725</w:t>
            </w:r>
          </w:p>
        </w:tc>
        <w:tc>
          <w:tcPr>
            <w:tcW w:w="100" w:type="dxa"/>
            <w:vAlign w:val="bottom"/>
          </w:tcPr>
          <w:p>
            <w:pPr>
              <w:spacing w:after="0"/>
              <w:rPr>
                <w:sz w:val="19"/>
                <w:szCs w:val="19"/>
                <w:color w:val="auto"/>
              </w:rPr>
            </w:pPr>
          </w:p>
        </w:tc>
        <w:tc>
          <w:tcPr>
            <w:tcW w:w="240" w:type="dxa"/>
            <w:vAlign w:val="bottom"/>
            <w:vMerge w:val="restart"/>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(9,214)</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(30,440)</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34"/>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2"/>
        </w:trPr>
        <w:tc>
          <w:tcPr>
            <w:tcW w:w="558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June 30, 2017</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Other Businesses,</w:t>
            </w:r>
          </w:p>
        </w:tc>
        <w:tc>
          <w:tcPr>
            <w:tcW w:w="200" w:type="dxa"/>
            <w:vAlign w:val="bottom"/>
          </w:tcPr>
          <w:p>
            <w:pPr>
              <w:spacing w:after="0"/>
              <w:rPr>
                <w:sz w:val="13"/>
                <w:szCs w:val="13"/>
                <w:color w:val="auto"/>
              </w:rPr>
            </w:pPr>
          </w:p>
        </w:tc>
        <w:tc>
          <w:tcPr>
            <w:tcW w:w="118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Mortgage Market</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8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250,685</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144,326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26,844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14,223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185,393</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65,292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29,805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17,114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52,470</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12,822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ind w:right="32"/>
              <w:spacing w:after="0"/>
              <w:rPr>
                <w:sz w:val="20"/>
                <w:szCs w:val="20"/>
                <w:color w:val="auto"/>
              </w:rPr>
            </w:pPr>
            <w:r>
              <w:rPr>
                <w:rFonts w:ascii="Arial" w:cs="Arial" w:eastAsia="Arial" w:hAnsi="Arial"/>
                <w:sz w:val="18"/>
                <w:szCs w:val="18"/>
                <w:color w:val="auto"/>
              </w:rPr>
              <w:t>36,166</w:t>
            </w:r>
          </w:p>
        </w:tc>
        <w:tc>
          <w:tcPr>
            <w:tcW w:w="100" w:type="dxa"/>
            <w:vAlign w:val="bottom"/>
          </w:tcPr>
          <w:p>
            <w:pPr>
              <w:spacing w:after="0"/>
              <w:rPr>
                <w:sz w:val="19"/>
                <w:szCs w:val="19"/>
                <w:color w:val="auto"/>
              </w:rPr>
            </w:pPr>
          </w:p>
        </w:tc>
        <w:tc>
          <w:tcPr>
            <w:tcW w:w="240" w:type="dxa"/>
            <w:vAlign w:val="bottom"/>
            <w:vMerge w:val="restart"/>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(16,741)</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34"/>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42"/>
        </w:trPr>
        <w:tc>
          <w:tcPr>
            <w:tcW w:w="558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94"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23495</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3"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Other Businesses,</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vMerge w:val="restart"/>
          </w:tcPr>
          <w:p>
            <w:pPr>
              <w:spacing w:after="0"/>
              <w:rPr>
                <w:sz w:val="12"/>
                <w:szCs w:val="12"/>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0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-8255</wp:posOffset>
            </wp:positionV>
            <wp:extent cx="3481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830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415,994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226,402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46,745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37,253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310,400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119,598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105,594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43,978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32,772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86,048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19,546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(21,447)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75,632</w:t>
            </w:r>
          </w:p>
        </w:tc>
        <w:tc>
          <w:tcPr>
            <w:tcW w:w="120" w:type="dxa"/>
            <w:vAlign w:val="bottom"/>
          </w:tcPr>
          <w:p>
            <w:pPr>
              <w:spacing w:after="0"/>
              <w:rPr>
                <w:sz w:val="19"/>
                <w:szCs w:val="19"/>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(60,929)</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2017</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491,168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284,476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29,883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363,346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127,822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58,487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31,808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100,171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27,651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ind w:right="12"/>
              <w:spacing w:after="0"/>
              <w:rPr>
                <w:sz w:val="20"/>
                <w:szCs w:val="20"/>
                <w:color w:val="auto"/>
              </w:rPr>
            </w:pPr>
            <w:r>
              <w:rPr>
                <w:rFonts w:ascii="Arial" w:cs="Arial" w:eastAsia="Arial" w:hAnsi="Arial"/>
                <w:sz w:val="18"/>
                <w:szCs w:val="18"/>
                <w:color w:val="auto"/>
              </w:rPr>
              <w:t>72,067</w:t>
            </w:r>
          </w:p>
        </w:tc>
        <w:tc>
          <w:tcPr>
            <w:tcW w:w="120" w:type="dxa"/>
            <w:vAlign w:val="bottom"/>
          </w:tcPr>
          <w:p>
            <w:pPr>
              <w:spacing w:after="0"/>
              <w:rPr>
                <w:sz w:val="19"/>
                <w:szCs w:val="19"/>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(36,491)</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21,906</w:t>
            </w:r>
          </w:p>
        </w:tc>
        <w:tc>
          <w:tcPr>
            <w:tcW w:w="0" w:type="dxa"/>
            <w:vAlign w:val="bottom"/>
          </w:tcPr>
          <w:p>
            <w:pPr>
              <w:spacing w:after="0"/>
              <w:rPr>
                <w:sz w:val="1"/>
                <w:szCs w:val="1"/>
                <w:color w:val="auto"/>
              </w:rPr>
            </w:pPr>
          </w:p>
        </w:tc>
      </w:tr>
      <w:tr>
        <w:trPr>
          <w:trHeight w:val="242"/>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24"/>
                <w:szCs w:val="24"/>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June 30, 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265,463</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85,080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459,353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809,896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2017</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304,346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64,624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496,194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865,164</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primarily provided to customers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46,268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Luxembourg</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16,688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58,820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73,273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2017 filed with the Securities and Exchange Commission (“SEC”) on February 22,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“Risk Factors” in Part II, Item 1A of this Form 10-Q and the “Risk Factors” section of our Form 10-K for the year ended December 31, 2017 and include the following:</w:t>
      </w:r>
    </w:p>
    <w:p>
      <w:pPr>
        <w:spacing w:after="0" w:line="12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retain Ocwen Financial Corporation (“Ocwen”) as a customer or our ability to receive the anticipated volume of referrals from Ocwen;</w:t>
      </w:r>
    </w:p>
    <w:p>
      <w:pPr>
        <w:spacing w:after="0" w:line="8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reach agreement with New Residential Investment Corp. (individually, together with one or more of its subsidiaries, or one or more of its subsidiaries individually, “NRZ”) on a Services Agreement or the possibility of termination of the Cooperative Brokerage Agreement, as amended, and related letter agreement (collectively, the “Brokerage Agreement”);</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contractual provisions in certain of our agreements or contracts that we may enter into in the future may cause a termination event or event of default if a change in control was deemed to have occurred if, among other things, a shareholder group is formed;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on our strategic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outsourcing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comply with, and burdens imposed by, governmental regulations and policies and any changes in such regulations and policies;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changes in the Luxembourg tax regime or interpretations of the Luxembourg tax regime.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as follows: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Mortgage Market: </w:t>
      </w:r>
      <w:r>
        <w:rPr>
          <w:rFonts w:ascii="Arial" w:cs="Arial" w:eastAsia="Arial" w:hAnsi="Arial"/>
          <w:sz w:val="18"/>
          <w:szCs w:val="18"/>
          <w:color w:val="auto"/>
        </w:rPr>
        <w:t>Provides loan servicers and originators with marketplaces, services and technologies that span the mortgage lifecycle. Within the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segment, we provide: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Servicer Solutions </w:t>
      </w:r>
      <w:r>
        <w:rPr>
          <w:rFonts w:ascii="Arial" w:cs="Arial" w:eastAsia="Arial" w:hAnsi="Arial"/>
          <w:sz w:val="18"/>
          <w:szCs w:val="18"/>
          <w:color w:val="auto"/>
        </w:rPr>
        <w:t>- the solutions, services and technologies typically used or licensed primarily by residential loan servicers.</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Property preservation and inspection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Real estate brokerage and auction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99" w:lineRule="exact"/>
        <w:rPr>
          <w:rFonts w:ascii="Arial" w:cs="Arial" w:eastAsia="Arial" w:hAnsi="Arial"/>
          <w:sz w:val="16"/>
          <w:szCs w:val="16"/>
          <w:color w:val="auto"/>
        </w:rPr>
      </w:pPr>
    </w:p>
    <w:p>
      <w:pPr>
        <w:ind w:left="520" w:right="160" w:hanging="161"/>
        <w:spacing w:after="0" w:line="277" w:lineRule="auto"/>
        <w:tabs>
          <w:tab w:leader="none" w:pos="4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Appraisal management services, valuation data, broker and non-broker valuation services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and commercial loan servicing technologies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53" w:right="1040" w:hanging="153"/>
        <w:spacing w:after="0" w:line="277" w:lineRule="auto"/>
        <w:tabs>
          <w:tab w:leader="none" w:pos="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Vendor management, marketplace transaction management and payment management technologies</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76" w:lineRule="exact"/>
        <w:rPr>
          <w:rFonts w:ascii="Arial" w:cs="Arial" w:eastAsia="Arial" w:hAnsi="Arial"/>
          <w:sz w:val="18"/>
          <w:szCs w:val="18"/>
          <w:color w:val="auto"/>
        </w:rPr>
      </w:pPr>
    </w:p>
    <w:p>
      <w:pPr>
        <w:ind w:left="153" w:right="560" w:hanging="153"/>
        <w:spacing w:after="0" w:line="277" w:lineRule="auto"/>
        <w:tabs>
          <w:tab w:leader="none" w:pos="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services (real estate owned (“REO”), foreclosure, bankruptcy, eviction) technologies</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charge-off collections</w:t>
      </w:r>
    </w:p>
    <w:p>
      <w:pPr>
        <w:spacing w:after="0" w:line="76" w:lineRule="exact"/>
        <w:rPr>
          <w:rFonts w:ascii="Arial" w:cs="Arial" w:eastAsia="Arial" w:hAnsi="Arial"/>
          <w:sz w:val="18"/>
          <w:szCs w:val="18"/>
          <w:color w:val="auto"/>
        </w:rPr>
      </w:pPr>
    </w:p>
    <w:p>
      <w:pPr>
        <w:ind w:left="153" w:right="480" w:hanging="153"/>
        <w:spacing w:after="0" w:line="277" w:lineRule="auto"/>
        <w:tabs>
          <w:tab w:leader="none" w:pos="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200" w:lineRule="exact"/>
        <w:rPr>
          <w:sz w:val="20"/>
          <w:szCs w:val="20"/>
          <w:color w:val="auto"/>
        </w:rPr>
      </w:pPr>
    </w:p>
    <w:p>
      <w:pPr>
        <w:sectPr>
          <w:pgSz w:w="11900" w:h="16838" w:orient="portrait"/>
          <w:cols w:equalWidth="0" w:num="2">
            <w:col w:w="5260" w:space="447"/>
            <w:col w:w="5713"/>
          </w:cols>
          <w:pgMar w:left="240" w:top="125" w:right="239" w:bottom="1440" w:gutter="0" w:footer="0" w:header="0"/>
          <w:type w:val="continuous"/>
        </w:sectPr>
      </w:pPr>
    </w:p>
    <w:p>
      <w:pPr>
        <w:spacing w:after="0" w:line="92"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Origination Solutions </w:t>
      </w:r>
      <w:r>
        <w:rPr>
          <w:rFonts w:ascii="Arial" w:cs="Arial" w:eastAsia="Arial" w:hAnsi="Arial"/>
          <w:sz w:val="18"/>
          <w:szCs w:val="18"/>
          <w:color w:val="auto"/>
        </w:rPr>
        <w:t>- the solutions, services and technologies typically used or licensed by loan originators (or other similar mortgage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originating, buying and selling residential mortgages.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Title insurance (agent and related services) and settlement services</w:t>
      </w:r>
    </w:p>
    <w:p>
      <w:pPr>
        <w:spacing w:after="0" w:line="99" w:lineRule="exact"/>
        <w:rPr>
          <w:rFonts w:ascii="Arial" w:cs="Arial" w:eastAsia="Arial" w:hAnsi="Arial"/>
          <w:sz w:val="16"/>
          <w:szCs w:val="16"/>
          <w:color w:val="auto"/>
        </w:rPr>
      </w:pPr>
    </w:p>
    <w:p>
      <w:pPr>
        <w:ind w:left="520" w:right="160" w:hanging="161"/>
        <w:spacing w:after="0" w:line="277" w:lineRule="auto"/>
        <w:tabs>
          <w:tab w:leader="none" w:pos="4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Appraisal management services, valuation data, broker and non-broker valuation services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Fulfillment services</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 origination system</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13" w:hanging="113"/>
        <w:spacing w:after="0"/>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76" w:lineRule="exact"/>
        <w:rPr>
          <w:rFonts w:ascii="Arial" w:cs="Arial" w:eastAsia="Arial" w:hAnsi="Arial"/>
          <w:sz w:val="18"/>
          <w:szCs w:val="18"/>
          <w:color w:val="auto"/>
        </w:rPr>
      </w:pPr>
    </w:p>
    <w:p>
      <w:pPr>
        <w:ind w:left="153" w:right="840" w:hanging="153"/>
        <w:spacing w:after="0" w:line="277" w:lineRule="auto"/>
        <w:tabs>
          <w:tab w:leader="none" w:pos="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Certified loan insurance, certification services and mortgage fraud insurance</w:t>
      </w:r>
    </w:p>
    <w:p>
      <w:pPr>
        <w:spacing w:after="0" w:line="21" w:lineRule="exact"/>
        <w:rPr>
          <w:rFonts w:ascii="Arial" w:cs="Arial" w:eastAsia="Arial" w:hAnsi="Arial"/>
          <w:sz w:val="18"/>
          <w:szCs w:val="18"/>
          <w:color w:val="auto"/>
        </w:rPr>
      </w:pPr>
    </w:p>
    <w:p>
      <w:pPr>
        <w:ind w:left="113" w:hanging="113"/>
        <w:spacing w:after="0"/>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Vendor management oversight platform</w:t>
      </w:r>
    </w:p>
    <w:p>
      <w:pPr>
        <w:spacing w:after="0" w:line="76" w:lineRule="exact"/>
        <w:rPr>
          <w:rFonts w:ascii="Arial" w:cs="Arial" w:eastAsia="Arial" w:hAnsi="Arial"/>
          <w:sz w:val="18"/>
          <w:szCs w:val="18"/>
          <w:color w:val="auto"/>
        </w:rPr>
      </w:pPr>
    </w:p>
    <w:p>
      <w:pPr>
        <w:ind w:left="113" w:hanging="113"/>
        <w:spacing w:after="0"/>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 banker cooperative management</w:t>
      </w:r>
    </w:p>
    <w:p>
      <w:pPr>
        <w:spacing w:after="0" w:line="76" w:lineRule="exact"/>
        <w:rPr>
          <w:rFonts w:ascii="Arial" w:cs="Arial" w:eastAsia="Arial" w:hAnsi="Arial"/>
          <w:sz w:val="18"/>
          <w:szCs w:val="18"/>
          <w:color w:val="auto"/>
        </w:rPr>
      </w:pPr>
    </w:p>
    <w:p>
      <w:pPr>
        <w:ind w:left="113" w:hanging="113"/>
        <w:spacing w:after="0"/>
        <w:tabs>
          <w:tab w:leader="none" w:pos="1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 trading platform</w:t>
      </w:r>
    </w:p>
    <w:p>
      <w:pPr>
        <w:spacing w:after="0" w:line="200" w:lineRule="exact"/>
        <w:rPr>
          <w:sz w:val="20"/>
          <w:szCs w:val="20"/>
          <w:color w:val="auto"/>
        </w:rPr>
      </w:pPr>
    </w:p>
    <w:p>
      <w:pPr>
        <w:sectPr>
          <w:pgSz w:w="11900" w:h="16838" w:orient="portrait"/>
          <w:cols w:equalWidth="0" w:num="2">
            <w:col w:w="5260" w:space="447"/>
            <w:col w:w="5713"/>
          </w:cols>
          <w:pgMar w:left="240" w:top="125"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Real Estate Market: </w:t>
      </w:r>
      <w:r>
        <w:rPr>
          <w:rFonts w:ascii="Arial" w:cs="Arial" w:eastAsia="Arial" w:hAnsi="Arial"/>
          <w:sz w:val="16"/>
          <w:szCs w:val="16"/>
          <w:color w:val="auto"/>
        </w:rPr>
        <w:t>Provides real estate consumers and rental property investors with marketplaces and services that span the real estate lifecycle. Within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 segment, we provide:</w:t>
      </w:r>
    </w:p>
    <w:p>
      <w:pPr>
        <w:spacing w:after="0" w:line="157"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Consumer Real Estate Solutions </w:t>
      </w:r>
      <w:r>
        <w:rPr>
          <w:rFonts w:ascii="Arial" w:cs="Arial" w:eastAsia="Arial" w:hAnsi="Arial"/>
          <w:sz w:val="18"/>
          <w:szCs w:val="18"/>
          <w:color w:val="auto"/>
        </w:rPr>
        <w:t>- the solutions, services and technologies typically used by home buyers and sellers to handle key aspects of buying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selling a residence.</w:t>
      </w:r>
    </w:p>
    <w:p>
      <w:pPr>
        <w:spacing w:after="0" w:line="116"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 doing business as Owners.com</w:t>
      </w:r>
      <w:r>
        <w:rPr>
          <w:rFonts w:ascii="Arial" w:cs="Arial" w:eastAsia="Arial" w:hAnsi="Arial"/>
          <w:sz w:val="25"/>
          <w:szCs w:val="25"/>
          <w:color w:val="auto"/>
          <w:vertAlign w:val="superscript"/>
        </w:rPr>
        <w:t>®</w:t>
      </w:r>
      <w:r>
        <w:rPr>
          <w:sz w:val="20"/>
          <w:szCs w:val="20"/>
          <w:color w:val="auto"/>
        </w:rPr>
        <w:tab/>
      </w:r>
      <w:r>
        <w:rPr>
          <w:rFonts w:ascii="Arial" w:cs="Arial" w:eastAsia="Arial" w:hAnsi="Arial"/>
          <w:sz w:val="16"/>
          <w:szCs w:val="16"/>
          <w:color w:val="auto"/>
        </w:rPr>
        <w:t>• Mortgage brokerage</w:t>
      </w:r>
    </w:p>
    <w:p>
      <w:pPr>
        <w:spacing w:after="0" w:line="12"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Title insurance (agent and related services) and settlement services</w:t>
      </w:r>
      <w:r>
        <w:rPr>
          <w:sz w:val="20"/>
          <w:szCs w:val="20"/>
          <w:color w:val="auto"/>
        </w:rPr>
        <w:tab/>
      </w:r>
      <w:r>
        <w:rPr>
          <w:rFonts w:ascii="Arial" w:cs="Arial" w:eastAsia="Arial" w:hAnsi="Arial"/>
          <w:sz w:val="16"/>
          <w:szCs w:val="16"/>
          <w:color w:val="auto"/>
        </w:rPr>
        <w:t>• Homeowners insurance</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Real Estate Investor Solutions </w:t>
      </w:r>
      <w:r>
        <w:rPr>
          <w:rFonts w:ascii="Arial" w:cs="Arial" w:eastAsia="Arial" w:hAnsi="Arial"/>
          <w:sz w:val="18"/>
          <w:szCs w:val="18"/>
          <w:color w:val="auto"/>
        </w:rPr>
        <w:t>- the solutions, services and technologies used by buyers and sellers of single-family investment homes.</w:t>
      </w:r>
    </w:p>
    <w:p>
      <w:pPr>
        <w:spacing w:after="0" w:line="171"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Property preservation and inspection services</w:t>
      </w:r>
      <w:r>
        <w:rPr>
          <w:sz w:val="20"/>
          <w:szCs w:val="20"/>
          <w:color w:val="auto"/>
        </w:rPr>
        <w:tab/>
      </w:r>
      <w:r>
        <w:rPr>
          <w:rFonts w:ascii="Arial" w:cs="Arial" w:eastAsia="Arial" w:hAnsi="Arial"/>
          <w:sz w:val="16"/>
          <w:szCs w:val="16"/>
          <w:color w:val="auto"/>
        </w:rPr>
        <w:t>• Buy-renovate-lease-sell</w:t>
      </w:r>
    </w:p>
    <w:p>
      <w:pPr>
        <w:spacing w:after="0" w:line="77"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 and auction services</w:t>
      </w:r>
      <w:r>
        <w:rPr>
          <w:sz w:val="20"/>
          <w:szCs w:val="20"/>
          <w:color w:val="auto"/>
        </w:rPr>
        <w:tab/>
      </w:r>
      <w:r>
        <w:rPr>
          <w:rFonts w:ascii="Arial" w:cs="Arial" w:eastAsia="Arial" w:hAnsi="Arial"/>
          <w:sz w:val="16"/>
          <w:szCs w:val="16"/>
          <w:color w:val="auto"/>
        </w:rPr>
        <w:t>• Renovation services</w:t>
      </w:r>
    </w:p>
    <w:p>
      <w:pPr>
        <w:spacing w:after="0" w:line="77"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Data solutions</w:t>
      </w:r>
      <w:r>
        <w:rPr>
          <w:sz w:val="20"/>
          <w:szCs w:val="20"/>
          <w:color w:val="auto"/>
        </w:rPr>
        <w:tab/>
      </w:r>
      <w:r>
        <w:rPr>
          <w:rFonts w:ascii="Arial" w:cs="Arial" w:eastAsia="Arial" w:hAnsi="Arial"/>
          <w:sz w:val="16"/>
          <w:szCs w:val="16"/>
          <w:color w:val="auto"/>
        </w:rPr>
        <w:t>• Property management services</w:t>
      </w:r>
    </w:p>
    <w:p>
      <w:pPr>
        <w:spacing w:after="0" w:line="77"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Title insurance (agent and related services) and settlement services</w:t>
      </w:r>
      <w:r>
        <w:rPr>
          <w:sz w:val="20"/>
          <w:szCs w:val="20"/>
          <w:color w:val="auto"/>
        </w:rPr>
        <w:tab/>
      </w:r>
      <w:r>
        <w:rPr>
          <w:rFonts w:ascii="Arial" w:cs="Arial" w:eastAsia="Arial" w:hAnsi="Arial"/>
          <w:sz w:val="16"/>
          <w:szCs w:val="16"/>
          <w:color w:val="auto"/>
        </w:rPr>
        <w:t>• Appraisal management services, valuation data, broker and non-broker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valuation services</w:t>
      </w: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Businesses, Corporate and Eliminations</w:t>
      </w:r>
      <w:r>
        <w:rPr>
          <w:rFonts w:ascii="Arial" w:cs="Arial" w:eastAsia="Arial" w:hAnsi="Arial"/>
          <w:sz w:val="18"/>
          <w:szCs w:val="18"/>
          <w:color w:val="auto"/>
        </w:rPr>
        <w:t>: Includes certain ancillary businesses, interest expense and unallocated costs related to corporate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The businesses in this segment include post-charge-off consumer debt collection services, customer relationship management services and information technology (“IT”) infrastructure management services. Interest expense relates</w:t>
      </w:r>
    </w:p>
    <w:p>
      <w:pPr>
        <w:sectPr>
          <w:pgSz w:w="11900" w:h="16838" w:orient="portrait"/>
          <w:cols w:equalWidth="0" w:num="1">
            <w:col w:w="11420"/>
          </w:cols>
          <w:pgMar w:left="240" w:top="125" w:right="239" w:bottom="1440" w:gutter="0" w:footer="0" w:header="0"/>
          <w:type w:val="continuous"/>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Company’s senior secured term loan and corporate support functions include executive, finance, law, compliance, human resources, vendor management, facilities, risk management and sales and marketing costs not allocated to the business units. This segment also includes eliminations of transactions between the reportable segments.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Best Partners Mortgage Cooperative, Inc.,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Lenders One is a mortgage cooperative managed, but not owned, by Altisource. Lenders One is included in revenue and reduced from net income to arrive at net income attributable to Altisource.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Businesses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focused on becoming one of the premier providers of mortgage and real estate marketplaces and related services to a broad and diversified customer base. Within the mortgage and real estate market segments, we facilitate transactions and provide products, solutions and services related to home sales, home purchases, home rentals, home maintenance, mortgage originations and mortgage servicing.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strategic businesses provides Altisource the potential to grow and diversify our customer and revenue base. We believe these businesses operate in very large markets and directly leverage our core competencies and distinct competitive advantages. A further description of our four strategic businesses follows.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Servicer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this business, we provide a suite of services and technologies to meet the evolving and growing needs of loan servicers. We are focused on growing referrals from our existing customer base, expanding the service and proprietary technology offerings to our customer base, and attracting new customers to our offerings. We have a customer base that includes Ocwen, a government-sponsored enterprise (“GSE”), NRZ, several large bank and non-bank servicers and asset managers. We believe we are one of only a few providers with a broad suite of servicer solutions, nationwide coverage and demonstrated scalability. Further, we believe we are well positioned to gain market share as existing customers and prospects consolidate to larger, full-service providers and outsource services that have historically been performed in-house.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 Solutions: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Through this business, we provide a suite of services and technologies to meet the evolving and growing needs of lenders, mortgage purchasers and securitizers. We are focused on growing referrals from our existing customer base, expanding the service and proprietary technology offerings to our customer base, and attracting new customers to our offerings. We have a customer base that includes the Lenders One cooperative mortgage bankers, the Mortgage Builder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loan origination system customers and mid-size and larger bank and non-bank loan originators. We believe our suite of services and technologies position us to grow our relationships with our existing customer base by providing additional products, services and solutions to these customers. Further, we believe we are well positioned to attract new customers as prospects consolidate to larger, full-service providers and outsource services that have historically been performed in-house.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Real Estate Solutions: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this business, we provide real estate buyers and sellers with a technology enabled real estate brokerage and integrated services to support them in buying and selling a home. Our offerings include local real estate agent services and loan brokerage as well as closing and title services. We are focused on continuing to develop this business by capitalizing on Altisource’s experience in online real estate marketing and loan origination services as well as on more recently developed agile execution competencies.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Investor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this business, we provide a suite of services and technologies to support buyers and sellers of single-family investment homes, including our purchase, renovation, leasing and sale of short-term investments in real estate. We are focused on growing referrals from our existing customer base, expanding the service and proprietary technology offerings to our customer base, and attracting new customers to our offerings. We have a customer base that includes Front Yard Residential Corporation (“RESI”) and other institutional and smaller single-family rental investors. The single-family rental market is large, geographically distributed and has fragmented ownership. We believe our acquisition, renovation, property management, leasing and disposition platform provides a strong value proposition for institutional and retail investors and positions us well for growth.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540"/>
        <w:spacing w:after="0" w:line="438" w:lineRule="auto"/>
        <w:rPr>
          <w:sz w:val="20"/>
          <w:szCs w:val="20"/>
          <w:color w:val="auto"/>
        </w:rPr>
      </w:pPr>
      <w:r>
        <w:rPr>
          <w:rFonts w:ascii="Arial" w:cs="Arial" w:eastAsia="Arial" w:hAnsi="Arial"/>
          <w:sz w:val="18"/>
          <w:szCs w:val="18"/>
          <w:color w:val="auto"/>
        </w:rPr>
        <w:t xml:space="preserve">There can be no assurance that growth from some or all of our strategic businesses will be successful or our operations will be profitable. </w:t>
      </w:r>
      <w:r>
        <w:rPr>
          <w:rFonts w:ascii="Arial" w:cs="Arial" w:eastAsia="Arial" w:hAnsi="Arial"/>
          <w:sz w:val="18"/>
          <w:szCs w:val="18"/>
          <w:b w:val="1"/>
          <w:bCs w:val="1"/>
          <w:color w:val="auto"/>
        </w:rPr>
        <w:t>Share Repurchase Program</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2018, our shareholders approved the renewal of the share repurchase program previously approved by the shareholders on May 17, 2017, which replaced the previous share repurchase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June 30, 2018, approximately 4.2 million shares of common stock remain available for repurchase under the program. We purchased 0.8 million shares of common stock at an average price of $27.39 per share during the six months ended June 30, 2018 and 0.8 million shares at an average price of $22.15 per share during the six months ended June 30, 2017 (0.4 million shares at an average price of $27.14 per share for the second quarter of 2018 and 0.4 million shares at an average price of $19.17 per share for the second quarter of 2017). Luxembourg law limits share repurchases to the balance of Altisource Portfolio Solutions S.A. (unconsolidated parent company) retained earnings, less the value of shares repurchased. As of June 30, 2018, we can repurchase up to approximately $142 million of our common stock under Luxembourg law. The credit agreement (“Credit Agreement”) with Morgan Stanley Senior Funding, Inc. limits the amount we can spend on share repurchases, which was approximately $456 million as of June 30, 2018, and may prevent repurchases in certain circumstances.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2018, Ocwen was our largest customer, accounting for 51% of our total revenue for the six months ended June 30, 2018 (50% of our revenue for the second quarter of 2018). Additionally, 6% of our revenue for the six months ended June 30, 2018 (5% of our revenue for the second quarter of 2018) was earned on the loan portfolios serviced by Ocwen, when a party other than Ocwen or the mortgage servicing rights (“MSRs”) owner selected Altisource as the service provider.</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cease and desist orders, consent orders, inquiries, subpoenas, civil investigative demand, requests for information and other actions and is subject to pending legal proceedings, some of which include claims against Ocwen for substantial monetary damages. For example, on May 15, 2017, Ocwen disclosed that on April 20, 2017, the Consumer Financial Protection Bureau (“CFPB”) and the State of Florida filed separate complaints in the United States District Court for the Southern District of Florida against Ocwen alleging violations of Federal consumer financial law and, in the case of Florida, Florida statutes. As another example, on May 15, 2017, Ocwen also disclosed that on April 28, 2017, the Commonwealth of Massachusetts filed a lawsuit against Ocwen in the Superior Court for the Commonwealth of Massachusetts alleging violations of state consumer financial laws relating to Ocwen’s servicing business, including lender-placed insurance and property preservation fees. Ocwen disclosed that the complaints seek to obtain permanent injunctive relief, consumer redress, refunds, restitution, disgorgement, damages, civil penalties, costs and fees and other relief. The forgoing or other matters could result in, and in some cases, have resulted in, adverse regulatory or other actions against Ocwen. Previous regulatory actions against Ocwen resulted in subjecting Ocwen to independent oversight of its operations and placing certain restrictions on its ability to acquire servicing rights.</w:t>
      </w:r>
    </w:p>
    <w:p>
      <w:pPr>
        <w:spacing w:after="0" w:line="1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Ocwen may become subject to future federal and state regulatory investigations, cease and desist orders, consent orders, inquiries, subpoenas, civil investigative demands, requests for information, other matters or legal proceedings, any of which could also result in adverse regulatory or other actions against Ocwen.</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foregoing may have significant adverse effects on Ocwen’s business and/or our continuing relationship with Ocwen. For example, Ocwen may be required to alter the way it conducts business, including the parties it contracts with for services (including IT and software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560" w:hanging="32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560" w:hanging="322"/>
        <w:spacing w:after="0" w:line="277"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60" w:hanging="322"/>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560" w:hanging="322"/>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560" w:hanging="322"/>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the outcome of these matters or the amount of any impact they may have on Altisource. However, in the event these matters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Servicer Solutions, Origination Solutions, Consumer Real Estate Solutions and Real Estate Investor Solutions businesses are focused on diversifying and growing our revenue and customer base and we have a sales and marketing strategy to support these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Ocwen has notified us, disclosed in its filings and stated in connection with resolving several state administrative actions discussed above, that it plans to transition from REALServicing to another mortgage servicing software platform. Furthermore, Ocwen disclosed in its filings that its pending acquisition of PHH Corporation is expected to accelerate its transition to a new servicing platform. Altisource is supporting Ocwen through this transition. We do not anticipate that a servicing technology transition would materially impact the other services we provide to Ocwen. For the six months ended June 30, 2018 and 2017, service revenue from REALServicing was $11.9 million and $13.4 million, respectively ($5.4 million and $6.3 million for the second quarter of 2018 and 2017, respectively).</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above, as of March 31, 2018, NRZ owned Ocwen-serviced MSRs and rights to MSRs (the “Subject MSRs”) with underlying unpaid principal balances (“UPB”) of $98.3 billion. As of March 31, 2018, Ocwen serviced and subserviced MSRs with underlying UPB of $173.4 billion. As previously disclosed, in July 2017, Ocwen and NRZ entered into agreements to convert NRZ’s economic rights to the Subject MSRs into fully-owned MSRs in exchange for payments from NRZ to Ocwen when such Subject MSRs were transferred. The transfers are subject to certain third party consents. Ocwen disclosed that under these agreements, Ocwen would subservice the transferred Subject MSRs for an initial term of five years, and the agreements provided for the conversion of the existing arrangements into a more traditional subservicing arrangement.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Ocwen disclosed that it and NRZ entered into new agreements to accelerate the implementation of certain parts of their July 2017 arrangement in order to achieve the intent of the July 2017 agreements sooner while Ocwen continues the process of obtaining the third party consents necessary to transfer the Subject MSRs to NRZ.</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28, 2017, Altisource, through its licensed subsidiaries, entered into the Brokerage Agreement with NRZ which extends through August 2025. Under this agreement and related amendments, Altisource remains the exclusive provider of brokerage services for REO associated with the Subject MSRs when Ocwen transfers such MSRs to NRZ or when NRZ acquires both an additional economic interest in such Subject MSRs and the right to designate the broker for REO properties in such portfolios. The Brokerage Agreement provides that Altisource is the exclusive provider of brokerage services for REO associated with the Subject MSRs, irrespective of the sub-servicer. NRZ’s brokerage subsidiary receives a cooperative brokerage commission on the sale of certain REO properties from these portfolios subject to certain exceptions.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28, 2017, Altisource and NRZ also entered into a non-binding Letter of Intent, as amended, to enter into a Services Agreement (the “Services LOI”), setting forth the terms pursuant to which Altisource would remain the exclusive service provider of fee-based services for the Subject MSRs through August 2025. The Services LOI was amended to continue through August 31, 2018.</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be terminated by Altisource if the Services Agreement is not signed by Altisource and NRZ during the term of the Services LOI, as extended.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anticipate that revenue from NRZ will increase over time and revenue from Ocwen will decrease. As Subject MSRs continue to transfer from Ocwen to NRZ and following the anticipated execution of the Services Agreement, we expect that NRZ will become our largest customer. Had all of the Subject MSRs been transferred to NRZ and the Brokerage Agreement and the Services Agreement with NRZ were in place as of January 1, 2018, we estimate that approximately 48% of our revenue for the six months ended June 30, 2018 would have been related to NRZ. There can be no assurance that the parties will reach an agreement with respect to the terms of the Services Agreement or that a Services Agreement will be entered into on a timely basis or at all.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(including those MSRs owned by NRZ and subserviced by Ocwen) was approximately 1.1 million for the six months ended June 30, 2018 compared to 1.3 million for the six months ended June 30, 2017, a decrease of 13% (1.1 million for the second quarter of 2018 and 1.3 million for the second quarter of 2017, a decrease of 13%). The average number of delinquent non-GSE loans serviced by Ocwen on REALServicing was approximately 162 thousand for the six months ended June 30, 2018 compared to 184 thousand for the six months ended June 30, 2017, a decrease of 12% (153 thousand for the second quarter of 2018 and 177 thousand for the second quarter of 2017, a decrease of 14%).</w:t>
      </w:r>
    </w:p>
    <w:p>
      <w:pPr>
        <w:spacing w:after="0" w:line="30"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April 3, 2018, Altisource and its wholly-owned subsidiary, Altisource S.à r.l., entered into the Credit Agreement, pursuant to which, among other things, Altisource borrowed $412.0 million in the form of Term B Loans. Proceeds from the Term B Loans were used to repay the Company’s prior senior secured term loan. The interest rate of the Term B Loans during the second quarter of 2018 was 6.31%. The comparative interest rates under the Credit agreement and the prior credit agreement were 5.71% and 4.51% for the six months ended June 30, 2018 and 2017, respectively (4.51% for the second quarter of 2017). In connection with the refinancing, we recognized a loss of $4.4 million from the write-off of the unamortized debt issuance costs and debt discount in the second quarter of 2018 (no comparative amounts in 2017).</w:t>
      </w:r>
    </w:p>
    <w:p>
      <w:pPr>
        <w:spacing w:after="0" w:line="2" w:lineRule="exact"/>
        <w:rPr>
          <w:rFonts w:ascii="Arial" w:cs="Arial" w:eastAsia="Arial" w:hAnsi="Arial"/>
          <w:sz w:val="16"/>
          <w:szCs w:val="16"/>
          <w:color w:val="auto"/>
        </w:rPr>
      </w:pPr>
    </w:p>
    <w:p>
      <w:pPr>
        <w:jc w:val="both"/>
        <w:ind w:left="660" w:hanging="328"/>
        <w:spacing w:after="0" w:line="29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 January 1, 2018, the Company adopted Accounting Standards Update No. 2016-01</w:t>
      </w:r>
      <w:r>
        <w:rPr>
          <w:rFonts w:ascii="Arial" w:cs="Arial" w:eastAsia="Arial" w:hAnsi="Arial"/>
          <w:sz w:val="16"/>
          <w:szCs w:val="16"/>
          <w:i w:val="1"/>
          <w:iCs w:val="1"/>
          <w:color w:val="auto"/>
        </w:rPr>
        <w:t>, Financial Instruments - Overall (Subtopic 825-10):</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which requires certain equity investments to be measured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 changes in fair value recognized in net income. Previously, changes in the fair value of the Company’s available for sale securities were included in comprehensive income. For the six months ended June 30, 2018, we recognized an unrealized loss from our investment in RESI common shares of $6.0 million (unrealized gain of $1.5 million for the second quarter of 2018). During the six months ended June 30, 2017, comprehensive income included an unrealized gain from our investment in RESI common shares of $5.7 million, net of a $2.1 million income tax provision (unrealized loss of $7.0 million, net of a $2.6 million income tax benefit for the second quarter of 2017). See Note 1 to the condensed consolidated financial statements for additional information on the adoption of the new accounting standard on investments in equity securities.</w:t>
      </w:r>
    </w:p>
    <w:p>
      <w:pPr>
        <w:spacing w:after="0" w:line="4"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second quarter of 2017, we repurchased portions of our senior secured term loan with an aggregate par value of $26.0 million at a weighted average discount of 16.5%, recognizing a net gain of $3.9 million on the early extinguishment of debt (no comparative amounts in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b w:val="1"/>
                <w:bCs w:val="1"/>
                <w:color w:val="auto"/>
                <w:w w:val="92"/>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w w:val="93"/>
              </w:rPr>
              <w:t>Six months ended 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11"/>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(decrease)</w:t>
            </w:r>
          </w:p>
        </w:tc>
        <w:tc>
          <w:tcPr>
            <w:tcW w:w="0" w:type="dxa"/>
            <w:vAlign w:val="bottom"/>
          </w:tcPr>
          <w:p>
            <w:pPr>
              <w:spacing w:after="0"/>
              <w:rPr>
                <w:sz w:val="1"/>
                <w:szCs w:val="1"/>
                <w:color w:val="auto"/>
              </w:rPr>
            </w:pPr>
          </w:p>
        </w:tc>
      </w:tr>
      <w:tr>
        <w:trPr>
          <w:trHeight w:val="270"/>
        </w:trPr>
        <w:tc>
          <w:tcPr>
            <w:tcW w:w="3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Mortgage Market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169,457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198,414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328,612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393,387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Market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w w:val="99"/>
              </w:rPr>
              <w:t>Other Businesses, Corporate and Eliminations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15,346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30,548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31,023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238,107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397,627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467,946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9,008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11,891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17,155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21,920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218,556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250,685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415,994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491,168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163,206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185,393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310,400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363,346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55,350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65,292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105,594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127,822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42,924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52,470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86,048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100,171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12,426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12,822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19,546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27,651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(5,465)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(12,890)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(11,263)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Unrealized gain (loss) on investments in equity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21,906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16,882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9,035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15,580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Gross profit/service revenue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1"/>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8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recognized service revenue of $397.6 million for the six months ended June 30, 2018, a 15% decrease compared to the six months ended June 30, 2017 ($208.9 million for the second quarter of 2018, a 12% decrease compared to the second quarter of 2017). The decreases in service revenue in the Mortgage Market segment were primarily a result of the reduction in the size of Ocwen’s portfolio and number of delinquent loans in its portfolio resulting from loan repayments, loan modifications, short sales, REO sales and other forms of resolution, partially offset by service revenue growth in the non-Ocwen property preservation and inspection business. The decreases in service revenue in the Real Estate Market segment were primarily driven by RESI’s smaller</w:t>
      </w:r>
    </w:p>
    <w:p>
      <w:pPr>
        <w:sectPr>
          <w:pgSz w:w="11900" w:h="16838" w:orient="portrait"/>
          <w:cols w:equalWidth="0" w:num="1">
            <w:col w:w="11420"/>
          </w:cols>
          <w:pgMar w:left="240" w:top="125" w:right="239" w:bottom="703"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703"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portfolio of non-performing loans and REO, partially offset by growth in the number of homes sold in the buy-renovate-lease-sell business, particularly in the second quarter of 2018 compared to the second quarter of 2017, as well as growth in the renovation management and Consumer Real Estate Solutions businesses.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recognized reimbursable expense revenue of $17.2 million for the six months ended June 30, 2018, a 22% decrease compared to the six months ended June 30, 2017 ($9.0 million for the second quarter of 2018, a 24% decrease compared to the second quarter of 2017). The decreases in reimbursable expense revenue in the Mortgage Market segment were primarily a result of the reduction in the size of Ocwen’s portfolio and number of delinquent loans in its portfolio resulting from loan repayments, loan modifications, short sales, REO sales and other forms of resolution. The decrease in reimbursable expense revenue in the Real Estate Market segment was primarily from RESI’s smaller portfolio of non-performing loans and REO businesses.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loan originations and certain property preservation services typically tend to be at their lowest level during the fall and winter months and at their highest level during the spring and summer months. In addition, revenue in the asset recovery management business tends to be higher in the first quarter, as borrowers may utilize tax refunds and bonuses to pay debts, and generally declines throughout the rest of the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and depreciation and amortization of operating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54,769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68,879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133,977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167,214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real estate sold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20,303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6,378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12,831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163,206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185,393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310,400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363,346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revenue for the six months ended June 30, 2018 of $310.4 million decreased 15% compared to the six months ended June 30, 2017 ($163.2 million for the second quarter of 2018, a 12% decrease compared to the second quarter of 2017). The decreases in cost of revenue were primarily driven by lower outside fees and services, consistent with the decrease in Mortgage Market and Real Estate Market service revenue discussed in the revenue section above. Compensation and benefits declined in certain of our businesses as we reduced headcount in anticipation of the revenue decline from the Ocwen and RESI portfolios and from the implementation of efficiency initiatives. The decrease in reimbursable expenses was consistent with the decrease in reimbursable expenses revenue discussed in the revenue section above. These decreases were partially offset by an increase in cost of real estate sold in the Real Estate Market segment due to higher transaction volumes, particularly in the second quarter of 2018 compared to the second quarter of 2017, as discussed in the revenue section above.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decreased to $105.6 million, representing 27% of service revenue, for the six months ended June 30, 2018 compared to $127.8 million, representing 27% of service revenue, for the six months ended June 30, 2017 (decreased to $55.4 million, representing 27% of service revenue, for the second quarter of 2018 compared to $65.3 million, representing 27% of service revenue, for the second quarter of 2017). Gross profit as a percentage of service revenue for the three and six months ended June 30, 2018 was largely flat compared to the three and six months ended June 30, 2017, as the revenue declines were generally offset by lower cost of revenue, as discussed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administration expenses (“SG&amp;A”) include payroll for personnel employed in executive, finance, law, compliance, human resources, vendor management, facilities, risk management, sales and marketing roles. This category also includes professional fees, occupancy costs, marketing costs, depreciation and amortization of non-operating assets and other expenses.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7,189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19,811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42,924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52,470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86,048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100,171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SG&amp;A for the six months ended June 30, 2018 of $86.0 million decreased 14% compared to the six months ended June 30, 2017 ($42.9 million for the second quarter of 2018, an 18% decrease compared to the second quarter of 2017). The decreases in SG&amp;A were primarily due to lower compensation and benefits in certain of our businesses as we reduced headcount from the implementation of efficiency initiatives. In addition, decreases in SG&amp;A were due to lower occupancy costs, driven by the subleasing of certain office facilities, and lower amortization of intangible assets, driven by lower revenue generated by the Homeward Residential, Inc. (“Homeward”) and Residential Capital, LLC (“ResCap”) portfolios (revenue-based amortization) in the Mortgage Market segment, consistent with the reduction in the size of Ocwen’s portfolio discussed in the revenue section above. The decreases in SG&amp;A were also due to the decrease in other from unfavorable loss accrual adjustments of $2.7 million recorded in the second quarter of 2017 (no comparative amounts in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decreased to $19.5 million, representing 5% of service revenue, for the six months ended June 30, 2018 compared to $27.7 million, representing 6% of service revenue, for the six months ended June 30, 2017 (decreased to $12.4 million, representing 6% of service revenue, for the second quarter of 2018 compared to $12.8 million, representing 5% of service revenue, for the second quarter of 2017). Operating income as a percentage of service revenue for the three and six months ended June 30, 2018 was largely flat compared to the three and six months ended June 30, 2017, as the revenue declines were generally offset by lower cost of revenue and SG&amp;A.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Effective January 1, 2018, other income (expense), net includes unrealized gains and (losses) on our investment in RESI (see Factors Affecting Comparability above).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income (expense), net for the six months ended June 30, 2018 of $(21.4) million compares to $(5.7) million for the six months ended June 30, 2017 ($(9.4) million for the second quarter of 2018 and $(0.7) million for the second quarter of 2017). The increase in other expenses, net for the six months ended June 30, 2018 compared to the six months ended June 30, 2017 was primarily due to an unrealized loss of $6.0 million on our investment in RESI in 2018, the $4.4 million loss on debt refinancing during the second quarter of 2018 and higher interest expense for the second quarter of 2018 from a higher interest rate on the Credit Agreement compared to the prior senior secured term loan. In addition, we recorded a net gain of $3.9 million on the early extinguishment of debt in the second quarter of 2017. The increase in other expenses, net for the second quarter of 2018 was primarily due to the loss on debt refinancing, higher interest expense and the net gain on the early extinguishment of debt, as discussed above, partially offset by an unrealized gain of $1.5 million on our investment in RESI for the second quarter of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(Provision)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recognized an income tax benefit of $0.5 million for the six months ended June 30, 2018 compared to an income tax provision of $5.0 million for the six months ended June 30, 2017 (income tax provision of $0.8 million and $2.4 million for the second quarter of 2018 and 2017, respectively). Our effective tax rate was 28.9% and 22.9% for the six months ended June 30, 2018 and 2017, respectively (26.6% and 20.0% for the second quarter of 2018 and 2017, respectively). Our effective tax rates differ from the Luxembourg statutory tax rate of 26.0% and 27.1% in 2018 and 2017, respectively, primarily due to the mix of income and losses with varying tax rates in multiple taxing jurisdictions and, for the three and six months ended June 30, 2017, the effect of certain deductions in Luxembourg. Our effective income tax rate can vary due to changes in the mix of taxable income across the jurisdictions in which we operate.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 June 30, 2018</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169,457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23,664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15,740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208,861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Reimbursable expenses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178,662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24,145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218,556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115,329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28,191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19,686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163,206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Gross profit (loss)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63,333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55,350</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20,604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5,180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17,140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42,924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42,729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(21,077)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12,426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(9,363)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12"/>
              <w:spacing w:after="0"/>
              <w:rPr>
                <w:sz w:val="20"/>
                <w:szCs w:val="20"/>
                <w:color w:val="auto"/>
              </w:rPr>
            </w:pPr>
            <w:r>
              <w:rPr>
                <w:rFonts w:ascii="Arial" w:cs="Arial" w:eastAsia="Arial" w:hAnsi="Arial"/>
                <w:sz w:val="18"/>
                <w:szCs w:val="18"/>
                <w:color w:val="auto"/>
              </w:rPr>
              <w:t>42,725</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93"/>
              <w:spacing w:after="0"/>
              <w:rPr>
                <w:sz w:val="20"/>
                <w:szCs w:val="20"/>
                <w:color w:val="auto"/>
              </w:rPr>
            </w:pPr>
            <w:r>
              <w:rPr>
                <w:rFonts w:ascii="Arial" w:cs="Arial" w:eastAsia="Arial" w:hAnsi="Arial"/>
                <w:sz w:val="18"/>
                <w:szCs w:val="18"/>
                <w:color w:val="auto"/>
              </w:rPr>
              <w:t>(9,214)</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4"/>
              <w:spacing w:after="0"/>
              <w:rPr>
                <w:sz w:val="20"/>
                <w:szCs w:val="20"/>
                <w:color w:val="auto"/>
              </w:rPr>
            </w:pPr>
            <w:r>
              <w:rPr>
                <w:rFonts w:ascii="Arial" w:cs="Arial" w:eastAsia="Arial" w:hAnsi="Arial"/>
                <w:sz w:val="18"/>
                <w:szCs w:val="18"/>
                <w:color w:val="auto"/>
              </w:rPr>
              <w:t>(30,440)</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3"/>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Gross profit (loss)/service revenue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42"/>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 June 30, 2017</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198,414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24,347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15,346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238,107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11,094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210,195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250,685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144,326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26,844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14,223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185,393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65,869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65,292</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29,805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5,551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17,114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52,470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36,064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(7,265)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(15,977)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12,822</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12"/>
              <w:spacing w:after="0"/>
              <w:rPr>
                <w:sz w:val="20"/>
                <w:szCs w:val="20"/>
                <w:color w:val="auto"/>
              </w:rPr>
            </w:pPr>
            <w:r>
              <w:rPr>
                <w:rFonts w:ascii="Arial" w:cs="Arial" w:eastAsia="Arial" w:hAnsi="Arial"/>
                <w:sz w:val="18"/>
                <w:szCs w:val="18"/>
                <w:color w:val="auto"/>
              </w:rPr>
              <w:t>36,166</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93"/>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4"/>
              <w:spacing w:after="0"/>
              <w:rPr>
                <w:sz w:val="20"/>
                <w:szCs w:val="20"/>
                <w:color w:val="auto"/>
              </w:rPr>
            </w:pPr>
            <w:r>
              <w:rPr>
                <w:rFonts w:ascii="Arial" w:cs="Arial" w:eastAsia="Arial" w:hAnsi="Arial"/>
                <w:sz w:val="18"/>
                <w:szCs w:val="18"/>
                <w:color w:val="auto"/>
              </w:rPr>
              <w:t>(16,741)</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3"/>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0"/>
              </w:rPr>
              <w:t>Six months ended June 30, 2018</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328,612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38,467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30,548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397,627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16,176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17,155</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346,000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39,425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30,569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415,994</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226,402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46,745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37,253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310,400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Gross profit (loss)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119,598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(6,684)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105,594</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43,978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9,298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32,772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86,048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19,546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(21,473)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(21,447)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11"/>
              <w:spacing w:after="0"/>
              <w:rPr>
                <w:sz w:val="20"/>
                <w:szCs w:val="20"/>
                <w:color w:val="auto"/>
              </w:rPr>
            </w:pPr>
            <w:r>
              <w:rPr>
                <w:rFonts w:ascii="Arial" w:cs="Arial" w:eastAsia="Arial" w:hAnsi="Arial"/>
                <w:sz w:val="18"/>
                <w:szCs w:val="18"/>
                <w:color w:val="auto"/>
              </w:rPr>
              <w:t>75,632</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92"/>
              <w:spacing w:after="0"/>
              <w:rPr>
                <w:sz w:val="20"/>
                <w:szCs w:val="20"/>
                <w:color w:val="auto"/>
              </w:rPr>
            </w:pPr>
            <w:r>
              <w:rPr>
                <w:rFonts w:ascii="Arial" w:cs="Arial" w:eastAsia="Arial" w:hAnsi="Arial"/>
                <w:sz w:val="18"/>
                <w:szCs w:val="18"/>
                <w:color w:val="auto"/>
              </w:rPr>
              <w:t>(16,604)</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2"/>
              <w:spacing w:after="0"/>
              <w:rPr>
                <w:sz w:val="20"/>
                <w:szCs w:val="20"/>
                <w:color w:val="auto"/>
              </w:rPr>
            </w:pPr>
            <w:r>
              <w:rPr>
                <w:rFonts w:ascii="Arial" w:cs="Arial" w:eastAsia="Arial" w:hAnsi="Arial"/>
                <w:sz w:val="18"/>
                <w:szCs w:val="18"/>
                <w:color w:val="auto"/>
              </w:rPr>
              <w:t>(60,929)</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52"/>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42"/>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Six months ended June 30, 2017</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2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220" w:type="dxa"/>
            <w:vAlign w:val="bottom"/>
          </w:tcPr>
          <w:p>
            <w:pPr>
              <w:jc w:val="right"/>
              <w:ind w:right="312"/>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5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393,387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43,536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31,023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467,946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414,918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45,193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31,057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491,168</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284,476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48,987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29,883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363,346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130,442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127,822</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58,487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31,808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100,171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71,955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27,651</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11"/>
              <w:spacing w:after="0"/>
              <w:rPr>
                <w:sz w:val="20"/>
                <w:szCs w:val="20"/>
                <w:color w:val="auto"/>
              </w:rPr>
            </w:pPr>
            <w:r>
              <w:rPr>
                <w:rFonts w:ascii="Arial" w:cs="Arial" w:eastAsia="Arial" w:hAnsi="Arial"/>
                <w:sz w:val="18"/>
                <w:szCs w:val="18"/>
                <w:color w:val="auto"/>
              </w:rPr>
              <w:t>72,067</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92"/>
              <w:spacing w:after="0"/>
              <w:rPr>
                <w:sz w:val="20"/>
                <w:szCs w:val="20"/>
                <w:color w:val="auto"/>
              </w:rPr>
            </w:pPr>
            <w:r>
              <w:rPr>
                <w:rFonts w:ascii="Arial" w:cs="Arial" w:eastAsia="Arial" w:hAnsi="Arial"/>
                <w:sz w:val="18"/>
                <w:szCs w:val="18"/>
                <w:color w:val="auto"/>
              </w:rPr>
              <w:t>(13,670)</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ind w:right="92"/>
              <w:spacing w:after="0"/>
              <w:rPr>
                <w:sz w:val="20"/>
                <w:szCs w:val="20"/>
                <w:color w:val="auto"/>
              </w:rPr>
            </w:pPr>
            <w:r>
              <w:rPr>
                <w:rFonts w:ascii="Arial" w:cs="Arial" w:eastAsia="Arial" w:hAnsi="Arial"/>
                <w:sz w:val="18"/>
                <w:szCs w:val="18"/>
                <w:color w:val="auto"/>
              </w:rPr>
              <w:t>(36,491)</w:t>
            </w:r>
          </w:p>
        </w:tc>
        <w:tc>
          <w:tcPr>
            <w:tcW w:w="120" w:type="dxa"/>
            <w:vAlign w:val="bottom"/>
          </w:tcPr>
          <w:p>
            <w:pPr>
              <w:spacing w:after="0"/>
              <w:rPr>
                <w:sz w:val="19"/>
                <w:szCs w:val="19"/>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12"/>
              <w:spacing w:after="0"/>
              <w:rPr>
                <w:sz w:val="20"/>
                <w:szCs w:val="20"/>
                <w:color w:val="auto"/>
              </w:rPr>
            </w:pPr>
            <w:r>
              <w:rPr>
                <w:rFonts w:ascii="Arial" w:cs="Arial" w:eastAsia="Arial" w:hAnsi="Arial"/>
                <w:sz w:val="18"/>
                <w:szCs w:val="18"/>
                <w:color w:val="auto"/>
              </w:rPr>
              <w:t>21,906</w:t>
            </w: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16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918"/>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8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13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157,609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185,756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305,418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369,189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Solutions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169,457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198,414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328,612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393,387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Servicer Solutions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Origination Solutions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178,662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210,195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346,000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414,918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service revenue of $328.6 million for the six months ended June 30, 2018, a 16% decrease compared to the six months ended June 30, 2017 ($169.5 million for the second quarter of 2018, a 15% decrease compared to the second quarter of 2017). We also recognized reimbursable expense revenue of $16.2 million for the six months ended June 30, 2018, a 20% decrease compared to the six months ended June 30, 2017 ($8.5 million for the second quarter of 2018, a 23% decrease compared to the second quarter of 2017). The decreases in service revenue and reimbursable expense revenue were primarily a result of the reduction in the size of Ocwen’s portfolio and number of delinquent loans in its portfolio resulting from loan repayments, loan modifications, short sales, REO sales and other forms of resolution in the Servicer Solutions business. These decreases were partially offset by growth in the non-Ocwen property preservation and inspection business.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Market businesses are impacted by seasonality. Revenues from property sales, loan originations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62,232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78,710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119,793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154,080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7,709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12,690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115,329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144,326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226,402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284,476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 for the six months ended June 30, 2018 of $226.4 million decreased by 20% compared to the six months ended June 30, 2017 ($115.3 million for the second quarter of 2018, a 20% decrease compared to the second quarter of 2017). The decreases in cost of revenue were primarily driven by lower service revenue and cost reduction initiatives. Additionally, the decrease in compensation and benefits and the decrease in technology and telecommunications costs were driven by the redeployment of certain technology resources to our Other Businesses, Corporate and Eliminations for the development of enterprise-wide technology initiatives. The decrease in reimbursable expenses was consistent with the decrease in reimbursable expenses revenue discussed in the revenue section above.</w:t>
      </w:r>
    </w:p>
    <w:p>
      <w:pPr>
        <w:sectPr>
          <w:pgSz w:w="11900" w:h="16838" w:orient="portrait"/>
          <w:cols w:equalWidth="0" w:num="1">
            <w:col w:w="11420"/>
          </w:cols>
          <w:pgMar w:left="240" w:top="125"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decreased to $119.6 million, representing 36% of service revenue, for the six months ended June 30, 2018 compared to $130.4 million, representing 33% of service revenue, for the six months ended June 30, 2017 (decreased to $63.3 million, representing 37% of service revenue for the second quarter of 2018, compared to $65.9 million, representing 33% of service revenue for the second quarter of 2017). Gross profit as a percentage of service revenue increased primarily due to service revenue mix from fewer lower margin property preservation referrals related to the reduction in the size of Ocwen’s portfolio, as discussed above. Our margins can vary substantially depending upon service revenue mix.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3,924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12,039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20,604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29,805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43,978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58,487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for the six months ended June 30, 2018 of $44.0 million decreased by 25% compared to the six months ended June 30, 2017 ($20.6 million for the second quarter of 2018, a 31% decrease compared to the second quarter of 2017). The decreases in SG&amp;A were primarily due to lower amortization of intangible assets, driven by lower revenue generated by the Homeward and ResCap portfolios (revenue-based amortization), consistent with the reduction in the size of Ocwen’s portfolio discussed in the revenue section above. Compensation and benefits decreased due to lower cost allocations driven by declining revenues, as discussed in the revenue section above, and the implementation of efficiency initiatives. In addition, lower occupancy costs were driven by initiatives to reduce our facilities footprint. For the six months ended June 30, 2018, legal costs in professional services decreased in connection with the resolution of, and reduction in activities related to, litigation and regulatory matters.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from operations increased to $75.6 million, representing 23% of service revenue, for the six months ended June 30, 2018 compared to $72.0 million, representing 18% of service revenue, for the six months ended June 30, 2017 (increased to $42.7 million, representing 25% of service revenue for the second quarter of 2018, compared to $36.1 million, representing 18% of service revenue for the second quarter of 2017). The increases in operating income as a percentage of service revenue were primarily the result of higher gross profit margins and lower SG&amp;A, as discussed above.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Consumer Real Estate Solutions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3,717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Investor Solutions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34,750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23,664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24,347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38,467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Consumer Real Estate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Real Estate Investor Solutions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24,145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25,130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39,425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45,193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service revenue of $38.5 million for the six months ended June 30, 2018, a 12% decrease compared to the six months ended June 30, 2017 ($23.7 million for the second quarter of 2018, a 3% decrease compared to the second quarter of 2017). The decreases in service revenue were primarily driven by a decline in revenues in the Real Estate Investor Solutions business from RESI’s smaller portfolio of non-performing loans and REO, as RESI continues to sell off this portfolio and instead focuses on directly acquiring, renovating and managing rental homes. These decreases were partially offset by increases in the buy-renovate-lease-sell business in Real Estate Investor Solutions, particularly in the second quarter of 2018 compared to the second quarter of 2017, due to a higher number of homes sold and growth in the renovation management business in Real Estate Investor Solutions. Additionally, the net decreases in Real Estate Investor Solutions were partially offset by increases in the Consumer Real Estate Solutions business from higher transaction volumes and unit revenue in 2018.</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Real Estate Market businesses are impacted by seasonality. Revenues from property sales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real estate sold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Technology and telecommunications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28,191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26,844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46,745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48,987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Cost of revenue for the six months ended June 30, 2018 of $46.7 million decreased by 5% compared to the six months ended June 30, 2017 ($28.2 million for the second quarter of 2018, a 5% increase compared to the second quarter of 2017). The decrease in cost of revenue for the six months ended June 30, 2018 was primarily driven by lower compensation and benefits, which declined in certain of the Real Estate Investor Solutions businesses as we reduced headcount in anticipation of the decreases in revenue volumes from RESI’s portfolio discussed in the revenue section above, and a decrease in technology and telecommunications expense due to the reduction in headcount and transaction volumes. These decreases were partially offset by an increase in the</w:t>
      </w:r>
    </w:p>
    <w:p>
      <w:pPr>
        <w:sectPr>
          <w:pgSz w:w="11900" w:h="16838" w:orient="portrait"/>
          <w:cols w:equalWidth="0" w:num="1">
            <w:col w:w="11420"/>
          </w:cols>
          <w:pgMar w:left="240" w:top="125"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real estate sold, particularly in the second quarter of 2018 compared to the second quarter of 2017, in connection with our buy-renovate-lease-sell program in the Real Estate Investor Solutions business, due to higher transaction volumes.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loss increased to $(7.3) million, representing (19)% of service revenue, for the six months ended June 30, 2018, compared to $(3.8) million, representing (9)% of service revenue, for the six months ended June 30, 2017 (loss of $(4.0) million, representing (17)% of service revenue for the second quarter of 2018, compared to a loss of $(1.7) million, representing (7)% of service revenue for the second quarter of 2017). Gross loss as a percent of service revenue increased primarily as a result of service revenue mix from fewer higher margin REO sales and higher revenues in the lower margin buy-renovate-lease-sell program. Our margins can vary substantially depending upon service revenue mix.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9,876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six months ended June 30, 2018 of $9.3 million decreased by 6% compared to the six months ended June 30, 2017 ($5.2 million for the second quarter of 2018, a 7% decrease compared to the second quarter of 2017). The decreases in SG&amp;A were primarily driven by lower facility costs from initiatives to reduce our facilities footprint, partially offset by higher marketing costs in Consumer Real Estate Solutions to support our anticipated growth of this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from operations increased to $(16.6) million for the six months ended June 30, 2018 compared to a loss from operations of $(13.7) million for the six months ended June 30, 2017 (loss from operations of $(9.2) million for the second quarter of 2018 compared to loss from operations of $(7.3) million for the second quarter of 2017). The increases in loss from operations was primarily the result of lower gross profit margins, partially offset by lower SG&amp;A, as discussed above.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 Corporate and Eliminations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7,246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13,639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14,860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recovery management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IT infrastructure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15,749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30,569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31,057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service revenue of $30.5 million for the six months ended June 30, 2018, a 2% decrease compared to the six months ended June 30, 2017 ($15.7 million for the second quarter of 2018, a 3% increase compared to the second quarter of 2017). The decrease in service revenue for the six months ended June 30, 2018 was primarily due to a decline in customer relationship management services from lower transaction volumes from a customer that expanded its vendor network and a decline in IT infrastructure services (typically billed on a cost plus basis), which was driven by the continuing transition of resources supporting Ocwen’s technology infrastructure from Altisource to Ocwen. These decreases were partially offset by an increase in asset recovery management service revenue from growth in collection referral volumes. For the second quarter of 2018, the increase in service revenue was due to an increase in asset recovery management services, partially offset by decreases in customer relationship management services and IT infrastructure services, as discussed above.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other businesses are impacted by seasonality. Revenue in the asset recovery management business tends to be higher in the first quarter, as borrowers may utilize tax refunds and bonuses to pay debts, and generally declines throughout the remainder of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Three months ended 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1"/>
              </w:rPr>
              <w:t>Six months ended 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19,686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37,253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29,883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revenue for the six months ended June 30, 2018 of $37.3 million increased by 25% compared to the six months ended June 30, 2017 ($19.7 million for the second quarter of 2018, a 38% increase compared to the second quarter of 2017). The increases in cost of revenue were primarily due to increases in compensation and benefits and technology and telecommunications costs, driven by the redeployment of certain technology resources from the Mortgage Market segment to Other Businesses, Corporate and Eliminations for the development of enterprise-wide technology initiatives.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(loss) decreased to a gross loss of $(6.7) million, representing (22)% of service revenue, for the six months ended June 30, 2018, compared to a gross profit of $1.2 million, representing 4% of service revenue, for the six months ended June 30, 2017 (decreased to a gross loss of $(3.9) million, representing (25)% of service revenue for the second quarter of 2018, compared to gross profit of $1.1 million, representing 7% of service revenue for the second quarter of 2017). Gross profit as a percentage of service revenue decreased due to the increase in cost of revenue, due to the redeployment of certain technology resources from the Mortgage Market segment to Other Businesses, Corporate and Eliminations for the development of enterprise-wide technology initiatives, as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in Other Businesses, Corporate and Eliminations include SG&amp;A of the customer relationship management, asset recovery management and IT infrastructure services businesses. It also includes costs related to corporate support functions not allocated to the Mortgage Market and Real Estate Market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Corporate and Eliminations also include eliminations of transactions between the reportable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consisted of the following:</w:t>
      </w:r>
    </w:p>
    <w:p>
      <w:pPr>
        <w:sectPr>
          <w:pgSz w:w="11900" w:h="16901" w:orient="portrait"/>
          <w:cols w:equalWidth="0" w:num="1">
            <w:col w:w="11420"/>
          </w:cols>
          <w:pgMar w:left="240" w:top="125" w:right="239" w:bottom="0" w:gutter="0" w:footer="0" w:header="0"/>
        </w:sectPr>
      </w:pPr>
    </w:p>
    <w:p>
      <w:pPr>
        <w:spacing w:after="0" w:line="163" w:lineRule="exact"/>
        <w:rPr>
          <w:sz w:val="20"/>
          <w:szCs w:val="20"/>
          <w:color w:val="auto"/>
        </w:rPr>
      </w:pPr>
    </w:p>
    <w:p>
      <w:pPr>
        <w:ind w:left="4960"/>
        <w:spacing w:after="0"/>
        <w:tabs>
          <w:tab w:leader="none" w:pos="8780" w:val="left"/>
        </w:tabs>
        <w:rPr>
          <w:sz w:val="20"/>
          <w:szCs w:val="20"/>
          <w:color w:val="auto"/>
        </w:rPr>
      </w:pPr>
      <w:r>
        <w:rPr>
          <w:rFonts w:ascii="Arial" w:cs="Arial" w:eastAsia="Arial" w:hAnsi="Arial"/>
          <w:sz w:val="14"/>
          <w:szCs w:val="14"/>
          <w:b w:val="1"/>
          <w:bCs w:val="1"/>
          <w:color w:val="auto"/>
        </w:rPr>
        <w:t>Three months ended June 30,</w:t>
      </w:r>
      <w:r>
        <w:rPr>
          <w:sz w:val="20"/>
          <w:szCs w:val="20"/>
          <w:color w:val="auto"/>
        </w:rPr>
        <w:tab/>
      </w:r>
      <w:r>
        <w:rPr>
          <w:rFonts w:ascii="Arial" w:cs="Arial" w:eastAsia="Arial" w:hAnsi="Arial"/>
          <w:sz w:val="12"/>
          <w:szCs w:val="12"/>
          <w:b w:val="1"/>
          <w:bCs w:val="1"/>
          <w:color w:val="auto"/>
        </w:rPr>
        <w:t>Six months ended June 30,</w:t>
      </w:r>
    </w:p>
    <w:p>
      <w:pPr>
        <w:sectPr>
          <w:pgSz w:w="11900" w:h="16901" w:orient="portrait"/>
          <w:cols w:equalWidth="0" w:num="1">
            <w:col w:w="11420"/>
          </w:cols>
          <w:pgMar w:left="240" w:top="125" w:right="239" w:bottom="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15,209</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1,665</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6,050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1,586</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2,763</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2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1,130</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17,140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17,114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32,772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31,808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2704465</wp:posOffset>
            </wp:positionH>
            <wp:positionV relativeFrom="page">
              <wp:posOffset>243205</wp:posOffset>
            </wp:positionV>
            <wp:extent cx="4699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jc w:val="both"/>
        <w:spacing w:after="0" w:line="254" w:lineRule="auto"/>
        <w:rPr>
          <w:sz w:val="20"/>
          <w:szCs w:val="20"/>
          <w:color w:val="auto"/>
        </w:rPr>
      </w:pPr>
      <w:r>
        <w:rPr>
          <w:rFonts w:ascii="Arial" w:cs="Arial" w:eastAsia="Arial" w:hAnsi="Arial"/>
          <w:sz w:val="18"/>
          <w:szCs w:val="18"/>
          <w:color w:val="auto"/>
        </w:rPr>
        <w:t>SG&amp;A for the six months ended June 30, 2018 of $32.8 million increased by 3% compared to the six months ended June 30, 2017 ($17.1 million for the second quarter of 2018, which is consistent with the second quarter of 2017). The increase in SG&amp;A for the six months ended June 30, 2018 was primarily driven by an increase in professional services, due to increased legal costs in connection with certain legal and regulatory matters, and an increase in compensation and benefits from higher share-based compensation. The higher SG&amp;A for the second quarter of 2018 was from higher professional services due to legal costs in connection with certain legal and regulatory matters and higher occupancy related costs in connection with the redeployment of certain technology resources from the Mortgage Market segment to Other Businesses, Corporate and Eliminations for the development of enterprise-wide technology initiatives, offset by the decrease in other from unfavorable loss accrual adjustments of $2.7 million recorded in the second quarter of 2017 (no comparative amounts in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Loss from operations increased to $(39.5) million for the six months ended June 30, 2018 compared to a loss of $(30.6) million for the six months ended June 30, 2017 ($(21.1) million for the second quarter of 2018 compared to a loss of $(16.0) million for the second quarter of 2017). The increase in operating losses were primarily driven by the decrease in gross profit, as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Effective January 1, 2018, other income (expense), net includes unrealized gains and (losses) on our investment in RESI (see Factors Affecting Comparability above).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Other income (expense), net for the six months ended June 30, 2018 of $(21.5) million compares to $(5.9) million for the six months ended June 30, 2017 ($(9.4) million for the second quarter of 2018 and $(0.8) million for the second quarter of 2017). The increase in other expenses, net for the six months ended June 30, 2018 compared to the six months ended June 30, 2017 was primarily due to an unrealized loss of $6.0 million on our investment in RESI in 2018, the $4.4 million loss on debt refinancing during the second quarter of 2018 and higher interest expense for the second quarter of 2018 from a higher interest rate on the Credit Agreement compared to the prior senior secured term loan. In addition, we recorded a net gain of $3.9 million on the early extinguishment of debt in the second quarter of 2017. The increase in other expenses, net for the second quarter of 2018 was primarily due to the loss on debt refinancing, higher interest expense and the net gain on the early extinguishment of debt, as discussed above, partially offset by an unrealized gain of $1.5 million on our investment in RESI for the second quarter of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primary source of liquidity is cash flow from operations. We seek to deploy cash generated in a disciplined manner. Principally, we intend to use cash to develop and grow complementary services and businesses that we believe will generate attractive margins in line with our core capabilities and strategy. We use cash for scheduled repayments of our long-term debt and seek to use cash from time to time to repurchase shares of our common stock and repurchase portions of our debt. In addition, we consider and evaluate business acquisitions that may arise from time to time that are aligned with our strategy.</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2018, we used net proceeds from the Term B Loans and operating cash to repay the prior senior secured term loan and repaid $13.9 million of borrowings ($12.5 million for the second quarter of 2018). In addition, we used $21.1 million to repurchase shares of our common stock ($11.1 million for the second quarter of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Proceeds from the Term B Loans were used to repay the Company’s prior senior secured term loan, which had an outstanding balance of $412.1 million as of April 3, 2018. As of June 30, 2018, $403.8 million of the Term B Loans were outstanding and $413.6 million was outstanding under the prior senior secured term loan as of December 31, 2017. There were no borrowings outstanding under the revolving credit facility as of June 30, 2018.</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Term B Loans must be repaid in consecutive quarterly principal installments with $24.7 million due in 2018, $41.2 million due in 2019, $25.7 million due in 2020 and $12.4 million due annually thereafter,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casualty and condemnation events and sales of assets, as well as from a percentage of Consolidated Excess Cash Flow if the leverage ratio is greater than 3.00 to 1.00, as calculated in accordance with the provisions of the Credit Agreement (the percentage increases if the leverage ratio exceeds 3.50 to 1.00). Certain mandatory prepayments reduce future contractual amortization payments by an amount equal to the mandatory prepayment. No mandatory prepayments were owed for the three months ended June 30, 2018.</w:t>
      </w:r>
    </w:p>
    <w:p>
      <w:pPr>
        <w:sectPr>
          <w:pgSz w:w="11900" w:h="16838" w:orient="portrait"/>
          <w:cols w:equalWidth="0" w:num="1">
            <w:col w:w="11420"/>
          </w:cols>
          <w:pgMar w:left="240" w:top="388" w:right="239" w:bottom="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interest rate on the Term B Loans as of June 30, 2018 was 6.33%.</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six months ended June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 (decrease)</w:t>
            </w: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58,530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(46,013)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50</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12,517</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86</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51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(41,677)</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(34,818)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47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153,421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90,352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118,603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six months ended June 30, 2018, cash flows provided by operating activities were $23.3 million, or approximately $0.06 for every dollar of service revenue ($0.15 for every dollar of service revenue for the second quarter of 2018), compared to cash flows provided by operating activities of $12.5 million, or approximately $0.03 for every dollar of service revenue, for the six months ended June 30, 2017 ($0.13 for every dollar of service revenue for the second quarter of 2017). The improvement in cash flows from operations for the six months ended June 30, 2018, compared to the six months ended June 30, 2017, was primarily due to a decrease in cash used for changes in operating assets and liabilities, principally driven by the $28.0 million net payment in the prior year period of an accrued litigation settlement. This improvement was partially offset by lower net income, adjusted for non-cash items, of $12.1 million, a decrease of 21% compared to the six months ended June 30, 2017.</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In addition, annual incentive compensation bonuses are typically paid during the first quarter of each year. Consequently, our cash flows from operations may be negatively impacted when comparing one interim period to another.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from investing activities for the six months ended June 30, 2018 and 2017 consisted of cash used for additions to premises and equipment of $2.8 million and $5.7 million, respectively, primarily related to investments in the development of certain software applications, IT infrastructure and facility improvements.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financing activities for the six months ended June 30, 2018 and 2017 primarily consisted of cash flows associated with debt issuances, repayments, repurchases and debt issuance costs. In addition, financing activities include the purchase of treasury shares, proceeds from stock option exercises, distributions to non-controlling interests and the payment of tax withholdings on issuance of restricted shares and stock option exercises. During the six months ended June 30, 2018, we used net cash of $19.0 million to refinance and reduce our debt from the issuance of long-term debt, the costs to issue long-term debt, and prepayments and repurchases of long-term debt, compared to $24.8 million of repurchases and repayments of long-term debt for the six months ended June 30, 2017. In addition, during the six months ended June 30, 2018 and 2017, we used $21.1 million and $15.5 million, respectively, to repurchase our common stock. During the six months ended June 30, 2018 and 2017, we received proceeds from stock option exercises of $2.7 million and $0.8 million, respectively, and distributed $1.2 million and $1.1 million, respectively, to non-controlling interests. Also during the six months ended June 30, 2018 and 2017, we made payments of $0.4 million and $1.1 million, respectively, to satisfy employee tax withholding obligations on the issuance of restricted shares and stock option exercises. These payments were made to tax authorities, at the employees’ direction, to satisfy the employees’ tax obligations rather than issuing a portion of vested restricted shares to employees.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June 30, 2018</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future liquidity obligations pertain to long-term debt repayments and interest expense under the Credit Agreement (see Liquidity section above) and distributions to Lenders One members. During the next 12 months, we expect to make mandatory repayments of $41.2 million and pay $24.7 million of interest expense (assuming the current interest rate) under the Credit Agreement and distribute approximately $2.6 million to the Lenders One members representing non-controlling interests.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existing cash and cash equivalents balances, our anticipated cash flows from operations and availability under our revolving credit facility will be sufficient to meet our liquidity needs, including to fund required debt and interest payments and additions to premises and equipment, for the next 12 months.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six months ended June 30, 2018, there were no significant changes to our contractual obligations from those identified in our Form 10-K for the fiscal year ended December 31, 2017, other than those that occur in the normal course of business. See Note 19 to the condensed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Note 1 to the condensed consolidated financial statements for the Company’s critical accounting policy for revenue recognition. Our other critical accounting policies are described in the MD&amp;A section of our Form 10-K for the year ended December 31, 2017 filed with the SEC on February 22, 2018. With the exception of the changes to our revenue recognition policy referenced above, there have been no material changes to our critical accounting policies during the six months ended June 30,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the interest rate charged on the new Term B Loan was 6.33%. The interest rate was calculated based on the Adjusted Eurodollar Rate (as defined in the Credit Agreement) with a minimum floor of 1.00% plus 4.00%.</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 principal amount outstanding at June 30, 2018, a one percentage point increase or decrease in the Eurodollar Rate would have increased or decreased our annual interest expense by approximately $4.0 million, based on the June 30, 2018 Adjusted Eurodollar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the second quarter of 2018, a one percentage point increase or decrease in value of the Indian rupee in relation to the United States dollar would increase or decrease our annual expenses by approximately $0.9 million.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2018,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June 30, 2018.</w:t>
      </w:r>
    </w:p>
    <w:p>
      <w:pPr>
        <w:spacing w:after="0" w:line="9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the Company received a Notice and Opportunity to Respond and Advise (“NORA”) letter on November 10, 2016 from the CFPB indicating that the CFPB was considering a potential enforcement action against Altisource relating to an alleged violation of federal law focused on REALServicing and certain other technology services provided to Ocwen, including claims related to the features, functioning and support of such technology. The NORA process provides the recipient an opportunity to present its positions to the CFPB before an enforcement action is recommended or commenced. On December 5, 2016, we provided a written response to the NORA letter setting forth the legal, policy and factual reasons why we believe an enforcement action is not warranted. By letter dated April 3, 2018, the CFPB informed the Company that the investigation of the Company has been completed and the staff of the CFPB’s Office of Enforcement currently does not intend to recommend that the CFPB take enforcement action, and further that the Company is relieved of the document-retention obligations pursuant to the civil investigative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2017 filed with the SEC on February 22, 2018, except as follows: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Under certain material agreements that we are currently a party to or may enter into in the future, the formation by shareholders of Altisource of a “group” (as that term is used in Section 13(d) and 14(d) of the Securities Exchange Act of 1934 (the “Exchange Act”)) with ownership of Altisource capital stock exceeding a defined percentage may give rise to a termination event or an event of default, which could result in a material adverse impact on the Company’s future revenue, results of operations and financial position.</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certain of the Company’s material agreements, such as its senior secured term loan agreement, a change of control would be deemed to occur if, among other things, a “group” (as that term is used in Sections 13(d) and 14(d) of the Exchange Act) is formed by shareholders holding beneficial ownership of a defined percentage of the combined voting power and/or economic interest of the Company’s capital stock. The Company’s Brokerage Agreement (as amended) with NRZ’s licensed brokerage subsidiary contains a similar provision, and the Company may enter into material agreements in the future that contain similar provisions. The formation of a “group” could occur without the involvement of or input by the Company, and such a change of control could constitute a termination event or an event of default under these agreements. If any of these agreements were terminated, or if the event of default is not waived, this could have a material adverse impact on the Company’s future revenue, results of operations and financial position.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3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1440" w:type="dxa"/>
            <w:vAlign w:val="bottom"/>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color w:val="auto"/>
                <w:w w:val="91"/>
              </w:rPr>
              <w:t>(1)</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color w:val="auto"/>
                <w:w w:val="95"/>
              </w:rPr>
              <w:t>(2)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color w:val="auto"/>
                <w:w w:val="93"/>
              </w:rPr>
              <w:t>(2)</w:t>
            </w:r>
          </w:p>
        </w:tc>
        <w:tc>
          <w:tcPr>
            <w:tcW w:w="0" w:type="dxa"/>
            <w:vAlign w:val="bottom"/>
          </w:tcPr>
          <w:p>
            <w:pPr>
              <w:spacing w:after="0"/>
              <w:rPr>
                <w:sz w:val="1"/>
                <w:szCs w:val="1"/>
                <w:color w:val="auto"/>
              </w:rPr>
            </w:pPr>
          </w:p>
        </w:tc>
      </w:tr>
      <w:tr>
        <w:trPr>
          <w:trHeight w:val="270"/>
        </w:trPr>
        <w:tc>
          <w:tcPr>
            <w:tcW w:w="14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April 1 – 30,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219,200</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219,200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2,843,019</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9"/>
                <w:shd w:val="clear" w:color="auto" w:fill="CCEEFF"/>
              </w:rPr>
              <w:t>May 1 – 31, 2018</w:t>
            </w: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168,500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4,199,600</w:t>
            </w:r>
          </w:p>
        </w:tc>
        <w:tc>
          <w:tcPr>
            <w:tcW w:w="0" w:type="dxa"/>
            <w:vAlign w:val="bottom"/>
          </w:tcPr>
          <w:p>
            <w:pPr>
              <w:spacing w:after="0"/>
              <w:rPr>
                <w:sz w:val="1"/>
                <w:szCs w:val="1"/>
                <w:color w:val="auto"/>
              </w:rPr>
            </w:pPr>
          </w:p>
        </w:tc>
      </w:tr>
      <w:tr>
        <w:trPr>
          <w:trHeight w:val="243"/>
        </w:trPr>
        <w:tc>
          <w:tcPr>
            <w:tcW w:w="3780" w:type="dxa"/>
            <w:vAlign w:val="bottom"/>
            <w:gridSpan w:val="4"/>
          </w:tcPr>
          <w:p>
            <w:pPr>
              <w:ind w:left="180"/>
              <w:spacing w:after="0"/>
              <w:rPr>
                <w:sz w:val="20"/>
                <w:szCs w:val="20"/>
                <w:color w:val="auto"/>
              </w:rPr>
            </w:pPr>
            <w:r>
              <w:rPr>
                <w:rFonts w:ascii="Arial" w:cs="Arial" w:eastAsia="Arial" w:hAnsi="Arial"/>
                <w:sz w:val="18"/>
                <w:szCs w:val="18"/>
                <w:color w:val="auto"/>
              </w:rPr>
              <w:t>June 1 – 30,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21,854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21,854</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4,177,746</w:t>
            </w:r>
          </w:p>
        </w:tc>
        <w:tc>
          <w:tcPr>
            <w:tcW w:w="0" w:type="dxa"/>
            <w:vAlign w:val="bottom"/>
          </w:tcPr>
          <w:p>
            <w:pPr>
              <w:spacing w:after="0"/>
              <w:rPr>
                <w:sz w:val="1"/>
                <w:szCs w:val="1"/>
                <w:color w:val="auto"/>
              </w:rPr>
            </w:pPr>
          </w:p>
        </w:tc>
      </w:tr>
      <w:tr>
        <w:trPr>
          <w:trHeight w:val="27"/>
        </w:trPr>
        <w:tc>
          <w:tcPr>
            <w:tcW w:w="14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409,554</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409,554</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4,177,746</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80" w:right="20" w:hanging="258"/>
        <w:spacing w:after="0" w:line="216" w:lineRule="auto"/>
        <w:tabs>
          <w:tab w:leader="none" w:pos="2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 addition to the repurchases included in the table above, 19,472 common shares were withheld from employees to satisfy tax withholding obligations that arose from the vesting of restricted shares and stock option exercises.</w:t>
      </w:r>
    </w:p>
    <w:p>
      <w:pPr>
        <w:spacing w:after="0" w:line="41" w:lineRule="exact"/>
        <w:rPr>
          <w:rFonts w:ascii="Arial" w:cs="Arial" w:eastAsia="Arial" w:hAnsi="Arial"/>
          <w:sz w:val="25"/>
          <w:szCs w:val="25"/>
          <w:color w:val="auto"/>
          <w:vertAlign w:val="superscript"/>
        </w:rPr>
      </w:pPr>
    </w:p>
    <w:p>
      <w:pPr>
        <w:jc w:val="both"/>
        <w:ind w:left="280" w:hanging="258"/>
        <w:spacing w:after="0" w:line="226" w:lineRule="auto"/>
        <w:tabs>
          <w:tab w:leader="none" w:pos="2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On May 15, 2018, our shareholders approved the renewal of the share repurchase program originally approved by the shareholders on May 17, 2017, which replaced the previous share repurchase program and authorizes us to purchase up to 4.3 million shares of our common stock in the open market, subject to certain parameters.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340" w:type="dxa"/>
            <w:vAlign w:val="bottom"/>
            <w:gridSpan w:val="2"/>
          </w:tcPr>
          <w:p>
            <w:pPr>
              <w:ind w:left="40"/>
              <w:spacing w:after="0" w:line="196" w:lineRule="exact"/>
              <w:rPr>
                <w:rFonts w:ascii="Arial" w:cs="Arial" w:eastAsia="Arial" w:hAnsi="Arial"/>
                <w:sz w:val="18"/>
                <w:szCs w:val="18"/>
                <w:color w:val="0000FF"/>
                <w:w w:val="74"/>
              </w:rPr>
            </w:pPr>
            <w:hyperlink w:anchor="page54">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1</w:t>
              </w:r>
            </w:hyperlink>
          </w:p>
        </w:tc>
        <w:tc>
          <w:tcPr>
            <w:tcW w:w="92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Form of Non-Qualified Stock Option Award Agreement (2018 Performance-Based Stock Options)</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r:id="rId23">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2</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Credit Agreement, dated April 3, 2018 among Altisource S.à r.l. and Altisource Portfolio Solutions S.A., Morgan Stanley Senior Funding,</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7"/>
              </w:rPr>
            </w:pPr>
            <w:hyperlink r:id="rId23">
              <w:r>
                <w:rPr>
                  <w:rFonts w:ascii="Arial" w:cs="Arial" w:eastAsia="Arial" w:hAnsi="Arial"/>
                  <w:sz w:val="18"/>
                  <w:szCs w:val="18"/>
                  <w:color w:val="0000FF"/>
                  <w:w w:val="97"/>
                </w:rPr>
                <w:t>Inc., as Administrative Agent and Collateral Agent, and the Lenders party thereto (incorporated by reference to Exhibit 10.1 of the</w:t>
              </w:r>
            </w:hyperlink>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7"/>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Company’s Form 8-K filed on April 4, 2018)</w:t>
              </w:r>
            </w:hyperlink>
          </w:p>
        </w:tc>
      </w:tr>
      <w:tr>
        <w:trPr>
          <w:trHeight w:val="20"/>
        </w:trPr>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340" w:type="dxa"/>
            <w:vAlign w:val="bottom"/>
            <w:gridSpan w:val="2"/>
          </w:tcPr>
          <w:p>
            <w:pPr>
              <w:ind w:left="40"/>
              <w:spacing w:after="0"/>
              <w:rPr>
                <w:rFonts w:ascii="Arial" w:cs="Arial" w:eastAsia="Arial" w:hAnsi="Arial"/>
                <w:sz w:val="18"/>
                <w:szCs w:val="18"/>
                <w:color w:val="0000FF"/>
                <w:w w:val="74"/>
              </w:rPr>
            </w:pPr>
            <w:hyperlink w:anchor="page69">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3</w:t>
              </w:r>
            </w:hyperlink>
          </w:p>
        </w:tc>
        <w:tc>
          <w:tcPr>
            <w:tcW w:w="820" w:type="dxa"/>
            <w:vAlign w:val="bottom"/>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FF"/>
                <w:w w:val="97"/>
              </w:rPr>
            </w:pPr>
            <w:hyperlink w:anchor="page69">
              <w:r>
                <w:rPr>
                  <w:rFonts w:ascii="Arial" w:cs="Arial" w:eastAsia="Arial" w:hAnsi="Arial"/>
                  <w:sz w:val="18"/>
                  <w:szCs w:val="18"/>
                  <w:color w:val="0000FF"/>
                  <w:w w:val="97"/>
                </w:rPr>
                <w:t>Amendment No. 1 to Credit Agreement dated as of June 27, 2018 among Altisource S.à r.l. and Altisource Portfolio Solutions S.A.,</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69">
              <w:r>
                <w:rPr>
                  <w:rFonts w:ascii="Arial" w:cs="Arial" w:eastAsia="Arial" w:hAnsi="Arial"/>
                  <w:sz w:val="18"/>
                  <w:szCs w:val="18"/>
                  <w:color w:val="0000FF"/>
                </w:rPr>
                <w:t>Morgan Stanley Senior Funding, Inc., as Administrative Agent and Collateral Agent, and the Lenders party thereto</w:t>
              </w:r>
            </w:hyperlink>
          </w:p>
        </w:tc>
        <w:tc>
          <w:tcPr>
            <w:tcW w:w="40" w:type="dxa"/>
            <w:vAlign w:val="bottom"/>
          </w:tcPr>
          <w:p>
            <w:pPr>
              <w:spacing w:after="0"/>
              <w:rPr>
                <w:sz w:val="17"/>
                <w:szCs w:val="17"/>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75">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1</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60" w:type="dxa"/>
            <w:vAlign w:val="bottom"/>
            <w:tcBorders>
              <w:top w:val="single" w:sz="8" w:color="0000FF"/>
            </w:tcBorders>
            <w:gridSpan w:val="4"/>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Section 302 Certification of the Chief Executive Officer pursuant to Exchange Act Rule 13a-14(a)</w:t>
              </w:r>
            </w:hyperlink>
          </w:p>
        </w:tc>
        <w:tc>
          <w:tcPr>
            <w:tcW w:w="1840" w:type="dxa"/>
            <w:vAlign w:val="bottom"/>
            <w:gridSpan w:val="3"/>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76">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2</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Section 302 Certification of the Chief Financial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77">
              <w:r>
                <w:rPr>
                  <w:rFonts w:ascii="Arial" w:cs="Arial" w:eastAsia="Arial" w:hAnsi="Arial"/>
                  <w:sz w:val="18"/>
                  <w:szCs w:val="18"/>
                  <w:color w:val="0000FF"/>
                  <w:w w:val="74"/>
                </w:rPr>
                <w:t>32.</w:t>
              </w:r>
              <w:r>
                <w:rPr>
                  <w:rFonts w:ascii="Arial" w:cs="Arial" w:eastAsia="Arial" w:hAnsi="Arial"/>
                  <w:sz w:val="18"/>
                  <w:szCs w:val="18"/>
                  <w:u w:val="single" w:color="auto"/>
                  <w:color w:val="0000FF"/>
                  <w:w w:val="74"/>
                </w:rPr>
                <w:t>1</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8"/>
                <w:szCs w:val="18"/>
                <w:color w:val="0000FF"/>
                <w:w w:val="97"/>
              </w:rPr>
            </w:pPr>
            <w:hyperlink w:anchor="page77">
              <w:r>
                <w:rPr>
                  <w:rFonts w:ascii="Arial" w:cs="Arial" w:eastAsia="Arial" w:hAnsi="Arial"/>
                  <w:sz w:val="18"/>
                  <w:szCs w:val="18"/>
                  <w:color w:val="0000FF"/>
                  <w:w w:val="97"/>
                </w:rPr>
                <w:t>Certification by the Chief Executive Officer and Chief Financial Officer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500" w:type="dxa"/>
            <w:vAlign w:val="bottom"/>
            <w:gridSpan w:val="5"/>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398"/>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w w:val="91"/>
              </w:rPr>
              <w:t>period ended June 30, 2018 is formatted in XBRL interactive data files: (i) Condensed Consolidated Balance Sheets at June 30, 2018 and</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w w:val="90"/>
              </w:rPr>
              <w:t>December 31, 2017; (ii) Condensed Consolidated Statements of Operations and Comprehensive Income for the three and six months ended</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Arial" w:cs="Arial" w:eastAsia="Arial" w:hAnsi="Arial"/>
                <w:sz w:val="18"/>
                <w:szCs w:val="18"/>
                <w:color w:val="auto"/>
                <w:w w:val="96"/>
              </w:rPr>
              <w:t>June 30, 2018 and 2017; (iii) Condensed Consolidated Statements of Equity for the six months ended June 30, 2018 and 2017; (iv)</w:t>
            </w:r>
          </w:p>
        </w:tc>
      </w:tr>
    </w:tbl>
    <w:p>
      <w:pPr>
        <w:ind w:left="1300" w:right="40"/>
        <w:spacing w:after="0" w:line="261" w:lineRule="auto"/>
        <w:rPr>
          <w:sz w:val="20"/>
          <w:szCs w:val="20"/>
          <w:color w:val="auto"/>
        </w:rPr>
      </w:pPr>
      <w:r>
        <w:rPr>
          <w:rFonts w:ascii="Arial" w:cs="Arial" w:eastAsia="Arial" w:hAnsi="Arial"/>
          <w:sz w:val="18"/>
          <w:szCs w:val="18"/>
          <w:color w:val="auto"/>
        </w:rPr>
        <w:t>Condensed Consolidated Statements of Cash Flows for the six months ended June 30, 2018 and 2017; and (v) Notes to Condensed Consolidated Financial Statements.</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______________________________________</w:t>
      </w:r>
    </w:p>
    <w:p>
      <w:pPr>
        <w:spacing w:after="0" w:line="63" w:lineRule="exact"/>
        <w:rPr>
          <w:sz w:val="20"/>
          <w:szCs w:val="20"/>
          <w:color w:val="auto"/>
        </w:rPr>
      </w:pPr>
    </w:p>
    <w:p>
      <w:pPr>
        <w:ind w:left="1300" w:hanging="126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right"/>
        <w:ind w:left="5620" w:right="5560" w:hanging="5585"/>
        <w:spacing w:after="0" w:line="611" w:lineRule="auto"/>
        <w:tabs>
          <w:tab w:leader="none" w:pos="1287"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Denotes a management contract or compensatory arrangement. 49</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300" w:type="dxa"/>
            <w:vAlign w:val="bottom"/>
            <w:gridSpan w:val="2"/>
          </w:tcPr>
          <w:p>
            <w:pPr>
              <w:ind w:left="2440"/>
              <w:spacing w:after="0"/>
              <w:rPr>
                <w:sz w:val="20"/>
                <w:szCs w:val="20"/>
                <w:color w:val="auto"/>
              </w:rPr>
            </w:pPr>
            <w:r>
              <w:rPr>
                <w:rFonts w:ascii="Arial" w:cs="Arial" w:eastAsia="Arial" w:hAnsi="Arial"/>
                <w:sz w:val="18"/>
                <w:szCs w:val="18"/>
                <w:color w:val="auto"/>
              </w:rPr>
              <w:t>ALTISOURCE PORTFOLIO SOLUTIONS S.A.</w:t>
            </w:r>
          </w:p>
        </w:tc>
      </w:tr>
      <w:tr>
        <w:trPr>
          <w:trHeight w:val="270"/>
        </w:trPr>
        <w:tc>
          <w:tcPr>
            <w:tcW w:w="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7300" w:type="dxa"/>
            <w:vAlign w:val="bottom"/>
            <w:gridSpan w:val="2"/>
          </w:tcPr>
          <w:p>
            <w:pPr>
              <w:ind w:left="2440"/>
              <w:spacing w:after="0"/>
              <w:rPr>
                <w:sz w:val="20"/>
                <w:szCs w:val="20"/>
                <w:color w:val="auto"/>
              </w:rPr>
            </w:pPr>
            <w:r>
              <w:rPr>
                <w:rFonts w:ascii="Arial" w:cs="Arial" w:eastAsia="Arial" w:hAnsi="Arial"/>
                <w:sz w:val="18"/>
                <w:szCs w:val="18"/>
                <w:color w:val="auto"/>
              </w:rPr>
              <w:t>(Registrant)</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40" w:type="dxa"/>
            <w:vAlign w:val="bottom"/>
          </w:tcPr>
          <w:p>
            <w:pPr>
              <w:ind w:left="140"/>
              <w:spacing w:after="0"/>
              <w:rPr>
                <w:sz w:val="20"/>
                <w:szCs w:val="20"/>
                <w:color w:val="auto"/>
              </w:rPr>
            </w:pPr>
            <w:r>
              <w:rPr>
                <w:rFonts w:ascii="Arial" w:cs="Arial" w:eastAsia="Arial" w:hAnsi="Arial"/>
                <w:sz w:val="18"/>
                <w:szCs w:val="18"/>
                <w:color w:val="auto"/>
              </w:rPr>
              <w:t>July 26, 2018</w:t>
            </w:r>
          </w:p>
        </w:tc>
        <w:tc>
          <w:tcPr>
            <w:tcW w:w="2860" w:type="dxa"/>
            <w:vAlign w:val="bottom"/>
          </w:tcPr>
          <w:p>
            <w:pPr>
              <w:ind w:left="2440"/>
              <w:spacing w:after="0"/>
              <w:rPr>
                <w:sz w:val="20"/>
                <w:szCs w:val="20"/>
                <w:color w:val="auto"/>
              </w:rPr>
            </w:pPr>
            <w:r>
              <w:rPr>
                <w:rFonts w:ascii="Arial" w:cs="Arial" w:eastAsia="Arial" w:hAnsi="Arial"/>
                <w:sz w:val="18"/>
                <w:szCs w:val="18"/>
                <w:color w:val="auto"/>
              </w:rPr>
              <w:t>By:</w:t>
            </w:r>
          </w:p>
        </w:tc>
        <w:tc>
          <w:tcPr>
            <w:tcW w:w="4440" w:type="dxa"/>
            <w:vAlign w:val="bottom"/>
          </w:tcPr>
          <w:p>
            <w:pPr>
              <w:ind w:left="20"/>
              <w:spacing w:after="0"/>
              <w:rPr>
                <w:sz w:val="20"/>
                <w:szCs w:val="20"/>
                <w:color w:val="auto"/>
              </w:rPr>
            </w:pPr>
            <w:r>
              <w:rPr>
                <w:rFonts w:ascii="Arial" w:cs="Arial" w:eastAsia="Arial" w:hAnsi="Arial"/>
                <w:sz w:val="18"/>
                <w:szCs w:val="18"/>
                <w:color w:val="auto"/>
              </w:rPr>
              <w:t>/s/ William B. Shepro</w:t>
            </w:r>
          </w:p>
        </w:tc>
      </w:tr>
      <w:tr>
        <w:trPr>
          <w:trHeight w:val="27"/>
        </w:trPr>
        <w:tc>
          <w:tcPr>
            <w:tcW w:w="5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William B. Shepro</w:t>
            </w:r>
          </w:p>
        </w:tc>
      </w:tr>
      <w:tr>
        <w:trPr>
          <w:trHeight w:val="270"/>
        </w:trPr>
        <w:tc>
          <w:tcPr>
            <w:tcW w:w="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Director and Chief Executive Officer</w:t>
            </w:r>
          </w:p>
        </w:tc>
      </w:tr>
      <w:tr>
        <w:trPr>
          <w:trHeight w:val="270"/>
        </w:trPr>
        <w:tc>
          <w:tcPr>
            <w:tcW w:w="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40" w:type="dxa"/>
            <w:vAlign w:val="bottom"/>
          </w:tcPr>
          <w:p>
            <w:pPr>
              <w:ind w:left="140"/>
              <w:spacing w:after="0"/>
              <w:rPr>
                <w:sz w:val="20"/>
                <w:szCs w:val="20"/>
                <w:color w:val="auto"/>
              </w:rPr>
            </w:pPr>
            <w:r>
              <w:rPr>
                <w:rFonts w:ascii="Arial" w:cs="Arial" w:eastAsia="Arial" w:hAnsi="Arial"/>
                <w:sz w:val="18"/>
                <w:szCs w:val="18"/>
                <w:color w:val="auto"/>
              </w:rPr>
              <w:t>July 26, 2018</w:t>
            </w:r>
          </w:p>
        </w:tc>
        <w:tc>
          <w:tcPr>
            <w:tcW w:w="2860" w:type="dxa"/>
            <w:vAlign w:val="bottom"/>
          </w:tcPr>
          <w:p>
            <w:pPr>
              <w:ind w:left="2440"/>
              <w:spacing w:after="0"/>
              <w:rPr>
                <w:sz w:val="20"/>
                <w:szCs w:val="20"/>
                <w:color w:val="auto"/>
              </w:rPr>
            </w:pPr>
            <w:r>
              <w:rPr>
                <w:rFonts w:ascii="Arial" w:cs="Arial" w:eastAsia="Arial" w:hAnsi="Arial"/>
                <w:sz w:val="18"/>
                <w:szCs w:val="18"/>
                <w:color w:val="auto"/>
              </w:rPr>
              <w:t>By:</w:t>
            </w:r>
          </w:p>
        </w:tc>
        <w:tc>
          <w:tcPr>
            <w:tcW w:w="4440" w:type="dxa"/>
            <w:vAlign w:val="bottom"/>
          </w:tcPr>
          <w:p>
            <w:pPr>
              <w:ind w:left="2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Executive Vice President, Finance</w:t>
            </w:r>
          </w:p>
        </w:tc>
      </w:tr>
      <w:tr>
        <w:trPr>
          <w:trHeight w:val="270"/>
        </w:trPr>
        <w:tc>
          <w:tcPr>
            <w:tcW w:w="54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AWARD AGREEMENT</w:t>
      </w:r>
    </w:p>
    <w:p>
      <w:pPr>
        <w:spacing w:after="0" w:line="26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THIS NON-QUALIFIED STOCK OPTION AWARD AGREEMENT </w:t>
      </w:r>
      <w:r>
        <w:rPr>
          <w:rFonts w:ascii="Arial" w:cs="Arial" w:eastAsia="Arial" w:hAnsi="Arial"/>
          <w:sz w:val="21"/>
          <w:szCs w:val="21"/>
          <w:color w:val="auto"/>
        </w:rPr>
        <w:t>(the “Agreement”) is made as of February 12, 2018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 Date”), between Altisource Portfolio Solutions S.A., a Luxembourg société anonyme (“Altisource” and, together with its subsidiaries and affiliates, the “Company”), and [ ], an employee of the Company (the “Employee”).</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desires, by affording the Employee an opportunity to purchase shares of its common stock, par value</w:t>
      </w:r>
      <w:r>
        <w:rPr>
          <w:rFonts w:ascii="Arial" w:cs="Arial" w:eastAsia="Arial" w:hAnsi="Arial"/>
          <w:sz w:val="21"/>
          <w:szCs w:val="21"/>
          <w:b w:val="1"/>
          <w:bCs w:val="1"/>
          <w:color w:val="auto"/>
        </w:rPr>
        <w:t xml:space="preserve"> </w:t>
      </w:r>
      <w:r>
        <w:rPr>
          <w:rFonts w:ascii="Arial" w:cs="Arial" w:eastAsia="Arial" w:hAnsi="Arial"/>
          <w:sz w:val="21"/>
          <w:szCs w:val="21"/>
          <w:color w:val="auto"/>
        </w:rPr>
        <w:t>$1.00 per share (“Shares”), to further the objectives of the Company’s 2009 Equity Incentive Plan (the “2009 Plan”).</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hereinafter set forth and for other good and valuable consideration,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intending to be legally bound hereby, the parties hereto have agreed, and do hereby agree, as follows:</w:t>
      </w:r>
    </w:p>
    <w:p>
      <w:pPr>
        <w:spacing w:after="0" w:line="18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OPTION GRANT</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hereby grants to the Employee, pursuant to and subject to the 2009 Plan, the right and option to purchase from the Company a number of Shares equal to the Target Amount (as defined in Exhibit A) for a purchase price of $24.82 per share (the “Strike Price”), on the terms and conditions set forth in this Agreement (the “Options”).</w:t>
      </w:r>
    </w:p>
    <w:p>
      <w:pPr>
        <w:spacing w:after="0" w:line="22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OPTION TERM</w:t>
      </w:r>
    </w:p>
    <w:p>
      <w:pPr>
        <w:spacing w:after="0" w:line="26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term of the Options shall begin on the Grant Date and will continue for a period of ten (10) years from the Grant Date, unless earlier terminated pursuant to exercise, in accordance with Section 3 Subsection A(3) or as provided in Section 5 below.</w:t>
      </w:r>
    </w:p>
    <w:p>
      <w:pPr>
        <w:spacing w:after="0" w:line="13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VESTING OF OPTIONS</w:t>
      </w:r>
    </w:p>
    <w:p>
      <w:pPr>
        <w:spacing w:after="0" w:line="266"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Vesting Schedule</w:t>
      </w:r>
    </w:p>
    <w:p>
      <w:pPr>
        <w:spacing w:after="0" w:line="26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Subject to the provisions of Sections 5 and 6 below, the Options shall vest and become exercisable in accordance with the following provisions:</w:t>
      </w:r>
    </w:p>
    <w:p>
      <w:pPr>
        <w:spacing w:after="0" w:line="215" w:lineRule="exact"/>
        <w:rPr>
          <w:sz w:val="20"/>
          <w:szCs w:val="20"/>
          <w:color w:val="auto"/>
        </w:rPr>
      </w:pPr>
    </w:p>
    <w:p>
      <w:pPr>
        <w:jc w:val="both"/>
        <w:ind w:left="1960" w:hanging="655"/>
        <w:spacing w:after="0" w:line="261" w:lineRule="auto"/>
        <w:tabs>
          <w:tab w:leader="none" w:pos="1960" w:val="left"/>
        </w:tabs>
        <w:numPr>
          <w:ilvl w:val="0"/>
          <w:numId w:val="26"/>
        </w:numPr>
        <w:rPr>
          <w:rFonts w:ascii="Arial" w:cs="Arial" w:eastAsia="Arial" w:hAnsi="Arial"/>
          <w:sz w:val="20"/>
          <w:szCs w:val="20"/>
          <w:color w:val="auto"/>
        </w:rPr>
      </w:pPr>
      <w:r>
        <w:rPr>
          <w:rFonts w:ascii="Arial" w:cs="Arial" w:eastAsia="Arial" w:hAnsi="Arial"/>
          <w:sz w:val="21"/>
          <w:szCs w:val="21"/>
          <w:color w:val="auto"/>
        </w:rPr>
        <w:t>Following the conclusion of the 2018 calendar year and prior to the first anniversary of the Grant Date, the Compensation Committee of the Board of Directors of Altisource shall confirm the extent to which the performance measure described in Exhibit A (the “Performance Measure”) is satisfied. Based upon the achievement against the Performance Measure, a percentage of the Target Amount (between 0% and 200%) shall become vestable Options (the “Stock Option Vestable Portion”) and shall vest in accordance with the provisions of Section 3 Subsection A(2) below.</w:t>
      </w:r>
    </w:p>
    <w:p>
      <w:pPr>
        <w:spacing w:after="0" w:line="200" w:lineRule="exact"/>
        <w:rPr>
          <w:sz w:val="20"/>
          <w:szCs w:val="20"/>
          <w:color w:val="auto"/>
        </w:rPr>
      </w:pPr>
    </w:p>
    <w:p>
      <w:pPr>
        <w:spacing w:after="0" w:line="258"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1420"/>
          </w:cols>
          <w:pgMar w:left="240" w:top="346" w:right="239" w:bottom="1440" w:gutter="0" w:footer="0" w:header="0"/>
        </w:sectPr>
      </w:pPr>
    </w:p>
    <w:bookmarkStart w:id="54" w:name="page55"/>
    <w:bookmarkEnd w:id="54"/>
    <w:p>
      <w:pPr>
        <w:ind w:left="1952" w:hanging="655"/>
        <w:spacing w:after="0" w:line="343" w:lineRule="auto"/>
        <w:tabs>
          <w:tab w:leader="none" w:pos="1952" w:val="left"/>
        </w:tabs>
        <w:numPr>
          <w:ilvl w:val="1"/>
          <w:numId w:val="27"/>
        </w:numPr>
        <w:rPr>
          <w:rFonts w:ascii="Arial" w:cs="Arial" w:eastAsia="Arial" w:hAnsi="Arial"/>
          <w:sz w:val="19"/>
          <w:szCs w:val="19"/>
          <w:color w:val="auto"/>
        </w:rPr>
      </w:pPr>
      <w:r>
        <w:rPr>
          <w:rFonts w:ascii="Arial" w:cs="Arial" w:eastAsia="Arial" w:hAnsi="Arial"/>
          <w:sz w:val="19"/>
          <w:szCs w:val="19"/>
          <w:color w:val="auto"/>
        </w:rPr>
        <w:t>One-fourth (1/4) of the Stock Option Vestable Portion (if any, as determined pursuant to the provisions of Exhibit A) shall vest on each of the first, second, third and fourth anniversaries of the Grant Date.</w:t>
      </w:r>
    </w:p>
    <w:p>
      <w:pPr>
        <w:spacing w:after="0" w:line="145" w:lineRule="exact"/>
        <w:rPr>
          <w:rFonts w:ascii="Arial" w:cs="Arial" w:eastAsia="Arial" w:hAnsi="Arial"/>
          <w:sz w:val="19"/>
          <w:szCs w:val="19"/>
          <w:color w:val="auto"/>
        </w:rPr>
      </w:pPr>
    </w:p>
    <w:p>
      <w:pPr>
        <w:jc w:val="both"/>
        <w:ind w:left="1952" w:hanging="655"/>
        <w:spacing w:after="0" w:line="253" w:lineRule="auto"/>
        <w:tabs>
          <w:tab w:leader="none" w:pos="1952" w:val="left"/>
        </w:tabs>
        <w:numPr>
          <w:ilvl w:val="1"/>
          <w:numId w:val="27"/>
        </w:numPr>
        <w:rPr>
          <w:rFonts w:ascii="Arial" w:cs="Arial" w:eastAsia="Arial" w:hAnsi="Arial"/>
          <w:sz w:val="21"/>
          <w:szCs w:val="21"/>
          <w:color w:val="auto"/>
        </w:rPr>
      </w:pPr>
      <w:r>
        <w:rPr>
          <w:rFonts w:ascii="Arial" w:cs="Arial" w:eastAsia="Arial" w:hAnsi="Arial"/>
          <w:sz w:val="22"/>
          <w:szCs w:val="22"/>
          <w:color w:val="auto"/>
        </w:rPr>
        <w:t>All Options that do not constitute the Stock Option Vestable Portion shall be forfeited and cancelled immediately upon confirmation by the Board of Directors regarding the extent to which the Performance Measure is satisfied (if at all).</w:t>
      </w:r>
    </w:p>
    <w:p>
      <w:pPr>
        <w:spacing w:after="0" w:line="226" w:lineRule="exact"/>
        <w:rPr>
          <w:rFonts w:ascii="Arial" w:cs="Arial" w:eastAsia="Arial" w:hAnsi="Arial"/>
          <w:sz w:val="21"/>
          <w:szCs w:val="21"/>
          <w:color w:val="auto"/>
        </w:rPr>
      </w:pPr>
    </w:p>
    <w:p>
      <w:pPr>
        <w:ind w:left="1292" w:hanging="644"/>
        <w:spacing w:after="0"/>
        <w:tabs>
          <w:tab w:leader="none" w:pos="1292"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General</w:t>
      </w:r>
    </w:p>
    <w:p>
      <w:pPr>
        <w:spacing w:after="0" w:line="260" w:lineRule="exact"/>
        <w:rPr>
          <w:sz w:val="20"/>
          <w:szCs w:val="20"/>
          <w:color w:val="auto"/>
        </w:rPr>
      </w:pPr>
    </w:p>
    <w:p>
      <w:pPr>
        <w:jc w:val="both"/>
        <w:ind w:left="652"/>
        <w:spacing w:after="0" w:line="253" w:lineRule="auto"/>
        <w:rPr>
          <w:sz w:val="20"/>
          <w:szCs w:val="20"/>
          <w:color w:val="auto"/>
        </w:rPr>
      </w:pPr>
      <w:r>
        <w:rPr>
          <w:rFonts w:ascii="Arial" w:cs="Arial" w:eastAsia="Arial" w:hAnsi="Arial"/>
          <w:sz w:val="22"/>
          <w:szCs w:val="22"/>
          <w:color w:val="auto"/>
        </w:rPr>
        <w:t>The Employee shall have none of the rights of a shareholder with respect to any of the Shares subject to the Options until such Shares shall be issued in the Employee’s name or the name of the Employee’s designee following the exercise of the Options.</w:t>
      </w:r>
    </w:p>
    <w:p>
      <w:pPr>
        <w:spacing w:after="0" w:line="220"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OPTION EXERCISE</w:t>
      </w:r>
    </w:p>
    <w:p>
      <w:pPr>
        <w:spacing w:after="0" w:line="266" w:lineRule="exact"/>
        <w:rPr>
          <w:rFonts w:ascii="Arial" w:cs="Arial" w:eastAsia="Arial" w:hAnsi="Arial"/>
          <w:sz w:val="22"/>
          <w:szCs w:val="22"/>
          <w:b w:val="1"/>
          <w:bCs w:val="1"/>
          <w:color w:val="auto"/>
        </w:rPr>
      </w:pPr>
    </w:p>
    <w:p>
      <w:pPr>
        <w:jc w:val="both"/>
        <w:ind w:left="1292" w:hanging="644"/>
        <w:spacing w:after="0" w:line="258" w:lineRule="auto"/>
        <w:tabs>
          <w:tab w:leader="none" w:pos="1292" w:val="left"/>
        </w:tabs>
        <w:numPr>
          <w:ilvl w:val="1"/>
          <w:numId w:val="29"/>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vested Options may be exercised by written notice to the Company at its executive offices to the attention of the Corporate Secretary of the Company (the “Notice”). The Notice shall state the election to exercise vested Options, shall state the number of Shares in respect of which it is being exercised (the “Purchased Shares”) and shall be signed by the person or persons so exercising such Options. In no case may vested Options be exercised as to less than fifty (50) Shares at any one time (or the remaining Shares then purchasable under the vested Options, if less than fifty (50) Shares) or for a fractional Share. Except as provided in Section 5 below, vested Options may not be exercised unless the Employee shall, at the time of the exercise, be an employee of the Company and not under a notice of resignation. During the Employee’s lifetime, only the Employee or the Employee’s guardian or legal representative may exercise vested Options (in the case of the Employee’s guardian or legal representative, such guardian or legal representative, as applicable, will be considered to be the Employee for purposes of exercising the Employee’s rights in this Section 4, Subsections A and B).</w:t>
      </w:r>
    </w:p>
    <w:p>
      <w:pPr>
        <w:spacing w:after="0" w:line="220" w:lineRule="exact"/>
        <w:rPr>
          <w:rFonts w:ascii="Arial" w:cs="Arial" w:eastAsia="Arial" w:hAnsi="Arial"/>
          <w:sz w:val="21"/>
          <w:szCs w:val="21"/>
          <w:color w:val="auto"/>
        </w:rPr>
      </w:pPr>
    </w:p>
    <w:p>
      <w:pPr>
        <w:jc w:val="both"/>
        <w:ind w:left="1292" w:hanging="644"/>
        <w:spacing w:after="0" w:line="290" w:lineRule="auto"/>
        <w:tabs>
          <w:tab w:leader="none" w:pos="1292" w:val="left"/>
        </w:tabs>
        <w:numPr>
          <w:ilvl w:val="1"/>
          <w:numId w:val="29"/>
        </w:numPr>
        <w:rPr>
          <w:rFonts w:ascii="Arial" w:cs="Arial" w:eastAsia="Arial" w:hAnsi="Arial"/>
          <w:sz w:val="19"/>
          <w:szCs w:val="19"/>
          <w:color w:val="auto"/>
        </w:rPr>
      </w:pPr>
      <w:r>
        <w:rPr>
          <w:rFonts w:ascii="Arial" w:cs="Arial" w:eastAsia="Arial" w:hAnsi="Arial"/>
          <w:sz w:val="19"/>
          <w:szCs w:val="19"/>
          <w:color w:val="auto"/>
        </w:rPr>
        <w:t>A Notice shall be accompanied by (1) a personal check or wire transfer payable to the order of the Company for payment of the full purchase price of the Purchased Shares, (2) delivery to the Company of the number of Shares duly endorsed for transfer and owned by the Employee that have an aggregate Fair Market Value equal to the aggregate purchase price of the Purchased Shares or (3) payment therefor made in such other manner as may be acceptable to the Company on such terms as may be determined by the Board of Directors. “Fair Market Value” shall have the meaning given to that term in the 2009 Plan. In addition to and at the time of payment of the purchase price, the person exercising the vested Options shall pay to the Company the full amount of any federal and state withholding or other taxes applicable to the taxable income of such person resulting from such exercise in cash</w:t>
      </w:r>
    </w:p>
    <w:p>
      <w:pPr>
        <w:spacing w:after="0" w:line="178" w:lineRule="exact"/>
        <w:rPr>
          <w:sz w:val="20"/>
          <w:szCs w:val="20"/>
          <w:color w:val="auto"/>
        </w:rPr>
      </w:pPr>
    </w:p>
    <w:p>
      <w:pPr>
        <w:ind w:left="77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1412"/>
          </w:cols>
          <w:pgMar w:left="248" w:top="375" w:right="239" w:bottom="1440" w:gutter="0" w:footer="0" w:header="0"/>
        </w:sectPr>
      </w:pPr>
    </w:p>
    <w:bookmarkStart w:id="55" w:name="page56"/>
    <w:bookmarkEnd w:id="55"/>
    <w:p>
      <w:pPr>
        <w:jc w:val="both"/>
        <w:ind w:left="1300"/>
        <w:spacing w:after="0" w:line="292" w:lineRule="auto"/>
        <w:rPr>
          <w:sz w:val="20"/>
          <w:szCs w:val="20"/>
          <w:color w:val="auto"/>
        </w:rPr>
      </w:pPr>
      <w:r>
        <w:rPr>
          <w:rFonts w:ascii="Arial" w:cs="Arial" w:eastAsia="Arial" w:hAnsi="Arial"/>
          <w:sz w:val="19"/>
          <w:szCs w:val="19"/>
          <w:color w:val="auto"/>
        </w:rPr>
        <w:t>unless the Board of Directors in its sole discretion shall permit such taxes to be paid in Shares. Such payment may also be made in the form of payroll withholding, at the election of the Employee, provided that the required payroll withholding occurs within one pay period. The Company shall issue the Purchased Shares as soon as practicable after receipt of the notice and all required payments by the person or persons exercising the Options as provided in Section 4, Subsection A above. Unless the person or persons exercising the Options shall otherwise direct the Company in writing, such Purchased Shares shall be registered in the name of the Employee and shall be delivered as aforesaid to or upon the written order of the Employee.</w:t>
      </w:r>
    </w:p>
    <w:p>
      <w:pPr>
        <w:spacing w:after="0" w:line="192" w:lineRule="exact"/>
        <w:rPr>
          <w:sz w:val="20"/>
          <w:szCs w:val="20"/>
          <w:color w:val="auto"/>
        </w:rPr>
      </w:pPr>
    </w:p>
    <w:p>
      <w:pPr>
        <w:jc w:val="both"/>
        <w:ind w:left="1300" w:right="20" w:hanging="644"/>
        <w:spacing w:after="0" w:line="253" w:lineRule="auto"/>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To the extent Options shall be exercised, pursuant to Section 5 hereof, by any person or persons other than the Employee, such notice shall be accompanied by appropriate proof of the derivative right of such person or persons to exercise the Options.</w:t>
      </w:r>
    </w:p>
    <w:p>
      <w:pPr>
        <w:spacing w:after="0" w:line="226"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date of exercise of an Option shall be the date on which the Notice, the documents and all payments required under this Section 4 are received by or arranged with the Corporate Secretary of the Company. If such Notice is received after the market closes, the following trading day will be considered the date of exercise. All Purchased Shares shall be fully paid and non-assessable.</w:t>
      </w:r>
    </w:p>
    <w:p>
      <w:pPr>
        <w:spacing w:after="0" w:line="228"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may require the Employee to exercise the Options electronically through the Solium Shareworks system or any other online system pursuant to the procedures set forth therein as determined by the Company in its sole discretion.</w:t>
      </w:r>
    </w:p>
    <w:p>
      <w:pPr>
        <w:spacing w:after="0" w:line="226" w:lineRule="exact"/>
        <w:rPr>
          <w:rFonts w:ascii="Arial" w:cs="Arial" w:eastAsia="Arial" w:hAnsi="Arial"/>
          <w:sz w:val="22"/>
          <w:szCs w:val="22"/>
          <w:color w:val="auto"/>
        </w:rPr>
      </w:pPr>
    </w:p>
    <w:p>
      <w:pPr>
        <w:ind w:left="1300" w:hanging="644"/>
        <w:spacing w:after="0"/>
        <w:tabs>
          <w:tab w:leader="none" w:pos="13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Company may amend the procedures set forth in this Section 4, Subsections A through E in its sole discretion.</w:t>
      </w:r>
    </w:p>
    <w:p>
      <w:pPr>
        <w:spacing w:after="0" w:line="28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OPTIONS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Options may not be exercised to any extent after termination of the Options. Options will terminate as set forth below in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5:</w:t>
      </w:r>
    </w:p>
    <w:p>
      <w:pPr>
        <w:spacing w:after="0" w:line="242" w:lineRule="exact"/>
        <w:rPr>
          <w:sz w:val="20"/>
          <w:szCs w:val="20"/>
          <w:color w:val="auto"/>
        </w:rPr>
      </w:pPr>
    </w:p>
    <w:p>
      <w:pPr>
        <w:ind w:left="1300" w:hanging="644"/>
        <w:spacing w:after="0" w:line="263" w:lineRule="auto"/>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Options shall terminate upon the exercise of such Options in the manner provided in this Agreement and the 2009 Plan, whether or not the Purchased Shares are ultimately delivered.</w:t>
      </w:r>
    </w:p>
    <w:p>
      <w:pPr>
        <w:spacing w:after="0" w:line="21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Except as may otherwise be provided in Section 3 Subsection A(3) and this Section 5, Subsections A and C for the earlier termination of the Options, the Options and all rights and obligations thereunder shall expire ten (10) years after the Grant Date.</w:t>
      </w:r>
    </w:p>
    <w:p>
      <w:pPr>
        <w:spacing w:after="0" w:line="226" w:lineRule="exact"/>
        <w:rPr>
          <w:rFonts w:ascii="Arial" w:cs="Arial" w:eastAsia="Arial" w:hAnsi="Arial"/>
          <w:sz w:val="22"/>
          <w:szCs w:val="22"/>
          <w:color w:val="auto"/>
        </w:rPr>
      </w:pPr>
    </w:p>
    <w:p>
      <w:pPr>
        <w:ind w:left="1300" w:hanging="644"/>
        <w:spacing w:after="0" w:line="287" w:lineRule="auto"/>
        <w:tabs>
          <w:tab w:leader="none" w:pos="13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If, prior to exercise, expiration, forfeiture, surrender or cancellation of the Options, the Employee’s employment terminates, the Options shall terminate in accordance with the 2009 Plan except as follows:</w:t>
      </w:r>
    </w:p>
    <w:p>
      <w:pPr>
        <w:spacing w:after="0" w:line="200" w:lineRule="exact"/>
        <w:rPr>
          <w:sz w:val="20"/>
          <w:szCs w:val="20"/>
          <w:color w:val="auto"/>
        </w:rPr>
      </w:pPr>
    </w:p>
    <w:p>
      <w:pPr>
        <w:spacing w:after="0" w:line="22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1420"/>
          </w:cols>
          <w:pgMar w:left="240" w:top="375" w:right="239" w:bottom="1440" w:gutter="0" w:footer="0" w:header="0"/>
        </w:sectPr>
      </w:pPr>
    </w:p>
    <w:bookmarkStart w:id="56" w:name="page57"/>
    <w:bookmarkEnd w:id="56"/>
    <w:p>
      <w:pPr>
        <w:ind w:left="760" w:right="20" w:hanging="655"/>
        <w:spacing w:after="0" w:line="263" w:lineRule="auto"/>
        <w:tabs>
          <w:tab w:leader="none" w:pos="760" w:val="left"/>
        </w:tabs>
        <w:numPr>
          <w:ilvl w:val="0"/>
          <w:numId w:val="33"/>
        </w:numPr>
        <w:rPr>
          <w:rFonts w:ascii="Arial" w:cs="Arial" w:eastAsia="Arial" w:hAnsi="Arial"/>
          <w:sz w:val="21"/>
          <w:szCs w:val="21"/>
          <w:color w:val="auto"/>
        </w:rPr>
      </w:pPr>
      <w:r>
        <w:rPr>
          <w:rFonts w:ascii="Arial" w:cs="Arial" w:eastAsia="Arial" w:hAnsi="Arial"/>
          <w:sz w:val="22"/>
          <w:szCs w:val="22"/>
          <w:color w:val="auto"/>
        </w:rPr>
        <w:t>by reason of termination of employment by the Company for Cause, then all Options shall terminate on the date of termination of employment.</w:t>
      </w:r>
    </w:p>
    <w:p>
      <w:pPr>
        <w:spacing w:after="0" w:line="215" w:lineRule="exact"/>
        <w:rPr>
          <w:rFonts w:ascii="Arial" w:cs="Arial" w:eastAsia="Arial" w:hAnsi="Arial"/>
          <w:sz w:val="21"/>
          <w:szCs w:val="21"/>
          <w:color w:val="auto"/>
        </w:rPr>
      </w:pPr>
    </w:p>
    <w:p>
      <w:pPr>
        <w:jc w:val="both"/>
        <w:ind w:left="760" w:hanging="655"/>
        <w:spacing w:after="0" w:line="312" w:lineRule="auto"/>
        <w:tabs>
          <w:tab w:leader="none" w:pos="7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by reason of termination of employment by the Employee (other than by reason of retirement), then all unvested Options shall terminate on the date Employee provides notice of his or her resignation and all vested Options shall terminate on the date that is six (6) months after the date of termination of employment.</w:t>
      </w:r>
    </w:p>
    <w:p>
      <w:pPr>
        <w:spacing w:after="0" w:line="174" w:lineRule="exact"/>
        <w:rPr>
          <w:rFonts w:ascii="Arial" w:cs="Arial" w:eastAsia="Arial" w:hAnsi="Arial"/>
          <w:sz w:val="19"/>
          <w:szCs w:val="19"/>
          <w:color w:val="auto"/>
        </w:rPr>
      </w:pPr>
    </w:p>
    <w:p>
      <w:pPr>
        <w:ind w:left="760" w:hanging="655"/>
        <w:spacing w:after="0"/>
        <w:tabs>
          <w:tab w:leader="none" w:pos="760" w:val="left"/>
        </w:tabs>
        <w:numPr>
          <w:ilvl w:val="0"/>
          <w:numId w:val="33"/>
        </w:numPr>
        <w:rPr>
          <w:rFonts w:ascii="Arial" w:cs="Arial" w:eastAsia="Arial" w:hAnsi="Arial"/>
          <w:sz w:val="21"/>
          <w:szCs w:val="21"/>
          <w:color w:val="auto"/>
        </w:rPr>
      </w:pPr>
      <w:r>
        <w:rPr>
          <w:rFonts w:ascii="Arial" w:cs="Arial" w:eastAsia="Arial" w:hAnsi="Arial"/>
          <w:sz w:val="22"/>
          <w:szCs w:val="22"/>
          <w:color w:val="auto"/>
        </w:rPr>
        <w:t>by reason of termination of employment by the Company without Cause then:</w:t>
      </w:r>
    </w:p>
    <w:p>
      <w:pPr>
        <w:spacing w:after="0" w:line="260" w:lineRule="exact"/>
        <w:rPr>
          <w:sz w:val="20"/>
          <w:szCs w:val="20"/>
          <w:color w:val="auto"/>
        </w:rPr>
      </w:pPr>
    </w:p>
    <w:p>
      <w:pPr>
        <w:jc w:val="both"/>
        <w:ind w:left="1720" w:hanging="890"/>
        <w:spacing w:after="0" w:line="286" w:lineRule="auto"/>
        <w:rPr>
          <w:sz w:val="20"/>
          <w:szCs w:val="20"/>
          <w:color w:val="auto"/>
        </w:rPr>
      </w:pPr>
      <w:r>
        <w:rPr>
          <w:rFonts w:ascii="Arial" w:cs="Arial" w:eastAsia="Arial" w:hAnsi="Arial"/>
          <w:sz w:val="19"/>
          <w:szCs w:val="19"/>
          <w:color w:val="auto"/>
        </w:rPr>
        <w:t>(a)if the date of such termination occurs after September 30, 2018 but before the Stock Option Vestable Portion has been determined, the Options shall remain outstanding and the Stock Option Vestable Portion (if any) shall be determined pursuant to the provisions of Exhibit A, after which the Stock Option Vestable Portion, if any, shall vest and shall become immediately exercisable in full on the date of such determination and shall be exercisable for a period of six (6) months following such vesting date; provided however that if Employee has been employed with the Company for less than two (2) years at the time of termination, then any unvested Options that are determined to be eligible to vest within twelve (12) months of such termination shall vest in accordance with the vesting schedule set forth in Section 3 Subsection A(2), and shall be exercisable within six (6) months of such vesting date, and the remainder of the Options shall be forfeited by the Employee as of the date the Stock Option Vestable Portion has been determined. For the avoidance of doubt, all Options other than the Stock Option Vestable Portion shall be forfeited and cancelled immediately on the date of confirmation by the Board of Directors regarding the extent to which the Performance Measure is satisfied. For the further avoidance of doubt, no Options shall vest pursuant to this Section 5 Subsection C(3)(a) prior to the first anniversary of the Grant Date.</w:t>
      </w:r>
    </w:p>
    <w:p>
      <w:pPr>
        <w:spacing w:after="0" w:line="200" w:lineRule="exact"/>
        <w:rPr>
          <w:sz w:val="20"/>
          <w:szCs w:val="20"/>
          <w:color w:val="auto"/>
        </w:rPr>
      </w:pPr>
    </w:p>
    <w:p>
      <w:pPr>
        <w:jc w:val="both"/>
        <w:ind w:left="1720" w:hanging="904"/>
        <w:spacing w:after="0" w:line="292" w:lineRule="auto"/>
        <w:rPr>
          <w:sz w:val="20"/>
          <w:szCs w:val="20"/>
          <w:color w:val="auto"/>
        </w:rPr>
      </w:pPr>
      <w:r>
        <w:rPr>
          <w:rFonts w:ascii="Arial" w:cs="Arial" w:eastAsia="Arial" w:hAnsi="Arial"/>
          <w:sz w:val="19"/>
          <w:szCs w:val="19"/>
          <w:color w:val="auto"/>
        </w:rPr>
        <w:t>(b)if the date of such termination occurs after September 30, 2018 and after the determination of the Stock Option Vestable Portion, the Stock Option Vestable Portion, if any, shall vest and shall become immediately exercisable in full on the date of such termination and shall be exercisable for a period of six (6) months following such termination date; provided however that if Employee has been employed with the Company for less than two (2) years, then any unvested Options that are scheduled to vest within twelve (12) months of such termination of employment shall vest in accordance with the vesting schedule set forth in Section 3 Subsection A(2), and shall be</w:t>
      </w:r>
    </w:p>
    <w:p>
      <w:pPr>
        <w:spacing w:after="0" w:line="173"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0220"/>
          </w:cols>
          <w:pgMar w:left="1440" w:top="375" w:right="239" w:bottom="1440" w:gutter="0" w:footer="0" w:header="0"/>
        </w:sectPr>
      </w:pPr>
    </w:p>
    <w:bookmarkStart w:id="57" w:name="page58"/>
    <w:bookmarkEnd w:id="57"/>
    <w:p>
      <w:pPr>
        <w:jc w:val="both"/>
        <w:ind w:left="1400"/>
        <w:spacing w:after="0" w:line="290" w:lineRule="auto"/>
        <w:rPr>
          <w:sz w:val="20"/>
          <w:szCs w:val="20"/>
          <w:color w:val="auto"/>
        </w:rPr>
      </w:pPr>
      <w:r>
        <w:rPr>
          <w:rFonts w:ascii="Arial" w:cs="Arial" w:eastAsia="Arial" w:hAnsi="Arial"/>
          <w:sz w:val="19"/>
          <w:szCs w:val="19"/>
          <w:color w:val="auto"/>
        </w:rPr>
        <w:t>exercisable within six (6) months of such vesting date, and the remainder of the Options shall be forfeited by the Employee as of the date the Stock Option Vestable Portion has been determined. Notwithstanding the foregoing, the Company will have the right in its sole discretion to require the Employee to exercise all or part of any Options retained pursuant to this paragraph at any time. For the avoidance of doubt, all Options other than the Stock Option Vestable Portion shall be forfeited and cancelled immediately on the date of confirmation by the Board of Directors regarding the extent to which the Performance Measure is satisfied. For the further avoidance of doubt, no Options shall vest pursuant to this Section 5 Subsection C(3)(b) prior to the first anniversary of the Grant Date.</w:t>
      </w:r>
    </w:p>
    <w:p>
      <w:pPr>
        <w:spacing w:after="0" w:line="197" w:lineRule="exact"/>
        <w:rPr>
          <w:sz w:val="20"/>
          <w:szCs w:val="20"/>
          <w:color w:val="auto"/>
        </w:rPr>
      </w:pPr>
    </w:p>
    <w:p>
      <w:pPr>
        <w:ind w:left="1720" w:hanging="890"/>
        <w:spacing w:after="0" w:line="263" w:lineRule="auto"/>
        <w:rPr>
          <w:sz w:val="20"/>
          <w:szCs w:val="20"/>
          <w:color w:val="auto"/>
        </w:rPr>
      </w:pPr>
      <w:r>
        <w:rPr>
          <w:rFonts w:ascii="Arial" w:cs="Arial" w:eastAsia="Arial" w:hAnsi="Arial"/>
          <w:sz w:val="22"/>
          <w:szCs w:val="22"/>
          <w:color w:val="auto"/>
        </w:rPr>
        <w:t>(c)if the date of such termination of employment occurs prior to September 30, 2018, then all Options shall terminate on the date of such termination without Cause as applicable.</w:t>
      </w:r>
    </w:p>
    <w:p>
      <w:pPr>
        <w:spacing w:after="0" w:line="215" w:lineRule="exact"/>
        <w:rPr>
          <w:sz w:val="20"/>
          <w:szCs w:val="20"/>
          <w:color w:val="auto"/>
        </w:rPr>
      </w:pPr>
    </w:p>
    <w:p>
      <w:pPr>
        <w:ind w:left="760" w:hanging="655"/>
        <w:spacing w:after="0"/>
        <w:tabs>
          <w:tab w:leader="none" w:pos="7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by reason of termination of employment by reason of retirement, Disability, or death of the employee then:</w:t>
      </w:r>
    </w:p>
    <w:p>
      <w:pPr>
        <w:spacing w:after="0" w:line="295" w:lineRule="exact"/>
        <w:rPr>
          <w:sz w:val="20"/>
          <w:szCs w:val="20"/>
          <w:color w:val="auto"/>
        </w:rPr>
      </w:pPr>
    </w:p>
    <w:p>
      <w:pPr>
        <w:jc w:val="both"/>
        <w:ind w:left="1720" w:hanging="890"/>
        <w:spacing w:after="0" w:line="286" w:lineRule="auto"/>
        <w:rPr>
          <w:sz w:val="20"/>
          <w:szCs w:val="20"/>
          <w:color w:val="auto"/>
        </w:rPr>
      </w:pPr>
      <w:r>
        <w:rPr>
          <w:rFonts w:ascii="Arial" w:cs="Arial" w:eastAsia="Arial" w:hAnsi="Arial"/>
          <w:sz w:val="19"/>
          <w:szCs w:val="19"/>
          <w:color w:val="auto"/>
        </w:rPr>
        <w:t>(a)if the date of such termination occurs after September 30, 2018 but before the Stock Option Vestable Portion has been determined, the Options shall remain outstanding and the Stock Option Vestable Portion (if any) shall be determined pursuant to the provisions of Exhibit A after which the Stock Option Vestable Portion, if any, shall vest in accordance with the vesting schedule set forth in Section 3 Subsection A(2) and any vested Options shall terminate as follows: (i) in the case of retirement or Disability, on the earlier of (x) five (5) years after the date of the Employee’s retirement or Disability, as applicable or (y) the end of the Option’s term and (ii) in the case of death, on the earlier of (x) three (3) years after the date of the Employee’s death or (y) the end of the Option’s term. Notwithstanding the foregoing, the Company will have the right in its sole discretion to require the Employee to exercise all or part of any Options retained pursuant to this paragraph at any time. For the avoidance of doubt, all Options other than the Stock Option Vestable Portion shall be forfeited and cancelled immediately on the date of confirmation by the Board of Directors regarding the extent to which the Performance Measure is satisfied. For the further avoidance of doubt, no Options shall vest pursuant to this Section 5 Subsection C(4)(a) prior to the first anniversary of the Grant Date.</w:t>
      </w:r>
    </w:p>
    <w:p>
      <w:pPr>
        <w:spacing w:after="0" w:line="200" w:lineRule="exact"/>
        <w:rPr>
          <w:sz w:val="20"/>
          <w:szCs w:val="20"/>
          <w:color w:val="auto"/>
        </w:rPr>
      </w:pPr>
    </w:p>
    <w:p>
      <w:pPr>
        <w:spacing w:after="0" w:line="260" w:lineRule="exact"/>
        <w:rPr>
          <w:sz w:val="20"/>
          <w:szCs w:val="20"/>
          <w:color w:val="auto"/>
        </w:rPr>
      </w:pPr>
    </w:p>
    <w:p>
      <w:pPr>
        <w:jc w:val="both"/>
        <w:ind w:left="1720" w:hanging="904"/>
        <w:spacing w:after="0" w:line="343" w:lineRule="auto"/>
        <w:rPr>
          <w:sz w:val="20"/>
          <w:szCs w:val="20"/>
          <w:color w:val="auto"/>
        </w:rPr>
      </w:pPr>
      <w:r>
        <w:rPr>
          <w:rFonts w:ascii="Arial" w:cs="Arial" w:eastAsia="Arial" w:hAnsi="Arial"/>
          <w:sz w:val="19"/>
          <w:szCs w:val="19"/>
          <w:color w:val="auto"/>
        </w:rPr>
        <w:t>(b)if the date of such termination occurs after September 30, 2018 and after the determination of the Stock Option Vestable Portion, the Stock Option Vestable Portion that has not yet vested shall vest and</w:t>
      </w:r>
    </w:p>
    <w:p>
      <w:pPr>
        <w:spacing w:after="0" w:line="126"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0220"/>
          </w:cols>
          <w:pgMar w:left="1440" w:top="375" w:right="239" w:bottom="1440" w:gutter="0" w:footer="0" w:header="0"/>
        </w:sectPr>
      </w:pPr>
    </w:p>
    <w:bookmarkStart w:id="58" w:name="page59"/>
    <w:bookmarkEnd w:id="58"/>
    <w:p>
      <w:pPr>
        <w:jc w:val="both"/>
        <w:ind w:left="2592"/>
        <w:spacing w:after="0" w:line="288" w:lineRule="auto"/>
        <w:rPr>
          <w:sz w:val="20"/>
          <w:szCs w:val="20"/>
          <w:color w:val="auto"/>
        </w:rPr>
      </w:pPr>
      <w:r>
        <w:rPr>
          <w:rFonts w:ascii="Arial" w:cs="Arial" w:eastAsia="Arial" w:hAnsi="Arial"/>
          <w:sz w:val="19"/>
          <w:szCs w:val="19"/>
          <w:color w:val="auto"/>
        </w:rPr>
        <w:t>shall become immediately exercisable in full on the date of such termination and any vested Options shall terminate as follows: (i) in the case of retirement or Disability, on the earlier of (x) five (5) years after the date of the Employee’s retirement or Disability, as applicable or (y) the end of the Option’s term and (ii) in the case of death, on the earlier of (x) three (3) years after the date of the Employee’s death or (y) the end of the Option’s term. Notwithstanding the foregoing, the Company will have the right in its sole discretion to require the Employee to exercise all or part of any Options retained pursuant to this paragraph at any time. For the avoidance of doubt, all Options other than the Stock Option Vestable Portion shall be forfeited and cancelled immediately on the date of confirmation by the Board of Directors regarding the extent to which the Performance Measure is satisfied. For the further avoidance of doubt, no Options shall vest pursuant to this Section 5 Subsection C(4)(b) prior to the first anniversary of the Grant Date.</w:t>
      </w:r>
    </w:p>
    <w:p>
      <w:pPr>
        <w:spacing w:after="0" w:line="195" w:lineRule="exact"/>
        <w:rPr>
          <w:sz w:val="20"/>
          <w:szCs w:val="20"/>
          <w:color w:val="auto"/>
        </w:rPr>
      </w:pPr>
    </w:p>
    <w:p>
      <w:pPr>
        <w:jc w:val="both"/>
        <w:ind w:left="2912" w:hanging="890"/>
        <w:spacing w:after="0" w:line="287" w:lineRule="auto"/>
        <w:rPr>
          <w:sz w:val="20"/>
          <w:szCs w:val="20"/>
          <w:color w:val="auto"/>
        </w:rPr>
      </w:pPr>
      <w:r>
        <w:rPr>
          <w:rFonts w:ascii="Arial" w:cs="Arial" w:eastAsia="Arial" w:hAnsi="Arial"/>
          <w:sz w:val="21"/>
          <w:szCs w:val="21"/>
          <w:color w:val="auto"/>
        </w:rPr>
        <w:t>(c)if the date of such termination of employment occurs prior to September 30, 2018, then all Options shall terminate on the date of such retirement, Disability or death, as applicable.</w:t>
      </w:r>
    </w:p>
    <w:p>
      <w:pPr>
        <w:spacing w:after="0" w:line="192" w:lineRule="exact"/>
        <w:rPr>
          <w:sz w:val="20"/>
          <w:szCs w:val="20"/>
          <w:color w:val="auto"/>
        </w:rPr>
      </w:pPr>
    </w:p>
    <w:p>
      <w:pPr>
        <w:jc w:val="both"/>
        <w:ind w:left="2912" w:hanging="904"/>
        <w:spacing w:after="0" w:line="286" w:lineRule="auto"/>
        <w:rPr>
          <w:sz w:val="20"/>
          <w:szCs w:val="20"/>
          <w:color w:val="auto"/>
        </w:rPr>
      </w:pPr>
      <w:r>
        <w:rPr>
          <w:rFonts w:ascii="Arial" w:cs="Arial" w:eastAsia="Arial" w:hAnsi="Arial"/>
          <w:sz w:val="19"/>
          <w:szCs w:val="19"/>
          <w:color w:val="auto"/>
        </w:rPr>
        <w:t>(d)The Employee’s right to retain any Options or right to accelerated vesting following termination of employment under Section 5 Subsection C(4) is subject in all cases to the requirement that the Employee has been employed with the Company for a period of at least three (3) years in the case of retirement (and has reached the minimum age for retirement set forth in the 2009 Plan) or two</w:t>
      </w:r>
    </w:p>
    <w:p>
      <w:pPr>
        <w:spacing w:after="0" w:line="3" w:lineRule="exact"/>
        <w:rPr>
          <w:sz w:val="20"/>
          <w:szCs w:val="20"/>
          <w:color w:val="auto"/>
        </w:rPr>
      </w:pPr>
    </w:p>
    <w:p>
      <w:pPr>
        <w:ind w:left="2912" w:firstLine="5"/>
        <w:spacing w:after="0" w:line="246" w:lineRule="auto"/>
        <w:tabs>
          <w:tab w:leader="none" w:pos="3239" w:val="left"/>
        </w:tabs>
        <w:numPr>
          <w:ilvl w:val="3"/>
          <w:numId w:val="35"/>
        </w:numPr>
        <w:rPr>
          <w:rFonts w:ascii="Arial" w:cs="Arial" w:eastAsia="Arial" w:hAnsi="Arial"/>
          <w:sz w:val="22"/>
          <w:szCs w:val="22"/>
          <w:color w:val="auto"/>
        </w:rPr>
      </w:pPr>
      <w:r>
        <w:rPr>
          <w:rFonts w:ascii="Arial" w:cs="Arial" w:eastAsia="Arial" w:hAnsi="Arial"/>
          <w:sz w:val="22"/>
          <w:szCs w:val="22"/>
          <w:color w:val="auto"/>
        </w:rPr>
        <w:t>years in the case of Disability or death, unless otherwise determined by the Company in its sole discretion.</w:t>
      </w:r>
    </w:p>
    <w:p>
      <w:pPr>
        <w:spacing w:after="0" w:line="233" w:lineRule="exact"/>
        <w:rPr>
          <w:rFonts w:ascii="Arial" w:cs="Arial" w:eastAsia="Arial" w:hAnsi="Arial"/>
          <w:sz w:val="22"/>
          <w:szCs w:val="22"/>
          <w:color w:val="auto"/>
        </w:rPr>
      </w:pPr>
    </w:p>
    <w:p>
      <w:pPr>
        <w:ind w:left="1292" w:hanging="644"/>
        <w:spacing w:after="0" w:line="263" w:lineRule="auto"/>
        <w:tabs>
          <w:tab w:leader="none" w:pos="1292" w:val="left"/>
        </w:tabs>
        <w:numPr>
          <w:ilvl w:val="2"/>
          <w:numId w:val="36"/>
        </w:numPr>
        <w:rPr>
          <w:rFonts w:ascii="Arial" w:cs="Arial" w:eastAsia="Arial" w:hAnsi="Arial"/>
          <w:sz w:val="22"/>
          <w:szCs w:val="22"/>
          <w:color w:val="auto"/>
        </w:rPr>
      </w:pPr>
      <w:r>
        <w:rPr>
          <w:rFonts w:ascii="Arial" w:cs="Arial" w:eastAsia="Arial" w:hAnsi="Arial"/>
          <w:sz w:val="22"/>
          <w:szCs w:val="22"/>
          <w:color w:val="auto"/>
        </w:rPr>
        <w:t>In no event shall this Section 5, Subsection C extend the life of the Options beyond the Option term as set forth in Section 2 of this Agreement.</w:t>
      </w:r>
    </w:p>
    <w:p>
      <w:pPr>
        <w:spacing w:after="0" w:line="209" w:lineRule="exact"/>
        <w:rPr>
          <w:rFonts w:ascii="Arial" w:cs="Arial" w:eastAsia="Arial" w:hAnsi="Arial"/>
          <w:sz w:val="22"/>
          <w:szCs w:val="22"/>
          <w:color w:val="auto"/>
        </w:rPr>
      </w:pPr>
    </w:p>
    <w:p>
      <w:pPr>
        <w:ind w:left="652" w:hanging="652"/>
        <w:spacing w:after="0"/>
        <w:tabs>
          <w:tab w:leader="none" w:pos="652"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UPON TERMINATION OF EMPLOYMENT; CLAW-BACK POLICY</w:t>
      </w:r>
    </w:p>
    <w:p>
      <w:pPr>
        <w:spacing w:after="0" w:line="266" w:lineRule="exact"/>
        <w:rPr>
          <w:rFonts w:ascii="Arial" w:cs="Arial" w:eastAsia="Arial" w:hAnsi="Arial"/>
          <w:sz w:val="22"/>
          <w:szCs w:val="22"/>
          <w:b w:val="1"/>
          <w:bCs w:val="1"/>
          <w:color w:val="auto"/>
        </w:rPr>
      </w:pPr>
    </w:p>
    <w:p>
      <w:pPr>
        <w:jc w:val="both"/>
        <w:ind w:left="1292" w:hanging="738"/>
        <w:spacing w:after="0" w:line="260" w:lineRule="auto"/>
        <w:tabs>
          <w:tab w:leader="none" w:pos="1292" w:val="left"/>
        </w:tabs>
        <w:numPr>
          <w:ilvl w:val="1"/>
          <w:numId w:val="37"/>
        </w:numPr>
        <w:rPr>
          <w:rFonts w:ascii="Arial" w:cs="Arial" w:eastAsia="Arial" w:hAnsi="Arial"/>
          <w:sz w:val="21"/>
          <w:szCs w:val="21"/>
          <w:color w:val="auto"/>
        </w:rPr>
      </w:pPr>
      <w:r>
        <w:rPr>
          <w:rFonts w:ascii="Arial" w:cs="Arial" w:eastAsia="Arial" w:hAnsi="Arial"/>
          <w:sz w:val="21"/>
          <w:szCs w:val="21"/>
          <w:color w:val="auto"/>
        </w:rPr>
        <w:t>For a period of two (2) years following the Employee’s departure from the Company, the Employee shall not: (i) within the territory where the Employee is working or within which the Employee had responsibility at the time of termination, perform, either directly or indirectly, on behalf of a competitor the same or similar job duties that Employee performed on behalf of the Company in the two (2) years prior to departure, (ii) solicit, directly or indirectly, any employee of the Company to leave the employ of the Company for employment, hire, or engagement as an independent contractor elsewhere, (iii) solicit the sale of competitive goods or services from any customer, supplier, licensee, or business relation of the Company with which</w:t>
      </w:r>
    </w:p>
    <w:p>
      <w:pPr>
        <w:spacing w:after="0" w:line="200" w:lineRule="exact"/>
        <w:rPr>
          <w:sz w:val="20"/>
          <w:szCs w:val="20"/>
          <w:color w:val="auto"/>
        </w:rPr>
      </w:pPr>
    </w:p>
    <w:p>
      <w:pPr>
        <w:spacing w:after="0" w:line="218" w:lineRule="exact"/>
        <w:rPr>
          <w:sz w:val="20"/>
          <w:szCs w:val="20"/>
          <w:color w:val="auto"/>
        </w:rPr>
      </w:pPr>
    </w:p>
    <w:p>
      <w:pPr>
        <w:ind w:left="77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1412"/>
          </w:cols>
          <w:pgMar w:left="248" w:top="375" w:right="239" w:bottom="1440" w:gutter="0" w:footer="0" w:header="0"/>
        </w:sectPr>
      </w:pPr>
    </w:p>
    <w:bookmarkStart w:id="59" w:name="page60"/>
    <w:bookmarkEnd w:id="59"/>
    <w:p>
      <w:pPr>
        <w:jc w:val="both"/>
        <w:ind w:left="738"/>
        <w:spacing w:after="0" w:line="312" w:lineRule="auto"/>
        <w:rPr>
          <w:sz w:val="20"/>
          <w:szCs w:val="20"/>
          <w:color w:val="auto"/>
        </w:rPr>
      </w:pPr>
      <w:r>
        <w:rPr>
          <w:rFonts w:ascii="Arial" w:cs="Arial" w:eastAsia="Arial" w:hAnsi="Arial"/>
          <w:sz w:val="19"/>
          <w:szCs w:val="19"/>
          <w:color w:val="auto"/>
        </w:rPr>
        <w:t>Employee had material contact (as that term is defined at O.C.G.A. § 13-8-51(10)) or solicit the aforementioned categories of entities to reduce their relationships with the Company, or (iv) share, reveal or utilize any Confidential Information of the Company except as otherwise expressly permitted in writing by Altisource.</w:t>
      </w:r>
    </w:p>
    <w:p>
      <w:pPr>
        <w:spacing w:after="0" w:line="134" w:lineRule="exact"/>
        <w:rPr>
          <w:sz w:val="20"/>
          <w:szCs w:val="20"/>
          <w:color w:val="auto"/>
        </w:rPr>
      </w:pPr>
    </w:p>
    <w:p>
      <w:pPr>
        <w:jc w:val="both"/>
        <w:ind w:left="738" w:hanging="738"/>
        <w:spacing w:after="0" w:line="263" w:lineRule="auto"/>
        <w:tabs>
          <w:tab w:leader="none" w:pos="738" w:val="left"/>
        </w:tabs>
        <w:numPr>
          <w:ilvl w:val="0"/>
          <w:numId w:val="38"/>
        </w:numPr>
        <w:rPr>
          <w:rFonts w:ascii="Arial" w:cs="Arial" w:eastAsia="Arial" w:hAnsi="Arial"/>
          <w:sz w:val="21"/>
          <w:szCs w:val="21"/>
          <w:color w:val="auto"/>
        </w:rPr>
      </w:pPr>
      <w:r>
        <w:rPr>
          <w:rFonts w:ascii="Arial" w:cs="Arial" w:eastAsia="Arial" w:hAnsi="Arial"/>
          <w:sz w:val="21"/>
          <w:szCs w:val="21"/>
          <w:color w:val="auto"/>
        </w:rPr>
        <w:t>For a period of two (2) years following the Employee’s departure from the Company, the Employee shall be available at reasonable times for consultations at the request of the Company’s management with respect to phases of the business with which the Employee was actively connected during the Employee’s employment, but such consultations shall not be required to be performed during usual vacation periods or periods of illness or other incapacity or without reasonable compensation and cost reimbursement.</w:t>
      </w:r>
    </w:p>
    <w:p>
      <w:pPr>
        <w:spacing w:after="0" w:line="175" w:lineRule="exact"/>
        <w:rPr>
          <w:rFonts w:ascii="Arial" w:cs="Arial" w:eastAsia="Arial" w:hAnsi="Arial"/>
          <w:sz w:val="21"/>
          <w:szCs w:val="21"/>
          <w:color w:val="auto"/>
        </w:rPr>
      </w:pPr>
    </w:p>
    <w:p>
      <w:pPr>
        <w:ind w:left="738" w:hanging="738"/>
        <w:spacing w:after="0" w:line="343" w:lineRule="auto"/>
        <w:tabs>
          <w:tab w:leader="none" w:pos="738"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Employee acknowledges that the Company would not have awarded the Options granted to the Employee under this Agreement absent the Employee’s agreement to be bound by the covenants made in this Section 6.</w:t>
      </w:r>
    </w:p>
    <w:p>
      <w:pPr>
        <w:spacing w:after="0" w:line="104" w:lineRule="exact"/>
        <w:rPr>
          <w:rFonts w:ascii="Arial" w:cs="Arial" w:eastAsia="Arial" w:hAnsi="Arial"/>
          <w:sz w:val="19"/>
          <w:szCs w:val="19"/>
          <w:color w:val="auto"/>
        </w:rPr>
      </w:pPr>
    </w:p>
    <w:p>
      <w:pPr>
        <w:jc w:val="both"/>
        <w:ind w:left="738" w:hanging="738"/>
        <w:spacing w:after="0" w:line="287" w:lineRule="auto"/>
        <w:tabs>
          <w:tab w:leader="none" w:pos="738"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event that the Employee fails to comply with any of the promises made in this Section 6, then in addition to and not in limitation of any and all other remedies available to the Company at law or in equity (a) the Options, to the extent then unexercised, whether vested or unvested, will be immediately forfeited and cancelled and (b) the Employee will be required to immediately deliver to the Company an amount (in cash or in Shares) equal to the market value (on the date of exercise) of any Shares acquired on exercise of the Options less the exercise price paid for such Shares (the “Share Value”) to the extent such Shares were acquired by the Employee upon exercise of the Options at any time from 180 days prior to the earlier of (i) the date of termination of employment or (ii) the date the Employee fails to comply with any promise made in this Section 6, to 180 days after the date when the Company learns that the Employee has not complied with any such promise. The Employee will deliver such Share Value amount (either in cash or in Shares)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738" w:hanging="738"/>
        <w:spacing w:after="0" w:line="265" w:lineRule="auto"/>
        <w:tabs>
          <w:tab w:leader="none" w:pos="738"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Employee further acknowledges that in the event that the covenants made in this Section 6 are not fulfilled, the damage to the Company would be irreparable. The Company, in addition to any other remedies available to it, including, without limitation, the remedies set forth in Section 6, Subsection D above, shall be entitled to injunctive relief against the Employee’s breach or threatened breach of said covenants.</w:t>
      </w:r>
    </w:p>
    <w:p>
      <w:pPr>
        <w:spacing w:after="0" w:line="175" w:lineRule="exact"/>
        <w:rPr>
          <w:rFonts w:ascii="Arial" w:cs="Arial" w:eastAsia="Arial" w:hAnsi="Arial"/>
          <w:sz w:val="21"/>
          <w:szCs w:val="21"/>
          <w:color w:val="auto"/>
        </w:rPr>
      </w:pPr>
    </w:p>
    <w:p>
      <w:pPr>
        <w:ind w:left="738" w:right="20" w:hanging="725"/>
        <w:spacing w:after="0" w:line="263" w:lineRule="auto"/>
        <w:tabs>
          <w:tab w:leader="none" w:pos="738"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Options shall be subject to any claw-back policy implemented by the Board of Directors of the Company or any Successor Entity.</w:t>
      </w:r>
    </w:p>
    <w:p>
      <w:pPr>
        <w:spacing w:after="0" w:line="200" w:lineRule="exact"/>
        <w:rPr>
          <w:sz w:val="20"/>
          <w:szCs w:val="20"/>
          <w:color w:val="auto"/>
        </w:rPr>
      </w:pPr>
    </w:p>
    <w:p>
      <w:pPr>
        <w:spacing w:after="0" w:line="212" w:lineRule="exact"/>
        <w:rPr>
          <w:sz w:val="20"/>
          <w:szCs w:val="20"/>
          <w:color w:val="auto"/>
        </w:rPr>
      </w:pPr>
    </w:p>
    <w:p>
      <w:pPr>
        <w:ind w:left="7218"/>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0858"/>
          </w:cols>
          <w:pgMar w:left="802" w:top="375" w:right="239" w:bottom="1440" w:gutter="0" w:footer="0" w:header="0"/>
        </w:sectPr>
      </w:pPr>
    </w:p>
    <w:bookmarkStart w:id="60" w:name="page61"/>
    <w:bookmarkEnd w:id="60"/>
    <w:p>
      <w:pPr>
        <w:ind w:left="652" w:hanging="652"/>
        <w:spacing w:after="0"/>
        <w:tabs>
          <w:tab w:leader="none" w:pos="652"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TRANSACTIONS; CHANGE OF CONTROL/RESTRUCTURING EVENT; OTHER EVENTS</w:t>
      </w:r>
    </w:p>
    <w:p>
      <w:pPr>
        <w:spacing w:after="0" w:line="266" w:lineRule="exact"/>
        <w:rPr>
          <w:rFonts w:ascii="Arial" w:cs="Arial" w:eastAsia="Arial" w:hAnsi="Arial"/>
          <w:sz w:val="22"/>
          <w:szCs w:val="22"/>
          <w:b w:val="1"/>
          <w:bCs w:val="1"/>
          <w:color w:val="auto"/>
        </w:rPr>
      </w:pPr>
    </w:p>
    <w:p>
      <w:pPr>
        <w:ind w:left="1292" w:hanging="644"/>
        <w:spacing w:after="0"/>
        <w:tabs>
          <w:tab w:leader="none" w:pos="1292" w:val="left"/>
        </w:tabs>
        <w:numPr>
          <w:ilvl w:val="1"/>
          <w:numId w:val="39"/>
        </w:numPr>
        <w:rPr>
          <w:rFonts w:ascii="Arial" w:cs="Arial" w:eastAsia="Arial" w:hAnsi="Arial"/>
          <w:sz w:val="22"/>
          <w:szCs w:val="22"/>
          <w:color w:val="auto"/>
        </w:rPr>
      </w:pPr>
      <w:r>
        <w:rPr>
          <w:rFonts w:ascii="Arial" w:cs="Arial" w:eastAsia="Arial" w:hAnsi="Arial"/>
          <w:sz w:val="22"/>
          <w:szCs w:val="22"/>
          <w:color w:val="auto"/>
        </w:rPr>
        <w:t>Corporate Transactions</w:t>
      </w:r>
    </w:p>
    <w:p>
      <w:pPr>
        <w:spacing w:after="0" w:line="260" w:lineRule="exact"/>
        <w:rPr>
          <w:rFonts w:ascii="Arial" w:cs="Arial" w:eastAsia="Arial" w:hAnsi="Arial"/>
          <w:sz w:val="22"/>
          <w:szCs w:val="22"/>
          <w:color w:val="auto"/>
        </w:rPr>
      </w:pPr>
    </w:p>
    <w:p>
      <w:pPr>
        <w:jc w:val="both"/>
        <w:ind w:left="1292"/>
        <w:spacing w:after="0" w:line="285" w:lineRule="auto"/>
        <w:rPr>
          <w:rFonts w:ascii="Arial" w:cs="Arial" w:eastAsia="Arial" w:hAnsi="Arial"/>
          <w:sz w:val="22"/>
          <w:szCs w:val="22"/>
          <w:color w:val="auto"/>
        </w:rPr>
      </w:pPr>
      <w:r>
        <w:rPr>
          <w:rFonts w:ascii="Arial" w:cs="Arial" w:eastAsia="Arial" w:hAnsi="Arial"/>
          <w:sz w:val="19"/>
          <w:szCs w:val="19"/>
          <w:color w:val="auto"/>
        </w:rPr>
        <w:t>Except to the extent governed by Section 7, Subsections B and C below, if there shall be any change in the Shares subject to the Options granted hereunder, through merger, consolidation, reorganization, recapitalization, stock dividend, extraordinary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and the price per Share subject to the Options. Further, the Board of Directors shall have the right to adjust the Performance Measure and defined levels of achievement as appropriate to avoid inequitable dilution or enlargement of award values or rights in connection with such a corporate transaction or restructuring. Without limiting the generality of the foregoing, in the event of a restructuring or transaction resulting in some or all of the Company’s Shares being convertible into equity of a separate company, the Board of Directors shall have the authority to replace Options with any one or more of the following: (1) adjusted options of the Company; (2) adjusted options on the equity of the separate company; and (3) a combination of adjusted options on the shares of both the Company and the separate company, all as the Board of Directors sees as equitable. In the event of any such option adjustment and/or conversion, the Board of Directors shall attempt to reasonably approximate the aggregate value of the Employee’s Options under this Agreement. For the avoidance of doubt, in the event Employee remains employed with the separate company that results from a restructuring or transaction covered by this Section 7, for purposes of this Agreement, the Employee will be deemed to remain employed as if the Employee continued employment with the Company such that the employment termination provisions applicable to the Options shall not be invoked unless and until the Employee’s employment with such separate company shall terminate.</w:t>
      </w:r>
    </w:p>
    <w:p>
      <w:pPr>
        <w:spacing w:after="0" w:line="202" w:lineRule="exact"/>
        <w:rPr>
          <w:rFonts w:ascii="Arial" w:cs="Arial" w:eastAsia="Arial" w:hAnsi="Arial"/>
          <w:sz w:val="22"/>
          <w:szCs w:val="22"/>
          <w:color w:val="auto"/>
        </w:rPr>
      </w:pPr>
    </w:p>
    <w:p>
      <w:pPr>
        <w:ind w:left="1292" w:hanging="644"/>
        <w:spacing w:after="0"/>
        <w:tabs>
          <w:tab w:leader="none" w:pos="1292" w:val="left"/>
        </w:tabs>
        <w:numPr>
          <w:ilvl w:val="1"/>
          <w:numId w:val="39"/>
        </w:numPr>
        <w:rPr>
          <w:rFonts w:ascii="Arial" w:cs="Arial" w:eastAsia="Arial" w:hAnsi="Arial"/>
          <w:sz w:val="22"/>
          <w:szCs w:val="22"/>
          <w:color w:val="auto"/>
        </w:rPr>
      </w:pPr>
      <w:r>
        <w:rPr>
          <w:rFonts w:ascii="Arial" w:cs="Arial" w:eastAsia="Arial" w:hAnsi="Arial"/>
          <w:sz w:val="22"/>
          <w:szCs w:val="22"/>
          <w:color w:val="auto"/>
        </w:rPr>
        <w:t>Change of Control/Restructuring Event</w:t>
      </w:r>
    </w:p>
    <w:p>
      <w:pPr>
        <w:spacing w:after="0" w:line="260" w:lineRule="exact"/>
        <w:rPr>
          <w:rFonts w:ascii="Arial" w:cs="Arial" w:eastAsia="Arial" w:hAnsi="Arial"/>
          <w:sz w:val="22"/>
          <w:szCs w:val="22"/>
          <w:color w:val="auto"/>
        </w:rPr>
      </w:pPr>
    </w:p>
    <w:p>
      <w:pPr>
        <w:jc w:val="both"/>
        <w:ind w:left="1792" w:hanging="495"/>
        <w:spacing w:after="0" w:line="250" w:lineRule="auto"/>
        <w:tabs>
          <w:tab w:leader="none" w:pos="1792" w:val="left"/>
        </w:tabs>
        <w:numPr>
          <w:ilvl w:val="2"/>
          <w:numId w:val="39"/>
        </w:numPr>
        <w:rPr>
          <w:rFonts w:ascii="Arial" w:cs="Arial" w:eastAsia="Arial" w:hAnsi="Arial"/>
          <w:sz w:val="21"/>
          <w:szCs w:val="21"/>
          <w:color w:val="auto"/>
        </w:rPr>
      </w:pPr>
      <w:r>
        <w:rPr>
          <w:rFonts w:ascii="Arial" w:cs="Arial" w:eastAsia="Arial" w:hAnsi="Arial"/>
          <w:sz w:val="22"/>
          <w:szCs w:val="22"/>
          <w:color w:val="auto"/>
        </w:rPr>
        <w:t>If a Change of Control/Restructuring Event occurs, the Board of Directors shall have the right to make appropriate adjustments, including, without limiting the generality of the foregoing (i) allow the Options to continue in full force and effect in accordance with the terms hereof or (ii) issue an award of shares in the Successor Entity as the Board of Directors deems equitable.</w:t>
      </w:r>
    </w:p>
    <w:p>
      <w:pPr>
        <w:spacing w:after="0" w:line="228" w:lineRule="exact"/>
        <w:rPr>
          <w:rFonts w:ascii="Arial" w:cs="Arial" w:eastAsia="Arial" w:hAnsi="Arial"/>
          <w:sz w:val="21"/>
          <w:szCs w:val="21"/>
          <w:color w:val="auto"/>
        </w:rPr>
      </w:pPr>
    </w:p>
    <w:p>
      <w:pPr>
        <w:jc w:val="both"/>
        <w:ind w:left="1792" w:hanging="495"/>
        <w:spacing w:after="0" w:line="250" w:lineRule="auto"/>
        <w:tabs>
          <w:tab w:leader="none" w:pos="1792" w:val="left"/>
        </w:tabs>
        <w:numPr>
          <w:ilvl w:val="2"/>
          <w:numId w:val="39"/>
        </w:numPr>
        <w:rPr>
          <w:rFonts w:ascii="Arial" w:cs="Arial" w:eastAsia="Arial" w:hAnsi="Arial"/>
          <w:sz w:val="21"/>
          <w:szCs w:val="21"/>
          <w:color w:val="auto"/>
        </w:rPr>
      </w:pPr>
      <w:r>
        <w:rPr>
          <w:rFonts w:ascii="Arial" w:cs="Arial" w:eastAsia="Arial" w:hAnsi="Arial"/>
          <w:sz w:val="22"/>
          <w:szCs w:val="22"/>
          <w:color w:val="auto"/>
        </w:rPr>
        <w:t>If the Options are to remain in place following such Change of Control/Restructuring Event, appropriate adjustments (as the Board of Directors sees as equitable) shall be made by the Board of Directors in its discretion in the aggregate number and kind of Shares subject to the 2009 Plan and the number and kind of Shares and the price per Share subject to the Options. Further, the</w:t>
      </w:r>
    </w:p>
    <w:p>
      <w:pPr>
        <w:spacing w:after="0" w:line="210" w:lineRule="exact"/>
        <w:rPr>
          <w:sz w:val="20"/>
          <w:szCs w:val="20"/>
          <w:color w:val="auto"/>
        </w:rPr>
      </w:pPr>
    </w:p>
    <w:p>
      <w:pPr>
        <w:ind w:left="77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8</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1412"/>
          </w:cols>
          <w:pgMar w:left="248" w:top="369" w:right="239" w:bottom="1440" w:gutter="0" w:footer="0" w:header="0"/>
        </w:sectPr>
      </w:pPr>
    </w:p>
    <w:bookmarkStart w:id="61" w:name="page62"/>
    <w:bookmarkEnd w:id="61"/>
    <w:p>
      <w:pPr>
        <w:jc w:val="both"/>
        <w:ind w:left="1144"/>
        <w:spacing w:after="0" w:line="289" w:lineRule="auto"/>
        <w:rPr>
          <w:sz w:val="20"/>
          <w:szCs w:val="20"/>
          <w:color w:val="auto"/>
        </w:rPr>
      </w:pPr>
      <w:r>
        <w:rPr>
          <w:rFonts w:ascii="Arial" w:cs="Arial" w:eastAsia="Arial" w:hAnsi="Arial"/>
          <w:sz w:val="19"/>
          <w:szCs w:val="19"/>
          <w:color w:val="auto"/>
        </w:rPr>
        <w:t>Board of Directors shall have the right to adjust the Performance Measure and defined levels of achievement as appropriate to avoid inequitable dilution or enlargement of award values or rights in connection with such Change of Control/Restructuring Event. Without limiting the generality of the foregoing, such discretions shall include the authority to replace Options with any one or more of the following: (a) adjusted options of the Company; (b) adjusted options on the equity of any Successor Entity surviving such Change of Control/Restructuring event; and (c) a combination of adjusted options on the shares of both the Company and the Successor Entity, all as the Board of Directors sees as equitable. In the event of any option adjustment and/or conversion referred to in this Section 7, Subsection B(2), the Board of Directors shall attempt to reasonably approximate the aggregate value of the Employee’s Options under this Agreement.</w:t>
      </w:r>
    </w:p>
    <w:p>
      <w:pPr>
        <w:spacing w:after="0" w:line="198" w:lineRule="exact"/>
        <w:rPr>
          <w:sz w:val="20"/>
          <w:szCs w:val="20"/>
          <w:color w:val="auto"/>
        </w:rPr>
      </w:pPr>
    </w:p>
    <w:p>
      <w:pPr>
        <w:jc w:val="both"/>
        <w:ind w:left="1144" w:hanging="495"/>
        <w:spacing w:after="0" w:line="260" w:lineRule="auto"/>
        <w:tabs>
          <w:tab w:leader="none" w:pos="1144" w:val="left"/>
        </w:tabs>
        <w:numPr>
          <w:ilvl w:val="1"/>
          <w:numId w:val="40"/>
        </w:numPr>
        <w:rPr>
          <w:rFonts w:ascii="Arial" w:cs="Arial" w:eastAsia="Arial" w:hAnsi="Arial"/>
          <w:sz w:val="20"/>
          <w:szCs w:val="20"/>
          <w:color w:val="auto"/>
        </w:rPr>
      </w:pPr>
      <w:r>
        <w:rPr>
          <w:rFonts w:ascii="Arial" w:cs="Arial" w:eastAsia="Arial" w:hAnsi="Arial"/>
          <w:sz w:val="21"/>
          <w:szCs w:val="21"/>
          <w:color w:val="auto"/>
        </w:rPr>
        <w:t>Notwithstanding any provision of Section 7 Subsection B(1) and B(2) to the contrary, in the event a Change of Control/Restructuring Event occurs, if the Options are not assumed or replaced by the acquiror/continuing entity on terms deemed by the Board of Directors to be appropriate, then the Board of Directors shall have the right to (i) provide for accelerated vesting and settlement of the Options immediately prior to, and conditioned on consummation, of the Change of Control/Restructuring Event or (ii) to the extent the Successor Entity allows the Options to stay in place, to make appropriate adjustments to avoid an expansion or reduction in the value of the award.</w:t>
      </w:r>
    </w:p>
    <w:p>
      <w:pPr>
        <w:spacing w:after="0" w:line="221" w:lineRule="exact"/>
        <w:rPr>
          <w:rFonts w:ascii="Arial" w:cs="Arial" w:eastAsia="Arial" w:hAnsi="Arial"/>
          <w:sz w:val="20"/>
          <w:szCs w:val="20"/>
          <w:color w:val="auto"/>
        </w:rPr>
      </w:pPr>
    </w:p>
    <w:p>
      <w:pPr>
        <w:ind w:left="644" w:hanging="644"/>
        <w:spacing w:after="0"/>
        <w:tabs>
          <w:tab w:leader="none" w:pos="644" w:val="left"/>
        </w:tabs>
        <w:numPr>
          <w:ilvl w:val="0"/>
          <w:numId w:val="41"/>
        </w:numPr>
        <w:rPr>
          <w:rFonts w:ascii="Arial" w:cs="Arial" w:eastAsia="Arial" w:hAnsi="Arial"/>
          <w:sz w:val="22"/>
          <w:szCs w:val="22"/>
          <w:color w:val="auto"/>
        </w:rPr>
      </w:pPr>
      <w:r>
        <w:rPr>
          <w:rFonts w:ascii="Arial" w:cs="Arial" w:eastAsia="Arial" w:hAnsi="Arial"/>
          <w:sz w:val="22"/>
          <w:szCs w:val="22"/>
          <w:color w:val="auto"/>
        </w:rPr>
        <w:t>Other Events</w:t>
      </w:r>
    </w:p>
    <w:p>
      <w:pPr>
        <w:spacing w:after="0" w:line="260" w:lineRule="exact"/>
        <w:rPr>
          <w:rFonts w:ascii="Arial" w:cs="Arial" w:eastAsia="Arial" w:hAnsi="Arial"/>
          <w:sz w:val="22"/>
          <w:szCs w:val="22"/>
          <w:color w:val="auto"/>
        </w:rPr>
      </w:pPr>
    </w:p>
    <w:p>
      <w:pPr>
        <w:jc w:val="both"/>
        <w:ind w:left="964" w:hanging="315"/>
        <w:spacing w:after="0" w:line="286" w:lineRule="auto"/>
        <w:tabs>
          <w:tab w:leader="none" w:pos="964"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The 2009 Plan and Agreement and the Options granted hereunder shall not affect the right of the Company to reclassify, recapitalize, issue equity or otherwise change its capital or debt structure or to merge, consolidate, convey any or all of its assets, dissolve, liquidate, wind up or otherwise reorganize. The Board of Directors shall have the discretion to make adjustments to the Options made hereunder (including, without limitation, to the Performance Measure and defined levels of achievement) to reflect any changes that the Board of Directors deems appropriate as a result of any sale, an IPO, business combination, acquisition, recapitalization, reclassification, merger, consolidation, reorganization, stock dividend, stock split, spin off of one or more divisions or subsidiaries, a “going private” transaction (which shall mean any transaction that results in the occurrence of any of the following events: (a) Altisource’s common stock is no longer listed on any national securities exchange or quoted on the NASDAQ Global Select Market or other securities quotation system; (b) Altisource is no longer subject to the reporting requirements of Section 13 or Section 15(d) of the Exchange Act; or (c) Altisource becomes subject to Rule 13e-3 under the Exchange Act) or similar transaction affecting the Options. Upon the occurrence of any such events, the Board of Directors may make appropriate adjustments to the Options made hereunder (including, without limitation to the</w:t>
      </w:r>
    </w:p>
    <w:p>
      <w:pPr>
        <w:spacing w:after="0" w:line="185" w:lineRule="exact"/>
        <w:rPr>
          <w:sz w:val="20"/>
          <w:szCs w:val="20"/>
          <w:color w:val="auto"/>
        </w:rPr>
      </w:pPr>
    </w:p>
    <w:p>
      <w:pPr>
        <w:ind w:left="7124"/>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9</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0764"/>
          </w:cols>
          <w:pgMar w:left="896" w:top="375" w:right="239" w:bottom="1440" w:gutter="0" w:footer="0" w:header="0"/>
        </w:sectPr>
      </w:pPr>
    </w:p>
    <w:bookmarkStart w:id="62" w:name="page63"/>
    <w:bookmarkEnd w:id="62"/>
    <w:p>
      <w:pPr>
        <w:jc w:val="both"/>
        <w:ind w:left="1620"/>
        <w:spacing w:after="0" w:line="248" w:lineRule="auto"/>
        <w:rPr>
          <w:sz w:val="20"/>
          <w:szCs w:val="20"/>
          <w:color w:val="auto"/>
        </w:rPr>
      </w:pPr>
      <w:r>
        <w:rPr>
          <w:rFonts w:ascii="Arial" w:cs="Arial" w:eastAsia="Arial" w:hAnsi="Arial"/>
          <w:sz w:val="22"/>
          <w:szCs w:val="22"/>
          <w:color w:val="auto"/>
        </w:rPr>
        <w:t>Performance Measure and defined levels of achievement) to avoid inequitable dilution or enlargement of award values or rights in connection with any such event (as determined by the Board of Directors in its sole discretion based on any facts and circumstances it considers relevant). For the avoidance of doubt, the Options are subject to the dilutive impact of equity issuances (including an IPO) or other costs of capital made in connection with acquisitions or capital raises.</w:t>
      </w:r>
    </w:p>
    <w:p>
      <w:pPr>
        <w:spacing w:after="0" w:line="233" w:lineRule="exact"/>
        <w:rPr>
          <w:sz w:val="20"/>
          <w:szCs w:val="20"/>
          <w:color w:val="auto"/>
        </w:rPr>
      </w:pPr>
    </w:p>
    <w:p>
      <w:pPr>
        <w:jc w:val="both"/>
        <w:ind w:left="1620" w:hanging="315"/>
        <w:spacing w:after="0" w:line="288" w:lineRule="auto"/>
        <w:tabs>
          <w:tab w:leader="none" w:pos="1620" w:val="left"/>
        </w:tabs>
        <w:numPr>
          <w:ilvl w:val="2"/>
          <w:numId w:val="42"/>
        </w:numPr>
        <w:rPr>
          <w:rFonts w:ascii="Arial" w:cs="Arial" w:eastAsia="Arial" w:hAnsi="Arial"/>
          <w:sz w:val="19"/>
          <w:szCs w:val="19"/>
          <w:color w:val="auto"/>
        </w:rPr>
      </w:pPr>
      <w:r>
        <w:rPr>
          <w:rFonts w:ascii="Arial" w:cs="Arial" w:eastAsia="Arial" w:hAnsi="Arial"/>
          <w:sz w:val="19"/>
          <w:szCs w:val="19"/>
          <w:color w:val="auto"/>
        </w:rPr>
        <w:t>The Board of Directors may also specify any inclusion(s) or exclusion(s) for charges related to any event(s) or occurrence(s) which the Board of Directors determines should be included or excluded, as appropriate, for purposes of measuring performance against the applicable Performance Measure and the calculation methodology for such Performance Measure, which may include, but is not limited to, acquisitions and dispositions, market changes, reserve adjustments for litigation or regulatory/enforcement matters, litigation or claim judgments or settlements. If the Board of Directors determines that a change in the business, operations, corporate structure or capital structure of the Company, or the manner in which it conducts its business, or other events or circumstances, renders the previously established Performance Measure and defined levels of achievement unsuitable, the Board of Directors may also, in its discretion, modify such levels of achievement, in whole or in part, as the Board of Directors deems appropriate.</w:t>
      </w:r>
    </w:p>
    <w:p>
      <w:pPr>
        <w:spacing w:after="0" w:line="200" w:lineRule="exact"/>
        <w:rPr>
          <w:rFonts w:ascii="Arial" w:cs="Arial" w:eastAsia="Arial" w:hAnsi="Arial"/>
          <w:sz w:val="19"/>
          <w:szCs w:val="19"/>
          <w:color w:val="auto"/>
        </w:rPr>
      </w:pPr>
    </w:p>
    <w:p>
      <w:pPr>
        <w:ind w:left="980" w:hanging="324"/>
        <w:spacing w:after="0" w:line="263" w:lineRule="auto"/>
        <w:tabs>
          <w:tab w:leader="none" w:pos="98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parties agree that and adjustments made to Exhibit A pursuant to this Section 7 shall not require an amendment to this Agreement, which will remain in effect in accordance with its terms.</w:t>
      </w:r>
    </w:p>
    <w:p>
      <w:pPr>
        <w:spacing w:after="0" w:line="209" w:lineRule="exact"/>
        <w:rPr>
          <w:rFonts w:ascii="Arial" w:cs="Arial" w:eastAsia="Arial" w:hAnsi="Arial"/>
          <w:sz w:val="22"/>
          <w:szCs w:val="22"/>
          <w:color w:val="auto"/>
        </w:rPr>
      </w:pPr>
    </w:p>
    <w:p>
      <w:pPr>
        <w:ind w:left="660" w:hanging="652"/>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OPTIONS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Options shall not be transferable otherwise than by will or by the applicable laws of descent and distribution. More particularly (but without limiting the generality of the foregoing), the Options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Options contrary to the provisions hereof, and the levy of any execution, attachment or similar process upon the Options, shall be null and void and without effect.</w:t>
      </w:r>
    </w:p>
    <w:p>
      <w:pPr>
        <w:spacing w:after="0" w:line="18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EXPENSES AND COMPLIANCE WITH LAWS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 shall at all times during the term of the Options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200" w:lineRule="exact"/>
        <w:rPr>
          <w:sz w:val="20"/>
          <w:szCs w:val="20"/>
          <w:color w:val="auto"/>
        </w:rPr>
      </w:pPr>
    </w:p>
    <w:p>
      <w:pPr>
        <w:spacing w:after="0" w:line="22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10</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1420"/>
          </w:cols>
          <w:pgMar w:left="240" w:top="375" w:right="239" w:bottom="1440" w:gutter="0" w:footer="0" w:header="0"/>
        </w:sectPr>
      </w:pPr>
    </w:p>
    <w:bookmarkStart w:id="63" w:name="page64"/>
    <w:bookmarkEnd w:id="63"/>
    <w:p>
      <w:pPr>
        <w:jc w:val="both"/>
        <w:spacing w:after="0" w:line="247" w:lineRule="auto"/>
        <w:rPr>
          <w:sz w:val="20"/>
          <w:szCs w:val="20"/>
          <w:color w:val="auto"/>
        </w:rPr>
      </w:pPr>
      <w:r>
        <w:rPr>
          <w:rFonts w:ascii="Arial" w:cs="Arial" w:eastAsia="Arial" w:hAnsi="Arial"/>
          <w:sz w:val="22"/>
          <w:szCs w:val="22"/>
          <w:color w:val="auto"/>
        </w:rPr>
        <w:t>The intent of the parties is that payments and benefits under this Agreement comply with or otherwise be exempt from Section 409A of the Internal Revenue Code of 1986, as amended and the regulations promulgated thereunder (the “Code”) and, accordingly, to the maximum extent permitted, this Agreement shall be interpreted either to be exempt from or in compliance therewith</w:t>
      </w:r>
      <w:r>
        <w:rPr>
          <w:rFonts w:ascii="Arial" w:cs="Arial" w:eastAsia="Arial" w:hAnsi="Arial"/>
          <w:sz w:val="22"/>
          <w:szCs w:val="22"/>
          <w:color w:val="002060"/>
        </w:rPr>
        <w:t>. I</w:t>
      </w:r>
      <w:r>
        <w:rPr>
          <w:rFonts w:ascii="Arial" w:cs="Arial" w:eastAsia="Arial" w:hAnsi="Arial"/>
          <w:sz w:val="22"/>
          <w:szCs w:val="22"/>
          <w:color w:val="auto"/>
        </w:rPr>
        <w:t>f any provision of this Agreement (or any award of compensation or benefits provided under this Agreement) would cause Employee to incur any additional tax or interest under Section 409A of the Code, the Company may reform such provision to comply with 409A.</w:t>
      </w:r>
    </w:p>
    <w:p>
      <w:pPr>
        <w:spacing w:after="0" w:line="188"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6" w:lineRule="exact"/>
        <w:rPr>
          <w:rFonts w:ascii="Arial" w:cs="Arial" w:eastAsia="Arial" w:hAnsi="Arial"/>
          <w:sz w:val="22"/>
          <w:szCs w:val="22"/>
          <w:b w:val="1"/>
          <w:bCs w:val="1"/>
          <w:color w:val="auto"/>
        </w:rPr>
      </w:pPr>
    </w:p>
    <w:p>
      <w:pPr>
        <w:jc w:val="both"/>
        <w:ind w:left="1300" w:hanging="644"/>
        <w:spacing w:after="0" w:line="253" w:lineRule="auto"/>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As used herein, the term “Board of Directors” shall mean the Board of Directors or Compensation Committee of Altisource or any Successor Entity, as applicable, and the term “Compensation Committee” shall mean the Compensation Committee of the Board of Directors of Altisource.</w:t>
      </w:r>
    </w:p>
    <w:p>
      <w:pPr>
        <w:spacing w:after="0" w:line="185" w:lineRule="exact"/>
        <w:rPr>
          <w:rFonts w:ascii="Arial" w:cs="Arial" w:eastAsia="Arial" w:hAnsi="Arial"/>
          <w:sz w:val="22"/>
          <w:szCs w:val="22"/>
          <w:color w:val="auto"/>
        </w:rPr>
      </w:pPr>
    </w:p>
    <w:p>
      <w:pPr>
        <w:jc w:val="both"/>
        <w:ind w:left="1300" w:hanging="644"/>
        <w:spacing w:after="0" w:line="262" w:lineRule="auto"/>
        <w:tabs>
          <w:tab w:leader="none" w:pos="1300" w:val="left"/>
        </w:tabs>
        <w:numPr>
          <w:ilvl w:val="1"/>
          <w:numId w:val="46"/>
        </w:numPr>
        <w:rPr>
          <w:rFonts w:ascii="Arial" w:cs="Arial" w:eastAsia="Arial" w:hAnsi="Arial"/>
          <w:sz w:val="21"/>
          <w:szCs w:val="21"/>
          <w:color w:val="auto"/>
        </w:rPr>
      </w:pPr>
      <w:r>
        <w:rPr>
          <w:rFonts w:ascii="Arial" w:cs="Arial" w:eastAsia="Arial" w:hAnsi="Arial"/>
          <w:sz w:val="21"/>
          <w:szCs w:val="21"/>
          <w:color w:val="auto"/>
        </w:rPr>
        <w:t xml:space="preserve">As used herein, “Cause” means, as reasonably determined by the Board of Directors (excluding the Employee, if he/she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w:t>
      </w:r>
      <w:r>
        <w:rPr>
          <w:rFonts w:ascii="Arial" w:cs="Arial" w:eastAsia="Arial" w:hAnsi="Arial"/>
          <w:sz w:val="21"/>
          <w:szCs w:val="21"/>
          <w:i w:val="1"/>
          <w:iCs w:val="1"/>
          <w:color w:val="auto"/>
        </w:rPr>
        <w:t xml:space="preserve">nolo contendere </w:t>
      </w:r>
      <w:r>
        <w:rPr>
          <w:rFonts w:ascii="Arial" w:cs="Arial" w:eastAsia="Arial" w:hAnsi="Arial"/>
          <w:sz w:val="21"/>
          <w:szCs w:val="21"/>
          <w:color w:val="auto"/>
        </w:rPr>
        <w:t>to, a felony involving fraud or embezzlement</w:t>
      </w:r>
      <w:r>
        <w:rPr>
          <w:rFonts w:ascii="Arial" w:cs="Arial" w:eastAsia="Arial" w:hAnsi="Arial"/>
          <w:sz w:val="21"/>
          <w:szCs w:val="21"/>
          <w:i w:val="1"/>
          <w:iCs w:val="1"/>
          <w:color w:val="auto"/>
        </w:rPr>
        <w:t xml:space="preserve"> </w:t>
      </w:r>
      <w:r>
        <w:rPr>
          <w:rFonts w:ascii="Arial" w:cs="Arial" w:eastAsia="Arial" w:hAnsi="Arial"/>
          <w:sz w:val="19"/>
          <w:szCs w:val="19"/>
          <w:color w:val="auto"/>
        </w:rPr>
        <w:t>or such other crime which may bring disrepute upon the</w:t>
      </w:r>
      <w:r>
        <w:rPr>
          <w:rFonts w:ascii="Arial" w:cs="Arial" w:eastAsia="Arial" w:hAnsi="Arial"/>
          <w:sz w:val="21"/>
          <w:szCs w:val="21"/>
          <w:i w:val="1"/>
          <w:iCs w:val="1"/>
          <w:color w:val="auto"/>
        </w:rPr>
        <w:t xml:space="preserve"> </w:t>
      </w:r>
      <w:r>
        <w:rPr>
          <w:rFonts w:ascii="Arial" w:cs="Arial" w:eastAsia="Arial" w:hAnsi="Arial"/>
          <w:sz w:val="19"/>
          <w:szCs w:val="19"/>
          <w:color w:val="auto"/>
        </w:rPr>
        <w:t>Company</w:t>
      </w:r>
      <w:r>
        <w:rPr>
          <w:rFonts w:ascii="Arial" w:cs="Arial" w:eastAsia="Arial" w:hAnsi="Arial"/>
          <w:sz w:val="20"/>
          <w:szCs w:val="20"/>
          <w:color w:val="auto"/>
        </w:rPr>
        <w:t>, whether or not committed in the course of the Employee’s employment with the Company. For the</w:t>
      </w:r>
      <w:r>
        <w:rPr>
          <w:rFonts w:ascii="Arial" w:cs="Arial" w:eastAsia="Arial" w:hAnsi="Arial"/>
          <w:sz w:val="19"/>
          <w:szCs w:val="19"/>
          <w:color w:val="auto"/>
        </w:rPr>
        <w:t xml:space="preserve"> </w:t>
      </w:r>
      <w:r>
        <w:rPr>
          <w:rFonts w:ascii="Arial" w:cs="Arial" w:eastAsia="Arial" w:hAnsi="Arial"/>
          <w:sz w:val="20"/>
          <w:szCs w:val="20"/>
          <w:color w:val="auto"/>
        </w:rPr>
        <w:t>avoidance of doubt, termination of employment as a result of a business reorganization or reduction in force will be deemed termination without Cause.</w:t>
      </w:r>
    </w:p>
    <w:p>
      <w:pPr>
        <w:spacing w:after="0" w:line="178" w:lineRule="exact"/>
        <w:rPr>
          <w:rFonts w:ascii="Arial" w:cs="Arial" w:eastAsia="Arial" w:hAnsi="Arial"/>
          <w:sz w:val="21"/>
          <w:szCs w:val="21"/>
          <w:color w:val="auto"/>
        </w:rPr>
      </w:pPr>
    </w:p>
    <w:p>
      <w:pPr>
        <w:jc w:val="both"/>
        <w:ind w:left="1300" w:hanging="644"/>
        <w:spacing w:after="0" w:line="247" w:lineRule="auto"/>
        <w:tabs>
          <w:tab w:leader="none" w:pos="13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As used herein, “Change of Control/Restructuring Date” means either the date (i) which includes the “closing” of the transaction which makes a Change of Control/Restructuring Event effective if the Change of Control/Restructuring Event is made effective through a transaction which has a “closing” or (ii)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93" w:lineRule="exact"/>
        <w:rPr>
          <w:rFonts w:ascii="Arial" w:cs="Arial" w:eastAsia="Arial" w:hAnsi="Arial"/>
          <w:sz w:val="22"/>
          <w:szCs w:val="22"/>
          <w:color w:val="auto"/>
        </w:rPr>
      </w:pPr>
    </w:p>
    <w:p>
      <w:pPr>
        <w:jc w:val="both"/>
        <w:ind w:left="1300" w:hanging="644"/>
        <w:spacing w:after="0" w:line="260" w:lineRule="auto"/>
        <w:tabs>
          <w:tab w:leader="none" w:pos="1300" w:val="left"/>
        </w:tabs>
        <w:numPr>
          <w:ilvl w:val="1"/>
          <w:numId w:val="46"/>
        </w:numPr>
        <w:rPr>
          <w:rFonts w:ascii="Arial" w:cs="Arial" w:eastAsia="Arial" w:hAnsi="Arial"/>
          <w:sz w:val="21"/>
          <w:szCs w:val="21"/>
          <w:color w:val="auto"/>
        </w:rPr>
      </w:pPr>
      <w:r>
        <w:rPr>
          <w:rFonts w:ascii="Arial" w:cs="Arial" w:eastAsia="Arial" w:hAnsi="Arial"/>
          <w:sz w:val="21"/>
          <w:szCs w:val="21"/>
          <w:color w:val="auto"/>
        </w:rPr>
        <w:t>As used herein, a “Change of Control/Restructuring Event” means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w:t>
      </w:r>
    </w:p>
    <w:p>
      <w:pPr>
        <w:spacing w:after="0" w:line="364"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11</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1420"/>
          </w:cols>
          <w:pgMar w:left="240" w:top="375" w:right="239" w:bottom="1440" w:gutter="0" w:footer="0" w:header="0"/>
        </w:sectPr>
      </w:pPr>
    </w:p>
    <w:bookmarkStart w:id="64" w:name="page65"/>
    <w:bookmarkEnd w:id="64"/>
    <w:p>
      <w:pPr>
        <w:ind w:left="1300"/>
        <w:spacing w:after="0" w:line="263" w:lineRule="auto"/>
        <w:rPr>
          <w:sz w:val="20"/>
          <w:szCs w:val="20"/>
          <w:color w:val="auto"/>
        </w:rPr>
      </w:pPr>
      <w:r>
        <w:rPr>
          <w:rFonts w:ascii="Arial" w:cs="Arial" w:eastAsia="Arial" w:hAnsi="Arial"/>
          <w:sz w:val="22"/>
          <w:szCs w:val="22"/>
          <w:color w:val="auto"/>
        </w:rPr>
        <w:t>consolidation or similar transaction resulting in a reduction of the interest in the Company’s stock of the pre-transaction stockholders to less than fifty percent (50%) of the post-transaction ownership.</w:t>
      </w:r>
    </w:p>
    <w:p>
      <w:pPr>
        <w:spacing w:after="0" w:line="121" w:lineRule="exact"/>
        <w:rPr>
          <w:sz w:val="20"/>
          <w:szCs w:val="20"/>
          <w:color w:val="auto"/>
        </w:rPr>
      </w:pPr>
    </w:p>
    <w:p>
      <w:pPr>
        <w:jc w:val="both"/>
        <w:ind w:left="1300" w:hanging="644"/>
        <w:spacing w:after="0" w:line="285" w:lineRule="auto"/>
        <w:tabs>
          <w:tab w:leader="none" w:pos="1300" w:val="left"/>
        </w:tabs>
        <w:numPr>
          <w:ilvl w:val="1"/>
          <w:numId w:val="47"/>
        </w:numPr>
        <w:rPr>
          <w:rFonts w:ascii="Arial" w:cs="Arial" w:eastAsia="Arial" w:hAnsi="Arial"/>
          <w:sz w:val="19"/>
          <w:szCs w:val="19"/>
          <w:color w:val="auto"/>
        </w:rPr>
      </w:pPr>
      <w:r>
        <w:rPr>
          <w:rFonts w:ascii="Arial" w:cs="Arial" w:eastAsia="Arial" w:hAnsi="Arial"/>
          <w:sz w:val="19"/>
          <w:szCs w:val="19"/>
          <w:color w:val="auto"/>
        </w:rPr>
        <w:t>As used herein, “Confidential Information” means all information relating to Company, including any of its subsidiaries,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373" w:lineRule="exact"/>
        <w:rPr>
          <w:rFonts w:ascii="Arial" w:cs="Arial" w:eastAsia="Arial" w:hAnsi="Arial"/>
          <w:sz w:val="19"/>
          <w:szCs w:val="19"/>
          <w:color w:val="auto"/>
        </w:rPr>
      </w:pPr>
    </w:p>
    <w:p>
      <w:pPr>
        <w:jc w:val="both"/>
        <w:ind w:left="1300" w:hanging="644"/>
        <w:spacing w:after="0" w:line="263" w:lineRule="auto"/>
        <w:tabs>
          <w:tab w:leader="none" w:pos="1300" w:val="left"/>
        </w:tabs>
        <w:numPr>
          <w:ilvl w:val="1"/>
          <w:numId w:val="47"/>
        </w:numPr>
        <w:rPr>
          <w:rFonts w:ascii="Arial" w:cs="Arial" w:eastAsia="Arial" w:hAnsi="Arial"/>
          <w:sz w:val="21"/>
          <w:szCs w:val="21"/>
          <w:color w:val="auto"/>
        </w:rPr>
      </w:pPr>
      <w:r>
        <w:rPr>
          <w:rFonts w:ascii="Arial" w:cs="Arial" w:eastAsia="Arial" w:hAnsi="Arial"/>
          <w:sz w:val="21"/>
          <w:szCs w:val="21"/>
          <w:color w:val="auto"/>
        </w:rPr>
        <w:t>As used herein, “Disability” means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12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As used herein, the term “Successor Entity” means the person that is formed by, replaces or otherwise survives the Company as a result of a transaction, series of transaction or restructuring with the effect that the Company ceases to exist.</w:t>
      </w:r>
    </w:p>
    <w:p>
      <w:pPr>
        <w:spacing w:after="0" w:line="185"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47"/>
        </w:numPr>
        <w:rPr>
          <w:rFonts w:ascii="Arial" w:cs="Arial" w:eastAsia="Arial" w:hAnsi="Arial"/>
          <w:sz w:val="22"/>
          <w:szCs w:val="22"/>
          <w:color w:val="auto"/>
        </w:rPr>
      </w:pPr>
      <w:r>
        <w:rPr>
          <w:rFonts w:ascii="Arial" w:cs="Arial" w:eastAsia="Arial" w:hAnsi="Arial"/>
          <w:sz w:val="22"/>
          <w:szCs w:val="22"/>
          <w:color w:val="auto"/>
        </w:rPr>
        <w:t>Capitalized terms used but not defined in this Agreement or in Exhibit A shall have the meanings set forth in the 2009 Plan.</w:t>
      </w:r>
    </w:p>
    <w:p>
      <w:pPr>
        <w:spacing w:after="0" w:line="128" w:lineRule="exact"/>
        <w:rPr>
          <w:rFonts w:ascii="Arial" w:cs="Arial" w:eastAsia="Arial" w:hAnsi="Arial"/>
          <w:sz w:val="22"/>
          <w:szCs w:val="22"/>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the event that the Board of Directors shall amend the 2009 Plan under the provisions of Section 9 of the 2009 Plan and such amendment shall modify or otherwise affect the subject matter of this</w:t>
      </w:r>
    </w:p>
    <w:p>
      <w:pPr>
        <w:spacing w:after="0" w:line="372"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12</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1420"/>
          </w:cols>
          <w:pgMar w:left="240" w:top="375" w:right="239" w:bottom="1440" w:gutter="0" w:footer="0" w:header="0"/>
        </w:sectPr>
      </w:pPr>
    </w:p>
    <w:bookmarkStart w:id="65" w:name="page66"/>
    <w:bookmarkEnd w:id="65"/>
    <w:p>
      <w:pPr>
        <w:jc w:val="both"/>
        <w:spacing w:after="0" w:line="248" w:lineRule="auto"/>
        <w:rPr>
          <w:sz w:val="20"/>
          <w:szCs w:val="20"/>
          <w:color w:val="auto"/>
        </w:rPr>
      </w:pPr>
      <w:r>
        <w:rPr>
          <w:rFonts w:ascii="Arial" w:cs="Arial" w:eastAsia="Arial" w:hAnsi="Arial"/>
          <w:sz w:val="22"/>
          <w:szCs w:val="22"/>
          <w:color w:val="auto"/>
        </w:rPr>
        <w:t>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Options under this Agreement may not be amended in a way that materially diminishes the value of the Options without the Employee’s consent to the amendment.</w:t>
      </w:r>
    </w:p>
    <w:p>
      <w:pPr>
        <w:spacing w:after="0" w:line="146"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CONSTRUCTION</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the event of any conflict between the 2009 Plan and this Agreement, the provisions of the 2009 Plan shall control. This Agreement shall be governed in all respects by the laws of the State of Georgia. No provision of this Agreement shall limit in any way whatsoever any right that the Company may otherwise have to terminate the employment of the Employee at any time.</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any provision of this Agreement is held to be unenforceable, then this provision will be deemed amended to the extent necessary to render the otherwise unenforceable provision, and the rest of the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 Section 3, Section 5, Subsections D and E, Section 6, Section 7 and Exhibit A, and its determinations shall be final, binding and conclusive.</w:t>
      </w:r>
    </w:p>
    <w:p>
      <w:pPr>
        <w:spacing w:after="0" w:line="142"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139"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HEADINGS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The headings of the sections of this Agreement are inserted for convenience only and shall not be deemed a part hereof.</w:t>
      </w:r>
    </w:p>
    <w:p>
      <w:pPr>
        <w:spacing w:after="0" w:line="18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CONFIRMING INFORMATION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accepting this Agreement, either through electronic means or by providing a signed copy, the Employee (i) acknowledges and confirms that the Employee has read and understood the 2009 Plan and the Agreement and (ii) acknowledges that acceptance through electronic means is equivalent to doing so by providing a signed copy.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303"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13</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1420"/>
          </w:cols>
          <w:pgMar w:left="240" w:top="375" w:right="2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I hereby agree to and accept the terms of this Agreement.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Attested by: ____________________</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153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14</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0179"/>
          </w:cols>
          <w:pgMar w:left="280" w:top="523" w:right="1440"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TO</w:t>
      </w:r>
    </w:p>
    <w:p>
      <w:pPr>
        <w:jc w:val="center"/>
        <w:ind w:right="20"/>
        <w:spacing w:after="0"/>
        <w:rPr>
          <w:sz w:val="20"/>
          <w:szCs w:val="20"/>
          <w:color w:val="auto"/>
        </w:rPr>
      </w:pPr>
      <w:r>
        <w:rPr>
          <w:rFonts w:ascii="Arial" w:cs="Arial" w:eastAsia="Arial" w:hAnsi="Arial"/>
          <w:sz w:val="20"/>
          <w:szCs w:val="20"/>
          <w:b w:val="1"/>
          <w:bCs w:val="1"/>
          <w:color w:val="auto"/>
        </w:rPr>
        <w:t>NON-QUALIFIED STOCK OPTION AWARD AGREEMENT</w:t>
      </w:r>
    </w:p>
    <w:p>
      <w:pPr>
        <w:jc w:val="center"/>
        <w:ind w:right="20"/>
        <w:spacing w:after="0"/>
        <w:rPr>
          <w:sz w:val="20"/>
          <w:szCs w:val="20"/>
          <w:color w:val="auto"/>
        </w:rPr>
      </w:pPr>
      <w:r>
        <w:rPr>
          <w:rFonts w:ascii="Arial" w:cs="Arial" w:eastAsia="Arial" w:hAnsi="Arial"/>
          <w:sz w:val="20"/>
          <w:szCs w:val="20"/>
          <w:b w:val="1"/>
          <w:bCs w:val="1"/>
          <w:color w:val="auto"/>
        </w:rPr>
        <w:t>(THE “AGREEMENT”)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Target Amount</w:t>
      </w:r>
      <w:r>
        <w:rPr>
          <w:rFonts w:ascii="Arial" w:cs="Arial" w:eastAsia="Arial" w:hAnsi="Arial"/>
          <w:sz w:val="20"/>
          <w:szCs w:val="20"/>
          <w:color w:val="auto"/>
        </w:rPr>
        <w:t>: [ ] Options</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Employee will have a vesting opportunity of up to two hundred percent (200%) of the Target Amount ([ ] Options) pursuant to the provisions of this Exhibit A and the terms of the Agreement.</w:t>
      </w:r>
    </w:p>
    <w:p>
      <w:pPr>
        <w:spacing w:after="0" w:line="190"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Performance Measure to be satisfied for purposes of Section 3 Subsection A of the Agreement is adjusted diluted earnings per share (a non-GAAP measure) (“Adjusted EPS”) achieved for 2018. Adjusted EPS will be calculated by dividing net income (loss) attributable to the Company before intangible asset amortization expense (net of tax), stock based compensation (net of tax), any gain (loss) on investment in equity securities (net of tax) and loss on debt refinancing by the weighted average number of diluted shares. Adjusted EPS will also be subject to adjustment pursuant to Section 7 of the Agreement.</w:t>
      </w:r>
    </w:p>
    <w:p>
      <w:pPr>
        <w:spacing w:after="0" w:line="20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percentage of the Target Amount that will be eligible to vest will be determined based on 2018 Adjusted EPS in accordance with the below table. If 2018 Adjusted EPS falls between the pre-determined levels shown in the table, the percentage of the Target Amount that will form part of the Stock Option Vestable Portion shall be determined using linear interpolation between such pre-determined levels. For the avoidance of doubt, in no event shall the Stock Option Vestable Portion exceed two hundred percent (200%) of the Target Amount.</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number of Options that form part of the Stock Option Vestable Portion (i.e., the number of Options eligible to vest) will then be determined by multiplying the applicable percentage by the Target Amount.</w:t>
      </w:r>
    </w:p>
    <w:p>
      <w:pPr>
        <w:spacing w:after="0" w:line="200" w:lineRule="exact"/>
        <w:rPr>
          <w:sz w:val="20"/>
          <w:szCs w:val="20"/>
          <w:color w:val="auto"/>
        </w:rPr>
      </w:pPr>
    </w:p>
    <w:p>
      <w:pPr>
        <w:spacing w:after="0" w:line="352"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57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9"/>
              </w:rPr>
              <w:t>2018 Adjusted EPS</w:t>
            </w:r>
          </w:p>
        </w:tc>
        <w:tc>
          <w:tcPr>
            <w:tcW w:w="57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88"/>
              </w:rPr>
              <w:t>Stock Option Vestable Portion</w:t>
            </w:r>
          </w:p>
        </w:tc>
      </w:tr>
      <w:tr>
        <w:trPr>
          <w:trHeight w:val="256"/>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6"/>
              </w:rPr>
              <w:t>(in $)</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b w:val="1"/>
                <w:bCs w:val="1"/>
                <w:color w:val="auto"/>
                <w:w w:val="92"/>
              </w:rPr>
              <w:t>(% of Target Amount)</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0"/>
              </w:rPr>
              <w:t>$[ ] or less</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0%</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 ]-$ [ ]</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9"/>
              </w:rPr>
              <w:t>[ ]% - [ ]%</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 ]</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 ]%</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 ]- $[ ]</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9"/>
              </w:rPr>
              <w:t>[ ]% - [ ]%</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r>
        <w:trPr>
          <w:trHeight w:val="254"/>
        </w:trPr>
        <w:tc>
          <w:tcPr>
            <w:tcW w:w="57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1"/>
              </w:rPr>
              <w:t>$[ ] or greater</w:t>
            </w:r>
          </w:p>
        </w:tc>
        <w:tc>
          <w:tcPr>
            <w:tcW w:w="57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9"/>
              </w:rPr>
              <w:t>200%</w:t>
            </w:r>
          </w:p>
        </w:tc>
      </w:tr>
      <w:tr>
        <w:trPr>
          <w:trHeight w:val="23"/>
        </w:trPr>
        <w:tc>
          <w:tcPr>
            <w:tcW w:w="5740" w:type="dxa"/>
            <w:vAlign w:val="bottom"/>
            <w:tcBorders>
              <w:left w:val="single" w:sz="8" w:color="00000A"/>
              <w:bottom w:val="single" w:sz="8" w:color="00000A"/>
              <w:right w:val="single" w:sz="8" w:color="00000A"/>
            </w:tcBorders>
          </w:tcPr>
          <w:p>
            <w:pPr>
              <w:spacing w:after="0"/>
              <w:rPr>
                <w:sz w:val="2"/>
                <w:szCs w:val="2"/>
                <w:color w:val="auto"/>
              </w:rPr>
            </w:pPr>
          </w:p>
        </w:tc>
        <w:tc>
          <w:tcPr>
            <w:tcW w:w="570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Capitalized terms used but not defined in this Exhibit A shall have the meaning ascribed to them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15</w:t>
      </w:r>
      <w:r>
        <w:rPr>
          <w:rFonts w:ascii="Arial" w:cs="Arial" w:eastAsia="Arial" w:hAnsi="Arial"/>
          <w:sz w:val="16"/>
          <w:szCs w:val="16"/>
          <w:color w:val="auto"/>
        </w:rPr>
        <w:t xml:space="preserve"> of </w:t>
      </w:r>
      <w:r>
        <w:rPr>
          <w:rFonts w:ascii="Arial" w:cs="Arial" w:eastAsia="Arial" w:hAnsi="Arial"/>
          <w:sz w:val="16"/>
          <w:szCs w:val="16"/>
          <w:b w:val="1"/>
          <w:bCs w:val="1"/>
          <w:color w:val="auto"/>
        </w:rPr>
        <w:t>15</w:t>
      </w:r>
    </w:p>
    <w:p>
      <w:pPr>
        <w:sectPr>
          <w:pgSz w:w="11900" w:h="16838" w:orient="portrait"/>
          <w:cols w:equalWidth="0" w:num="1">
            <w:col w:w="11440"/>
          </w:cols>
          <w:pgMar w:left="240" w:top="360" w:right="219" w:bottom="1440" w:gutter="0" w:footer="0" w:header="0"/>
        </w:sectPr>
      </w:pPr>
    </w:p>
    <w:bookmarkStart w:id="68" w:name="page69"/>
    <w:bookmarkEnd w:id="68"/>
    <w:p>
      <w:pPr>
        <w:jc w:val="right"/>
        <w:spacing w:after="0"/>
        <w:rPr>
          <w:sz w:val="20"/>
          <w:szCs w:val="20"/>
          <w:color w:val="auto"/>
        </w:rPr>
      </w:pPr>
      <w:r>
        <w:rPr>
          <w:rFonts w:ascii="Arial" w:cs="Arial" w:eastAsia="Arial" w:hAnsi="Arial"/>
          <w:sz w:val="20"/>
          <w:szCs w:val="20"/>
          <w:b w:val="1"/>
          <w:bCs w:val="1"/>
          <w:color w:val="auto"/>
        </w:rPr>
        <w:t>Exhibit 10.3</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 CREDIT AGREEMENT</w:t>
      </w:r>
    </w:p>
    <w:p>
      <w:pPr>
        <w:spacing w:after="0" w:line="168"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Amendment No. 1 to Credit Agreement dated as of June 27, 2018 (this “</w:t>
      </w:r>
      <w:r>
        <w:rPr>
          <w:rFonts w:ascii="Arial" w:cs="Arial" w:eastAsia="Arial" w:hAnsi="Arial"/>
          <w:sz w:val="20"/>
          <w:szCs w:val="20"/>
          <w:u w:val="single" w:color="auto"/>
          <w:color w:val="auto"/>
        </w:rPr>
        <w:t>Amendment</w:t>
      </w:r>
      <w:r>
        <w:rPr>
          <w:rFonts w:ascii="Arial" w:cs="Arial" w:eastAsia="Arial" w:hAnsi="Arial"/>
          <w:sz w:val="20"/>
          <w:szCs w:val="20"/>
          <w:color w:val="auto"/>
        </w:rPr>
        <w:t>”) between ALTISOURCE S.À R.L., a private limited liability company (</w:t>
      </w:r>
      <w:r>
        <w:rPr>
          <w:rFonts w:ascii="Arial" w:cs="Arial" w:eastAsia="Arial" w:hAnsi="Arial"/>
          <w:sz w:val="20"/>
          <w:szCs w:val="20"/>
          <w:i w:val="1"/>
          <w:iCs w:val="1"/>
          <w:color w:val="auto"/>
        </w:rPr>
        <w:t>société à responsabilité limitée</w:t>
      </w:r>
      <w:r>
        <w:rPr>
          <w:rFonts w:ascii="Arial" w:cs="Arial" w:eastAsia="Arial" w:hAnsi="Arial"/>
          <w:sz w:val="20"/>
          <w:szCs w:val="20"/>
          <w:color w:val="auto"/>
        </w:rPr>
        <w:t>) organized and established under the laws of the Grand Duchy of Luxembourg, having its registered office at 40, Avenue Monterey, L-2163, Luxembourg, Grand Duchy of Luxembourg, registered with the Luxembourg Trade and Companies register (</w:t>
      </w:r>
      <w:r>
        <w:rPr>
          <w:rFonts w:ascii="Arial" w:cs="Arial" w:eastAsia="Arial" w:hAnsi="Arial"/>
          <w:sz w:val="20"/>
          <w:szCs w:val="20"/>
          <w:i w:val="1"/>
          <w:iCs w:val="1"/>
          <w:color w:val="auto"/>
        </w:rPr>
        <w:t>Registre de commerce et des sociétés, Luxembourg</w:t>
      </w:r>
      <w:r>
        <w:rPr>
          <w:rFonts w:ascii="Arial" w:cs="Arial" w:eastAsia="Arial" w:hAnsi="Arial"/>
          <w:sz w:val="20"/>
          <w:szCs w:val="20"/>
          <w:color w:val="auto"/>
        </w:rPr>
        <w:t>) under number B-189519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hereto constituting the Required Lenders (as defined in the Credit Agreement referred to below) and MORGAN STANLEY SENIOR FUNDING, INC., as Administrative Agent under the Credit Agreement referred to below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Reference is made to the Credit Agreement, dated as of April 3, 2018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by and among the Borrower, Altisource Portfolio Solutions S.A. (“</w:t>
      </w:r>
      <w:r>
        <w:rPr>
          <w:rFonts w:ascii="Arial" w:cs="Arial" w:eastAsia="Arial" w:hAnsi="Arial"/>
          <w:sz w:val="19"/>
          <w:szCs w:val="19"/>
          <w:u w:val="single" w:color="auto"/>
          <w:color w:val="auto"/>
        </w:rPr>
        <w:t>Holdings</w:t>
      </w:r>
      <w:r>
        <w:rPr>
          <w:rFonts w:ascii="Arial" w:cs="Arial" w:eastAsia="Arial" w:hAnsi="Arial"/>
          <w:sz w:val="19"/>
          <w:szCs w:val="19"/>
          <w:color w:val="auto"/>
        </w:rPr>
        <w:t>”), the lenders from time to time party thereto and the Administrative Agent.</w:t>
      </w:r>
    </w:p>
    <w:p>
      <w:pPr>
        <w:spacing w:after="0" w:line="9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the Borrower and the Administrative Agent have consented, pursuant to Section 10.01 of the Credit Agreement, to amend the Credit Agreement as herein provided to cure an inconsistency therein; and</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and the Required Lenders have consented, pursuant to Section 10.01 of the Credit Agreement, to amend the Credit Agreement to limit the aggregate amount of open market purchases of the Term Loans by Holdings and the Borrower that may be applied to Scheduled Repayments of the Term Loans in direct order of maturity.</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Accordingly, the parties hereto hereby agree as follows: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4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b w:val="1"/>
          <w:bCs w:val="1"/>
          <w:color w:val="auto"/>
        </w:rPr>
        <w:t xml:space="preserve">Section 1.01 </w:t>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All capitalized terms used herein and not otherwise defined herein shall have the meanings</w:t>
      </w:r>
      <w:r>
        <w:rPr>
          <w:rFonts w:ascii="Arial" w:cs="Arial" w:eastAsia="Arial" w:hAnsi="Arial"/>
          <w:sz w:val="19"/>
          <w:szCs w:val="19"/>
          <w:b w:val="1"/>
          <w:bCs w:val="1"/>
          <w:color w:val="auto"/>
        </w:rPr>
        <w:t xml:space="preserve"> </w:t>
      </w:r>
      <w:r>
        <w:rPr>
          <w:rFonts w:ascii="Arial" w:cs="Arial" w:eastAsia="Arial" w:hAnsi="Arial"/>
          <w:sz w:val="19"/>
          <w:szCs w:val="19"/>
          <w:color w:val="auto"/>
        </w:rPr>
        <w:t>ascribed thereto in the Credit Agreement, as amended by and after giving effect to this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THE CREDIT AGREEMENT</w:t>
      </w:r>
    </w:p>
    <w:p>
      <w:pPr>
        <w:spacing w:after="0" w:line="140"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0"/>
          <w:szCs w:val="20"/>
          <w:b w:val="1"/>
          <w:bCs w:val="1"/>
          <w:color w:val="auto"/>
        </w:rPr>
        <w:t>Section 2.01</w:t>
      </w:r>
      <w:r>
        <w:rPr>
          <w:sz w:val="20"/>
          <w:szCs w:val="20"/>
          <w:color w:val="auto"/>
        </w:rPr>
        <w:tab/>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Section 10.06(f)(i) of the Credit Agreement is hereby replaced in its entirety as follows:</w:t>
      </w:r>
    </w:p>
    <w:p>
      <w:pPr>
        <w:spacing w:after="0" w:line="168"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 xml:space="preserve">“(i) any Term Loans so acquired shall be retired and cancelled immediately upon the acquisition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upon any such retirement and cancellation, the aggregate outstanding principal amount of the Term Loans shall be deemed reduced by the full par value of the aggregate principal amount of the Term Loans so retired and cancelled, and (x) any Term Loans so acquired in a cumulative aggregate principal amount not in excess of $8,000,000 shall be applied in accordance with </w:t>
      </w:r>
      <w:r>
        <w:rPr>
          <w:rFonts w:ascii="Arial" w:cs="Arial" w:eastAsia="Arial" w:hAnsi="Arial"/>
          <w:sz w:val="20"/>
          <w:szCs w:val="20"/>
          <w:u w:val="single" w:color="auto"/>
          <w:color w:val="auto"/>
        </w:rPr>
        <w:t>Section 2.07(b)(iii)</w:t>
      </w:r>
      <w:r>
        <w:rPr>
          <w:rFonts w:ascii="Arial" w:cs="Arial" w:eastAsia="Arial" w:hAnsi="Arial"/>
          <w:sz w:val="20"/>
          <w:szCs w:val="20"/>
          <w:color w:val="auto"/>
        </w:rPr>
        <w:t xml:space="preserve"> and (y) any Term Loans so acquired in a cumulative aggregate principal amount in excess of $8,000,000 shall not change the scheduled amortization of the Term Loans required by </w:t>
      </w:r>
      <w:r>
        <w:rPr>
          <w:rFonts w:ascii="Arial" w:cs="Arial" w:eastAsia="Arial" w:hAnsi="Arial"/>
          <w:sz w:val="20"/>
          <w:szCs w:val="20"/>
          <w:u w:val="single" w:color="auto"/>
          <w:color w:val="auto"/>
        </w:rPr>
        <w:t>Section 2.07</w:t>
      </w:r>
      <w:r>
        <w:rPr>
          <w:rFonts w:ascii="Arial" w:cs="Arial" w:eastAsia="Arial" w:hAnsi="Arial"/>
          <w:sz w:val="20"/>
          <w:szCs w:val="20"/>
          <w:color w:val="auto"/>
        </w:rPr>
        <w:t>, except to</w:t>
      </w:r>
    </w:p>
    <w:p>
      <w:pPr>
        <w:sectPr>
          <w:pgSz w:w="11900" w:h="16838" w:orient="portrait"/>
          <w:cols w:equalWidth="0" w:num="1">
            <w:col w:w="11420"/>
          </w:cols>
          <w:pgMar w:left="240" w:top="346" w:right="239" w:bottom="1440" w:gutter="0" w:footer="0" w:header="0"/>
        </w:sectPr>
      </w:pPr>
    </w:p>
    <w:bookmarkStart w:id="69" w:name="page70"/>
    <w:bookmarkEnd w:id="69"/>
    <w:p>
      <w:pPr>
        <w:jc w:val="both"/>
        <w:ind w:left="660"/>
        <w:spacing w:after="0" w:line="246" w:lineRule="auto"/>
        <w:rPr>
          <w:sz w:val="20"/>
          <w:szCs w:val="20"/>
          <w:color w:val="auto"/>
        </w:rPr>
      </w:pPr>
      <w:r>
        <w:rPr>
          <w:rFonts w:ascii="Arial" w:cs="Arial" w:eastAsia="Arial" w:hAnsi="Arial"/>
          <w:sz w:val="20"/>
          <w:szCs w:val="20"/>
          <w:color w:val="auto"/>
        </w:rPr>
        <w:t>reduce the amount outstanding and due and payable on the applicable Term Facility Maturity Date (and such reduction, for the avoidance of doubt, shall only apply, on a non-pro-rata basis, to the Term Loans that are the subject of such assignment (provided that, for the avoidance of doubt, such reduction shall apply on a pro rata basis to the Term Loans of the same class and tranche that are held by the applicable assigning Term Lender));”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EFFECTIVENESS</w:t>
      </w:r>
    </w:p>
    <w:p>
      <w:pPr>
        <w:spacing w:after="0" w:line="140"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Conditions to Effectiveness of this Amendment</w:t>
      </w:r>
      <w:r>
        <w:rPr>
          <w:rFonts w:ascii="Arial" w:cs="Arial" w:eastAsia="Arial" w:hAnsi="Arial"/>
          <w:sz w:val="18"/>
          <w:szCs w:val="18"/>
          <w:color w:val="auto"/>
        </w:rPr>
        <w:t>. This Amendment and each of the amendments to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contained herein shall become effective on the date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on which the Administrative Agent shall have received counterparts of this Amendment duly executed by the Borrower, the Required Lenders and the Administrative Agent.</w:t>
      </w:r>
    </w:p>
    <w:p>
      <w:pPr>
        <w:spacing w:after="0" w:line="90"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0"/>
          <w:szCs w:val="20"/>
          <w:b w:val="1"/>
          <w:bCs w:val="1"/>
          <w:color w:val="auto"/>
        </w:rPr>
        <w:t>Section 3.02</w:t>
      </w:r>
      <w:r>
        <w:rPr>
          <w:sz w:val="20"/>
          <w:szCs w:val="20"/>
          <w:color w:val="auto"/>
        </w:rPr>
        <w:tab/>
      </w:r>
      <w:r>
        <w:rPr>
          <w:rFonts w:ascii="Arial" w:cs="Arial" w:eastAsia="Arial" w:hAnsi="Arial"/>
          <w:sz w:val="16"/>
          <w:szCs w:val="16"/>
          <w:b w:val="1"/>
          <w:bCs w:val="1"/>
          <w:u w:val="single" w:color="auto"/>
          <w:color w:val="auto"/>
        </w:rPr>
        <w:t>Effects of this Amendment</w:t>
      </w:r>
      <w:r>
        <w:rPr>
          <w:rFonts w:ascii="Arial" w:cs="Arial" w:eastAsia="Arial" w:hAnsi="Arial"/>
          <w:sz w:val="16"/>
          <w:szCs w:val="16"/>
          <w:color w:val="auto"/>
        </w:rPr>
        <w:t>.</w:t>
      </w:r>
    </w:p>
    <w:p>
      <w:pPr>
        <w:spacing w:after="0" w:line="168" w:lineRule="exact"/>
        <w:rPr>
          <w:sz w:val="20"/>
          <w:szCs w:val="20"/>
          <w:color w:val="auto"/>
        </w:rPr>
      </w:pPr>
    </w:p>
    <w:p>
      <w:pPr>
        <w:jc w:val="both"/>
        <w:ind w:firstLine="1305"/>
        <w:spacing w:after="0" w:line="243" w:lineRule="auto"/>
        <w:tabs>
          <w:tab w:leader="none" w:pos="1804" w:val="left"/>
        </w:tabs>
        <w:numPr>
          <w:ilvl w:val="0"/>
          <w:numId w:val="53"/>
        </w:numPr>
        <w:rPr>
          <w:rFonts w:ascii="Arial" w:cs="Arial" w:eastAsia="Arial" w:hAnsi="Arial"/>
          <w:sz w:val="20"/>
          <w:szCs w:val="20"/>
          <w:color w:val="auto"/>
        </w:rPr>
      </w:pPr>
      <w:r>
        <w:rPr>
          <w:rFonts w:ascii="Arial" w:cs="Arial" w:eastAsia="Arial" w:hAnsi="Arial"/>
          <w:sz w:val="20"/>
          <w:szCs w:val="20"/>
          <w:color w:val="auto"/>
        </w:rPr>
        <w:t>On the Amendment Effective Date, the Credit Agreement will be automatically amended to reflect the amendments thereto provided for in this Amendment. The rights and obligations of the parties hereto shall be governed (i) prior to the Amendment Effective Date, by the Credit Agreement and (ii) on and after the Amendment Effective Date, by the Amended Credit Agreement. Once the Amendment Effective Date has occurred, each reference in the Credit Agreement to “this Agreement”, “hereunder”, “hereof” or words of like import referring to the Credit Agreement and all references to the Credit Agreement in any document, instrument, agreement, or writing shall be deemed to refer to the Amended Credit Agreement.</w:t>
      </w:r>
    </w:p>
    <w:p>
      <w:pPr>
        <w:spacing w:after="0" w:line="142" w:lineRule="exact"/>
        <w:rPr>
          <w:rFonts w:ascii="Arial" w:cs="Arial" w:eastAsia="Arial" w:hAnsi="Arial"/>
          <w:sz w:val="20"/>
          <w:szCs w:val="20"/>
          <w:color w:val="auto"/>
        </w:rPr>
      </w:pPr>
    </w:p>
    <w:p>
      <w:pPr>
        <w:jc w:val="both"/>
        <w:ind w:firstLine="1305"/>
        <w:spacing w:after="0" w:line="250" w:lineRule="auto"/>
        <w:tabs>
          <w:tab w:leader="none" w:pos="1788" w:val="left"/>
        </w:tabs>
        <w:numPr>
          <w:ilvl w:val="0"/>
          <w:numId w:val="53"/>
        </w:numPr>
        <w:rPr>
          <w:rFonts w:ascii="Arial" w:cs="Arial" w:eastAsia="Arial" w:hAnsi="Arial"/>
          <w:sz w:val="20"/>
          <w:szCs w:val="20"/>
          <w:color w:val="auto"/>
        </w:rPr>
      </w:pPr>
      <w:r>
        <w:rPr>
          <w:rFonts w:ascii="Arial" w:cs="Arial" w:eastAsia="Arial" w:hAnsi="Arial"/>
          <w:sz w:val="20"/>
          <w:szCs w:val="20"/>
          <w:color w:val="auto"/>
        </w:rPr>
        <w:t>Other than as specifically provided herein, this Amendment shall not operate as a waiver or amendment of any right, power or privilege of the Administrative Agent or any Lender under the Credit Agreement or any other Loan Document or of any other term or condition of the Credit Agreement or any other Loan Document.</w:t>
      </w:r>
    </w:p>
    <w:p>
      <w:pPr>
        <w:spacing w:after="0" w:line="132" w:lineRule="exact"/>
        <w:rPr>
          <w:rFonts w:ascii="Arial" w:cs="Arial" w:eastAsia="Arial" w:hAnsi="Arial"/>
          <w:sz w:val="20"/>
          <w:szCs w:val="20"/>
          <w:color w:val="auto"/>
        </w:rPr>
      </w:pPr>
    </w:p>
    <w:p>
      <w:pPr>
        <w:jc w:val="both"/>
        <w:ind w:firstLine="1305"/>
        <w:spacing w:after="0" w:line="243" w:lineRule="auto"/>
        <w:tabs>
          <w:tab w:leader="none" w:pos="1818" w:val="left"/>
        </w:tabs>
        <w:numPr>
          <w:ilvl w:val="0"/>
          <w:numId w:val="53"/>
        </w:numPr>
        <w:rPr>
          <w:rFonts w:ascii="Arial" w:cs="Arial" w:eastAsia="Arial" w:hAnsi="Arial"/>
          <w:sz w:val="20"/>
          <w:szCs w:val="20"/>
          <w:color w:val="auto"/>
        </w:rPr>
      </w:pPr>
      <w:r>
        <w:rPr>
          <w:rFonts w:ascii="Arial" w:cs="Arial" w:eastAsia="Arial" w:hAnsi="Arial"/>
          <w:sz w:val="20"/>
          <w:szCs w:val="20"/>
          <w:color w:val="auto"/>
        </w:rPr>
        <w:t>For the purpose of Luxembourg law (including article 1278 of the Luxembourg Civil Code), the provisions of any Security Document governed by Luxembourg law and the first ranking security interests created thereunder shall continue in full force and effect and shall be preserved for the benefit of the Collateral Agent. The first ranking security interests created under any Security Document governed by Luxembourg law shall secure the Obligations, as resulting from the Loan Documents and the Credit Agreement (as amended, supplemented, restated, extended or novated (in each case, however fundamentally and of whatsoever nature) from time to time in the past or in the future).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4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b w:val="1"/>
          <w:bCs w:val="1"/>
          <w:color w:val="auto"/>
        </w:rPr>
        <w:t xml:space="preserve">Section 4.01 </w:t>
      </w:r>
      <w:r>
        <w:rPr>
          <w:rFonts w:ascii="Arial" w:cs="Arial" w:eastAsia="Arial" w:hAnsi="Arial"/>
          <w:sz w:val="19"/>
          <w:szCs w:val="19"/>
          <w:b w:val="1"/>
          <w:bCs w:val="1"/>
          <w:u w:val="single" w:color="auto"/>
          <w:color w:val="auto"/>
        </w:rPr>
        <w:t>Representations and Warranties of the Borrower</w:t>
      </w:r>
      <w:r>
        <w:rPr>
          <w:rFonts w:ascii="Arial" w:cs="Arial" w:eastAsia="Arial" w:hAnsi="Arial"/>
          <w:sz w:val="19"/>
          <w:szCs w:val="19"/>
          <w:color w:val="auto"/>
        </w:rPr>
        <w:t>. In order to induce the Required Lenders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to enter into this Amendment, the Borrower represents and warrants, as of the Amendment Effective Date, that: (a) the Borrower has all requisite power and authority to enter into this Amendment; (b) the execution, delivery and performance of this Amendment has been duly authorized by all necessary action on the part of the Borrower; (c) this Amendment has been duly executed and delivered by the Borrower and is the legally valid and binding obligation the Borrower, enforceable against the Borrower in accordance with its terms, except as may be limited by bankruptcy, insolvency, reorganization, moratorium or similar laws of general applicability relating to or limiting creditors’ rights or by equitable principles relating to enforceability; and (d) no Default or Event of Default has occurred and is Continuing or would result from the Amendment.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40"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Section 5.01 </w:t>
      </w:r>
      <w:r>
        <w:rPr>
          <w:rFonts w:ascii="Arial" w:cs="Arial" w:eastAsia="Arial" w:hAnsi="Arial"/>
          <w:sz w:val="20"/>
          <w:szCs w:val="20"/>
          <w:b w:val="1"/>
          <w:bCs w:val="1"/>
          <w:u w:val="single" w:color="auto"/>
          <w:color w:val="auto"/>
        </w:rPr>
        <w:t>Headings</w:t>
      </w:r>
      <w:r>
        <w:rPr>
          <w:rFonts w:ascii="Arial" w:cs="Arial" w:eastAsia="Arial" w:hAnsi="Arial"/>
          <w:sz w:val="20"/>
          <w:szCs w:val="20"/>
          <w:color w:val="auto"/>
        </w:rPr>
        <w:t>. Article and Section headings used herein are for convenience of reference only, are not part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and shall not affect the construction of, or be taken into consideration in interpreting, this Amendment.</w:t>
      </w:r>
    </w:p>
    <w:p>
      <w:pPr>
        <w:spacing w:after="0" w:line="11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auto"/>
        </w:rPr>
        <w:t xml:space="preserve">Section 5.02 </w:t>
      </w:r>
      <w:r>
        <w:rPr>
          <w:rFonts w:ascii="Arial" w:cs="Arial" w:eastAsia="Arial" w:hAnsi="Arial"/>
          <w:sz w:val="20"/>
          <w:szCs w:val="20"/>
          <w:b w:val="1"/>
          <w:bCs w:val="1"/>
          <w:u w:val="single" w:color="auto"/>
          <w:color w:val="auto"/>
        </w:rPr>
        <w:t>Execution in Counterparts</w:t>
      </w:r>
      <w:r>
        <w:rPr>
          <w:rFonts w:ascii="Arial" w:cs="Arial" w:eastAsia="Arial" w:hAnsi="Arial"/>
          <w:sz w:val="20"/>
          <w:szCs w:val="20"/>
          <w:color w:val="auto"/>
        </w:rPr>
        <w:t>. This Amendment may be executed in counterparts (and by different parties hereto</w:t>
      </w:r>
      <w:r>
        <w:rPr>
          <w:rFonts w:ascii="Arial" w:cs="Arial" w:eastAsia="Arial" w:hAnsi="Arial"/>
          <w:sz w:val="20"/>
          <w:szCs w:val="20"/>
          <w:b w:val="1"/>
          <w:bCs w:val="1"/>
          <w:color w:val="auto"/>
        </w:rPr>
        <w:t xml:space="preserve"> </w:t>
      </w:r>
      <w:r>
        <w:rPr>
          <w:rFonts w:ascii="Arial" w:cs="Arial" w:eastAsia="Arial" w:hAnsi="Arial"/>
          <w:sz w:val="20"/>
          <w:szCs w:val="20"/>
          <w:color w:val="auto"/>
        </w:rPr>
        <w:t>in different counterparts), each of which shall constitute an original, but all of which when taken together shall constitute a single contract. Delivery of an executed counterpart of a signature page of this Amendment by facsimile or other electronic imaging means (e.g. “pdf” or “tif”) shall be effective as delivery of a manually executed counterpart of this Amendment.</w:t>
      </w:r>
    </w:p>
    <w:p>
      <w:pPr>
        <w:spacing w:after="0" w:line="130"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auto"/>
        </w:rPr>
        <w:t xml:space="preserve">Section 5.03 </w:t>
      </w:r>
      <w:r>
        <w:rPr>
          <w:rFonts w:ascii="Arial" w:cs="Arial" w:eastAsia="Arial" w:hAnsi="Arial"/>
          <w:sz w:val="20"/>
          <w:szCs w:val="20"/>
          <w:b w:val="1"/>
          <w:bCs w:val="1"/>
          <w:u w:val="single" w:color="auto"/>
          <w:color w:val="auto"/>
        </w:rPr>
        <w:t>Governing Law; Jurisdiction; Waiver of Jury Trial, Etc</w:t>
      </w:r>
      <w:r>
        <w:rPr>
          <w:rFonts w:ascii="Arial" w:cs="Arial" w:eastAsia="Arial" w:hAnsi="Arial"/>
          <w:sz w:val="20"/>
          <w:szCs w:val="20"/>
          <w:color w:val="auto"/>
        </w:rPr>
        <w:t>. The provisions of Sections 10.15 and 10.16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Credit Agreement shall apply to this Amendment mutatis mutandis.</w:t>
      </w:r>
    </w:p>
    <w:p>
      <w:pPr>
        <w:spacing w:after="0" w:line="11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auto"/>
        </w:rPr>
        <w:t xml:space="preserve">Section 5.04 </w:t>
      </w:r>
      <w:r>
        <w:rPr>
          <w:rFonts w:ascii="Arial" w:cs="Arial" w:eastAsia="Arial" w:hAnsi="Arial"/>
          <w:sz w:val="20"/>
          <w:szCs w:val="20"/>
          <w:b w:val="1"/>
          <w:bCs w:val="1"/>
          <w:u w:val="single" w:color="auto"/>
          <w:color w:val="auto"/>
        </w:rPr>
        <w:t>Loan Document Pursuant to Credit Agreement</w:t>
      </w:r>
      <w:r>
        <w:rPr>
          <w:rFonts w:ascii="Arial" w:cs="Arial" w:eastAsia="Arial" w:hAnsi="Arial"/>
          <w:sz w:val="20"/>
          <w:szCs w:val="20"/>
          <w:color w:val="auto"/>
        </w:rPr>
        <w:t>. This Amendment is a Loan Document executed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Credit Agreement and shall be construed, administered and applied in accordance with all of the terms and provisions of the Credit Agreement (and, following the effectiveness hereof, the Amended Credit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05" w:right="239" w:bottom="1440" w:gutter="0" w:footer="0" w:header="0"/>
        </w:sectPr>
      </w:pPr>
    </w:p>
    <w:bookmarkStart w:id="71" w:name="page72"/>
    <w:bookmarkEnd w:id="71"/>
    <w:p>
      <w:pPr>
        <w:ind w:firstLine="1297"/>
        <w:spacing w:after="0" w:line="260" w:lineRule="auto"/>
        <w:rPr>
          <w:sz w:val="20"/>
          <w:szCs w:val="20"/>
          <w:color w:val="auto"/>
        </w:rPr>
      </w:pPr>
      <w:r>
        <w:rPr>
          <w:rFonts w:ascii="Arial" w:cs="Arial" w:eastAsia="Arial" w:hAnsi="Arial"/>
          <w:sz w:val="20"/>
          <w:szCs w:val="20"/>
          <w:color w:val="auto"/>
        </w:rPr>
        <w:t>IN WITNESS WHEREOF, the signatories hereto have caused this Amendment to be executed by their respective officers thereunto duly authorized as of the day and year first above written.</w:t>
      </w: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BORROWER:</w:t>
      </w:r>
      <w:r>
        <w:rPr>
          <w:sz w:val="20"/>
          <w:szCs w:val="20"/>
          <w:color w:val="auto"/>
        </w:rPr>
        <w:tab/>
      </w:r>
      <w:r>
        <w:rPr>
          <w:rFonts w:ascii="Arial" w:cs="Arial" w:eastAsia="Arial" w:hAnsi="Arial"/>
          <w:sz w:val="20"/>
          <w:szCs w:val="20"/>
          <w:color w:val="auto"/>
        </w:rPr>
        <w:t>ALTISOURCE S.À R.L.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Wilcox</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Name: Kevin Wilcox</w:t>
      </w:r>
    </w:p>
    <w:p>
      <w:pPr>
        <w:ind w:left="624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[Amendment No. 1]</w:t>
      </w:r>
    </w:p>
    <w:p>
      <w:pPr>
        <w:sectPr>
          <w:pgSz w:w="11900" w:h="16838" w:orient="portrait"/>
          <w:cols w:equalWidth="0" w:num="1">
            <w:col w:w="11420"/>
          </w:cols>
          <w:pgMar w:left="240" w:top="1028" w:right="239" w:bottom="1440" w:gutter="0" w:footer="0" w:header="0"/>
        </w:sectPr>
      </w:pPr>
    </w:p>
    <w:bookmarkStart w:id="72" w:name="page73"/>
    <w:bookmarkEnd w:id="72"/>
    <w:p>
      <w:pPr>
        <w:spacing w:after="0"/>
        <w:tabs>
          <w:tab w:leader="none" w:pos="5680" w:val="left"/>
        </w:tabs>
        <w:rPr>
          <w:sz w:val="20"/>
          <w:szCs w:val="20"/>
          <w:color w:val="auto"/>
        </w:rPr>
      </w:pPr>
      <w:r>
        <w:rPr>
          <w:rFonts w:ascii="Arial" w:cs="Arial" w:eastAsia="Arial" w:hAnsi="Arial"/>
          <w:sz w:val="20"/>
          <w:szCs w:val="20"/>
          <w:color w:val="auto"/>
        </w:rPr>
        <w:t>ADMINISTRATIVE AGENT:</w:t>
      </w:r>
      <w:r>
        <w:rPr>
          <w:sz w:val="20"/>
          <w:szCs w:val="20"/>
          <w:color w:val="auto"/>
        </w:rPr>
        <w:tab/>
      </w:r>
      <w:r>
        <w:rPr>
          <w:rFonts w:ascii="Arial" w:cs="Arial" w:eastAsia="Arial" w:hAnsi="Arial"/>
          <w:sz w:val="19"/>
          <w:szCs w:val="19"/>
          <w:color w:val="auto"/>
        </w:rPr>
        <w:t>MORGAN STANLEY SENIOR FUNDING, INC.</w:t>
      </w:r>
    </w:p>
    <w:p>
      <w:pPr>
        <w:sectPr>
          <w:pgSz w:w="11900" w:h="16838" w:orient="portrait"/>
          <w:cols w:equalWidth="0" w:num="1">
            <w:col w:w="10179"/>
          </w:cols>
          <w:pgMar w:left="280" w:top="9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Wissam Kairouz</w:t>
      </w:r>
    </w:p>
    <w:p>
      <w:pPr>
        <w:spacing w:after="0" w:line="15"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Name: Wissam Kairouz</w:t>
      </w:r>
    </w:p>
    <w:p>
      <w:pPr>
        <w:ind w:left="61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[Amendment No. 1]</w:t>
      </w:r>
    </w:p>
    <w:p>
      <w:pPr>
        <w:sectPr>
          <w:pgSz w:w="11900" w:h="16838" w:orient="portrait"/>
          <w:cols w:equalWidth="0" w:num="1">
            <w:col w:w="10179"/>
          </w:cols>
          <w:pgMar w:left="280" w:top="974" w:right="1440" w:bottom="1440" w:gutter="0" w:footer="0" w:header="0"/>
          <w:type w:val="continuous"/>
        </w:sectPr>
      </w:pPr>
    </w:p>
    <w:bookmarkStart w:id="73" w:name="page74"/>
    <w:bookmarkEnd w:id="73"/>
    <w:p>
      <w:pPr>
        <w:spacing w:after="0"/>
        <w:tabs>
          <w:tab w:leader="none" w:pos="5680" w:val="left"/>
        </w:tabs>
        <w:rPr>
          <w:sz w:val="20"/>
          <w:szCs w:val="20"/>
          <w:color w:val="auto"/>
        </w:rPr>
      </w:pPr>
      <w:r>
        <w:rPr>
          <w:rFonts w:ascii="Arial" w:cs="Arial" w:eastAsia="Arial" w:hAnsi="Arial"/>
          <w:sz w:val="20"/>
          <w:szCs w:val="20"/>
          <w:color w:val="auto"/>
        </w:rPr>
        <w:t>REQUIRED LENDERS:</w:t>
      </w:r>
      <w:r>
        <w:rPr>
          <w:sz w:val="20"/>
          <w:szCs w:val="20"/>
          <w:color w:val="auto"/>
        </w:rPr>
        <w:tab/>
      </w:r>
      <w:r>
        <w:rPr>
          <w:rFonts w:ascii="Arial" w:cs="Arial" w:eastAsia="Arial" w:hAnsi="Arial"/>
          <w:sz w:val="19"/>
          <w:szCs w:val="19"/>
          <w:color w:val="auto"/>
        </w:rPr>
        <w:t>[On file with the Administrative Agent]</w:t>
      </w:r>
    </w:p>
    <w:p>
      <w:pPr>
        <w:sectPr>
          <w:pgSz w:w="11900" w:h="16838" w:orient="portrait"/>
          <w:cols w:equalWidth="0" w:num="1">
            <w:col w:w="10179"/>
          </w:cols>
          <w:pgMar w:left="280" w:top="9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[Amendment No. 1]</w:t>
      </w:r>
    </w:p>
    <w:p>
      <w:pPr>
        <w:sectPr>
          <w:pgSz w:w="11900" w:h="16838" w:orient="portrait"/>
          <w:cols w:equalWidth="0" w:num="1">
            <w:col w:w="10179"/>
          </w:cols>
          <w:pgMar w:left="280" w:top="973" w:right="1440"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6540" w:val="left"/>
          <w:tab w:leader="none" w:pos="6980" w:val="left"/>
        </w:tabs>
        <w:rPr>
          <w:sz w:val="20"/>
          <w:szCs w:val="20"/>
          <w:color w:val="auto"/>
        </w:rPr>
      </w:pPr>
      <w:r>
        <w:rPr>
          <w:rFonts w:ascii="Arial" w:cs="Arial" w:eastAsia="Arial" w:hAnsi="Arial"/>
          <w:sz w:val="18"/>
          <w:szCs w:val="18"/>
          <w:color w:val="auto"/>
        </w:rPr>
        <w:t>Date: July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Indroneel Chatterjee, hereby certify that:</w:t>
      </w:r>
    </w:p>
    <w:p>
      <w:pPr>
        <w:spacing w:after="0" w:line="22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6540" w:val="left"/>
          <w:tab w:leader="none" w:pos="6980" w:val="left"/>
        </w:tabs>
        <w:rPr>
          <w:sz w:val="20"/>
          <w:szCs w:val="20"/>
          <w:color w:val="auto"/>
        </w:rPr>
      </w:pPr>
      <w:r>
        <w:rPr>
          <w:rFonts w:ascii="Arial" w:cs="Arial" w:eastAsia="Arial" w:hAnsi="Arial"/>
          <w:sz w:val="18"/>
          <w:szCs w:val="18"/>
          <w:color w:val="auto"/>
        </w:rPr>
        <w:t>Date: July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Indroneel Chatterjee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Indroneel Chatterjee</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2018</w:t>
      </w:r>
    </w:p>
    <w:p>
      <w:pPr>
        <w:spacing w:after="0" w:line="200" w:lineRule="exact"/>
        <w:rPr>
          <w:sz w:val="20"/>
          <w:szCs w:val="20"/>
          <w:color w:val="auto"/>
        </w:rPr>
      </w:pP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ended June 30, 2018, as filed with the Securities and Exchange Commission on the date hereof (the “Report”), William B. Shepro, as Chief Executive Officer of the Company, and Indroneel Chatterjee,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Indroneel Chatterjee</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Indroneel Chatterjee</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July 26, 2018</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July 26, 2018</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lowerRoman"/>
      <w:start w:val="10"/>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lowerLetter"/>
      <w:start w:val="2"/>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2"/>
    </w:lvl>
  </w:abstractNum>
  <w:abstractNum w:abstractNumId="23">
    <w:nsid w:val="2D517796"/>
    <w:multiLevelType w:val="hybridMultilevel"/>
    <w:lvl w:ilvl="0">
      <w:lvlJc w:val="left"/>
      <w:lvlText w:val="%1."/>
      <w:numFmt w:val="decimal"/>
      <w:start w:val="3"/>
    </w:lvl>
  </w:abstractNum>
  <w:abstractNum w:abstractNumId="24">
    <w:nsid w:val="580BD78F"/>
    <w:multiLevelType w:val="hybridMultilevel"/>
    <w:lvl w:ilvl="0">
      <w:lvlJc w:val="left"/>
      <w:lvlText w:val="%1."/>
      <w:numFmt w:val="upperLetter"/>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upperLetter"/>
      <w:start w:val="1"/>
    </w:lvl>
    <w:lvl w:ilvl="1">
      <w:lvlJc w:val="left"/>
      <w:lvlText w:val="(%2)"/>
      <w:numFmt w:val="decimal"/>
      <w:start w:val="2"/>
    </w:lvl>
  </w:abstractNum>
  <w:abstractNum w:abstractNumId="27">
    <w:nsid w:val="70A64E2A"/>
    <w:multiLevelType w:val="hybridMultilevel"/>
    <w:lvl w:ilvl="0">
      <w:lvlJc w:val="left"/>
      <w:lvlText w:val="%1."/>
      <w:numFmt w:val="upperLetter"/>
      <w:start w:val="2"/>
    </w:lvl>
    <w:lvl w:ilvl="1">
      <w:lvlJc w:val="left"/>
      <w:lvlText w:val="%2"/>
      <w:numFmt w:val="decimal"/>
      <w:start w:val="1"/>
    </w:lvl>
  </w:abstractNum>
  <w:abstractNum w:abstractNumId="28">
    <w:nsid w:val="6A2342EC"/>
    <w:multiLevelType w:val="hybridMultilevel"/>
    <w:lvl w:ilvl="0">
      <w:lvlJc w:val="left"/>
      <w:lvlText w:val="%1."/>
      <w:numFmt w:val="decimal"/>
      <w:start w:val="4"/>
    </w:lvl>
    <w:lvl w:ilvl="1">
      <w:lvlJc w:val="left"/>
      <w:lvlText w:val="%2."/>
      <w:numFmt w:val="upperLetter"/>
      <w:start w:val="1"/>
    </w:lvl>
  </w:abstractNum>
  <w:abstractNum w:abstractNumId="29">
    <w:nsid w:val="2A487CB0"/>
    <w:multiLevelType w:val="hybridMultilevel"/>
    <w:lvl w:ilvl="0">
      <w:lvlJc w:val="left"/>
      <w:lvlText w:val="%1."/>
      <w:numFmt w:val="upperLetter"/>
      <w:start w:val="3"/>
    </w:lvl>
  </w:abstractNum>
  <w:abstractNum w:abstractNumId="30">
    <w:nsid w:val="1D4ED43B"/>
    <w:multiLevelType w:val="hybridMultilevel"/>
    <w:lvl w:ilvl="0">
      <w:lvlJc w:val="left"/>
      <w:lvlText w:val="%1."/>
      <w:numFmt w:val="decimal"/>
      <w:start w:val="5"/>
    </w:lvl>
  </w:abstractNum>
  <w:abstractNum w:abstractNumId="31">
    <w:nsid w:val="725A06FB"/>
    <w:multiLevelType w:val="hybridMultilevel"/>
    <w:lvl w:ilvl="0">
      <w:lvlJc w:val="left"/>
      <w:lvlText w:val="%1."/>
      <w:numFmt w:val="upperLetter"/>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4"/>
    </w:lvl>
  </w:abstractNum>
  <w:abstractNum w:abstractNumId="34">
    <w:nsid w:val="7A6D8D3C"/>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lvl w:ilvl="3">
      <w:lvlJc w:val="left"/>
      <w:lvlText w:val="(%4)"/>
      <w:numFmt w:val="decimal"/>
      <w:start w:val="2"/>
    </w:lvl>
  </w:abstractNum>
  <w:abstractNum w:abstractNumId="35">
    <w:nsid w:val="4B588F54"/>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4"/>
    </w:lvl>
    <w:lvl w:ilvl="3">
      <w:lvlJc w:val="left"/>
      <w:lvlText w:val="%4"/>
      <w:numFmt w:val="decimal"/>
      <w:start w:val="1"/>
    </w:lvl>
  </w:abstractNum>
  <w:abstractNum w:abstractNumId="36">
    <w:nsid w:val="542289EC"/>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37">
    <w:nsid w:val="6DE91B18"/>
    <w:multiLevelType w:val="hybridMultilevel"/>
    <w:lvl w:ilvl="0">
      <w:lvlJc w:val="left"/>
      <w:lvlText w:val="%1."/>
      <w:numFmt w:val="upperLetter"/>
      <w:start w:val="2"/>
    </w:lvl>
    <w:lvl w:ilvl="1">
      <w:lvlJc w:val="left"/>
      <w:lvlText w:val="%2."/>
      <w:numFmt w:val="upperLetter"/>
      <w:start w:val="6"/>
    </w:lvl>
  </w:abstractNum>
  <w:abstractNum w:abstractNumId="38">
    <w:nsid w:val="38437FDB"/>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39">
    <w:nsid w:val="7644A45C"/>
    <w:multiLevelType w:val="hybridMultilevel"/>
    <w:lvl w:ilvl="0">
      <w:lvlJc w:val="left"/>
      <w:lvlText w:val="%1"/>
      <w:numFmt w:val="upperLetter"/>
      <w:start w:val="1"/>
    </w:lvl>
    <w:lvl w:ilvl="1">
      <w:lvlJc w:val="left"/>
      <w:lvlText w:val="(%2)"/>
      <w:numFmt w:val="decimal"/>
      <w:start w:val="3"/>
    </w:lvl>
  </w:abstractNum>
  <w:abstractNum w:abstractNumId="40">
    <w:nsid w:val="32FFF902"/>
    <w:multiLevelType w:val="hybridMultilevel"/>
    <w:lvl w:ilvl="0">
      <w:lvlJc w:val="left"/>
      <w:lvlText w:val="%1."/>
      <w:numFmt w:val="upperLetter"/>
      <w:start w:val="3"/>
    </w:lvl>
    <w:lvl w:ilvl="1">
      <w:lvlJc w:val="left"/>
      <w:lvlText w:val="(%2)"/>
      <w:numFmt w:val="decimal"/>
      <w:start w:val="1"/>
    </w:lvl>
  </w:abstractNum>
  <w:abstractNum w:abstractNumId="41">
    <w:nsid w:val="684A481A"/>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42">
    <w:nsid w:val="579478FE"/>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43">
    <w:nsid w:val="749ABB43"/>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44">
    <w:nsid w:val="3DC240FB"/>
    <w:multiLevelType w:val="hybridMultilevel"/>
    <w:lvl w:ilvl="0">
      <w:lvlJc w:val="left"/>
      <w:lvlText w:val="%1."/>
      <w:numFmt w:val="decimal"/>
      <w:start w:val="9"/>
    </w:lvl>
  </w:abstractNum>
  <w:abstractNum w:abstractNumId="45">
    <w:nsid w:val="1BA026FA"/>
    <w:multiLevelType w:val="hybridMultilevel"/>
    <w:lvl w:ilvl="0">
      <w:lvlJc w:val="left"/>
      <w:lvlText w:val="%1."/>
      <w:numFmt w:val="decimal"/>
      <w:start w:val="10"/>
    </w:lvl>
    <w:lvl w:ilvl="1">
      <w:lvlJc w:val="left"/>
      <w:lvlText w:val="%2."/>
      <w:numFmt w:val="upperLetter"/>
      <w:start w:val="1"/>
    </w:lvl>
  </w:abstractNum>
  <w:abstractNum w:abstractNumId="46">
    <w:nsid w:val="79A1DEAA"/>
    <w:multiLevelType w:val="hybridMultilevel"/>
    <w:lvl w:ilvl="0">
      <w:lvlJc w:val="left"/>
      <w:lvlText w:val="%1"/>
      <w:numFmt w:val="decimal"/>
      <w:start w:val="1"/>
    </w:lvl>
    <w:lvl w:ilvl="1">
      <w:lvlJc w:val="left"/>
      <w:lvlText w:val="%2."/>
      <w:numFmt w:val="upperLetter"/>
      <w:start w:val="5"/>
    </w:lvl>
  </w:abstractNum>
  <w:abstractNum w:abstractNumId="47">
    <w:nsid w:val="75C6C33A"/>
    <w:multiLevelType w:val="hybridMultilevel"/>
    <w:lvl w:ilvl="0">
      <w:lvlJc w:val="left"/>
      <w:lvlText w:val="%1."/>
      <w:numFmt w:val="decimal"/>
      <w:start w:val="11"/>
    </w:lvl>
    <w:lvl w:ilvl="1">
      <w:lvlJc w:val="left"/>
      <w:lvlText w:val="%2"/>
      <w:numFmt w:val="upperLetter"/>
      <w:start w:val="1"/>
    </w:lvl>
  </w:abstractNum>
  <w:abstractNum w:abstractNumId="48">
    <w:nsid w:val="12E685FB"/>
    <w:multiLevelType w:val="hybridMultilevel"/>
    <w:lvl w:ilvl="0">
      <w:lvlJc w:val="left"/>
      <w:lvlText w:val="%1."/>
      <w:numFmt w:val="decimal"/>
      <w:start w:val="12"/>
    </w:lvl>
  </w:abstractNum>
  <w:abstractNum w:abstractNumId="49">
    <w:nsid w:val="70C6A529"/>
    <w:multiLevelType w:val="hybridMultilevel"/>
    <w:lvl w:ilvl="0">
      <w:lvlJc w:val="left"/>
      <w:lvlText w:val="%1."/>
      <w:numFmt w:val="decimal"/>
      <w:start w:val="13"/>
    </w:lvl>
  </w:abstractNum>
  <w:abstractNum w:abstractNumId="50">
    <w:nsid w:val="520EEDD1"/>
    <w:multiLevelType w:val="hybridMultilevel"/>
    <w:lvl w:ilvl="0">
      <w:lvlJc w:val="left"/>
      <w:lvlText w:val="%1."/>
      <w:numFmt w:val="decimal"/>
      <w:start w:val="14"/>
    </w:lvl>
  </w:abstractNum>
  <w:abstractNum w:abstractNumId="51">
    <w:nsid w:val="374A3FE6"/>
    <w:multiLevelType w:val="hybridMultilevel"/>
    <w:lvl w:ilvl="0">
      <w:lvlJc w:val="left"/>
      <w:lvlText w:val="%1."/>
      <w:numFmt w:val="decimal"/>
      <w:start w:val="15"/>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3" Type="http://schemas.openxmlformats.org/officeDocument/2006/relationships/hyperlink" Target="http://www.sec.gov/Archives/edgar/data/1462418/000146241818000016/exhibit101_43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2019-12-28T21:08:52Z</dcterms:created>
  <dcterms:modified xsi:type="dcterms:W3CDTF">2019-12-28T21:08:52Z</dcterms:modified>
</cp:coreProperties>
</file>