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March 31, 2018</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86"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621"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24 69 79 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w:t>
      </w:r>
    </w:p>
    <w:p>
      <w:pPr>
        <w:sectPr>
          <w:pgSz w:w="11900" w:h="16838" w:orient="portrait"/>
          <w:cols w:equalWidth="0" w:num="1">
            <w:col w:w="11420"/>
          </w:cols>
          <w:pgMar w:left="240" w:top="621" w:right="239" w:bottom="1440" w:gutter="0" w:footer="0" w:header="0"/>
          <w:type w:val="continuous"/>
        </w:sectPr>
      </w:pPr>
    </w:p>
    <w:p>
      <w:pPr>
        <w:spacing w:after="0" w:line="20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(as defined in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Rule 12b-2 of the Exchange Act):</w:t>
      </w:r>
    </w:p>
    <w:p>
      <w:pPr>
        <w:spacing w:after="0" w:line="137"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00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660" w:type="dxa"/>
            <w:vAlign w:val="bottom"/>
          </w:tcPr>
          <w:p>
            <w:pPr>
              <w:ind w:left="19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00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660" w:type="dxa"/>
            <w:vAlign w:val="bottom"/>
          </w:tcPr>
          <w:p>
            <w:pPr>
              <w:ind w:left="198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000" w:type="dxa"/>
            <w:vAlign w:val="bottom"/>
          </w:tcPr>
          <w:p>
            <w:pPr>
              <w:spacing w:after="0"/>
              <w:rPr>
                <w:sz w:val="23"/>
                <w:szCs w:val="23"/>
                <w:color w:val="auto"/>
              </w:rPr>
            </w:pPr>
          </w:p>
        </w:tc>
        <w:tc>
          <w:tcPr>
            <w:tcW w:w="3660" w:type="dxa"/>
            <w:vAlign w:val="bottom"/>
          </w:tcPr>
          <w:p>
            <w:pPr>
              <w:ind w:left="198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As of April 20, 2018, there were 17,204,646 outstanding shares of the registrant’s shares of beneficial interest (excluding 8,208,102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47">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46</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48</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49,153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64,742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271,641</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305,679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303,707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w:t>
            </w:r>
          </w:p>
        </w:tc>
      </w:tr>
      <w:tr>
        <w:trPr>
          <w:trHeight w:val="264"/>
        </w:trPr>
        <w:tc>
          <w:tcPr>
            <w:tcW w:w="8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831,773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340" w:type="dxa"/>
            <w:vAlign w:val="bottom"/>
            <w:tcBorders>
              <w:bottom w:val="single" w:sz="8" w:color="CCEEFF"/>
            </w:tcBorders>
            <w:shd w:val="clear" w:color="auto" w:fill="CCEEFF"/>
          </w:tcPr>
          <w:p>
            <w:pPr>
              <w:ind w:left="4740"/>
              <w:spacing w:after="0"/>
              <w:rPr>
                <w:sz w:val="20"/>
                <w:szCs w:val="20"/>
                <w:color w:val="auto"/>
              </w:rPr>
            </w:pPr>
            <w:r>
              <w:rPr>
                <w:rFonts w:ascii="Arial" w:cs="Arial" w:eastAsia="Arial" w:hAnsi="Arial"/>
                <w:sz w:val="16"/>
                <w:szCs w:val="16"/>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9,414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109,561</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12,282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19)</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17,343 outstanding as of</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March 31, 2018; 100,000 shares authorized, 25,413 shares issued and 17,418 outstanding as of December 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112,475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Treasury stock, at cost (8,070 shares as of March 31, 2018 and 7,995 shares as of December 31, 2017)</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338,612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339,985</w:t>
            </w:r>
          </w:p>
        </w:tc>
      </w:tr>
      <w:tr>
        <w:trPr>
          <w:trHeight w:val="264"/>
        </w:trPr>
        <w:tc>
          <w:tcPr>
            <w:tcW w:w="8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831,773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32"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1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240,483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177,953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62,530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47,701</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Unrealized loss on investment in equity securities (Note 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(Loss) income before income taxes and non-controlling interests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9,746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6,545</w:t>
            </w:r>
          </w:p>
        </w:tc>
      </w:tr>
      <w:tr>
        <w:trPr>
          <w:trHeight w:val="257"/>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(Loss) earnings per share: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0.34</w:t>
            </w:r>
          </w:p>
        </w:tc>
      </w:tr>
      <w:tr>
        <w:trPr>
          <w:trHeight w:val="257"/>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18,662</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19,304</w:t>
            </w:r>
          </w:p>
        </w:tc>
      </w:tr>
      <w:tr>
        <w:trPr>
          <w:trHeight w:val="257"/>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of unrealized gain on investment in equity securities, net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provision of $200, to retained earnings from the cumulative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an accounting change (Note 1)</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rPr>
              <w:t>Unrealized gain on investment in equity securities, net of income tax</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provision of $4,725</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12,723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(loss) income, net of tax</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19,883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19,268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62,194</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7,160</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5"/>
              </w:rPr>
              <w:t>Other comprehensive income,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12,723</w:t>
            </w:r>
          </w:p>
        </w:tc>
        <w:tc>
          <w:tcPr>
            <w:tcW w:w="0" w:type="dxa"/>
            <w:vAlign w:val="bottom"/>
          </w:tcPr>
          <w:p>
            <w:pPr>
              <w:spacing w:after="0"/>
              <w:rPr>
                <w:sz w:val="1"/>
                <w:szCs w:val="1"/>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Cumulative effect of an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change (Note 13)</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7"/>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(10,590)</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March 31, 2017</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108,915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336,527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10,978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72,365</w:t>
            </w:r>
          </w:p>
        </w:tc>
        <w:tc>
          <w:tcPr>
            <w:tcW w:w="0" w:type="dxa"/>
            <w:vAlign w:val="bottom"/>
          </w:tcPr>
          <w:p>
            <w:pPr>
              <w:spacing w:after="0"/>
              <w:rPr>
                <w:sz w:val="1"/>
                <w:szCs w:val="1"/>
                <w:color w:val="auto"/>
              </w:rPr>
            </w:pPr>
          </w:p>
        </w:tc>
      </w:tr>
      <w:tr>
        <w:trPr>
          <w:trHeight w:val="257"/>
        </w:trPr>
        <w:tc>
          <w:tcPr>
            <w:tcW w:w="6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Balance, December 31, 2017</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112,475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626,600</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(426,609)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339,985</w:t>
            </w:r>
          </w:p>
        </w:tc>
        <w:tc>
          <w:tcPr>
            <w:tcW w:w="0" w:type="dxa"/>
            <w:vAlign w:val="bottom"/>
          </w:tcPr>
          <w:p>
            <w:pPr>
              <w:spacing w:after="0"/>
              <w:rPr>
                <w:sz w:val="1"/>
                <w:szCs w:val="1"/>
                <w:color w:val="auto"/>
              </w:rPr>
            </w:pPr>
          </w:p>
        </w:tc>
      </w:tr>
      <w:tr>
        <w:trPr>
          <w:trHeight w:val="47"/>
        </w:trPr>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(3,607)</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37"/>
        </w:trPr>
        <w:tc>
          <w:tcPr>
            <w:tcW w:w="2520" w:type="dxa"/>
            <w:vAlign w:val="bottom"/>
            <w:gridSpan w:val="2"/>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accounting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72"/>
              </w:rPr>
              <w:t>changes</w:t>
            </w:r>
          </w:p>
        </w:tc>
        <w:tc>
          <w:tcPr>
            <w:tcW w:w="1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shd w:val="clear" w:color="auto" w:fill="CCEEFF"/>
              </w:rPr>
              <w:t>(Note 1)</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(10,448)</w:t>
            </w:r>
          </w:p>
        </w:tc>
        <w:tc>
          <w:tcPr>
            <w:tcW w:w="0" w:type="dxa"/>
            <w:vAlign w:val="bottom"/>
          </w:tcPr>
          <w:p>
            <w:pPr>
              <w:spacing w:after="0"/>
              <w:rPr>
                <w:sz w:val="1"/>
                <w:szCs w:val="1"/>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(9,994)</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March 31, 2018</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114,676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600,253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320,082</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3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7,160</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Adjustments to reconcile net (loss) income to net cash</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shd w:val="clear" w:color="auto" w:fill="CCEEFF"/>
              </w:rPr>
              <w:t>used in o</w:t>
            </w: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10,008</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9,146</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Unrealized loss on investment in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(10,177)</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w:t>
            </w:r>
          </w:p>
        </w:tc>
      </w:tr>
      <w:tr>
        <w:trPr>
          <w:trHeight w:val="27"/>
        </w:trPr>
        <w:tc>
          <w:tcPr>
            <w:tcW w:w="39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r>
      <w:tr>
        <w:trPr>
          <w:trHeight w:val="27"/>
        </w:trPr>
        <w:tc>
          <w:tcPr>
            <w:tcW w:w="39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Purchase of treasury shares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(10,590)</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(11,893)</w:t>
            </w:r>
          </w:p>
        </w:tc>
      </w:tr>
      <w:tr>
        <w:trPr>
          <w:trHeight w:val="27"/>
        </w:trPr>
        <w:tc>
          <w:tcPr>
            <w:tcW w:w="39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(32,196)</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153,421</w:t>
            </w:r>
          </w:p>
        </w:tc>
      </w:tr>
      <w:tr>
        <w:trPr>
          <w:trHeight w:val="264"/>
        </w:trPr>
        <w:tc>
          <w:tcPr>
            <w:tcW w:w="3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121,225</w:t>
            </w:r>
          </w:p>
        </w:tc>
      </w:tr>
      <w:tr>
        <w:trPr>
          <w:trHeight w:val="20"/>
        </w:trPr>
        <w:tc>
          <w:tcPr>
            <w:tcW w:w="3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5,456</w:t>
            </w: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6,515</w:t>
            </w:r>
          </w:p>
        </w:tc>
      </w:tr>
      <w:tr>
        <w:trPr>
          <w:trHeight w:val="270"/>
        </w:trPr>
        <w:tc>
          <w:tcPr>
            <w:tcW w:w="3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Increase in payables for purchases of premises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15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2018, Lenders One had total assets of $4.8 million and total liabilities of $3.2 million. As of December 31, 2017, Lenders One had total assets of $4.6 million and total liabilities of $3.1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2017, as filed with the SEC on February 22,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and during 2016, the FASB issued additional guidance providing clarifications and corrections, including: ASU No. 2016-08,</w:t>
      </w:r>
      <w:r>
        <w:rPr>
          <w:rFonts w:ascii="Arial" w:cs="Arial" w:eastAsia="Arial" w:hAnsi="Arial"/>
          <w:sz w:val="17"/>
          <w:szCs w:val="17"/>
          <w:i w:val="1"/>
          <w:iCs w:val="1"/>
          <w:color w:val="auto"/>
        </w:rPr>
        <w:t xml:space="preserve"> Revenue from Contracts with Customers (Topic 606): Principal versus Agent Considerations (Reporting Revenue Gross versus 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Topic 606 establishes a single comprehensive model for entities to use in accounting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from contracts with customers and supersedes most prior revenue recognition guidance. This new standard requires that an entity recognize revenue for the transfer of promised goods or services to a customer in an amount that reflects the consideration that the entity expects to receive and consistent with the delivery of the performance obligation described in the underlying contract with the customer.</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adopted Topic 606 effective January 1, 2018 using the cumulative effect method. As a result of this adoption, the Company recognized an $11.2 million increase in deferred revenue, a $1.1 million increase in unbilled accounts receivable, a $0.3 million increase in other current liabilities and a $10.4 million decrease in retained earnings as of January 1, 2018. Because the Company adopted Topic 606 retrospectively with a cumulative effect as of January 1, 2018, the comparative results as of December 31, 2017 and for the three months ended March 31, 2017 have not been restated and continue to be reported under Accounting Standards Codification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SEC Staff Accounting Bulletin Topic 13, </w:t>
      </w:r>
      <w:r>
        <w:rPr>
          <w:rFonts w:ascii="Arial" w:cs="Arial" w:eastAsia="Arial" w:hAnsi="Arial"/>
          <w:sz w:val="17"/>
          <w:szCs w:val="17"/>
          <w:i w:val="1"/>
          <w:iCs w:val="1"/>
          <w:color w:val="auto"/>
        </w:rPr>
        <w:t>Revenue Recognition</w:t>
      </w:r>
      <w:r>
        <w:rPr>
          <w:rFonts w:ascii="Arial" w:cs="Arial" w:eastAsia="Arial" w:hAnsi="Arial"/>
          <w:sz w:val="17"/>
          <w:szCs w:val="17"/>
          <w:color w:val="auto"/>
        </w:rPr>
        <w:t>. The details of the significant changes and quantitative impact of the adoption of Topic 606 are described below. Also see Note 14 for additional information on revenues, including disaggregation of revenue and contract 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adoption of Topic 606, the Company’s accounting policy for revenue recognition is as follows: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from the services we provide in accordance with the 5-step process outlined in Topic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by reportable segment are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17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loan servicing technologies, we recognize revenue based on the number of loans on the system, on a per-transaction basis or over the estimated average number of months the loans and real estate owned (“REO”) are on the platform, as applicable. We generally recognize revenue for professional services relating to loan servicing technologies over the contract period. For our loan origination system, we generally recognize revenue over the contract term, beginning on the commencement date of each contract. For foreclosure trustee services, we recognize revenue over the period during which we perform the related services, with full recognition upon completion and/or recording the related foreclosure deed. For loan disbursement processing services, we recognize revenue over the period during which we perform the processing services with full recognition upon completion of the disbursements. We use judgment to determine the period over which we recognize revenue for certain of these services. For mortgage charge-off collections performed on behalf of our clients, we recognize revenue as a percentage of amounts collected following collection from the borrowers.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real estate brokerage and auction services, we recognize revenue on a net basis as we perform services as an agent without assuming the risks and rewards of ownership of the asset and the commission earned on the sale is a fixed percentage.</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Reimbursable expenses revenue, primarily related to our property preservation and inspection services, real estate sales and our foreclosure trustee services businesses, is included in revenue with an equal amount recognized in cost of revenue. These amounts are recognized on a gross basis, principally because generally we have control over selection of vendors and the vendor relationship is with us, rather than with our customers.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171" w:lineRule="exact"/>
        <w:rPr>
          <w:rFonts w:ascii="Arial" w:cs="Arial" w:eastAsia="Arial" w:hAnsi="Arial"/>
          <w:sz w:val="18"/>
          <w:szCs w:val="18"/>
          <w:color w:val="auto"/>
        </w:rPr>
      </w:pPr>
    </w:p>
    <w:p>
      <w:pPr>
        <w:jc w:val="both"/>
        <w:ind w:left="680" w:hanging="321"/>
        <w:spacing w:after="0" w:line="297"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our renovation services, revenue is recognized over the period of the construction activity, based on the estimated percentage of completion of the projects. We use judgment to determine the period over which we recognize revenue for certain of these services. For real estate brokerage and auction services, we recognize revenue on a net basis as we perform services as an agent without assuming the risks and rewards of ownership of the asset and the commission earned on the sale is a fixed percentage. For the buy-renovate-lease-sell business, we recognize revenue associated with our sales of short-term investments in real estate on a gross basis as we assume the risks and rewards of ownership of the asset.</w:t>
      </w:r>
    </w:p>
    <w:p>
      <w:pPr>
        <w:spacing w:after="0" w:line="104" w:lineRule="exact"/>
        <w:rPr>
          <w:rFonts w:ascii="Arial" w:cs="Arial" w:eastAsia="Arial" w:hAnsi="Arial"/>
          <w:sz w:val="16"/>
          <w:szCs w:val="16"/>
          <w:color w:val="auto"/>
        </w:rPr>
      </w:pPr>
    </w:p>
    <w:p>
      <w:pPr>
        <w:jc w:val="both"/>
        <w:ind w:left="680" w:hanging="321"/>
        <w:spacing w:after="0" w:line="26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Reimbursable expenses revenue, primarily related to our real estate sales business, is included in revenue with an equal offsetting expense recognized in cost of revenue. These amounts are recognized on a gross basis, principally because generally we have control over selection of vendors and the vendor relationship is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Corporate and Eliminations</w:t>
      </w:r>
    </w:p>
    <w:p>
      <w:pPr>
        <w:spacing w:after="0" w:line="171" w:lineRule="exact"/>
        <w:rPr>
          <w:sz w:val="20"/>
          <w:szCs w:val="20"/>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 We generally earn fees for our post-charge-off consumer debt collection services as a percentage of the amount we collect on delinquent consumer receivables and recognize revenue following collection from the borrowers. We provide customer relationship management services for which we typically earn and recognize revenue on a per-person, per-call or per-minute basis as the related services are performed.</w:t>
      </w:r>
    </w:p>
    <w:p>
      <w:pPr>
        <w:spacing w:after="0" w:line="132"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information technology (“IT”) infrastructure services we provide to Ocwen Financial Corporation (“Ocwen”), Front Yard Residential Corporation (“RESI”) and Altisource Asset Management Corporation (“AAMC”), we recognize revenue primarily based on the number of users of the applicable systems, fixed fees and the number and type of licensed platforms. We recognize revenue associated with implementation services upon completion and maintenance ratably over the related service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adopting Topic 606 on the Company’s condensed consolidated balance sheet as of March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39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394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3940" w:type="dxa"/>
            <w:vAlign w:val="bottom"/>
            <w:tcBorders>
              <w:top w:val="single" w:sz="8" w:color="auto"/>
            </w:tcBorders>
          </w:tcPr>
          <w:p>
            <w:pPr>
              <w:spacing w:after="0"/>
              <w:rPr>
                <w:sz w:val="23"/>
                <w:szCs w:val="23"/>
                <w:color w:val="auto"/>
              </w:rPr>
            </w:pPr>
          </w:p>
        </w:tc>
        <w:tc>
          <w:tcPr>
            <w:tcW w:w="2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251,296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251,268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831,745</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88,253</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610,422</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Altisource equity</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318,856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329,025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330,251</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831,773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831,745</w:t>
            </w:r>
          </w:p>
        </w:tc>
        <w:tc>
          <w:tcPr>
            <w:tcW w:w="0" w:type="dxa"/>
            <w:vAlign w:val="bottom"/>
          </w:tcPr>
          <w:p>
            <w:pPr>
              <w:spacing w:after="0"/>
              <w:rPr>
                <w:sz w:val="1"/>
                <w:szCs w:val="1"/>
                <w:color w:val="auto"/>
              </w:rPr>
            </w:pPr>
          </w:p>
        </w:tc>
      </w:tr>
      <w:tr>
        <w:trPr>
          <w:trHeight w:val="702"/>
        </w:trPr>
        <w:tc>
          <w:tcPr>
            <w:tcW w:w="3940" w:type="dxa"/>
            <w:vAlign w:val="bottom"/>
          </w:tcPr>
          <w:p>
            <w:pPr>
              <w:spacing w:after="0"/>
              <w:rPr>
                <w:sz w:val="24"/>
                <w:szCs w:val="24"/>
                <w:color w:val="auto"/>
              </w:rPr>
            </w:pPr>
          </w:p>
        </w:tc>
        <w:tc>
          <w:tcPr>
            <w:tcW w:w="270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impact of adopting Topic 606 on the Company’s condensed consolidated statement of operations and comprehensive income for the three months ended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197,850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147,194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147,991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before income taxes and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Topic 606 did not have any impact on net cash flows used in operating, financing or investing activities on the Company’s condensed consolidated statement of cash flows for the three months ended March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requires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was effective for the Company on January 1, 2018. The adoption of this standard resulted in a cumulative effect adjustment to increase retained earnings and decrease accumulated other comprehensive income by $0.7 million on January 1, 2018. Changes in the fair value of the Company’s investment in RESI subsequent to January 1, 2018, as well as any equity investments acquired in the future, will be reflected as a component of net income in the Company’s condensed consolidated statements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Recently Adopted Accounting Pronouncements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standard addresses eight specific cash flow issues with the objective of reducing the existing diversity in practice. This standard was effective for the Company on January 1, 2018, and the adoption of this guidance did not have any effect on the Company’s condensed consolidated statement of cash flows.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requires that companies recognize the income tax consequences of an intra-entity transfer of an asset (other than inventory) when the transfer occurs. Previous guidance prohibited companies from recognizing current and deferred income taxes for an intra-entity asset transfer until the asset has been sold to an outside party. This standard was effective for the Company on January 1, 2018, and the adoption of this guidance did not have any effect on the Company’s results of operations and financial position.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This standard requires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was effective for the Company on January 1, 2018, and was adopted using the retrospective transition method, as required by the standard. The adoption of this standard resulted in the classification of the Company’s restricted cash with cash and cash equivalents reported in the Company’s condensed consolidated statements of cash flows. As a result, the Company included $4.1 million, $3.8 million, $4.1 million and $4.1 million of restricted cash with cash and cash equivalents in its condensed consolidated statements of cash flows as of March 31, 2018, December 31, 2017, March 31, 2017 and December 31, 2016,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standard was effective for the Company on January 1, 2018, and the adoption of this guidance did not have any effect on the Company’s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standard was issued to clarify the scope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Subtopic 610-20, </w:t>
      </w:r>
      <w:r>
        <w:rPr>
          <w:rFonts w:ascii="Arial" w:cs="Arial" w:eastAsia="Arial" w:hAnsi="Arial"/>
          <w:sz w:val="18"/>
          <w:szCs w:val="18"/>
          <w:i w:val="1"/>
          <w:iCs w:val="1"/>
          <w:color w:val="auto"/>
        </w:rPr>
        <w:t>Other Income-Gains and Losses from the Derecognition of Nonfinancial Assets</w:t>
      </w:r>
      <w:r>
        <w:rPr>
          <w:rFonts w:ascii="Arial" w:cs="Arial" w:eastAsia="Arial" w:hAnsi="Arial"/>
          <w:sz w:val="18"/>
          <w:szCs w:val="18"/>
          <w:color w:val="auto"/>
        </w:rPr>
        <w:t>, and to add guidance for partial sales of nonfinancial assets. Subtopic 610-20 provides guidance for recognizing gains and losses from the transfer of nonfinancial assets in contracts with noncustomers. This standard was effective for the Company on January 1, 2018, and the adoption of this guidance did not have any effect on the Company’s results of operations and financial position.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requires companies to continue to apply modification accounting, unless the fair value, vesting conditions and classification of an award all do not change as a result of the modification. This standard was effective for the Company on January 1, 2018, and the adoption of this guidance did not have any effect on the Company’s results of operations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introduces a new lessee model that brings substantially all leases on the balance sheet. This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arrangements where the Company is a lessee, we estimate that the new standard, if implemented as of March 31, 2018, would result in approximately $22.0 million right-of-use assets and lease liabilities on the Company’s condensed consolidated balance sheet as of March 31, 2018. The Company will continue to analyze the impact of this guidance and refine the estimated impact on its results of operations and financial position.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in this standard better align an entity’s risk management activities and financial reporting for hedging relationships through changes to both the designation and measurement guidance for qualifying hedging relationships and the presentation of hedging results. This standard will be effective for annual periods beginning after December 15, 2018, including interim periods within that reporting period. Early application is permitted. The Company currently does not expect the adoption of this guidance to have a material effect on its results of operations and financial position.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2018, Ocwen was our largest customer, accounting for 52% of our total revenue. Ocwen is a residential mortgage loan servicer of mortgage servicing rights (“MSRs”) it owns, including those MSRs in which others have an economic interest, and a subservicer of MSRs owned by others. Ocwen purchases certain mortgage services and technology services from us under the terms of master services agreements and amendments thereto (collectively, the “Ocwen Services Agreements”) with terms extending through August 2025. Certain of the Ocwen Service Agreements contain a “most favored nation” provision and also grant the parties the right to renegotiate pricing, among other things. Certain of the Ocwen Service Agreements also prohibit Ocwen from establishing fee-based businesses that would directly or indirectly compete with Altisource’s services with respect to the Homeward Residential, Inc. and Residential Capital, LLC loan portfolios acquired by Ocwen in December 2012 and February 2013, respectively. Ocwen also purchases certain origination services from Altisource under an agreement that continues until January 2019, but which is subject to a 90 day termination right by Ocwen.</w:t>
      </w:r>
    </w:p>
    <w:p>
      <w:pPr>
        <w:spacing w:after="0" w:line="1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Ocwen primarily consists of revenue earned from the loan portfolios serviced by Ocwen when Ocwen designates us as the service provider and revenue earned directly from Ocwen. For the three months ended March 31, 2018 and 2017, we generated revenue from Ocwen of $102.0 million and $141.4 million, respectively. Revenue from Ocwen as a percentage of segment and consolidated revenue was as follows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gridSpan w:val="2"/>
          </w:tcPr>
          <w:p>
            <w:pPr>
              <w:ind w:left="918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70"/>
        </w:trPr>
        <w:tc>
          <w:tcPr>
            <w:tcW w:w="86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loan portfolios serviced by Ocwen when a party other than Ocwen or the MSR owner selects Altisource as the service provider. For the three months ended March 31, 2018 and 2017, we recognized revenue of $15.2 million and $41.7 million, respectively, related to the loan portfolios serviced by Ocwen when a party other than Ocwen or the MSR owner selected Altisource as the service provider. These amounts are not included in deriving revenue from Ocwen as a percentage of revenue in the table above.</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March 31, 2018, accounts receivable from Ocwen totaled $18.4 million, $13.4 million of which was billed and $5.0 million of which was unbilled. As of December 31, 2017, accounts receivable from Ocwen totaled $18.9 million, $13.6 million of which was billed and $5.3 million of which was unbilled.</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2017, we estimate that New Residential Investment Corp. (individually, together with one or more of its subsidiaries or one or more of its subsidiaries individually, “NRZ”) owned certain economic rights in, but not legal title to, approximately 78% of Ocwen’s non-government-sponsored enterprise (“non-GSE”) MSRs (the “Subject MSRs”).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we earned revenue from NRZ of $10.3 million following the transfer of certain of the Subject MSRs from Ocwen to NRZ (the “Transferred MSRs”) (no comparative amount in 2017). For the three months ended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2018, we earned additional revenue of $16.1 million relating to the Transferred MSRs when a party other than NRZ selects Altisource as the service provider (no comparative amount in 2017).</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to continue through April 30, 2018 with a further automatic extension through May 15, 2018 provided that the parties continue to negotiate the Services Agreement in good faith.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revenue from NRZ will increase over time and revenue from Ocwen will decrease. As Subject MSRs continue to transfer from Ocwen to NRZ and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three months ended March 31, 2018 would have been related to NRZ. There can be no assurance that the parties will reach an agreement with respect to the terms of the Services Agreement or that a Services Agreement will be entered into on a timely basis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EQUITY SECURITIES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2016, we purchased 4.1 million shares of RESI common stock for $48.2 million. This investment is reflected in the condensed consolidated balance sheets at a fair value of $41.7 million as of March 31, 2018 and $49.2 million as of December 31, 2017. During the three months ended March 31, 2018, we recognized an unrealized loss of $7.5 million on our investment in RESI as a result of a decline in the market value of RESI common shares in the condensed consolidated statements of operations and comprehensive income. During the three months ended March 31, 2017, an unrealized gain on our investment in RESI of $12.7 million, net of income tax expense, was reflected in other comprehensive income in the condensed consolidated statements of operations and comprehensive income (See Note 1 for additional information on the adoption of the new accounting standard on investments in equity securities). During the three months ended March 31, 2018 and 2017, we earned dividends of $0.6 million in each period related to this investment.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40,787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19,231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22,532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63,319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50,839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52,740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and sales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2840"/>
        <w:spacing w:after="0" w:line="512" w:lineRule="auto"/>
        <w:rPr>
          <w:sz w:val="20"/>
          <w:szCs w:val="20"/>
          <w:color w:val="auto"/>
        </w:rPr>
      </w:pPr>
      <w:r>
        <w:rPr>
          <w:rFonts w:ascii="Arial" w:cs="Arial" w:eastAsia="Arial" w:hAnsi="Arial"/>
          <w:sz w:val="17"/>
          <w:szCs w:val="17"/>
          <w:b w:val="1"/>
          <w:bCs w:val="1"/>
          <w:color w:val="auto"/>
        </w:rPr>
        <w:t xml:space="preserve">NOTE 5 — PREPAID EXPENSES AND OTHER CURRENT ASSETS </w:t>
      </w:r>
      <w:r>
        <w:rPr>
          <w:rFonts w:ascii="Arial" w:cs="Arial" w:eastAsia="Arial" w:hAnsi="Arial"/>
          <w:sz w:val="17"/>
          <w:szCs w:val="17"/>
          <w:color w:val="auto"/>
        </w:rPr>
        <w:t>Prepaid expenses and other current assets consist of the following: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in real estate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64,742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(163,191)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totaled $8.7 million and $10.0 million for the three months ended March 31, 2018 and 2017, respectively, and is included in cost of revenue for operating assets and in selling, general and administrative expenses for non-operating assets in the accompanying condensed consolidated statements of operations and comprehensive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2018 and December 31, 2017</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24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Gross carrying amount</w:t>
            </w:r>
          </w:p>
        </w:tc>
        <w:tc>
          <w:tcPr>
            <w:tcW w:w="200" w:type="dxa"/>
            <w:vAlign w:val="bottom"/>
          </w:tcPr>
          <w:p>
            <w:pPr>
              <w:spacing w:after="0"/>
              <w:rPr>
                <w:sz w:val="14"/>
                <w:szCs w:val="14"/>
                <w:color w:val="auto"/>
              </w:rPr>
            </w:pPr>
          </w:p>
        </w:tc>
        <w:tc>
          <w:tcPr>
            <w:tcW w:w="24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4"/>
                <w:szCs w:val="14"/>
                <w:color w:val="auto"/>
              </w:rPr>
            </w:pPr>
          </w:p>
        </w:tc>
        <w:tc>
          <w:tcPr>
            <w:tcW w:w="2300" w:type="dxa"/>
            <w:vAlign w:val="bottom"/>
            <w:gridSpan w:val="4"/>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277,828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277,828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(194,470)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(188,258)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83,358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89,570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112,918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120,065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$7.1 million and $9.1 million for the three months ended March 31, 2018 and 2017, respectively. Anticipated annual definite lived intangible asset amortization for 2018 through 2022 is $26.4 million, $21.8 million, $18.2 million, $11.4 million and $7.3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ACCOUNTS PAYABLE, 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66,475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LONG-TERM DEBT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413,581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407,661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409,281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401,716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403,336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were guarantors of the senior secured term loan (collectively, the “Guarantors”). We subsequently entered into four amendments to the senior secured term loan agreement to, among other changes, increase the principal amount of the senior secured term loan, re-establish the $200.0 million incremental senior secured term loan facility accordion, lower the interest rate, extend the maturity date by approximately one year, increase the maximum amount of Restricted Junior Payments (as defined in the senior secured term loan agreement; other capitalized terms, unless defined herein, are defined in the senior secured term loan agreement) and certain other changes including to facilitate an internal restructuring of the Company’s subsidiaries. On April 3, 2018, Altisource Portfolio Solutions S.A. and Altisource S.à r.l. entered into a credit agreement with Morgan Stanley Senior Funding, Inc. as administrative agent and collateral agent and the other lender parties thereto, pursuant to which the lenders have agreed to extend credit to Altisource S.à r.l. in the form of (i) Term B Loans (as defined in the credit agreement) in an aggregate principal amount equal to $412.0 million and (ii) a $15.0 million revolving credit facility. The proceeds of the Term B Loans were used to refinance Altisource S.à r.l.’s senior secured term loan. See Note 21 for additional information on the April 3, 2018 Term B Loans and revolving credit facility.</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senior secured term loan was required to be repaid in equal consecutive quarterly principal installments of $1.5 million, with the balance due at maturity. All amounts outstanding under the senior secured term loan agreement would have been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scheduled principal payments, subject to certain exceptions, the senior secured term loan was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(the percentage increases if the leverage ratio exceeds 3.50 to 1.00). No mandatory prepayments were owed for the three months ended March 31, 2018.</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senior secured term loan bore interest at rates based upon, at our option, the Adjusted Eurodollar Rate or the Base Rate. Adjusted Eurodollar Rate loans bore interest at a rate per annum equal to the sum of (i) the greater of (x) the Adjusted Eurodollar Rate for the applicable interest period and (y) 1.00% plus</w:t>
      </w:r>
    </w:p>
    <w:p>
      <w:pPr>
        <w:ind w:firstLine="8"/>
        <w:spacing w:after="0" w:line="261"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3.50% margin. Base Rate loans bore interest at a rate per annum equal to the sum of (i) the greater of (x) the Base Rate and (y) 2.00% plus (ii) a 2.50% margin. The interest rate at March 31, 2018 was 5.38%.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Senior secured term loan payments were guaranteed by the Guarantors and were secured by a pledge of all equity interests of certain subsidiaries as well as a lien on substantially all of the assets of Altisource S.à r.l. and the Guarantors, subject to certain exceptions.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included covenants that restricted or limited,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contained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caused, or gave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occurred and was not cured within applicable grace periods set forth in the senior secured term loan agreement or waived, all loans and other obligations could have become due and immediately payable and the facility could have been terminated.</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2018, debt issuance costs were $3.4 million, net of $7.4 million of accumulated amortization. At December 31, 2017, debt issuance costs were $3.2 million, net of $7.1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 AND FINANCIAL INSTRUMENTS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March 31, 2018 and December 31, 2017.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March 31, 2018</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jc w:val="center"/>
              <w:ind w:left="415"/>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412,095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412,095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413,581</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407,377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 equity securities is carried at fair value and consists of 4.1 million shares of RESI common stock. The investment in equity securities is measured using Level 1 inputs as this security has a quoted price in an active market.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the largest portion of its revenues from Ocwen (see Note 2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13 — SHAREHOLDERS’ EQUITY AND SHARE-BASED COMPENSATION 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17, 2017, our shareholders approved the renewal of the share repurchase program previously approved by the shareholders on May 18, 2016, which replaced the previous share repurchase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As of March 31, 2018, approximately 3.1 million shares of common stock remain available for repurchase under the program. We purchased 0.4 million shares of common stock at an average price of $27.67 per share during the three months ended March 31, 2018 and 0.4 million shares at an average price of $25.10 per share during the three months ended March 31, 2017. Luxembourg law limits share repurchases to the balance of Altisource Portfolio Solutions S.A. (unconsolidated parent company) retained earnings, less the value of shares repurchased. As of March 31, 2018, we can repurchase up to approximately $141 million of our common stock under Luxembourg law. Our senior secured term loan limited the amount we could have spent on share repurchases, which was approximately $464 million as of March 31, 2018, and may have prevented repurchases in certain circumstances. The new credit agreement retains this amount available for share repurchases and other restricted payments. See Note 21 for additional information on the new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$2.2 million and $0.7 million for the three months ended March 31, 2018 and 2017, respectively. As of March 31, 2018, estimated unrecognized compensation costs related to share-based awards amounted to $16.9 million, which we expect to recognize over a weighted average remaining requisite service period of approximately 2.28 years.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January 1, 2017 adoption of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the Company made an accounting policy election to account for forfeitures in compensation expense as they occur,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to apply the Company’s previous policy of estimating forfeitures. Prior to this accounting change, share-based compensation expense for stock options and restricted shares was recognized net of estimated forfeiture rates ranging from 0% to 40%. This policy election resulted in a cumulative effect adjustment of $0.9 million to retained earnings and additional paid-in capital as of January 1, 2017 using the modified retrospective transition method.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611 thousand service-based awards were outstanding as of March 31, 2018.</w:t>
      </w:r>
    </w:p>
    <w:p>
      <w:pPr>
        <w:spacing w:after="0" w:line="93"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generally have two components, each of which vests only upon the achievement of certain criteria.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707 thousand market-based awards were outstanding as of March 31, 2018.</w:t>
      </w:r>
    </w:p>
    <w:p>
      <w:pPr>
        <w:spacing w:after="0" w:line="11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begin to vest upon the achievement of certain specific financial measures. Generally,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begin vesting if the performance criteria are achieved; one-fourth vest on each anniversary of the grant date. For certain other financial measures, awards cliff-vest upon the achievement of the specific performance during the period from 2018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award is canceled. The options expire on the earlier of ten years after the date of grant or following termination of service. There were 306 thousand performance-based awards outstanding as of March 31, 2018.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261 thousand stock options (at a weighted average exercise price of $24.95 per share) during the three months ended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 grants during the three months ended March 31, 2017.</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300" w:type="dxa"/>
            <w:vAlign w:val="bottom"/>
            <w:gridSpan w:val="3"/>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812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 – 2.70</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 – 2.77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70.31 – 71.81</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71.81</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6.00 – 6.25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2.56 – 4.32</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 – $17.15</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$15.58 – $18.28</w:t>
            </w:r>
          </w:p>
        </w:tc>
      </w:tr>
      <w:tr>
        <w:trPr>
          <w:trHeight w:val="27"/>
        </w:trPr>
        <w:tc>
          <w:tcPr>
            <w:tcW w:w="8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2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54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3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868</w:t>
            </w:r>
          </w:p>
        </w:tc>
      </w:tr>
      <w:tr>
        <w:trPr>
          <w:trHeight w:val="27"/>
        </w:trPr>
        <w:tc>
          <w:tcPr>
            <w:tcW w:w="5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r>
      <w:tr>
        <w:trPr>
          <w:trHeight w:val="675"/>
        </w:trPr>
        <w:tc>
          <w:tcPr>
            <w:tcW w:w="5460" w:type="dxa"/>
            <w:vAlign w:val="bottom"/>
          </w:tcPr>
          <w:p>
            <w:pPr>
              <w:spacing w:after="0"/>
              <w:rPr>
                <w:sz w:val="24"/>
                <w:szCs w:val="24"/>
                <w:color w:val="auto"/>
              </w:rPr>
            </w:pPr>
          </w:p>
        </w:tc>
        <w:tc>
          <w:tcPr>
            <w:tcW w:w="2780" w:type="dxa"/>
            <w:vAlign w:val="bottom"/>
          </w:tcPr>
          <w:p>
            <w:pPr>
              <w:jc w:val="right"/>
              <w:ind w:right="23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1,745,906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260,697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(96,734)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1,623,617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March 31,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841,472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vesting in equal annual installments, vesting of all of the restricted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the vesting period or vesting beginning after two years of service. A total of 565 thousand service-based awards were outstanding as of March 31, 2018.</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number of performance-based restricted shares that may vest will be based on the level of achievement, as specified in the award agreements. If the performance criteria achieved is above threshold performance levels, participants have the opportunity to vest in 80% to 150% of the restricted share award, depending on performance level achieved. If the performance criteria achieved is below a certain threshold, the award is canceled. A total of two thousand performance-based awards were outstanding as of March 31, 2018.</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255 thousand restricted shares and restricted share units (at a weighted average grant date fair value of $24.54 per share) during the three months ended March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restricted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7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7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356,509</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Granted</w:t>
            </w:r>
          </w:p>
        </w:tc>
        <w:tc>
          <w:tcPr>
            <w:tcW w:w="7340" w:type="dxa"/>
            <w:vAlign w:val="bottom"/>
            <w:gridSpan w:val="2"/>
          </w:tcPr>
          <w:p>
            <w:pPr>
              <w:jc w:val="right"/>
              <w:ind w:right="28"/>
              <w:spacing w:after="0"/>
              <w:rPr>
                <w:sz w:val="20"/>
                <w:szCs w:val="20"/>
                <w:color w:val="auto"/>
              </w:rPr>
            </w:pPr>
            <w:r>
              <w:rPr>
                <w:rFonts w:ascii="Arial" w:cs="Arial" w:eastAsia="Arial" w:hAnsi="Arial"/>
                <w:sz w:val="18"/>
                <w:szCs w:val="18"/>
                <w:color w:val="auto"/>
              </w:rPr>
              <w:t>254,619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Forfeited/canceled</w:t>
            </w:r>
          </w:p>
        </w:tc>
        <w:tc>
          <w:tcPr>
            <w:tcW w:w="7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7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567,431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Arial" w:cs="Arial" w:eastAsia="Arial" w:hAnsi="Arial"/>
                <w:sz w:val="18"/>
                <w:szCs w:val="18"/>
                <w:color w:val="auto"/>
              </w:rPr>
              <w:t>20</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REVENUE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 The components of revenue were as follows for the three months ended March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229,839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197,438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240,483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Company adopted Topic 606 effective January 1, 2018 using the cumulative effect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is as follows for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Revenue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performed or assets are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129,536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18,273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7,602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155,411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138,721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20,959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167,338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166,956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22,335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197,438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4). Our contract liabilities consist of current deferred revenue as reported on the condensed consolidated balance sheets and non-current deferred revenue (see Note 11). Revenue recognized that was included in the contract liability at the beginning of the period, including amounts added to the contract liability as part of the cumulative effect of the adopting Topic 606, was $5.9 million for the three months ended March 31,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COST OF REVENUE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three months ended March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80,959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7,587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147,194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177,953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 The components of selling, general and administrative expenses were as follows for the three months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17 — OTHER INCOME (EXPENSE),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ectPr>
          <w:pgSz w:w="11900" w:h="16838" w:orient="portrait"/>
          <w:cols w:equalWidth="0" w:num="1">
            <w:col w:w="11420"/>
          </w:cols>
          <w:pgMar w:left="240" w:top="125"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6,545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19,304</w:t>
            </w:r>
          </w:p>
        </w:tc>
      </w:tr>
      <w:tr>
        <w:trPr>
          <w:trHeight w:val="257"/>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2018 and 2017, 0.3 million options and 0.4 million options, respectively, were excluded from the computation of diluted EPS because they were anti-dilutive since their exercise price was greater than the average market price of our common stock. Also excluded from the computation of diluted EPS for the three months ended March 31, 2018 and 2017 were 0.6 million options, restricted shares and restricted share units and 0.2 million options, respectively, which begin to vest upon the achievement of certain market criteria related to our common stock price, performance criteria and an annualized rate of return to shareholders that have not yet been met. Furthermore, as a result of the net loss attributable to Altisource for the three months ended March 31, 2018, 0.5 million options, restricted shares and restricted share units were excluded from the computation of diluted EPS for the three months ended March 31, 2018, as their impact was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previously disclosed, the Company received a Notice and Opportunity to Respond and Advise (“NORA”) letter on November 10, 2016 from the Consumer Financial Protection Bureau (“CFPB”) indicating that the CFPB was considering a potential enforcement action against Altisource relating to an alleged violation of federal law focused on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 during the three months ended March 31, 2018, Ocwen was our largest customer, accounting for 52% of our total revenue. Additionally, 8% of our revenue for the three months ended March 31, 2018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pending acquisition of PHH Corporation is expected to accelerate its transition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 new servicing platform. Altisource is supporting Ocwen through this transition. We do not anticipate that a servicing technology transition would impact the other services we provide to Ocwen. For the three months ended March 31, 2018 and 2017, service revenue from REALServicing was $6.5 million and $7.0 million, respectively.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above, as of June 30, 2017, we estimate that NRZ owned certain economic rights in, but not legal title to, approximately 78% of the Subject MSRs.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28, 2017, Altisource and NRZ also entered into the Services LOI, setting forth the terms pursuant to which Altisource would remain the exclusive service provider of fee-based services for the Subject MSRs through August 2025. The Services LOI was amended to continue through April 30, 2018 with a further automatic extension through May 15, 2018 provided that the parties continue to negotiate the Services Agreement in good faith.</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revenue from NRZ will increase over time and revenue from Ocwen will decrease. As Subject MSRs continue to transfer from Ocwen to NRZ and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three months ended March 31, 2018 would have been related to NRZ. There can be no assurance that the parties will reach an agreement with respect to the terms of the Services Agreement or that a Services Agreement will be entered into on a timely basis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condensed consolidated balance sheets. Amounts held in escrow and trust accounts were $24.6 million and $35.1 million at March 31, 2018 and December 31,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report our operations through two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separately.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segment provides loan servicers and originators with marketplaces, services and technologies that span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real estate consumers and rental property investors with marketplaces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197,438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147,194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50,244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43,124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3"/>
              <w:spacing w:after="0"/>
              <w:rPr>
                <w:sz w:val="20"/>
                <w:szCs w:val="20"/>
                <w:color w:val="auto"/>
              </w:rPr>
            </w:pPr>
            <w:r>
              <w:rPr>
                <w:rFonts w:ascii="Arial" w:cs="Arial" w:eastAsia="Arial" w:hAnsi="Arial"/>
                <w:sz w:val="18"/>
                <w:szCs w:val="18"/>
                <w:color w:val="auto"/>
              </w:rPr>
              <w:t>32,907</w:t>
            </w:r>
          </w:p>
        </w:tc>
        <w:tc>
          <w:tcPr>
            <w:tcW w:w="120" w:type="dxa"/>
            <w:vAlign w:val="bottom"/>
          </w:tcPr>
          <w:p>
            <w:pPr>
              <w:spacing w:after="0"/>
              <w:rPr>
                <w:sz w:val="19"/>
                <w:szCs w:val="19"/>
                <w:color w:val="auto"/>
              </w:rPr>
            </w:pPr>
          </w:p>
        </w:tc>
        <w:tc>
          <w:tcPr>
            <w:tcW w:w="200" w:type="dxa"/>
            <w:vAlign w:val="bottom"/>
            <w:vMerge w:val="restart"/>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(7,390)</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(30,489)</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240,483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140,150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177,953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62,530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3"/>
              <w:spacing w:after="0"/>
              <w:rPr>
                <w:sz w:val="20"/>
                <w:szCs w:val="20"/>
                <w:color w:val="auto"/>
              </w:rPr>
            </w:pPr>
            <w:r>
              <w:rPr>
                <w:rFonts w:ascii="Arial" w:cs="Arial" w:eastAsia="Arial" w:hAnsi="Arial"/>
                <w:sz w:val="18"/>
                <w:szCs w:val="18"/>
                <w:color w:val="auto"/>
              </w:rPr>
              <w:t>35,901</w:t>
            </w:r>
          </w:p>
        </w:tc>
        <w:tc>
          <w:tcPr>
            <w:tcW w:w="120" w:type="dxa"/>
            <w:vAlign w:val="bottom"/>
          </w:tcPr>
          <w:p>
            <w:pPr>
              <w:spacing w:after="0"/>
              <w:rPr>
                <w:sz w:val="19"/>
                <w:szCs w:val="19"/>
                <w:color w:val="auto"/>
              </w:rPr>
            </w:pPr>
          </w:p>
        </w:tc>
        <w:tc>
          <w:tcPr>
            <w:tcW w:w="200" w:type="dxa"/>
            <w:vAlign w:val="bottom"/>
            <w:vMerge w:val="restart"/>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(19,750)</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5"/>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March 31, 2018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285,989</w:t>
            </w:r>
          </w:p>
        </w:tc>
        <w:tc>
          <w:tcPr>
            <w:tcW w:w="12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82,574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463,210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831,773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496,194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67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primarily provided to customers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the other lender parties thereto, pursuant to which the lenders have agreed to extend credit to Altisource S.à r.l. in the form of (i) Term B Loans (as defined in the Credit Agreement) in an aggregate principal amount equal to $412.0 million and (ii) a $15.0 million revolving credit facility, with Altisource Portfolio Solutions S.A. and certain wholly-owned subsidiaries of Altisource S.à r.l. acting as guarantors.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Term B Loans were used to refinance Altisource S.à r.l.’s prior term loans under the credit agreement dated as of November 27, 2012 (see Note 10). When drawn, the proceeds from the revolving credit facility may be used for general corporate purposes and other uses permitted under the Credit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further summarized below, the Credit Agreement contains several changes from the prior credit agreement and retains certain other provisions. These include the following:</w:t>
      </w:r>
    </w:p>
    <w:p>
      <w:pPr>
        <w:spacing w:after="0" w:line="1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B Loans mature in April 2024 while the term loans under the prior credit agreement would have matured in December 2020.</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Credit Agreement includes a revolving credit facility with a maintenance covenant that will apply to Altisource S.à r.l. only if funds are drawn on the revolving credit facility as of the last day of a fiscal quarter.</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new Term B Loans have no financial maintenance covenants and are similar to Altisource S.à r.l.’s term loans under the prior credit agreement.</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debt definition in the Credit Agreement permits Altisource S.à r.l. to reduce net debt by up to $75 million in marketable securities while the prior credit agreement did not reduce net debt by marketable securities.</w:t>
      </w:r>
    </w:p>
    <w:p>
      <w:pPr>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Available Amount accumulated under the prior credit agreement is being carried over to the Credit Agreement. The Available Amount can be used to make certain restricted payments, investments and payments, subject to certain conditions set forth in the Credit Agreement.</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Altisource S.à r.l. may incur incremental indebtedness under the Credit Agreement from one or more incremental lenders, which may include existing lenders, in an aggregate incremental principal amount not to exceed $125 million (compared to $200 million in the prior credit agreement), subject to certain conditions set forth in the Credit Agreement, including a sublimit of $80 million with respect to incremental revolving credit commitments. The lenders have no obligation to provide any incremental indebtedness.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new Term B Loans amortize $41.2 million in year 1, $41.2 million in year 2 and $12.4 million per year in each of the subsequent years. Amortization under the prior credit agreement was equal to $5.9 million per year.</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new Term B Loans bear interest at rates based upon, at Altisource S.à r.l.’s option, the Adjusted Eurodollar Rate or the Base Rate. Eurodollar Rate Term Loans will bear interest at a rate per annum equal to the sum of (i) the greater of (x) the Adjusted Eurodollar Rate for a three month interest period and (y) 1.00% plus (ii) 4.00%. Eurodollar Rate Loans under the revolving credit facility will bear interest at a rate per annum of the Adjusted Eurodollar Rate for a three month interest period plus 4.00%. Base Rate Term Loans will bear interest at a rate per annum equal to the sum of (i) the greater of (x) the Base Rate and (y) 2.00% plus (ii) 3.00%. Base Rate loans under the revolving credit facility will bear interest at a rate per annum of the Base Rate plus 3.00%. Interest under the prior credit agreement was based upon, at Altisource S.à r.l.’s option, the Adjusted Eurodollar Rate or the Base Rate. Adjusted Eurodollar Rate loans bore interest at a rate per annum equal to the sum of (i) the greater of (x) the Adjusted Eurodollar Rate for the applicable interest period and (y) 1.00% plus (ii) a 3.50% margin. Base Rate loans bore interest at a rate per annum equal to the sum of (i) the greater of (x) the Base Rate and (y) 2.00% plus (ii) 2.50%.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Mandatory repayments of the new Term B Loans from asset sales that exceed $25 million in a given calendar year and from proceeds from the sale RESI shares held on April 3, 2018 are applied against contractual amortization of the Term B Loans.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Similar to the prior credit agreement, the Credit Agreement contains representations, warranties, covenants, terms and conditions customary for transactions of this type. These include covenants limiting Altisource Portfolio Solutions S.A.’s, Altisource S.à r.l.’s and each Restricted Subsidiary’s ability, subject to certain exceptions and baskets, to (i) incur indebtedness, (ii) incur liens on its assets, (iii) agree to any additional negative pledges, (iv) pay dividends and make other Restricted Junior Payments, (v) limit the ability of its subsidiaries to pay dividends or distribute assets, (vi) make investments, (vii) enter into any transaction of merger or consolidation, liquidate, wind-up or dissolve, or convey any part of its business, assets or property, or acquire the business, property or assets of another person, subject to certain exceptions, (viii) dispose of the equity interests of any Material Subsidiaries, whether through a sale of the capital stock, dissolution, merger or sale of all or substantially all of the assets of such Material Subsidiary, (ix) enter into sale and leaseback transactions, (x) enter into certain transactions with affiliates, (xi) engage in a line of business substantially different than existing business and businesses reasonably related, complimentary or ancillary thereto, (xii) modify the terms of indebtedness junior to the loans contemplated by the Credit Agreement, (xiii) modify the terms of its organizational documents in any material respect, (xiv) change its fiscal year, (xv) permit Altisource Portfolio Solutions S.A. to hold material assets, have material liabilities, or engage in certain activities, in each case, except as contemplated by the Credit Agreement, (xvi) use the proceeds of the loans for certain purposes, and (xvii) to the extent any Revolving Credit Loans are outstanding on the last day of a fiscal quarter, permit the Total Leverage Ratio to be greater than 3.50:1.00 as of the last day of such fiscal quarter (such covenant, the “Springing Revolving Financial Covenant”). The Springing Revolving Financial Covenant is for the benefit of Lenders having Revolving Credit Loans only and is subject to a customary cure provision.</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filed a Current Report on Form 8-K on April 4, 2018 that describes certain of the provisions of the Credit Agreement and also contains the Credit Agreement as an exhibit, which is incorporated in this Form 10-Q by reference. This description of the Credit Agreement is not complete and is qualified in its entirety by reference to the entire Credit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2017 filed with the Securities and Exchange Commission (“SEC”) on February 22,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2017 and include the following:</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retain Ocwen Financial Corporation (“Ocwen”) as a customer or our ability to receive the anticipated volume of referrals from Ocwen;</w:t>
      </w:r>
    </w:p>
    <w:p>
      <w:pPr>
        <w:spacing w:after="0" w:line="8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reach agreement with New Residential Investment Corp. (individually, together with one or more of its subsidiaries, or one or more of its subsidiaries individually, “NRZ”) on a Services Agreement or the termination of the Cooperative Brokerage Agreement, as amended, and related letter agreement (collectively, the “Brokerage Agreement”);</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on our strategic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outsourcing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3" w:right="1040" w:hanging="153"/>
        <w:spacing w:after="0" w:line="277" w:lineRule="auto"/>
        <w:tabs>
          <w:tab w:leader="none" w:pos="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76" w:lineRule="exact"/>
        <w:rPr>
          <w:rFonts w:ascii="Arial" w:cs="Arial" w:eastAsia="Arial" w:hAnsi="Arial"/>
          <w:sz w:val="18"/>
          <w:szCs w:val="18"/>
          <w:color w:val="auto"/>
        </w:rPr>
      </w:pPr>
    </w:p>
    <w:p>
      <w:pPr>
        <w:ind w:left="153" w:right="1060" w:hanging="153"/>
        <w:spacing w:after="0" w:line="308" w:lineRule="auto"/>
        <w:tabs>
          <w:tab w:leader="none" w:pos="98"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Residential and commercial loan disbursement processing, risk mitigation and construction inspection services</w:t>
      </w:r>
    </w:p>
    <w:p>
      <w:pPr>
        <w:spacing w:after="0" w:line="200"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line="68"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buying and selling residential mortgages.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460" w:hanging="101"/>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13" w:hanging="113"/>
        <w:spacing w:after="0"/>
        <w:tabs>
          <w:tab w:leader="none" w:pos="1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Certified loan insurance and certification</w:t>
      </w:r>
    </w:p>
    <w:p>
      <w:pPr>
        <w:spacing w:after="0" w:line="88" w:lineRule="exact"/>
        <w:rPr>
          <w:rFonts w:ascii="Arial" w:cs="Arial" w:eastAsia="Arial" w:hAnsi="Arial"/>
          <w:sz w:val="17"/>
          <w:szCs w:val="17"/>
          <w:color w:val="auto"/>
        </w:rPr>
      </w:pPr>
    </w:p>
    <w:p>
      <w:pPr>
        <w:ind w:left="113" w:hanging="113"/>
        <w:spacing w:after="0"/>
        <w:tabs>
          <w:tab w:leader="none" w:pos="1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Vendor management oversight platform</w:t>
      </w:r>
    </w:p>
    <w:p>
      <w:pPr>
        <w:spacing w:after="0" w:line="88" w:lineRule="exact"/>
        <w:rPr>
          <w:rFonts w:ascii="Arial" w:cs="Arial" w:eastAsia="Arial" w:hAnsi="Arial"/>
          <w:sz w:val="17"/>
          <w:szCs w:val="17"/>
          <w:color w:val="auto"/>
        </w:rPr>
      </w:pPr>
    </w:p>
    <w:p>
      <w:pPr>
        <w:ind w:left="113" w:hanging="113"/>
        <w:spacing w:after="0"/>
        <w:tabs>
          <w:tab w:leader="none" w:pos="1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Mortgage banker cooperative management</w:t>
      </w:r>
    </w:p>
    <w:p>
      <w:pPr>
        <w:spacing w:after="0" w:line="99" w:lineRule="exact"/>
        <w:rPr>
          <w:rFonts w:ascii="Arial" w:cs="Arial" w:eastAsia="Arial" w:hAnsi="Arial"/>
          <w:sz w:val="16"/>
          <w:szCs w:val="16"/>
          <w:color w:val="auto"/>
        </w:rPr>
      </w:pPr>
    </w:p>
    <w:p>
      <w:pPr>
        <w:ind w:left="113" w:hanging="113"/>
        <w:spacing w:after="0"/>
        <w:tabs>
          <w:tab w:leader="none" w:pos="1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200"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residence.</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doing business as Owners.com</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color w:val="auto"/>
        </w:rPr>
        <w:t>• Mortgage brokerage</w:t>
      </w:r>
    </w:p>
    <w:p>
      <w:pPr>
        <w:spacing w:after="0" w:line="12"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Real Estate Investor Solutions </w:t>
      </w:r>
      <w:r>
        <w:rPr>
          <w:rFonts w:ascii="Arial" w:cs="Arial" w:eastAsia="Arial" w:hAnsi="Arial"/>
          <w:sz w:val="18"/>
          <w:szCs w:val="18"/>
          <w:color w:val="auto"/>
        </w:rPr>
        <w:t>- the solutions, services and technologies used by buyers and sellers of single-family investment homes.</w:t>
      </w:r>
    </w:p>
    <w:p>
      <w:pPr>
        <w:spacing w:after="0" w:line="171"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Property preservation and inspection services</w:t>
      </w:r>
      <w:r>
        <w:rPr>
          <w:sz w:val="20"/>
          <w:szCs w:val="20"/>
          <w:color w:val="auto"/>
        </w:rPr>
        <w:tab/>
      </w:r>
      <w:r>
        <w:rPr>
          <w:rFonts w:ascii="Arial" w:cs="Arial" w:eastAsia="Arial" w:hAnsi="Arial"/>
          <w:sz w:val="16"/>
          <w:szCs w:val="16"/>
          <w:color w:val="auto"/>
        </w:rPr>
        <w:t>• Buy-renovate-lease-sell</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and auction services</w:t>
      </w:r>
      <w:r>
        <w:rPr>
          <w:sz w:val="20"/>
          <w:szCs w:val="20"/>
          <w:color w:val="auto"/>
        </w:rPr>
        <w:tab/>
      </w:r>
      <w:r>
        <w:rPr>
          <w:rFonts w:ascii="Arial" w:cs="Arial" w:eastAsia="Arial" w:hAnsi="Arial"/>
          <w:sz w:val="16"/>
          <w:szCs w:val="16"/>
          <w:color w:val="auto"/>
        </w:rPr>
        <w:t>• Renovation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Data solutions</w:t>
      </w:r>
      <w:r>
        <w:rPr>
          <w:sz w:val="20"/>
          <w:szCs w:val="20"/>
          <w:color w:val="auto"/>
        </w:rPr>
        <w:tab/>
      </w:r>
      <w:r>
        <w:rPr>
          <w:rFonts w:ascii="Arial" w:cs="Arial" w:eastAsia="Arial" w:hAnsi="Arial"/>
          <w:sz w:val="16"/>
          <w:szCs w:val="16"/>
          <w:color w:val="auto"/>
        </w:rPr>
        <w:t>• Property management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Appraisal management services and broker and non-broker valuation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services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Includes certain ancillary businesses, interest expense and unallocated costs related to corporate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The businesses in this segment include post-charge-off consumer debt collection services, customer relationship management services and information technology (“IT”) infrastructure management services. Interest expense relates to the Company’s senior secured term loan and corporate support functions include executive, finance, law, compliance, human</w:t>
      </w:r>
    </w:p>
    <w:p>
      <w:pPr>
        <w:sectPr>
          <w:pgSz w:w="11900" w:h="16838" w:orient="portrait"/>
          <w:cols w:equalWidth="0" w:num="1">
            <w:col w:w="11420"/>
          </w:cols>
          <w:pgMar w:left="240" w:top="125" w:right="2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vendor management, facilities, risk management and sales and marketing costs not allocated to the business units. This segment also includes eliminations of transactions between the reportable segments.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Lenders One is a mortgage cooperative managed, but not owned, by Altisource. Lenders One is included in revenue and reduced from net income to arrive at net income attributable to Altisource.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Within the mortgage and real estate market segments, we facilitate transactions and provide products, solutions and services related to home sales, home purchases, home rentals, home maintenance, mortgage originations and mortgage servicing.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existing customers and prospects consolidate to larger, full-service providers and outsource services that have historically been performed in-house.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loan originators and correspondents.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business, we provide real estate buyers and sellers with a technology enabled real estate brokerage and integrated services to support them in buying and selling a home. Our offerings include local real estate agent services and loan brokerage as well as closing and title services. We are focused on continuing to develop this business by capitalizing on Altisource’s experience in online real estate marketing and loan origination services as well as on recently developed agile execution competencies.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support buyers and sellers of single-family investment homes, including our purchase, renovation, leasing and sale of short-term investments in real estate. We are focused on growing referrals from our existing customer base, expanding the service and proprietary technology offerings to our customer base, and attracting new customers to our offerings. We have a customer base that includes Front Yard Residential Corporation (“RESI”) and other institutional and smaller single-family rental investors. The single-family rental market is large, geographically distributed and has fragmented ownership. We believe our acquisition, renovation, property management, leasing and disposition platform provides a strong value proposition for institutional and retail investors and positions us well for growth.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There can be no assurance that growth from some or all of our strategic businesses will be successful or our operations will be profitable. </w:t>
      </w:r>
      <w:r>
        <w:rPr>
          <w:rFonts w:ascii="Arial" w:cs="Arial" w:eastAsia="Arial" w:hAnsi="Arial"/>
          <w:sz w:val="18"/>
          <w:szCs w:val="18"/>
          <w:b w:val="1"/>
          <w:bCs w:val="1"/>
          <w:color w:val="auto"/>
        </w:rPr>
        <w:t>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17, 2017, our shareholders approved the renewal of the share repurchase program previously approved by the shareholders on May 18, 2016, which replaced the previous share repurchase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As of March 31, 2018, approximately 3.1 million shares of common stock remain available for repurchase under the program. We purchased 0.4 million shares of common stock at an average price of $27.67 per share during the three months ended March 31, 2018 and 0.4 million shares at an average price of $25.10 per share during the three months ended March 31, 2017. Luxembourg law limits share repurchases to the balance of Altisource Portfolio Solutions S.A. (unconsolidated parent company) retained earnings, less the value of shares repurchased. As of March 31, 2018, we can repurchase up to approximately $141 million of our common stock under Luxembourg law. Our senior secured term loan limited the amount we could have spent on share repurchases, which was approximately $464 million as of March 31, 2018, and may have prevented repurchases in certain circumstances. The new credit agreement retains this amount available for share repurchases and other restricted payments. See Note 21 to the condensed consolidated financial statements for additional information on the new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Ocwen was our largest customer, accounting for 52% of our total revenue. Additionally, 8% of our revenue for the three months ended March 31, 2018 was earned on the loan portfolios serviced by Ocwen, when a party other than Ocwen or the mortgage servicing rights (“MSRs”) owner selected Altisource as the service provider.</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560" w:hanging="32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ind w:left="560" w:hanging="32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60" w:hanging="322"/>
        <w:spacing w:after="0" w:line="258"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Arial" w:cs="Arial" w:eastAsia="Arial" w:hAnsi="Arial"/>
          <w:sz w:val="18"/>
          <w:szCs w:val="18"/>
          <w:color w:val="auto"/>
        </w:rPr>
      </w:pPr>
    </w:p>
    <w:p>
      <w:pPr>
        <w:ind w:left="560" w:hanging="32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pending acquisition of PHH Corporation is expected to accelerate its transition to a new servicing platform. Altisource is supporting Ocwen through this transition. We do not anticipate that a servicing technology transition would impact the other services we provide to Ocwen. For the three months ended March 31, 2018 and 2017, service revenue from REALServicing was $6.5 million and $7.0 million, respectively.</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above, as of June 30, 2017, we estimate that NRZ owned certain economic rights in, but not legal title to, approximately 78% of Ocwen’s non-GSE MSRs (the “Subject MSRs”).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will receive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to continue through April 30, 2018 with a further automatic extension through May 15, 2018 provided that the parties continue to negotiate the Services Agreement in good faith.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revenue from NRZ will increase over time and revenue from Ocwen will decrease. As Subject MSRs continue to transfer from Ocwen to NRZ and following the anticipated execution of the Services Agreement, we expect that NRZ will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become our largest customer. Had all of the Subject MSRs been transferred to NRZ and the Brokerage Agreement and the Services Agreement with NRZ were in place as of January 1, 2018, we estimate that approximately 48% of our revenue for the three months ended March 31, 2018 would have been related to NRZ. There can be no assurance that the parties will reach an agreement with respect to the terms of the Services Agreement or that a Services Agreement will be entered into on a timely basis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average number of loans serviced by Ocwen on REALServicing (including those MSRs owned by NRZ and subserviced by Ocwen) was approximately 1.2 million for the three months ended March 31, 2018 compared to 1.3 million for the three months ended March 31, 2017, a decrease of 13%. The average number of delinquent non-GSE loans serviced by Ocwen on REALServicing was approximately 171 thousand for the three months ended March 31, 2018 compared to 191 thousand for the three months ended March 31, 2017, a decrease of 10%.</w:t>
      </w:r>
    </w:p>
    <w:p>
      <w:pPr>
        <w:spacing w:after="0" w:line="9"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January 1, 2018, the Company adopted Accounting Standards Update No. 2016-01</w:t>
      </w:r>
      <w:r>
        <w:rPr>
          <w:rFonts w:ascii="Arial" w:cs="Arial" w:eastAsia="Arial" w:hAnsi="Arial"/>
          <w:sz w:val="18"/>
          <w:szCs w:val="18"/>
          <w:i w:val="1"/>
          <w:iCs w:val="1"/>
          <w:color w:val="auto"/>
        </w:rPr>
        <w:t>, Financial Instruments - 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requires certain equity investments to be measured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with changes in fair value recognized in net income. Previously, changes in the fair value of the Company’s available for sale securities were included in comprehensive income. During the three months ended March 31, 2018, net loss included an unrealized loss from our investment in RESI common shares of $5.6 million, net of a $1.9 million income tax benefit. During the three months ended March 31, 2017, comprehensive income included an unrealized gain from our investment in RESI common shares of $12.7 million, net of a $4.7 million income tax provision. See Note 1 to the condensed consolidated financial statements for additional information on the adoption of the new accounting standard on investments in equity securities.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14"/>
                <w:szCs w:val="14"/>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159,155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194,973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19,189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15,677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229,839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197,438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240,483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147,194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177,953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50,244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62,530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47,701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(5,798)</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investments in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715</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(5,083)</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 and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9,746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36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7,160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6,545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0.35</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1"/>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$188.8 million for the three months ended March 31, 2018, an 18% decrease compared to the three months ended March 31, 2017. The decrease in service revenue in the Mortgage Market segment was primarily a result of the reduction in the size of Ocwen’s portfolio and number of delinquent loans in its portfolio resulting from loan repayments, loan modifications, short sales, REO sales and other forms of resolution. The decrease in service revenue in the Real Estate Market segment was primarily from RESI’s smaller portfolio of non-performing loans and REO, partially offset by service revenue growth in the non-Ocwen property preservation and inspection, Hubzu, renovation management and Consumer Real Estate Solutions businesses.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w:t>
      </w:r>
    </w:p>
    <w:p>
      <w:pPr>
        <w:sectPr>
          <w:pgSz w:w="11900" w:h="16838" w:orient="portrait"/>
          <w:cols w:equalWidth="0" w:num="1">
            <w:col w:w="11420"/>
          </w:cols>
          <w:pgMar w:left="240" w:top="125" w:right="239" w:bottom="771"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771"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spring and summer months. In addition, revenue in the asset recovery management business tends to be higher in the first quarter, as borrowers may utilize tax refunds and bonuses to pay debts, and generally declines throughout the rest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6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65,098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80,959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11,351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7,587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147,194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177,953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for the three months ended March 31, 2018 of $147.2 million decreased 17% compared to the three months ended March 31, 2017. The decrease in cost of revenue was primarily driven by lower outside fees and services, consistent with the decrease in Mortgage Market and Real Estate Market service revenue discussed in the revenue section above. Compensation and benefits declined in certain of our businesses as we reduced headcount in anticipation of the revenue decline from the Ocwen and RESI portfolios and from the implementation of efficiency initiatives.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$50.2 million, representing 27% of service revenue, for the three months ended March 31, 2018 compared to $62.5 million, representing 27% of service revenue, for the three months ended March 31, 2017. Gross profit as a percentage of service revenue for the three months ended March 31, 2018 was flat compared to the three months ended March 31, 2017, as the revenue declines were largely offset by lower cost of revenue, as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6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12,506</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47,701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three months ended March 31, 2018 of $43.1 million decreased 10% compared to the three months ended March 31, 2017. The decrease in SG&amp;A was primarily due to lower amortization of intangible assets, driven by lower revenue generated by the Homeward Residential, Inc. (“Homeward”) and Residential Capital, LLC (“ResCap”) portfolios (revenue-based amortization)</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Mortgage Market segment, consistent with the reduction in the size of Ocwen’s portfolio discussed in the revenue section above. In addition, lower occupancy costs were driven by the subleasing of certain office facilities in Other Businesses, Corporate and Eliminations.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from operations decreased to $7.1 million, representing 4% of service revenue, for the three months ended March 31, 2018 compared to $14.8 million, representing 6% of service revenue, for the three months ended March 31, 2017. Operating income as a percentage of service revenue decreased because SG&amp;A costs declined at a lower rate than service revenue based on the less variable nature of certain of these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Effective January 1, 2018, other income (expense), net includes unrealized losses on our investment in RESI (see Factors Affecting Comparability above). Other income (expense), net for the three months ended March 31, 2018 of $(12.1) million increased 138% compared to the three months ended March 31, 2017, driven by an unrealized loss of $7.5 million on our investment in RESI.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(Provision)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an income tax benefit of $1.4 million for the three months ended March 31, 2018 compared to an income tax provision of $2.6 million for the three months ended March 31, 2017. Our effective tax rate was 27.5% and 26.5% for the three months ended March 31, 2018 and 2017, respectively. Our effective tax rates differ from the Luxembourg statutory tax rate of 26.0% and 27.1% in 2018 and 2017, respectively, primarily due to the mix of income and losses with varying tax rates in multiple taxing jurisdictions and, for the three months ended March 31, 2017, the effect of certain deductions in Luxembourg. Our effective income tax rate can vary due to changes in the mix of taxable income across the jurisdictions in which we operate.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159,155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14,803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188,766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167,338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197,438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111,073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18,554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147,194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50,244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23,374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43,124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(12,110)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1"/>
              <w:spacing w:after="0"/>
              <w:rPr>
                <w:sz w:val="20"/>
                <w:szCs w:val="20"/>
                <w:color w:val="auto"/>
              </w:rPr>
            </w:pPr>
            <w:r>
              <w:rPr>
                <w:rFonts w:ascii="Arial" w:cs="Arial" w:eastAsia="Arial" w:hAnsi="Arial"/>
                <w:sz w:val="18"/>
                <w:szCs w:val="18"/>
                <w:color w:val="auto"/>
              </w:rPr>
              <w:t>32,907</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3"/>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(30,489)</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3"/>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88"/>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194,973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19,189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15,677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229,839</w:t>
            </w:r>
          </w:p>
        </w:tc>
        <w:tc>
          <w:tcPr>
            <w:tcW w:w="0" w:type="dxa"/>
            <w:vAlign w:val="bottom"/>
          </w:tcPr>
          <w:p>
            <w:pPr>
              <w:spacing w:after="0"/>
              <w:rPr>
                <w:sz w:val="1"/>
                <w:szCs w:val="1"/>
                <w:color w:val="auto"/>
              </w:rPr>
            </w:pPr>
          </w:p>
        </w:tc>
      </w:tr>
      <w:tr>
        <w:trPr>
          <w:trHeight w:val="27"/>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240,483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140,150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22,143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177,953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62,530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28,682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1"/>
              <w:spacing w:after="0"/>
              <w:rPr>
                <w:sz w:val="20"/>
                <w:szCs w:val="20"/>
                <w:color w:val="auto"/>
              </w:rPr>
            </w:pPr>
            <w:r>
              <w:rPr>
                <w:rFonts w:ascii="Arial" w:cs="Arial" w:eastAsia="Arial" w:hAnsi="Arial"/>
                <w:sz w:val="18"/>
                <w:szCs w:val="18"/>
                <w:color w:val="auto"/>
              </w:rPr>
              <w:t>35,901</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3"/>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(19,750)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147,809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183,433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159,155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194,973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167,338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204,723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recognized service revenue of $159.2 million for the three months ended March 31, 2018, an 18% decrease compared to the three months ended March 31, 2017. We also recognized reimbursable expense revenue of $7.7 million for the three months ended March 31, 2018, a 16% decrease compared to the three months ended March 31, 2017. The decreases in service revenue and reimbursable expenses revenue were primarily a result of the reduction in the size of Ocwen’s portfolio and number of delinquent loans in its portfolio resulting from loan repayments, loan modifications, short sales, REO sales and other forms of resolution in the Servicer Solutions business. These decreases were partially offset by growth in the non-Ocwen property preservation and inspection and 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w:t>
      </w:r>
    </w:p>
    <w:p>
      <w:pPr>
        <w:spacing w:after="0" w:line="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57,561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75,370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8,172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111,073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140,150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 for the three months ended March 31, 2018 of $111.1 million decreased by 21% compared to the three months ended March 31, 2017. The decrease in cost of revenue was primarily driven by lower outside fees and services, consistent with the decrease in Servicer Solutions service revenue discussed in the revenue section above. Compensation and benefits declined in certain of the Servicer Solutions businesses as we reduced headcount in anticipation of the revenue decline from Ocwen’s portfolio discussed in the revenue section above, the implementation of efficiency initiatives and the redeployment of certain technology resources to our Other Businesses, Corporate and Eliminations for the development of enterprise-wide technology initiatives. The decrease in reimbursable expenses was consistent with the decrease in reimbursable expenses revenue discussed in the revenue section above.</w:t>
      </w:r>
    </w:p>
    <w:p>
      <w:pPr>
        <w:sectPr>
          <w:pgSz w:w="11900" w:h="16838" w:orient="portrait"/>
          <w:cols w:equalWidth="0" w:num="1">
            <w:col w:w="11420"/>
          </w:cols>
          <w:pgMar w:left="240" w:top="12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decreased to $56.3 million, representing 35% of service revenue, for the three months ended March 31, 2018 compared to $64.6 million, representing 33% of service revenue, for the three months ended March 31, 2017. Gross profit as a percentage of service revenue increased primarily due to service revenue mix from fewer lower margin property preservation referrals. Our margins can vary substantially depending upon service revenue mix.</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5,216</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23,374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28,682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for the three months ended March 31, 2018 of $23.4 million decreased by 19% compared to the three months ended March 31, 2017. The decrease in SG&amp;A was primarily due to lower amortization of intangible assets, driven by lower revenue generated by the Homeward and ResCap portfolios (revenue-based amortization), consistent with the reduction in the size of Ocwen’s portfolio discussed in the revenue section above, and a decrease in other due to lower bad debt expense in the current year. In addition, legal costs in professional services decreased in connection with the resolution of, and reduction in activities related to, litigation and regulatory matters, and marketing costs decreased due to a reduction in Hubzu spending in the current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decreased to $32.9 million, representing 21% of service revenue, for the three months ended March 31, 2018 compared to $35.9 million, representing 18% of service revenue, for the three months ended March 31, 2017. The increase in operating income as a percentage of service revenue was primarily the result of higher gross profit margins, as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Consumer Real Estate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Consumer Real Estate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20,063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service revenue of $14.8 million for the three months ended March 31, 2018, a 23% decrease compared to the three months ended March 31, 2017. The decrease in service revenue was primarily driven by a decline in revenues in the Real Estate</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Investor Solutions business from RESI’s smaller portfolio of non-performing loans and REO, as RESI continues to sell its portfolio of non-performing loans and REO and focuses on directly acquiring, renovating and managing rental homes. This decrease in the Real Estate Investor Solutions business was also driven by a decrease in our buy-renovate-lease-sell program due to lower transaction volumes. These decreases were partially offset by an increase in the Consumer Real Estate Solutions business from higher transaction volumes for the three months ended March 31, 2018 and growth in the renovation management business in the Real Estate Investor Solutions business.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Real Estate Market businesses are impacted by seasonality. Revenues from property sales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9,242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4,716</w:t>
            </w:r>
          </w:p>
        </w:tc>
        <w:tc>
          <w:tcPr>
            <w:tcW w:w="1460" w:type="dxa"/>
            <w:vAlign w:val="bottom"/>
            <w:gridSpan w:val="2"/>
          </w:tcPr>
          <w:p>
            <w:pPr>
              <w:jc w:val="right"/>
              <w:ind w:right="4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874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18,554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three months ended March 31, 2018 of $18.6 million decreased by 16% compared to the three months ended March 31, 2017. The decrease in cost of revenue was primarily driven by lower compensation and benefits, which declined in certain of the Real Estate Investor Solutions businesses as we reduced headcount in anticipation of the revenue from RESI’s portfolio discussed in the revenue section above, and a decrease in the cost of real estate sold in connection with our buy-renovate-lease-sell program due to lower transaction volumes. These decreases were partially offset by higher outside fees and services, principally in the Real Estate Investor Solutions renovation management business and in the Consumer Real Estate Solutions business consistent with the increase in service revenue discussed in the revenue section above.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loss increased to $(3.3) million, representing (22)% of service revenue, for the three months ended March 31, 2018, compared to $(2.1) million, representing (11)% of service revenue, for the three months ended March 31, 2017. Gross loss as a percent of service revenue increased primarily as a result of service revenue mix from fewer higher margin REO sales, partially offset by declines in the lower margin buy-renovate-lease-sell program. Our margins can vary substantially depending upon service revenue mix.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for the three months ended March 31, 2018 of $4.1 million decreased by 5% compared to the three months ended March 31, 2017. The decrease in SG&amp;A was primarily driven by a decrease in legal costs in professional services.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operations increased to $(7.4) million, representing (50)% of service revenue, for the three months ended March 31, 2018, compared to a loss from operations of $(6.4) million, representing (33)% of service revenue, for the three months ended March 31, 2017. The increase in loss from operations as a percentage of service revenue was primarily the result of lower gross profit margins, as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Customer relationship management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7,357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shd w:val="clear" w:color="auto" w:fill="CCEEFF"/>
              </w:rPr>
              <w:t>6,077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IT infrastructure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2,243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15,677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15,697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$14.8 million for the three months ended March 31, 2018, a 6% decrease compared to the three months ended March 31, 2017. The decrease in service revenue was primarily due to a decline in customer relationship management services from lower transaction volumes from a customer that expanded its vendor network. In addition, the decline in IT infrastructure services, which are typically billed on a cost plus basis, was driven by the transition of resources supporting Ocwen’s technology infrastructure from Altisource to Ocwen. This transition began in the fourth quarter of 2015 and continued through 2018. These decreases were partially offset by an increase in asset recovery management service revenue from growth in collection referral volumes.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11,095</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1,457</w:t>
            </w:r>
          </w:p>
        </w:tc>
        <w:tc>
          <w:tcPr>
            <w:tcW w:w="1460" w:type="dxa"/>
            <w:vAlign w:val="bottom"/>
            <w:gridSpan w:val="2"/>
          </w:tcPr>
          <w:p>
            <w:pPr>
              <w:jc w:val="right"/>
              <w:ind w:right="4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15,660</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for the three months ended March 31, 2018 of $17.6 million increased by 12% compared to the three months ended March 31, 2017. The increase in cost of revenue was primarily due to increases in compensation and benefits and technology and telecommunications costs, driven by the redeployment of certain technology resources from the Mortgage Market segment for the development of enterprise-wide technology initiatives.</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Gross profit (loss) decreased to a gross loss of $(2.7) million, representing (19)% of service revenue, for the three months ended March 31, 2018 compared to gross profit of less than $0.1 million, representing less than 1% of service revenue, for the three months ended March 31, 2017. Gross profit as a percentage of service revenue decreased due to the increase in compensation and benefits and technology and telecommunications costs and the decrease in customer relationship management and IT infrastructure revenue, partially offset by increased asset recovery management revenue, as described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businesses.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13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3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2" w:name="page43"/>
    <w:bookmarkEnd w:id="4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Occupancy related costs</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4,385</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1,402</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64"/>
        </w:trPr>
        <w:tc>
          <w:tcPr>
            <w:tcW w:w="70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14,694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three months ended March 31, 2018 of $15.6 million increased by 6% compared to the three months ended March 31, 2017. The increase in SG&amp;A was primarily driven by an increase in compensation and benefits from higher share-based compensation and higher other SG&amp;A due to facility closure costs, partially offset by lower occupancy costs due to the subleasing of certain office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from operations increased to $(18.4) million for the three months ended March 31, 2018 compared to a loss of $(14.7) million for the three months ended March 31, 2017. The increase in operating loss was primarily driven by a decrease in gross profit, as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net principally includes interest expense and other non-operating gains and losses. Effective January 1, 2018, other income (expense), net includes unrealized losses on our investment in RESI (see Factors Affecting Comparability above). For the three months ended March 31, 2018, other expenses, net of $(12.1) million increased by 138% compared to the three months ended March 31, 2017, driven by an unrealized loss of $7.5 million on our investment in RESI from a decline in the market value of RESI common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liquidity is cash flow from operations. We seek to deploy cash generated in a disciplined manner. Principally, we intend to use cash to develop and grow complementary services and businesses that we believe will generate attractive margins in line with our core capabilities and strategy. We use cash for scheduled repayments of our senior secured term loan and seek to use cash from time to time to repurchase shares of our common stock and repurchase portions of our senior secured term loan. In addition, we consider and evaluate business acquisitions that may arise from time to time that are aligned with our strategy.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we used $10.0 million to repurchase shares of our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 and Credit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were guarantors of the senior secured term loan. We subsequently entered into four amendments to the senior secured term loan agreement to, among other changes, increase the principal amount of the senior secured term loan, re-establish the $200.0 million incremental term loan facility accordion, lower the interest rate, extend the maturity date by approximately one year, increase the maximum amount of Restricted Junior Payments (as defined in the senior secured term loan agreement; other capitalized terms, unless defined herein, are defined in the senior secured term loan agreement) and certain other changes primarily to facilitate an internal restructuring of the Company’s subsidiaries. The lenders of the senior secured term loan, as amended, had no obligation to provide any such additional debt under the accordion provision. As of March 31, 2018, $412.1 million was outstanding under the senior secured term loan agreement, as amended, compared to $413.6 million as of December 31, 2017. No mandatory prepayments were required for the three months ended March 31, 2018. The interest rate for the senior secured term as of March 31, 2018 was 5.38%. On April 3, 2018, Altisource Portfolio Solutions S.A. and Altisource S.à r.l. entered into a credit agreement with Morgan Stanley Senior Funding, Inc. as administrative agent and collateral agent and the other lenders parties thereto, pursuant to which the lenders have agreed to extend credit to Altisource S.à r.l. in the form of (i) Term B Loans (as defined in the credit agreement) in an aggregate principal amount equal to $412.0 million and (ii) a $15.0 million revolving credit facility. The proceeds of the Term B Loans were used to refinance Altisource S.à r.l.’s senior secured term loan. See Note 21 to the condensed consolidated financial statements for additional information on the April 3, 2018 Term B Loans and revolving credit facility.</w:t>
      </w:r>
    </w:p>
    <w:p>
      <w:pPr>
        <w:spacing w:after="0" w:line="3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debt covenants in the new credit agreement limit, among other things, our ability to incur additional debt, pay dividends and repurchase shares of our common stock. In the event we require additional liquidity, our ability to obtain it may be limited by the new credit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30,796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(49,155)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121,225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three months ended March 31, 2018, we used cash flows in operating activities of $(8.6) million, or approximately $(0.05) for every dollar of service revenue, compared to cash flows used in operating activities of $(18.4) million, or approximately $(0.08) for every dollar of service revenue, for the three months ended March 31, 2017. The improvement in cash flows from operations for the three months ended March 31, 2018, compared to the three months ended March 31, 2017, was principally driven by the $28.0 million net payment in the prior year period of a previously accrued litigation settlement, partially offset by a $9.9 million increase in short-term investments in real estate for the three months ended March 31, 2018, compared to a $2.5 million increase in short-term investments in real estate for the three months ended March 31, 2017 in connection with our buy-renovate-lease-sell program. The improvement in cash flows from operations for the three months ended March 31, 2018 was also partially offset by lower net income, adjusted for non-cash items, by $9.2 million, a decrease of 30% compared to the three months ended March 31, 2017. Cash flows from operating activities excluding increases in short-term investments in real estate and the net litigation settlement payment for the three months ended March 31, 2017, would have been $1.3 million, or approximately $0.01 for every dollar of service revenue for the three months ended March 31, 2018 and cash flows from operating activities would have been $12.1 million, or approximately $0.05 for every dollar of service revenue for the three months ended March 31, 2017.</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In addition, annual incentive compensation bonuses are typically paid during the first quarter of each year. Consequently,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for the three months ended March 31, 2018 and 2017 consisted of cash used for additions to premises and equipment of $1.3 million and $1.9 million, respectively, primarily related to investments in the development of certain software applications, IT infrastructure and facility improvements.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from financing activities for the three months ended March 31, 2018 and 2017 primarily included activities associated with the purchase of treasury shares, debt repayments, stock option exercises and distributions to non-controlling interests. During the three months ended March 31, 2018 and 2017, we used $10.0 million and $10.6 million, respectively, to repurchase our common stock, received proceeds from stock option exercises of $2.6 million and $0.8 million, respectively, and distributed $0.7 million and $0.6 million, respectively, to non-controlling interests.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March 31, 2018</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future liquidity obligations pertain to long-term debt repayments and interest expense under our new credit agreement (see Liquidity section above), distributions to Lenders One members and payments related to a prior acquisition.</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next 12 months, we expect to make mandatory repayments of $41.2 million and pay $23.5 million of interest expense (assuming the current interest rate) under the new credit agreement (see Liquidity section above) and distribute approximately $2.7 million to the Lenders One members representing non-controlling interests.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17, 2015, we acquired CastleLine Holdings, LLC and its subsidiaries. A portion of the purchase consideration totaling $10.5 million is payable to the sellers over approximately three and one-half years from the acquisition date, including $3.8 million to be paid to certain of the sellers that is contingent on future employment. As of March 31, 2018, we have paid $9.2 million of the up to $10.5 million that is payable over four years from the acquisition date, of which $2.5 million of the $3.8 million purchase consideration that is contingent on future employment. The remaining future payments of $1.3 million are payable during the next 12 months.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equivalents balances and our anticipated cash flows from operations will be sufficient to meet our liquidity needs, including to fund required debt and interest payments and additions to premises and equipment,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2018, there were no significant changes to our contractual obligations from those identified in our Form 10-K for the fiscal year ended December 31, 2017, other than those that occur in the normal course of business. See Note 19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Note 1 to the condensed consolidated financial statements for the Company’s critical accounting policy for revenue recognition. Our other critical accounting policies are described in the MD&amp;A section of our Form 10-K for the year ended December 31, 2017 filed with the SEC on February 22, 2018. With the exception of the changes to our revenue recognition policy referenced above, there have been no material changes to our critical accounting policies during the three months ended March 31,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 interest rate charged on the senior secured term loan was 5.38%. The interest rate was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March 31, 2018, a one percentage point increase in the Eurodollar Rate would have increased our annual interest expense by approximately $4.1 million, based on the March 31, 2018 Adjusted Eurodollar Rate. There would have been a $3.6 million decrease in our annual interest expense if there was a one percentage point decrease in the Eurodollar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three months ended March 31, 2018, a one percentage point increase or decrease in value of the Indian rupee in relation to the United States dollar would increase or decrease our annual expenses by approximately $1.0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2018,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2018.</w:t>
      </w:r>
    </w:p>
    <w:p>
      <w:pPr>
        <w:spacing w:after="0" w:line="9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the Company received a Notice and Opportunity to Respond and Advise (“NORA”) letter on November 10, 2016 from the CFPB indicating that the CFPB was considering a potential enforcement action against Altisource relating to an alleged violation of federal law focused on REALServicing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2017 filed with the SEC on February 22,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3"/>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January 1 – 31,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177,907</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177,907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3,245,044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February 1 – 28, 2018</w:t>
            </w: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35,200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3,209,844</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March 1 – 31,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147,625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147,625</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3,062,219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360,732</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360,732</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3,062,219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80" w:hanging="258"/>
        <w:spacing w:after="0" w:line="226" w:lineRule="auto"/>
        <w:tabs>
          <w:tab w:leader="none" w:pos="2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On May 17, 2017, our shareholders approved the renewal of the share repurchase program originally approved by the shareholders on May 18, 2016, which replaced the previous share repurchase program and authorizes us to purchase up to 4.6 million shares of our common stock in the open market, subject to certain parameters.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340" w:type="dxa"/>
            <w:vAlign w:val="bottom"/>
            <w:gridSpan w:val="2"/>
          </w:tcPr>
          <w:p>
            <w:pPr>
              <w:ind w:left="40"/>
              <w:spacing w:after="0" w:line="196" w:lineRule="exact"/>
              <w:rPr>
                <w:rFonts w:ascii="Arial" w:cs="Arial" w:eastAsia="Arial" w:hAnsi="Arial"/>
                <w:sz w:val="18"/>
                <w:szCs w:val="18"/>
                <w:color w:val="0000FF"/>
                <w:w w:val="74"/>
              </w:rPr>
            </w:pPr>
            <w:hyperlink w:anchor="page50">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1</w:t>
              </w:r>
            </w:hyperlink>
          </w:p>
        </w:tc>
        <w:tc>
          <w:tcPr>
            <w:tcW w:w="82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FF"/>
                <w:w w:val="93"/>
              </w:rPr>
            </w:pPr>
            <w:hyperlink w:anchor="page50">
              <w:r>
                <w:rPr>
                  <w:rFonts w:ascii="Arial" w:cs="Arial" w:eastAsia="Arial" w:hAnsi="Arial"/>
                  <w:sz w:val="18"/>
                  <w:szCs w:val="18"/>
                  <w:color w:val="0000FF"/>
                  <w:w w:val="93"/>
                </w:rPr>
                <w:t>Third Amendment to the Cooperative Brokerage Agreement, dated as of March 23, 2018, between REALHome Services and Solutions,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Inc., REALHome Services and Solutions - CT, Inc. and New Residential Sales Corp.</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52">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2</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C2C2C"/>
              </w:rPr>
              <w:t>†</w:t>
            </w: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Form of Non-Qualified Stock Option Award Agreement (2018 Performance-Based Stock Options)</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68">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3</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C2C2C"/>
              </w:rPr>
              <w:t>†</w:t>
            </w: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Form of Restricted Share Unit Award Agreement (2018 Time-Based Restricted Share Units)</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r:id="rId20">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4</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Credit Agreement, dated April 3, 2018 among Altisource S.à r.l. and Altisource Portfolio Solutions S.A., Morgan Stanley Senior Funding,</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Inc., as Administrative Agent and Collateral Agent, and the Lenders party thereto (incorporated by reference to Exhibit 10.1 of the</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Company’s Form 8-K filed on April 4, 2018)</w:t>
              </w:r>
            </w:hyperlink>
          </w:p>
        </w:tc>
      </w:tr>
      <w:tr>
        <w:trPr>
          <w:trHeight w:val="20"/>
        </w:trPr>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79">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80">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2</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81">
              <w:r>
                <w:rPr>
                  <w:rFonts w:ascii="Arial" w:cs="Arial" w:eastAsia="Arial" w:hAnsi="Arial"/>
                  <w:sz w:val="18"/>
                  <w:szCs w:val="18"/>
                  <w:color w:val="0000FF"/>
                  <w:w w:val="74"/>
                </w:rPr>
                <w:t>32.</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7"/>
              </w:rPr>
            </w:pPr>
            <w:hyperlink w:anchor="page81">
              <w:r>
                <w:rPr>
                  <w:rFonts w:ascii="Arial" w:cs="Arial" w:eastAsia="Arial" w:hAnsi="Arial"/>
                  <w:sz w:val="18"/>
                  <w:szCs w:val="18"/>
                  <w:color w:val="0000FF"/>
                  <w:w w:val="97"/>
                </w:rPr>
                <w:t>Certification by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0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98"/>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3"/>
              </w:rPr>
              <w:t>period ended March 31, 2018 is formatted in XBRL interactive data files: (i) Condensed Consolidated Balance Sheets at March 31, 2018</w:t>
            </w:r>
          </w:p>
        </w:tc>
      </w:tr>
    </w:tbl>
    <w:p>
      <w:pPr>
        <w:jc w:val="both"/>
        <w:ind w:left="1300" w:right="40"/>
        <w:spacing w:after="0" w:line="254" w:lineRule="auto"/>
        <w:rPr>
          <w:sz w:val="20"/>
          <w:szCs w:val="20"/>
          <w:color w:val="auto"/>
        </w:rPr>
      </w:pPr>
      <w:r>
        <w:rPr>
          <w:rFonts w:ascii="Arial" w:cs="Arial" w:eastAsia="Arial" w:hAnsi="Arial"/>
          <w:sz w:val="18"/>
          <w:szCs w:val="18"/>
          <w:color w:val="auto"/>
        </w:rPr>
        <w:t>and December 31, 2017; (ii) Condensed Consolidated Statements of Operations and Comprehensive Income for the three months ended March 31, 2018 and 2017; (iii) Condensed Consolidated Statements of Equity for the three months ended March 31, 2018 and 2017; (iv) Condensed Consolidated Statements of Cash Flows for the three months ended March 31, 2018 and 2017; and (v) Notes to Condensed Consolidated Financial Statements.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1300" w:hanging="126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right"/>
        <w:ind w:left="5620" w:right="5560" w:hanging="5585"/>
        <w:spacing w:after="0" w:line="611" w:lineRule="auto"/>
        <w:tabs>
          <w:tab w:leader="none" w:pos="12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Denotes a management contract or compensatory arrangement. 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420" w:type="dxa"/>
            <w:vAlign w:val="bottom"/>
            <w:gridSpan w:val="2"/>
          </w:tcPr>
          <w:p>
            <w:pPr>
              <w:ind w:left="2200"/>
              <w:spacing w:after="0"/>
              <w:rPr>
                <w:sz w:val="20"/>
                <w:szCs w:val="20"/>
                <w:color w:val="auto"/>
              </w:rPr>
            </w:pPr>
            <w:r>
              <w:rPr>
                <w:rFonts w:ascii="Arial" w:cs="Arial" w:eastAsia="Arial" w:hAnsi="Arial"/>
                <w:sz w:val="18"/>
                <w:szCs w:val="18"/>
                <w:color w:val="auto"/>
              </w:rPr>
              <w:t>ALTISOURCE PORTFOLIO SOLUTIONS S.A.</w:t>
            </w:r>
          </w:p>
        </w:tc>
      </w:tr>
      <w:tr>
        <w:trPr>
          <w:trHeight w:val="270"/>
        </w:trPr>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7420" w:type="dxa"/>
            <w:vAlign w:val="bottom"/>
            <w:gridSpan w:val="2"/>
          </w:tcPr>
          <w:p>
            <w:pPr>
              <w:ind w:left="2200"/>
              <w:spacing w:after="0"/>
              <w:rPr>
                <w:sz w:val="20"/>
                <w:szCs w:val="20"/>
                <w:color w:val="auto"/>
              </w:rPr>
            </w:pPr>
            <w:r>
              <w:rPr>
                <w:rFonts w:ascii="Arial" w:cs="Arial" w:eastAsia="Arial" w:hAnsi="Arial"/>
                <w:sz w:val="18"/>
                <w:szCs w:val="18"/>
                <w:color w:val="auto"/>
              </w:rPr>
              <w:t>(Registrant)</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ind w:left="140"/>
              <w:spacing w:after="0"/>
              <w:rPr>
                <w:sz w:val="20"/>
                <w:szCs w:val="20"/>
                <w:color w:val="auto"/>
              </w:rPr>
            </w:pPr>
            <w:r>
              <w:rPr>
                <w:rFonts w:ascii="Arial" w:cs="Arial" w:eastAsia="Arial" w:hAnsi="Arial"/>
                <w:sz w:val="18"/>
                <w:szCs w:val="18"/>
                <w:color w:val="auto"/>
              </w:rPr>
              <w:t>April 26, 2018</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William B. Shepro</w:t>
            </w:r>
          </w:p>
        </w:tc>
      </w:tr>
      <w:tr>
        <w:trPr>
          <w:trHeight w:val="27"/>
        </w:trPr>
        <w:tc>
          <w:tcPr>
            <w:tcW w:w="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70"/>
        </w:trPr>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ind w:left="140"/>
              <w:spacing w:after="0"/>
              <w:rPr>
                <w:sz w:val="20"/>
                <w:szCs w:val="20"/>
                <w:color w:val="auto"/>
              </w:rPr>
            </w:pPr>
            <w:r>
              <w:rPr>
                <w:rFonts w:ascii="Arial" w:cs="Arial" w:eastAsia="Arial" w:hAnsi="Arial"/>
                <w:sz w:val="18"/>
                <w:szCs w:val="18"/>
                <w:color w:val="auto"/>
              </w:rPr>
              <w:t>April 26, 2018</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Finance</w:t>
            </w:r>
          </w:p>
        </w:tc>
      </w:tr>
      <w:tr>
        <w:trPr>
          <w:trHeight w:val="270"/>
        </w:trPr>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COOPERATIVE BROKERAGE AGREEMENT</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COOPERATIVE BROKERAGE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Third Amendment</w:t>
      </w:r>
      <w:r>
        <w:rPr>
          <w:rFonts w:ascii="Arial" w:cs="Arial" w:eastAsia="Arial" w:hAnsi="Arial"/>
          <w:sz w:val="22"/>
          <w:szCs w:val="22"/>
          <w:color w:val="auto"/>
        </w:rPr>
        <w:t>”) is made as effective as of March 23, 2018, and is by and among REALHome Services and Solutions, Inc., a Florida corporation (“</w:t>
      </w:r>
      <w:r>
        <w:rPr>
          <w:rFonts w:ascii="Arial" w:cs="Arial" w:eastAsia="Arial" w:hAnsi="Arial"/>
          <w:sz w:val="22"/>
          <w:szCs w:val="22"/>
          <w:u w:val="single" w:color="auto"/>
          <w:color w:val="auto"/>
        </w:rPr>
        <w:t>RHSS,</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w:t>
      </w:r>
      <w:r>
        <w:rPr>
          <w:rFonts w:ascii="Arial" w:cs="Arial" w:eastAsia="Arial" w:hAnsi="Arial"/>
          <w:sz w:val="22"/>
          <w:szCs w:val="22"/>
          <w:color w:val="auto"/>
        </w:rPr>
        <w:t>”), REALHome Services and Solutions - CT, Inc., a Connecticut corporation (“</w:t>
      </w:r>
      <w:r>
        <w:rPr>
          <w:rFonts w:ascii="Arial" w:cs="Arial" w:eastAsia="Arial" w:hAnsi="Arial"/>
          <w:sz w:val="22"/>
          <w:szCs w:val="22"/>
          <w:u w:val="single" w:color="auto"/>
          <w:color w:val="auto"/>
        </w:rPr>
        <w:t>RHSS CT</w:t>
      </w:r>
      <w:r>
        <w:rPr>
          <w:rFonts w:ascii="Arial" w:cs="Arial" w:eastAsia="Arial" w:hAnsi="Arial"/>
          <w:sz w:val="22"/>
          <w:szCs w:val="22"/>
          <w:color w:val="auto"/>
        </w:rPr>
        <w:t>”), and New Residential Sales Corp., a Delaware Corporation (“</w:t>
      </w:r>
      <w:r>
        <w:rPr>
          <w:rFonts w:ascii="Arial" w:cs="Arial" w:eastAsia="Arial" w:hAnsi="Arial"/>
          <w:sz w:val="22"/>
          <w:szCs w:val="22"/>
          <w:u w:val="single" w:color="auto"/>
          <w:color w:val="auto"/>
        </w:rPr>
        <w:t>NRZ Brokerage</w:t>
      </w:r>
      <w:r>
        <w:rPr>
          <w:rFonts w:ascii="Arial" w:cs="Arial" w:eastAsia="Arial" w:hAnsi="Arial"/>
          <w:sz w:val="22"/>
          <w:szCs w:val="22"/>
          <w:color w:val="auto"/>
        </w:rPr>
        <w: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August 28, 2017, RHSS, Inc., RHSS CT, and NRZ Brokerage entered into that certain Cooperative Brokerage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amended, the “</w:t>
      </w:r>
      <w:r>
        <w:rPr>
          <w:rFonts w:ascii="Arial" w:cs="Arial" w:eastAsia="Arial" w:hAnsi="Arial"/>
          <w:sz w:val="22"/>
          <w:szCs w:val="22"/>
          <w:u w:val="single" w:color="auto"/>
          <w:color w:val="auto"/>
        </w:rPr>
        <w:t>CBA</w:t>
      </w:r>
      <w:r>
        <w:rPr>
          <w:rFonts w:ascii="Arial" w:cs="Arial" w:eastAsia="Arial" w:hAnsi="Arial"/>
          <w:sz w:val="22"/>
          <w:szCs w:val="22"/>
          <w:color w:val="auto"/>
        </w:rPr>
        <w: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RHSS, Inc., RHSS CT, and NRZ Brokerage desire to amend the CBA, in the manner set forth herein; 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capitalized terms not otherwise defined herein shall have the meanings ascribed to them in the CBA.</w:t>
      </w:r>
    </w:p>
    <w:p>
      <w:pPr>
        <w:spacing w:after="0" w:line="177"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Agreement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mutual promises herein made, and in consideration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warranties, and the covenants herein contained, each of parties agree as follows:</w:t>
      </w:r>
    </w:p>
    <w:p>
      <w:pPr>
        <w:spacing w:after="0" w:line="114" w:lineRule="exact"/>
        <w:rPr>
          <w:sz w:val="20"/>
          <w:szCs w:val="20"/>
          <w:color w:val="auto"/>
        </w:rPr>
      </w:pPr>
    </w:p>
    <w:p>
      <w:pPr>
        <w:ind w:left="1020" w:hanging="364"/>
        <w:spacing w:after="0"/>
        <w:tabs>
          <w:tab w:leader="none" w:pos="10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Section 19(a)(xi) of the CBA is hereby deleted in its entirety, and inserted in lieu thereof is the following Section 19(a)</w:t>
      </w:r>
    </w:p>
    <w:p>
      <w:pPr>
        <w:spacing w:after="0" w:line="56" w:lineRule="exact"/>
        <w:rPr>
          <w:rFonts w:ascii="Arial" w:cs="Arial" w:eastAsia="Arial" w:hAnsi="Arial"/>
          <w:sz w:val="19"/>
          <w:szCs w:val="19"/>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of the CBA, as follows: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“(xi) Sufficient Cash. By NRZ Brokerage, if the Guarantor, together with its direct and indirect subsidiaries on a consolidated basis, fails to maintain twenty-five million dollars ($25,000,000) in unencumbered (except for that certain Credit Agreement dated November 27, 2012 under which Altisource is the borrower and any successive amendments, restatements, supplements, modifications, renewals, extensions, refundings, refinancings, restructurings or replacements thereof) cash and/or cash equivalents, regardless of the currency (the “Cash Threshold”); provided that each month, the principal financial officer or principal accounting officer shall certify that (a) at the end of such month, the Cash Threshold was satisfied in accordance with the United States generally accepted accounting principles (GAAP) definition of cash and cash equivalents; and (b) throughout such month, the Cash Threshold was satisfied at the end of each day in the month based on the total amount of cash held in bank accounts, which may or may not be GAAP compliant and may or not be reconciled.”</w:t>
      </w:r>
    </w:p>
    <w:p>
      <w:pPr>
        <w:spacing w:after="0" w:line="10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All remaining provisions of the CBA shall remain unchanged and effective and are incorporated herein by reference.</w:t>
      </w:r>
    </w:p>
    <w:p>
      <w:pPr>
        <w:sectPr>
          <w:pgSz w:w="11900" w:h="16838" w:orient="portrait"/>
          <w:cols w:equalWidth="0" w:num="1">
            <w:col w:w="11420"/>
          </w:cols>
          <w:pgMar w:left="240" w:top="742" w:right="239" w:bottom="1440" w:gutter="0" w:footer="0" w:header="0"/>
        </w:sectPr>
      </w:pPr>
    </w:p>
    <w:bookmarkStart w:id="50" w:name="page51"/>
    <w:bookmarkEnd w:id="50"/>
    <w:p>
      <w:pPr>
        <w:ind w:firstLine="656"/>
        <w:spacing w:after="0" w:line="276" w:lineRule="auto"/>
        <w:tabs>
          <w:tab w:leader="none" w:pos="10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This Third Amendment may be executed in counterparts, each of which shall be deemed an original, but all of which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WITNESS WHEREOF, the parties have executed and delivered this Third Amendment to Cooperative Brokerage Agreement as of the date first written above.</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RHSS Inc.:</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REALHome Services and Solutions,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Michelle D. Esterman</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Michelle D. Esterman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RHSS CT.:</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REALHome Services and Solutions - CT,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Michelle D. Esterman</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Michelle D. Esterman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NRZ Brokerage:</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Residential Sales Corp.</w:t>
      </w:r>
    </w:p>
    <w:p>
      <w:pPr>
        <w:spacing w:after="0" w:line="220"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Nicola Santoro, Jr.</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Nicola Santoro, Jr.</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Chief Financial Officer</w:t>
      </w:r>
    </w:p>
    <w:p>
      <w:pPr>
        <w:sectPr>
          <w:pgSz w:w="11900" w:h="16838" w:orient="portrait"/>
          <w:cols w:equalWidth="0" w:num="1">
            <w:col w:w="11420"/>
          </w:cols>
          <w:pgMar w:left="240" w:top="75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THIS NON-QUALIFIED STOCK OPTION AWARD AGREEMENT </w:t>
      </w:r>
      <w:r>
        <w:rPr>
          <w:rFonts w:ascii="Arial" w:cs="Arial" w:eastAsia="Arial" w:hAnsi="Arial"/>
          <w:sz w:val="21"/>
          <w:szCs w:val="21"/>
          <w:color w:val="auto"/>
        </w:rPr>
        <w:t>(the “Agreement”) is made as of February 12, 2018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between Altisource Portfolio Solutions S.A., a Luxembourg société anonyme (“Altisource” and, together with its subsidiaries and affiliates, the “Company”), and [ ], an employee of the Company (the “Employee”).</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by affording the Employee an opportunity to purchase shares of its common stock, par value</w:t>
      </w:r>
      <w:r>
        <w:rPr>
          <w:rFonts w:ascii="Arial" w:cs="Arial" w:eastAsia="Arial" w:hAnsi="Arial"/>
          <w:sz w:val="21"/>
          <w:szCs w:val="21"/>
          <w:b w:val="1"/>
          <w:bCs w:val="1"/>
          <w:color w:val="auto"/>
        </w:rPr>
        <w:t xml:space="preserve"> </w:t>
      </w:r>
      <w:r>
        <w:rPr>
          <w:rFonts w:ascii="Arial" w:cs="Arial" w:eastAsia="Arial" w:hAnsi="Arial"/>
          <w:sz w:val="21"/>
          <w:szCs w:val="21"/>
          <w:color w:val="auto"/>
        </w:rPr>
        <w:t>$1.00 per share (“Shares”), to further the objectives of the Company’s 2009 Equity Incentive Plan (the “2009 Plan”).</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8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OPTION GRANT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hereby grants to the Employee, pursuant to and subject to the 2009 Plan, the right and option to purchase from the Company a number of Shares equal to the Target Amount (as defined in Exhibit A) for a purchase price of $24.82 per share (the “Strike Price”), on the terms and conditions set forth in this Agreement (the “Options”).</w:t>
      </w:r>
    </w:p>
    <w:p>
      <w:pPr>
        <w:spacing w:after="0" w:line="32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OPTION TERM</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term of the Options shall begin on the Grant Date and will continue for a period of ten (10) years from the Grant Date, unless earlier terminated pursuant to exercise, in accordance with Section 3 Subsection A(3) or as provided in Section 5 below.</w:t>
      </w:r>
    </w:p>
    <w:p>
      <w:pPr>
        <w:spacing w:after="0" w:line="24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OPTIONS</w:t>
      </w:r>
    </w:p>
    <w:p>
      <w:pPr>
        <w:spacing w:after="0" w:line="26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6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Subject to the provisions of Sections 5 and 6 below, the Options shall vest and become exercisable in accordance with the following provisions:</w:t>
      </w:r>
    </w:p>
    <w:p>
      <w:pPr>
        <w:spacing w:after="0" w:line="215" w:lineRule="exact"/>
        <w:rPr>
          <w:sz w:val="20"/>
          <w:szCs w:val="20"/>
          <w:color w:val="auto"/>
        </w:rPr>
      </w:pPr>
    </w:p>
    <w:p>
      <w:pPr>
        <w:jc w:val="both"/>
        <w:ind w:left="1960" w:hanging="655"/>
        <w:spacing w:after="0" w:line="248" w:lineRule="auto"/>
        <w:tabs>
          <w:tab w:leader="none" w:pos="1960" w:val="left"/>
        </w:tabs>
        <w:numPr>
          <w:ilvl w:val="0"/>
          <w:numId w:val="31"/>
        </w:numPr>
        <w:rPr>
          <w:rFonts w:ascii="Arial" w:cs="Arial" w:eastAsia="Arial" w:hAnsi="Arial"/>
          <w:sz w:val="21"/>
          <w:szCs w:val="21"/>
          <w:color w:val="auto"/>
        </w:rPr>
      </w:pPr>
      <w:r>
        <w:rPr>
          <w:rFonts w:ascii="Arial" w:cs="Arial" w:eastAsia="Arial" w:hAnsi="Arial"/>
          <w:sz w:val="22"/>
          <w:szCs w:val="22"/>
          <w:color w:val="auto"/>
        </w:rPr>
        <w:t>Following the conclusion of the 2018 calendar year and prior to the first anniversary of the Grant Date, the Compensation Committee of the Board of Directors of Altisource shall confirm the extent to which the performance measure described in Exhibit A (the “Performance Measure”) is satisfied. Based upon the achievement against the Performance Measure, a percentage of the Target Amount (between 0% and 200%) shall become vestable Options</w:t>
      </w:r>
    </w:p>
    <w:p>
      <w:pPr>
        <w:spacing w:after="0" w:line="213"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21" w:right="239" w:bottom="1440" w:gutter="0" w:footer="0" w:header="0"/>
        </w:sectPr>
      </w:pPr>
    </w:p>
    <w:bookmarkStart w:id="52" w:name="page53"/>
    <w:bookmarkEnd w:id="52"/>
    <w:p>
      <w:pPr>
        <w:ind w:left="1952" w:right="20"/>
        <w:spacing w:after="0" w:line="263" w:lineRule="auto"/>
        <w:rPr>
          <w:sz w:val="20"/>
          <w:szCs w:val="20"/>
          <w:color w:val="auto"/>
        </w:rPr>
      </w:pPr>
      <w:r>
        <w:rPr>
          <w:rFonts w:ascii="Arial" w:cs="Arial" w:eastAsia="Arial" w:hAnsi="Arial"/>
          <w:sz w:val="22"/>
          <w:szCs w:val="22"/>
          <w:color w:val="auto"/>
        </w:rPr>
        <w:t>(the “Stock Option Vestable Portion”) and shall vest in accordance with the provisions of Section 3 Subsection A(2) below.</w:t>
      </w:r>
    </w:p>
    <w:p>
      <w:pPr>
        <w:spacing w:after="0" w:line="215" w:lineRule="exact"/>
        <w:rPr>
          <w:sz w:val="20"/>
          <w:szCs w:val="20"/>
          <w:color w:val="auto"/>
        </w:rPr>
      </w:pPr>
    </w:p>
    <w:p>
      <w:pPr>
        <w:ind w:left="1952" w:hanging="655"/>
        <w:spacing w:after="0" w:line="343" w:lineRule="auto"/>
        <w:tabs>
          <w:tab w:leader="none" w:pos="1952" w:val="left"/>
        </w:tabs>
        <w:numPr>
          <w:ilvl w:val="1"/>
          <w:numId w:val="32"/>
        </w:numPr>
        <w:rPr>
          <w:rFonts w:ascii="Arial" w:cs="Arial" w:eastAsia="Arial" w:hAnsi="Arial"/>
          <w:sz w:val="19"/>
          <w:szCs w:val="19"/>
          <w:color w:val="auto"/>
        </w:rPr>
      </w:pPr>
      <w:r>
        <w:rPr>
          <w:rFonts w:ascii="Arial" w:cs="Arial" w:eastAsia="Arial" w:hAnsi="Arial"/>
          <w:sz w:val="19"/>
          <w:szCs w:val="19"/>
          <w:color w:val="auto"/>
        </w:rPr>
        <w:t>One-fourth (1/4) of the Stock Option Vestable Portion (if any, as determined pursuant to the provisions of Exhibit A) shall vest on each of the first, second, third and fourth anniversaries of the Grant Date.</w:t>
      </w:r>
    </w:p>
    <w:p>
      <w:pPr>
        <w:spacing w:after="0" w:line="145" w:lineRule="exact"/>
        <w:rPr>
          <w:rFonts w:ascii="Arial" w:cs="Arial" w:eastAsia="Arial" w:hAnsi="Arial"/>
          <w:sz w:val="19"/>
          <w:szCs w:val="19"/>
          <w:color w:val="auto"/>
        </w:rPr>
      </w:pPr>
    </w:p>
    <w:p>
      <w:pPr>
        <w:jc w:val="both"/>
        <w:ind w:left="1952" w:hanging="655"/>
        <w:spacing w:after="0" w:line="253" w:lineRule="auto"/>
        <w:tabs>
          <w:tab w:leader="none" w:pos="1952" w:val="left"/>
        </w:tabs>
        <w:numPr>
          <w:ilvl w:val="1"/>
          <w:numId w:val="32"/>
        </w:numPr>
        <w:rPr>
          <w:rFonts w:ascii="Arial" w:cs="Arial" w:eastAsia="Arial" w:hAnsi="Arial"/>
          <w:sz w:val="21"/>
          <w:szCs w:val="21"/>
          <w:color w:val="auto"/>
        </w:rPr>
      </w:pPr>
      <w:r>
        <w:rPr>
          <w:rFonts w:ascii="Arial" w:cs="Arial" w:eastAsia="Arial" w:hAnsi="Arial"/>
          <w:sz w:val="22"/>
          <w:szCs w:val="22"/>
          <w:color w:val="auto"/>
        </w:rPr>
        <w:t>All Options that do not constitute the Stock Option Vestable Portion shall be forfeited and cancelled immediately upon confirmation by the Board of Directors regarding the extent to which the Performance Measure is satisfied (if at all).</w:t>
      </w:r>
    </w:p>
    <w:p>
      <w:pPr>
        <w:spacing w:after="0" w:line="226" w:lineRule="exact"/>
        <w:rPr>
          <w:rFonts w:ascii="Arial" w:cs="Arial" w:eastAsia="Arial" w:hAnsi="Arial"/>
          <w:sz w:val="21"/>
          <w:szCs w:val="21"/>
          <w:color w:val="auto"/>
        </w:rPr>
      </w:pPr>
    </w:p>
    <w:p>
      <w:pPr>
        <w:ind w:left="1292" w:hanging="644"/>
        <w:spacing w:after="0"/>
        <w:tabs>
          <w:tab w:leader="none" w:pos="129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60"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The Employee shall have none of the rights of a shareholder with respect to any of the Shares subject to the Options until such Shares shall be issued in the Employee’s name or the name of the Employee’s designee following the exercise of the Options.</w:t>
      </w:r>
    </w:p>
    <w:p>
      <w:pPr>
        <w:spacing w:after="0" w:line="328"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OPTION EXERCISE</w:t>
      </w:r>
    </w:p>
    <w:p>
      <w:pPr>
        <w:spacing w:after="0" w:line="266" w:lineRule="exact"/>
        <w:rPr>
          <w:rFonts w:ascii="Arial" w:cs="Arial" w:eastAsia="Arial" w:hAnsi="Arial"/>
          <w:sz w:val="22"/>
          <w:szCs w:val="22"/>
          <w:b w:val="1"/>
          <w:bCs w:val="1"/>
          <w:color w:val="auto"/>
        </w:rPr>
      </w:pPr>
    </w:p>
    <w:p>
      <w:pPr>
        <w:jc w:val="both"/>
        <w:ind w:left="1292" w:hanging="644"/>
        <w:spacing w:after="0" w:line="258" w:lineRule="auto"/>
        <w:tabs>
          <w:tab w:leader="none" w:pos="1292" w:val="left"/>
        </w:tabs>
        <w:numPr>
          <w:ilvl w:val="1"/>
          <w:numId w:val="34"/>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vested Options may be exercised by written notice to the Company at its executive offices to the attention of the Corporate Secretary of the Company (the “Notice”). The Notice shall state the election to exercise vested Options, shall state the number of Shares in respect of which it is being exercised (the “Purchased Shares”) and shall be signed by the person or persons so exercising such Options. In no case may vested Options be exercised as to less than fifty (50) Shares at any one time (or the remaining Shares then purchasable under the vested Options, if less than fifty (50) Shares) or for a fractional Share. Except as provided in Section 5 below, vested Options may not be exercised unless the Employee shall, at the time of the exercise, be an employee of the Company and not under a notice of resignation. During the Employee’s lifetime, only the Employee or the Employee’s guardian or legal representative may exercise vested Options (in the case of the Employee’s guardian or legal representative, such guardian or legal representative, as applicable, will be considered to be the Employee for purposes of exercising the Employee’s rights in this Section 4, Subsections A and B).</w:t>
      </w:r>
    </w:p>
    <w:p>
      <w:pPr>
        <w:spacing w:after="0" w:line="220" w:lineRule="exact"/>
        <w:rPr>
          <w:rFonts w:ascii="Arial" w:cs="Arial" w:eastAsia="Arial" w:hAnsi="Arial"/>
          <w:sz w:val="21"/>
          <w:szCs w:val="21"/>
          <w:color w:val="auto"/>
        </w:rPr>
      </w:pPr>
    </w:p>
    <w:p>
      <w:pPr>
        <w:jc w:val="both"/>
        <w:ind w:left="1292" w:hanging="644"/>
        <w:spacing w:after="0" w:line="247" w:lineRule="auto"/>
        <w:tabs>
          <w:tab w:leader="none" w:pos="12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Notice shall be accompanied by (1) a personal check or wire transfer payable to the order of the Company for payment of the full purchase price of the Purchased Shares, (2) delivery to the Company of the number of Shares duly endorsed for transfer and owned by the Employee that have an aggregate Fair Market Value equal to the aggregate purchase price of the Purchased Shares or (3) payment therefor made in such other manner as may be acceptable to the Company on such terms as may be determined by the Board of Directors. “Fair Market Value” shall have the</w:t>
      </w:r>
    </w:p>
    <w:p>
      <w:pPr>
        <w:spacing w:after="0" w:line="215"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12"/>
          </w:cols>
          <w:pgMar w:left="248" w:top="631" w:right="239" w:bottom="1440" w:gutter="0" w:footer="0" w:header="0"/>
        </w:sectPr>
      </w:pPr>
    </w:p>
    <w:bookmarkStart w:id="53" w:name="page54"/>
    <w:bookmarkEnd w:id="53"/>
    <w:p>
      <w:pPr>
        <w:jc w:val="both"/>
        <w:ind w:left="1300"/>
        <w:spacing w:after="0" w:line="289" w:lineRule="auto"/>
        <w:rPr>
          <w:sz w:val="20"/>
          <w:szCs w:val="20"/>
          <w:color w:val="auto"/>
        </w:rPr>
      </w:pPr>
      <w:r>
        <w:rPr>
          <w:rFonts w:ascii="Arial" w:cs="Arial" w:eastAsia="Arial" w:hAnsi="Arial"/>
          <w:sz w:val="19"/>
          <w:szCs w:val="19"/>
          <w:color w:val="auto"/>
        </w:rPr>
        <w:t>meaning given to that term in the 2009 Plan. In addition to and at the time of payment of the purchase price, the person exercising the vested Options shall pay to the Company the full amount of any federal and state withholding or other taxes applicable to the taxable income of such person resulting from such exercise in cash unless the Board of Directors in its sole discretion shall permit such taxes to be paid in Shares. Such payment may also be made in the form of payroll withholding, at the election of the Employee, provided that the required payroll withholding occurs within one pay period. The Company shall issue the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Purchased Shares shall be registered in the name of the Employee and shall be delivered as aforesaid to or upon the written order of the Employee.</w:t>
      </w:r>
    </w:p>
    <w:p>
      <w:pPr>
        <w:spacing w:after="0" w:line="200" w:lineRule="exact"/>
        <w:rPr>
          <w:sz w:val="20"/>
          <w:szCs w:val="20"/>
          <w:color w:val="auto"/>
        </w:rPr>
      </w:pPr>
    </w:p>
    <w:p>
      <w:pPr>
        <w:spacing w:after="0" w:line="255" w:lineRule="exact"/>
        <w:rPr>
          <w:sz w:val="20"/>
          <w:szCs w:val="20"/>
          <w:color w:val="auto"/>
        </w:rPr>
      </w:pPr>
    </w:p>
    <w:p>
      <w:pPr>
        <w:jc w:val="both"/>
        <w:ind w:left="1300" w:right="20" w:hanging="644"/>
        <w:spacing w:after="0" w:line="25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the extent Options shall be exercised, pursuant to Section 5 hereof, by any person or persons other than the Employee, such notice shall be accompanied by appropriate proof of the derivative right of such person or persons to exercise the Options.</w:t>
      </w:r>
    </w:p>
    <w:p>
      <w:pPr>
        <w:spacing w:after="0" w:line="226"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date of exercise of an Option shall be the date on which the Notice, the documents and all payments required under this Section 4 are received by or arranged with the Corporate Secretary of the Company. If such Notice is received after the market closes, the following trading day will be considered the date of exercise. All Purchased Shares shall be fully paid and non-assessable.</w:t>
      </w:r>
    </w:p>
    <w:p>
      <w:pPr>
        <w:spacing w:after="0" w:line="22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may require the Employee to exercise the Options electronically through the Solium Shareworks system or any other online system pursuant to the procedures set forth therein as determined by the Company in its sole discretion.</w:t>
      </w:r>
    </w:p>
    <w:p>
      <w:pPr>
        <w:spacing w:after="0" w:line="226"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may amend the procedures set forth in this Section 4, Subsections A through E in its sole discretion.</w:t>
      </w:r>
    </w:p>
    <w:p>
      <w:pPr>
        <w:spacing w:after="0" w:line="39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Options may not be exercised to any extent after termination of the Options. Options will terminate as set forth below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w:t>
      </w:r>
    </w:p>
    <w:p>
      <w:pPr>
        <w:spacing w:after="0" w:line="242" w:lineRule="exact"/>
        <w:rPr>
          <w:sz w:val="20"/>
          <w:szCs w:val="20"/>
          <w:color w:val="auto"/>
        </w:rPr>
      </w:pPr>
    </w:p>
    <w:p>
      <w:pPr>
        <w:ind w:left="1300" w:hanging="644"/>
        <w:spacing w:after="0" w:line="26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Options shall terminate upon the exercise of such Options in the manner provided in this Agreement and the 2009 Plan, whether or not the Purchased Shares are ultimately delivered.</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as may otherwise be provided in Section 3 Subsection A(3) and this Section 5, Subsections A and C for the earlier termination of the Options, the Options and all rights and obligations thereunder shall expire ten (10) years after the Grant Date.</w:t>
      </w:r>
    </w:p>
    <w:p>
      <w:pPr>
        <w:spacing w:after="0" w:line="200" w:lineRule="exact"/>
        <w:rPr>
          <w:sz w:val="20"/>
          <w:szCs w:val="20"/>
          <w:color w:val="auto"/>
        </w:rPr>
      </w:pPr>
    </w:p>
    <w:p>
      <w:pPr>
        <w:spacing w:after="0" w:line="26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31" w:right="239" w:bottom="1440" w:gutter="0" w:footer="0" w:header="0"/>
        </w:sectPr>
      </w:pPr>
    </w:p>
    <w:bookmarkStart w:id="54" w:name="page55"/>
    <w:bookmarkEnd w:id="54"/>
    <w:p>
      <w:pPr>
        <w:ind w:left="644" w:hanging="644"/>
        <w:spacing w:after="0" w:line="287" w:lineRule="auto"/>
        <w:tabs>
          <w:tab w:leader="none" w:pos="644" w:val="left"/>
        </w:tabs>
        <w:numPr>
          <w:ilvl w:val="0"/>
          <w:numId w:val="38"/>
        </w:numPr>
        <w:rPr>
          <w:rFonts w:ascii="Arial" w:cs="Arial" w:eastAsia="Arial" w:hAnsi="Arial"/>
          <w:sz w:val="21"/>
          <w:szCs w:val="21"/>
          <w:color w:val="auto"/>
        </w:rPr>
      </w:pPr>
      <w:r>
        <w:rPr>
          <w:rFonts w:ascii="Arial" w:cs="Arial" w:eastAsia="Arial" w:hAnsi="Arial"/>
          <w:sz w:val="21"/>
          <w:szCs w:val="21"/>
          <w:color w:val="auto"/>
        </w:rPr>
        <w:t>If, prior to exercise, expiration, forfeiture, surrender or cancellation of the Options, the Employee’s employment terminates, the Options shall terminate in accordance with the 2009 Plan except as follows:</w:t>
      </w:r>
    </w:p>
    <w:p>
      <w:pPr>
        <w:spacing w:after="0" w:line="192" w:lineRule="exact"/>
        <w:rPr>
          <w:rFonts w:ascii="Arial" w:cs="Arial" w:eastAsia="Arial" w:hAnsi="Arial"/>
          <w:sz w:val="21"/>
          <w:szCs w:val="21"/>
          <w:color w:val="auto"/>
        </w:rPr>
      </w:pPr>
    </w:p>
    <w:p>
      <w:pPr>
        <w:ind w:left="1304" w:right="20" w:hanging="655"/>
        <w:spacing w:after="0" w:line="263" w:lineRule="auto"/>
        <w:tabs>
          <w:tab w:leader="none" w:pos="1304" w:val="left"/>
        </w:tabs>
        <w:numPr>
          <w:ilvl w:val="1"/>
          <w:numId w:val="38"/>
        </w:numPr>
        <w:rPr>
          <w:rFonts w:ascii="Arial" w:cs="Arial" w:eastAsia="Arial" w:hAnsi="Arial"/>
          <w:sz w:val="21"/>
          <w:szCs w:val="21"/>
          <w:color w:val="auto"/>
        </w:rPr>
      </w:pPr>
      <w:r>
        <w:rPr>
          <w:rFonts w:ascii="Arial" w:cs="Arial" w:eastAsia="Arial" w:hAnsi="Arial"/>
          <w:sz w:val="22"/>
          <w:szCs w:val="22"/>
          <w:color w:val="auto"/>
        </w:rPr>
        <w:t>by reason of termination of employment by the Company for Cause, then all Options shall terminate on the date of termination of employment.</w:t>
      </w:r>
    </w:p>
    <w:p>
      <w:pPr>
        <w:spacing w:after="0" w:line="215" w:lineRule="exact"/>
        <w:rPr>
          <w:rFonts w:ascii="Arial" w:cs="Arial" w:eastAsia="Arial" w:hAnsi="Arial"/>
          <w:sz w:val="21"/>
          <w:szCs w:val="21"/>
          <w:color w:val="auto"/>
        </w:rPr>
      </w:pPr>
    </w:p>
    <w:p>
      <w:pPr>
        <w:jc w:val="both"/>
        <w:ind w:left="1304" w:hanging="655"/>
        <w:spacing w:after="0" w:line="312" w:lineRule="auto"/>
        <w:tabs>
          <w:tab w:leader="none" w:pos="1304" w:val="left"/>
        </w:tabs>
        <w:numPr>
          <w:ilvl w:val="1"/>
          <w:numId w:val="38"/>
        </w:numPr>
        <w:rPr>
          <w:rFonts w:ascii="Arial" w:cs="Arial" w:eastAsia="Arial" w:hAnsi="Arial"/>
          <w:sz w:val="19"/>
          <w:szCs w:val="19"/>
          <w:color w:val="auto"/>
        </w:rPr>
      </w:pPr>
      <w:r>
        <w:rPr>
          <w:rFonts w:ascii="Arial" w:cs="Arial" w:eastAsia="Arial" w:hAnsi="Arial"/>
          <w:sz w:val="19"/>
          <w:szCs w:val="19"/>
          <w:color w:val="auto"/>
        </w:rPr>
        <w:t>by reason of termination of employment by the Employee (other than by reason of retirement), then all unvested Options shall terminate on the date Employee provides notice of his or her resignation and all vested Options shall terminate on the date that is six (6) months after the date of termination of employment.</w:t>
      </w:r>
    </w:p>
    <w:p>
      <w:pPr>
        <w:spacing w:after="0" w:line="174" w:lineRule="exact"/>
        <w:rPr>
          <w:rFonts w:ascii="Arial" w:cs="Arial" w:eastAsia="Arial" w:hAnsi="Arial"/>
          <w:sz w:val="19"/>
          <w:szCs w:val="19"/>
          <w:color w:val="auto"/>
        </w:rPr>
      </w:pPr>
    </w:p>
    <w:p>
      <w:pPr>
        <w:ind w:left="1304" w:hanging="655"/>
        <w:spacing w:after="0"/>
        <w:tabs>
          <w:tab w:leader="none" w:pos="1304" w:val="left"/>
        </w:tabs>
        <w:numPr>
          <w:ilvl w:val="1"/>
          <w:numId w:val="38"/>
        </w:numPr>
        <w:rPr>
          <w:rFonts w:ascii="Arial" w:cs="Arial" w:eastAsia="Arial" w:hAnsi="Arial"/>
          <w:sz w:val="21"/>
          <w:szCs w:val="21"/>
          <w:color w:val="auto"/>
        </w:rPr>
      </w:pPr>
      <w:r>
        <w:rPr>
          <w:rFonts w:ascii="Arial" w:cs="Arial" w:eastAsia="Arial" w:hAnsi="Arial"/>
          <w:sz w:val="22"/>
          <w:szCs w:val="22"/>
          <w:color w:val="auto"/>
        </w:rPr>
        <w:t>by reason of termination of employment by the Company without Cause then:</w:t>
      </w:r>
    </w:p>
    <w:p>
      <w:pPr>
        <w:spacing w:after="0" w:line="260" w:lineRule="exact"/>
        <w:rPr>
          <w:sz w:val="20"/>
          <w:szCs w:val="20"/>
          <w:color w:val="auto"/>
        </w:rPr>
      </w:pPr>
    </w:p>
    <w:p>
      <w:pPr>
        <w:jc w:val="both"/>
        <w:ind w:left="2264" w:hanging="890"/>
        <w:spacing w:after="0" w:line="286" w:lineRule="auto"/>
        <w:rPr>
          <w:sz w:val="20"/>
          <w:szCs w:val="20"/>
          <w:color w:val="auto"/>
        </w:rPr>
      </w:pPr>
      <w:r>
        <w:rPr>
          <w:rFonts w:ascii="Arial" w:cs="Arial" w:eastAsia="Arial" w:hAnsi="Arial"/>
          <w:sz w:val="19"/>
          <w:szCs w:val="19"/>
          <w:color w:val="auto"/>
        </w:rPr>
        <w:t>(a)if the date of such termination occurs after September 30, 2018 but before the Stock Option Vestable Portion has been determined, the Options shall remain outstanding and the Stock Option Vestable Portion (if any) shall be determined pursuant to the provisions of Exhibit A, after which the Stock Option Vestable Portion, if any, shall vest and shall become immediately exercisable in full on the date of such determination and shall be exercisable for a period of six (6) months following such vesting date; provided however that if Employee has been employed with the Company for less than two (2) years at the time of termination, then any unvested Options that are determined to be eligible to vest within twelve (12) months of such termination shall vest in accordance with the vesting schedule set forth in Section 3 Subsection A(2), and shall be exercisable within six (6) months of such vesting date, and the remainder of the Options shall be forfeited by the Employee as of the date the Stock Option Vestable Portion has been determined.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C(3)(a) prior to the first anniversary of the Grant Date.</w:t>
      </w:r>
    </w:p>
    <w:p>
      <w:pPr>
        <w:spacing w:after="0" w:line="200" w:lineRule="exact"/>
        <w:rPr>
          <w:sz w:val="20"/>
          <w:szCs w:val="20"/>
          <w:color w:val="auto"/>
        </w:rPr>
      </w:pPr>
    </w:p>
    <w:p>
      <w:pPr>
        <w:jc w:val="both"/>
        <w:ind w:left="2264" w:hanging="904"/>
        <w:spacing w:after="0" w:line="248" w:lineRule="auto"/>
        <w:rPr>
          <w:sz w:val="20"/>
          <w:szCs w:val="20"/>
          <w:color w:val="auto"/>
        </w:rPr>
      </w:pPr>
      <w:r>
        <w:rPr>
          <w:rFonts w:ascii="Arial" w:cs="Arial" w:eastAsia="Arial" w:hAnsi="Arial"/>
          <w:sz w:val="22"/>
          <w:szCs w:val="22"/>
          <w:color w:val="auto"/>
        </w:rPr>
        <w:t>(b)if the date of such termination occurs after September 30, 2018 and after the determination of the Stock Option Vestable Portion, the Stock Option Vestable Portion, if any, shall vest and shall become immediately exercisable in full on the date of such termination and shall be exercisable for a period of six (6) months following such termination date; provided however that if Employee has been</w:t>
      </w:r>
    </w:p>
    <w:p>
      <w:pPr>
        <w:spacing w:after="0" w:line="213"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764"/>
          </w:cols>
          <w:pgMar w:left="896" w:top="631" w:right="239" w:bottom="1440" w:gutter="0" w:footer="0" w:header="0"/>
        </w:sectPr>
      </w:pPr>
    </w:p>
    <w:bookmarkStart w:id="55" w:name="page56"/>
    <w:bookmarkEnd w:id="55"/>
    <w:p>
      <w:pPr>
        <w:jc w:val="both"/>
        <w:ind w:left="1400"/>
        <w:spacing w:after="0" w:line="288" w:lineRule="auto"/>
        <w:rPr>
          <w:sz w:val="20"/>
          <w:szCs w:val="20"/>
          <w:color w:val="auto"/>
        </w:rPr>
      </w:pPr>
      <w:r>
        <w:rPr>
          <w:rFonts w:ascii="Arial" w:cs="Arial" w:eastAsia="Arial" w:hAnsi="Arial"/>
          <w:sz w:val="19"/>
          <w:szCs w:val="19"/>
          <w:color w:val="auto"/>
        </w:rPr>
        <w:t>employed with the Company for less than two (2) years, then any unvested Options that are scheduled to vest within twelve (12) months of such termination of employment shall vest in accordance with the vesting schedule set forth in Section 3 Subsection A(2), and shall be exercisable within six (6) months of such vesting date, and the remainder of the Options shall be forfeited by the Employee as of the date the Stock Option Vestable Portion has been determined.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C(3)(b) prior to the first anniversary of the Grant Date.</w:t>
      </w:r>
    </w:p>
    <w:p>
      <w:pPr>
        <w:spacing w:after="0" w:line="195" w:lineRule="exact"/>
        <w:rPr>
          <w:sz w:val="20"/>
          <w:szCs w:val="20"/>
          <w:color w:val="auto"/>
        </w:rPr>
      </w:pPr>
    </w:p>
    <w:p>
      <w:pPr>
        <w:ind w:left="1720" w:hanging="890"/>
        <w:spacing w:after="0" w:line="263" w:lineRule="auto"/>
        <w:rPr>
          <w:sz w:val="20"/>
          <w:szCs w:val="20"/>
          <w:color w:val="auto"/>
        </w:rPr>
      </w:pPr>
      <w:r>
        <w:rPr>
          <w:rFonts w:ascii="Arial" w:cs="Arial" w:eastAsia="Arial" w:hAnsi="Arial"/>
          <w:sz w:val="22"/>
          <w:szCs w:val="22"/>
          <w:color w:val="auto"/>
        </w:rPr>
        <w:t>(c)if the date of such termination of employment occurs prior to September 30, 2018, then all Options shall terminate on the date of such termination without Cause as applicable.</w:t>
      </w:r>
    </w:p>
    <w:p>
      <w:pPr>
        <w:spacing w:after="0" w:line="215" w:lineRule="exact"/>
        <w:rPr>
          <w:sz w:val="20"/>
          <w:szCs w:val="20"/>
          <w:color w:val="auto"/>
        </w:rPr>
      </w:pPr>
    </w:p>
    <w:p>
      <w:pPr>
        <w:ind w:left="760" w:hanging="655"/>
        <w:spacing w:after="0"/>
        <w:tabs>
          <w:tab w:leader="none" w:pos="7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by reason of termination of employment by reason of retirement, Disability, or death of the employee then:</w:t>
      </w:r>
    </w:p>
    <w:p>
      <w:pPr>
        <w:spacing w:after="0" w:line="295" w:lineRule="exact"/>
        <w:rPr>
          <w:sz w:val="20"/>
          <w:szCs w:val="20"/>
          <w:color w:val="auto"/>
        </w:rPr>
      </w:pPr>
    </w:p>
    <w:p>
      <w:pPr>
        <w:jc w:val="both"/>
        <w:ind w:left="1720" w:hanging="890"/>
        <w:spacing w:after="0" w:line="286" w:lineRule="auto"/>
        <w:rPr>
          <w:sz w:val="20"/>
          <w:szCs w:val="20"/>
          <w:color w:val="auto"/>
        </w:rPr>
      </w:pPr>
      <w:r>
        <w:rPr>
          <w:rFonts w:ascii="Arial" w:cs="Arial" w:eastAsia="Arial" w:hAnsi="Arial"/>
          <w:sz w:val="19"/>
          <w:szCs w:val="19"/>
          <w:color w:val="auto"/>
        </w:rPr>
        <w:t>(a)if the date of such termination occurs after September 30, 2018 but before the Stock Option Vestable Portion has been determined, the Options shall remain outstanding and the Stock Option Vestable Portion (if any) shall be determined pursuant to the provisions of Exhibit A after which the Stock Option Vestable Portion, if any, shall vest in accordance with the vesting schedule set forth in Section 3 Subsection A(2) and any vested Options shall terminate as follows: (i) in the case of retirement or Disability, on the earlier of (x) five (5) years after the date of the Employee’s retirement or Disability, as applicable or (y) the end of the Option’s term and (ii) in the case of death, on the earlier of (x) three (3) years after the date of the Employee’s death or (y) the end of the Option’s term.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C(4)(a) prior to the first anniversary of the Grant Date.</w:t>
      </w:r>
    </w:p>
    <w:p>
      <w:pPr>
        <w:spacing w:after="0" w:line="200" w:lineRule="exact"/>
        <w:rPr>
          <w:sz w:val="20"/>
          <w:szCs w:val="20"/>
          <w:color w:val="auto"/>
        </w:rPr>
      </w:pPr>
    </w:p>
    <w:p>
      <w:pPr>
        <w:spacing w:after="0" w:line="241"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220"/>
          </w:cols>
          <w:pgMar w:left="1440" w:top="631" w:right="239" w:bottom="1440" w:gutter="0" w:footer="0" w:header="0"/>
        </w:sectPr>
      </w:pPr>
    </w:p>
    <w:bookmarkStart w:id="56" w:name="page57"/>
    <w:bookmarkEnd w:id="56"/>
    <w:p>
      <w:pPr>
        <w:jc w:val="both"/>
        <w:ind w:left="2912" w:hanging="904"/>
        <w:spacing w:after="0" w:line="286" w:lineRule="auto"/>
        <w:rPr>
          <w:sz w:val="20"/>
          <w:szCs w:val="20"/>
          <w:color w:val="auto"/>
        </w:rPr>
      </w:pPr>
      <w:r>
        <w:rPr>
          <w:rFonts w:ascii="Arial" w:cs="Arial" w:eastAsia="Arial" w:hAnsi="Arial"/>
          <w:sz w:val="19"/>
          <w:szCs w:val="19"/>
          <w:color w:val="auto"/>
        </w:rPr>
        <w:t>(b)if the date of such termination occurs after September 30, 2018 and after the determination of the Stock Option Vestable Portion, the Stock Option Vestable Portion that has not yet vested shall vest and shall become immediately exercisable in full on the date of such termination and any vested Options shall terminate as follows: (i) in the case of retirement or Disability, on the earlier of (x) five (5) years after the date of the Employee’s retirement or Disability, as applicable or (y) the end of the Option’s term and (ii) in the case of death, on the earlier of (x) three (3) years after the date of the Employee’s death or (y) the end of the Option’s term.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C(4)(b) prior to the first anniversary of the Grant Date.</w:t>
      </w:r>
    </w:p>
    <w:p>
      <w:pPr>
        <w:spacing w:after="0" w:line="208" w:lineRule="exact"/>
        <w:rPr>
          <w:sz w:val="20"/>
          <w:szCs w:val="20"/>
          <w:color w:val="auto"/>
        </w:rPr>
      </w:pPr>
    </w:p>
    <w:p>
      <w:pPr>
        <w:jc w:val="both"/>
        <w:ind w:left="2912" w:hanging="890"/>
        <w:spacing w:after="0" w:line="287" w:lineRule="auto"/>
        <w:rPr>
          <w:sz w:val="20"/>
          <w:szCs w:val="20"/>
          <w:color w:val="auto"/>
        </w:rPr>
      </w:pPr>
      <w:r>
        <w:rPr>
          <w:rFonts w:ascii="Arial" w:cs="Arial" w:eastAsia="Arial" w:hAnsi="Arial"/>
          <w:sz w:val="21"/>
          <w:szCs w:val="21"/>
          <w:color w:val="auto"/>
        </w:rPr>
        <w:t>(c)if the date of such termination of employment occurs prior to September 30, 2018, then all Options shall terminate on the date of such retirement, Disability or death, as applicable.</w:t>
      </w:r>
    </w:p>
    <w:p>
      <w:pPr>
        <w:spacing w:after="0" w:line="192" w:lineRule="exact"/>
        <w:rPr>
          <w:sz w:val="20"/>
          <w:szCs w:val="20"/>
          <w:color w:val="auto"/>
        </w:rPr>
      </w:pPr>
    </w:p>
    <w:p>
      <w:pPr>
        <w:jc w:val="both"/>
        <w:ind w:left="2912" w:hanging="904"/>
        <w:spacing w:after="0" w:line="286" w:lineRule="auto"/>
        <w:rPr>
          <w:sz w:val="20"/>
          <w:szCs w:val="20"/>
          <w:color w:val="auto"/>
        </w:rPr>
      </w:pPr>
      <w:r>
        <w:rPr>
          <w:rFonts w:ascii="Arial" w:cs="Arial" w:eastAsia="Arial" w:hAnsi="Arial"/>
          <w:sz w:val="19"/>
          <w:szCs w:val="19"/>
          <w:color w:val="auto"/>
        </w:rPr>
        <w:t>(d)The Employee’s right to retain any Options or right to accelerated vesting following termination of employment under Section 5 Subsection C(4) is subject in all cases to the requirement that the Employee has been employed with the Company for a period of at least three (3) years in the case of retirement (and has reached the minimum age for retirement set forth in the 2009 Plan) or two</w:t>
      </w:r>
    </w:p>
    <w:p>
      <w:pPr>
        <w:spacing w:after="0" w:line="3" w:lineRule="exact"/>
        <w:rPr>
          <w:sz w:val="20"/>
          <w:szCs w:val="20"/>
          <w:color w:val="auto"/>
        </w:rPr>
      </w:pPr>
    </w:p>
    <w:p>
      <w:pPr>
        <w:ind w:left="2912" w:firstLine="5"/>
        <w:spacing w:after="0" w:line="246" w:lineRule="auto"/>
        <w:tabs>
          <w:tab w:leader="none" w:pos="3239" w:val="left"/>
        </w:tabs>
        <w:numPr>
          <w:ilvl w:val="3"/>
          <w:numId w:val="40"/>
        </w:numPr>
        <w:rPr>
          <w:rFonts w:ascii="Arial" w:cs="Arial" w:eastAsia="Arial" w:hAnsi="Arial"/>
          <w:sz w:val="22"/>
          <w:szCs w:val="22"/>
          <w:color w:val="auto"/>
        </w:rPr>
      </w:pPr>
      <w:r>
        <w:rPr>
          <w:rFonts w:ascii="Arial" w:cs="Arial" w:eastAsia="Arial" w:hAnsi="Arial"/>
          <w:sz w:val="22"/>
          <w:szCs w:val="22"/>
          <w:color w:val="auto"/>
        </w:rPr>
        <w:t>years in the case of Disability or death, unless otherwise determined by the Company in its sole discretion.</w:t>
      </w:r>
    </w:p>
    <w:p>
      <w:pPr>
        <w:spacing w:after="0" w:line="233" w:lineRule="exact"/>
        <w:rPr>
          <w:rFonts w:ascii="Arial" w:cs="Arial" w:eastAsia="Arial" w:hAnsi="Arial"/>
          <w:sz w:val="22"/>
          <w:szCs w:val="22"/>
          <w:color w:val="auto"/>
        </w:rPr>
      </w:pPr>
    </w:p>
    <w:p>
      <w:pPr>
        <w:ind w:left="1292" w:hanging="644"/>
        <w:spacing w:after="0" w:line="263" w:lineRule="auto"/>
        <w:tabs>
          <w:tab w:leader="none" w:pos="1292" w:val="left"/>
        </w:tabs>
        <w:numPr>
          <w:ilvl w:val="2"/>
          <w:numId w:val="41"/>
        </w:numPr>
        <w:rPr>
          <w:rFonts w:ascii="Arial" w:cs="Arial" w:eastAsia="Arial" w:hAnsi="Arial"/>
          <w:sz w:val="22"/>
          <w:szCs w:val="22"/>
          <w:color w:val="auto"/>
        </w:rPr>
      </w:pPr>
      <w:r>
        <w:rPr>
          <w:rFonts w:ascii="Arial" w:cs="Arial" w:eastAsia="Arial" w:hAnsi="Arial"/>
          <w:sz w:val="22"/>
          <w:szCs w:val="22"/>
          <w:color w:val="auto"/>
        </w:rPr>
        <w:t>In no event shall this Section 5, Subsection C extend the life of the Options beyond the Option term as set forth in Section 2 of this Agreement.</w:t>
      </w:r>
    </w:p>
    <w:p>
      <w:pPr>
        <w:spacing w:after="0" w:line="317" w:lineRule="exact"/>
        <w:rPr>
          <w:rFonts w:ascii="Arial" w:cs="Arial" w:eastAsia="Arial" w:hAnsi="Arial"/>
          <w:sz w:val="22"/>
          <w:szCs w:val="22"/>
          <w:color w:val="auto"/>
        </w:rPr>
      </w:pPr>
    </w:p>
    <w:p>
      <w:pPr>
        <w:ind w:left="652" w:hanging="652"/>
        <w:spacing w:after="0"/>
        <w:tabs>
          <w:tab w:leader="none" w:pos="65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 CLAW-BACK POLICY</w:t>
      </w:r>
    </w:p>
    <w:p>
      <w:pPr>
        <w:spacing w:after="0" w:line="266" w:lineRule="exact"/>
        <w:rPr>
          <w:rFonts w:ascii="Arial" w:cs="Arial" w:eastAsia="Arial" w:hAnsi="Arial"/>
          <w:sz w:val="22"/>
          <w:szCs w:val="22"/>
          <w:b w:val="1"/>
          <w:bCs w:val="1"/>
          <w:color w:val="auto"/>
        </w:rPr>
      </w:pPr>
    </w:p>
    <w:p>
      <w:pPr>
        <w:jc w:val="both"/>
        <w:ind w:left="1292" w:right="20" w:hanging="738"/>
        <w:spacing w:after="0" w:line="312" w:lineRule="auto"/>
        <w:tabs>
          <w:tab w:leader="none" w:pos="1292" w:val="left"/>
        </w:tabs>
        <w:numPr>
          <w:ilvl w:val="1"/>
          <w:numId w:val="42"/>
        </w:numPr>
        <w:rPr>
          <w:rFonts w:ascii="Arial" w:cs="Arial" w:eastAsia="Arial" w:hAnsi="Arial"/>
          <w:sz w:val="19"/>
          <w:szCs w:val="19"/>
          <w:color w:val="auto"/>
        </w:rPr>
      </w:pPr>
      <w:r>
        <w:rPr>
          <w:rFonts w:ascii="Arial" w:cs="Arial" w:eastAsia="Arial" w:hAnsi="Arial"/>
          <w:sz w:val="19"/>
          <w:szCs w:val="19"/>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w:t>
      </w:r>
    </w:p>
    <w:p>
      <w:pPr>
        <w:spacing w:after="0" w:line="371"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12"/>
          </w:cols>
          <w:pgMar w:left="248" w:top="888" w:right="239" w:bottom="1440" w:gutter="0" w:footer="0" w:header="0"/>
        </w:sectPr>
      </w:pPr>
    </w:p>
    <w:bookmarkStart w:id="57" w:name="page58"/>
    <w:bookmarkEnd w:id="57"/>
    <w:p>
      <w:pPr>
        <w:jc w:val="both"/>
        <w:ind w:left="738"/>
        <w:spacing w:after="0" w:line="260" w:lineRule="auto"/>
        <w:rPr>
          <w:sz w:val="20"/>
          <w:szCs w:val="20"/>
          <w:color w:val="auto"/>
        </w:rPr>
      </w:pPr>
      <w:r>
        <w:rPr>
          <w:rFonts w:ascii="Arial" w:cs="Arial" w:eastAsia="Arial" w:hAnsi="Arial"/>
          <w:sz w:val="21"/>
          <w:szCs w:val="21"/>
          <w:color w:val="auto"/>
        </w:rPr>
        <w:t>that Employee performed on behalf of the Company in the two (2) years prior to 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181" w:lineRule="exact"/>
        <w:rPr>
          <w:sz w:val="20"/>
          <w:szCs w:val="20"/>
          <w:color w:val="auto"/>
        </w:rPr>
      </w:pPr>
    </w:p>
    <w:p>
      <w:pPr>
        <w:jc w:val="both"/>
        <w:ind w:left="738" w:hanging="738"/>
        <w:spacing w:after="0" w:line="263" w:lineRule="auto"/>
        <w:tabs>
          <w:tab w:leader="none" w:pos="738" w:val="left"/>
        </w:tabs>
        <w:numPr>
          <w:ilvl w:val="0"/>
          <w:numId w:val="43"/>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75" w:lineRule="exact"/>
        <w:rPr>
          <w:rFonts w:ascii="Arial" w:cs="Arial" w:eastAsia="Arial" w:hAnsi="Arial"/>
          <w:sz w:val="21"/>
          <w:szCs w:val="21"/>
          <w:color w:val="auto"/>
        </w:rPr>
      </w:pPr>
    </w:p>
    <w:p>
      <w:pPr>
        <w:ind w:left="738" w:hanging="738"/>
        <w:spacing w:after="0" w:line="343" w:lineRule="auto"/>
        <w:tabs>
          <w:tab w:leader="none" w:pos="73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Employee acknowledges that the Company would not have awarded the Options granted to the Employee under this Agreement absent the Employee’s agreement to be bound by the covenants made in this Section 6.</w:t>
      </w:r>
    </w:p>
    <w:p>
      <w:pPr>
        <w:spacing w:after="0" w:line="104" w:lineRule="exact"/>
        <w:rPr>
          <w:rFonts w:ascii="Arial" w:cs="Arial" w:eastAsia="Arial" w:hAnsi="Arial"/>
          <w:sz w:val="19"/>
          <w:szCs w:val="19"/>
          <w:color w:val="auto"/>
        </w:rPr>
      </w:pPr>
    </w:p>
    <w:p>
      <w:pPr>
        <w:jc w:val="both"/>
        <w:ind w:left="738" w:hanging="738"/>
        <w:spacing w:after="0" w:line="287" w:lineRule="auto"/>
        <w:tabs>
          <w:tab w:leader="none" w:pos="738"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738" w:hanging="738"/>
        <w:spacing w:after="0" w:line="312" w:lineRule="auto"/>
        <w:tabs>
          <w:tab w:leader="none" w:pos="73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 6, Subsection D above, shall be entitled</w:t>
      </w:r>
    </w:p>
    <w:p>
      <w:pPr>
        <w:spacing w:after="0" w:line="371" w:lineRule="exact"/>
        <w:rPr>
          <w:sz w:val="20"/>
          <w:szCs w:val="20"/>
          <w:color w:val="auto"/>
        </w:rPr>
      </w:pPr>
    </w:p>
    <w:p>
      <w:pPr>
        <w:ind w:left="721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858"/>
          </w:cols>
          <w:pgMar w:left="802" w:top="631" w:right="239" w:bottom="1440" w:gutter="0" w:footer="0" w:header="0"/>
        </w:sectPr>
      </w:pPr>
    </w:p>
    <w:bookmarkStart w:id="58" w:name="page59"/>
    <w:bookmarkEnd w:id="58"/>
    <w:p>
      <w:pPr>
        <w:ind w:left="1292"/>
        <w:spacing w:after="0"/>
        <w:rPr>
          <w:sz w:val="20"/>
          <w:szCs w:val="20"/>
          <w:color w:val="auto"/>
        </w:rPr>
      </w:pPr>
      <w:r>
        <w:rPr>
          <w:rFonts w:ascii="Arial" w:cs="Arial" w:eastAsia="Arial" w:hAnsi="Arial"/>
          <w:sz w:val="22"/>
          <w:szCs w:val="22"/>
          <w:color w:val="auto"/>
        </w:rPr>
        <w:t>to injunctive relief against the Employee’s breach or threatened breach of said covenants.</w:t>
      </w:r>
    </w:p>
    <w:p>
      <w:pPr>
        <w:spacing w:after="0" w:line="220" w:lineRule="exact"/>
        <w:rPr>
          <w:sz w:val="20"/>
          <w:szCs w:val="20"/>
          <w:color w:val="auto"/>
        </w:rPr>
      </w:pPr>
    </w:p>
    <w:p>
      <w:pPr>
        <w:ind w:left="1292" w:right="20" w:hanging="725"/>
        <w:spacing w:after="0" w:line="263" w:lineRule="auto"/>
        <w:tabs>
          <w:tab w:leader="none" w:pos="1292"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Options shall be subject to any claw-back policy implemented by the Board of Directors of the Company or any Successor Entity.</w:t>
      </w:r>
    </w:p>
    <w:p>
      <w:pPr>
        <w:spacing w:after="0" w:line="209" w:lineRule="exact"/>
        <w:rPr>
          <w:rFonts w:ascii="Arial" w:cs="Arial" w:eastAsia="Arial" w:hAnsi="Arial"/>
          <w:sz w:val="22"/>
          <w:szCs w:val="22"/>
          <w:color w:val="auto"/>
        </w:rPr>
      </w:pPr>
    </w:p>
    <w:p>
      <w:pPr>
        <w:ind w:left="652" w:hanging="652"/>
        <w:spacing w:after="0"/>
        <w:tabs>
          <w:tab w:leader="none" w:pos="652"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 OTHER EVENTS</w:t>
      </w:r>
    </w:p>
    <w:p>
      <w:pPr>
        <w:spacing w:after="0" w:line="266" w:lineRule="exact"/>
        <w:rPr>
          <w:rFonts w:ascii="Arial" w:cs="Arial" w:eastAsia="Arial" w:hAnsi="Arial"/>
          <w:sz w:val="22"/>
          <w:szCs w:val="22"/>
          <w:b w:val="1"/>
          <w:bCs w:val="1"/>
          <w:color w:val="auto"/>
        </w:rPr>
      </w:pPr>
    </w:p>
    <w:p>
      <w:pPr>
        <w:ind w:left="1292" w:hanging="644"/>
        <w:spacing w:after="0"/>
        <w:tabs>
          <w:tab w:leader="none" w:pos="1292" w:val="left"/>
        </w:tabs>
        <w:numPr>
          <w:ilvl w:val="2"/>
          <w:numId w:val="45"/>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260" w:lineRule="exact"/>
        <w:rPr>
          <w:rFonts w:ascii="Arial" w:cs="Arial" w:eastAsia="Arial" w:hAnsi="Arial"/>
          <w:sz w:val="22"/>
          <w:szCs w:val="22"/>
          <w:color w:val="auto"/>
        </w:rPr>
      </w:pPr>
    </w:p>
    <w:p>
      <w:pPr>
        <w:jc w:val="both"/>
        <w:ind w:left="1292"/>
        <w:spacing w:after="0" w:line="285" w:lineRule="auto"/>
        <w:rPr>
          <w:rFonts w:ascii="Arial" w:cs="Arial" w:eastAsia="Arial" w:hAnsi="Arial"/>
          <w:sz w:val="22"/>
          <w:szCs w:val="22"/>
          <w:color w:val="auto"/>
        </w:rPr>
      </w:pPr>
      <w:r>
        <w:rPr>
          <w:rFonts w:ascii="Arial" w:cs="Arial" w:eastAsia="Arial" w:hAnsi="Arial"/>
          <w:sz w:val="19"/>
          <w:szCs w:val="19"/>
          <w:color w:val="auto"/>
        </w:rPr>
        <w:t>Except to the extent governed by Section 7, Subsections B and C below, if there shall be any change in the Shares subject to the Options granted hereunder, through merger, consolidation, reorganization, recapitalization, stock dividend, extraordinary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and the price per Share subject to the Options. Further, the Board of Directors shall have the right to adjust the Performance Measure and defined levels of achievement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of Directors shall have the authority to replace Options with any one or more of the following: (1) adjusted options of the Company; (2) adjusted options on the equity of the separate company; and (3) a combination of adjusted options on the shares of both the Company and the separate company, all as the Board of Directors sees as equitable. In the event of any such option adjustment and/or conversion, the Board of Directors shall attempt to reasonably approximate the aggregate value of the Employee’s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the Options shall not be invoked unless and until the Employee’s employment with such separate company shall terminate.</w:t>
      </w:r>
    </w:p>
    <w:p>
      <w:pPr>
        <w:spacing w:after="0" w:line="202" w:lineRule="exact"/>
        <w:rPr>
          <w:rFonts w:ascii="Arial" w:cs="Arial" w:eastAsia="Arial" w:hAnsi="Arial"/>
          <w:sz w:val="22"/>
          <w:szCs w:val="22"/>
          <w:color w:val="auto"/>
        </w:rPr>
      </w:pPr>
    </w:p>
    <w:p>
      <w:pPr>
        <w:ind w:left="1292" w:hanging="644"/>
        <w:spacing w:after="0"/>
        <w:tabs>
          <w:tab w:leader="none" w:pos="1292" w:val="left"/>
        </w:tabs>
        <w:numPr>
          <w:ilvl w:val="2"/>
          <w:numId w:val="45"/>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260" w:lineRule="exact"/>
        <w:rPr>
          <w:rFonts w:ascii="Arial" w:cs="Arial" w:eastAsia="Arial" w:hAnsi="Arial"/>
          <w:sz w:val="22"/>
          <w:szCs w:val="22"/>
          <w:color w:val="auto"/>
        </w:rPr>
      </w:pPr>
    </w:p>
    <w:p>
      <w:pPr>
        <w:jc w:val="both"/>
        <w:ind w:left="1792" w:hanging="495"/>
        <w:spacing w:after="0" w:line="250" w:lineRule="auto"/>
        <w:tabs>
          <w:tab w:leader="none" w:pos="1792" w:val="left"/>
        </w:tabs>
        <w:numPr>
          <w:ilvl w:val="3"/>
          <w:numId w:val="45"/>
        </w:numPr>
        <w:rPr>
          <w:rFonts w:ascii="Arial" w:cs="Arial" w:eastAsia="Arial" w:hAnsi="Arial"/>
          <w:sz w:val="21"/>
          <w:szCs w:val="21"/>
          <w:color w:val="auto"/>
        </w:rPr>
      </w:pPr>
      <w:r>
        <w:rPr>
          <w:rFonts w:ascii="Arial" w:cs="Arial" w:eastAsia="Arial" w:hAnsi="Arial"/>
          <w:sz w:val="22"/>
          <w:szCs w:val="22"/>
          <w:color w:val="auto"/>
        </w:rPr>
        <w:t>If a Change of Control/Restructuring Event occurs, the Board of Directors shall have the right to make appropriate adjustments, including, without limiting the generality of the foregoing (i) allow the Options to continue in full force and effect in accordance with the terms hereof or (ii) issue an award of shares in the Successor Entity as the Board of Directors deems equitable.</w:t>
      </w:r>
    </w:p>
    <w:p>
      <w:pPr>
        <w:spacing w:after="0" w:line="210"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12"/>
          </w:cols>
          <w:pgMar w:left="248" w:top="631" w:right="239" w:bottom="1440" w:gutter="0" w:footer="0" w:header="0"/>
        </w:sectPr>
      </w:pPr>
    </w:p>
    <w:bookmarkStart w:id="59" w:name="page60"/>
    <w:bookmarkEnd w:id="59"/>
    <w:p>
      <w:pPr>
        <w:jc w:val="both"/>
        <w:ind w:left="1144" w:hanging="495"/>
        <w:spacing w:after="0" w:line="286" w:lineRule="auto"/>
        <w:tabs>
          <w:tab w:leader="none" w:pos="1144"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Options are to remain in place following such Change of Control/Restructuring Event, appropriate adjustments (as the Board of Directors sees as equitable) shall be made by the Board of Directors in its discretion in the aggregate number and kind of Shares subject to the 2009 Plan and the number and kind of Shares and the price per Share subject to the Options. Further, the Board of Directors shall have the right to adjust the Performance Measure and defined levels of achievement as appropriate to avoid inequitable dilution or enlargement of award values or rights in connection with such Change of Control/Restructuring Event. Without limiting the generality of the foregoing, such discretions shall include the authority to replace Options with any one or more of the following: (a) adjusted options of the Company; (b) adjusted options on the equity of any Successor Entity surviving such Change of Control/Restructuring event; and (c) a combination of adjusted options on the shares of both the Company and the Successor Entity, all as the Board of Directors sees as equitable. In the event of any option adjustment and/or conversion referred to in this Section 7, Subsection B(2), the Board of Directors shall attempt to reasonably approximate the aggregate value of the Employee’s Options under this Agreement.</w:t>
      </w:r>
    </w:p>
    <w:p>
      <w:pPr>
        <w:spacing w:after="0" w:line="207" w:lineRule="exact"/>
        <w:rPr>
          <w:rFonts w:ascii="Arial" w:cs="Arial" w:eastAsia="Arial" w:hAnsi="Arial"/>
          <w:sz w:val="19"/>
          <w:szCs w:val="19"/>
          <w:color w:val="auto"/>
        </w:rPr>
      </w:pPr>
    </w:p>
    <w:p>
      <w:pPr>
        <w:jc w:val="both"/>
        <w:ind w:left="1144" w:hanging="495"/>
        <w:spacing w:after="0" w:line="260" w:lineRule="auto"/>
        <w:tabs>
          <w:tab w:leader="none" w:pos="1144" w:val="left"/>
        </w:tabs>
        <w:numPr>
          <w:ilvl w:val="1"/>
          <w:numId w:val="46"/>
        </w:numPr>
        <w:rPr>
          <w:rFonts w:ascii="Arial" w:cs="Arial" w:eastAsia="Arial" w:hAnsi="Arial"/>
          <w:sz w:val="20"/>
          <w:szCs w:val="20"/>
          <w:color w:val="auto"/>
        </w:rPr>
      </w:pPr>
      <w:r>
        <w:rPr>
          <w:rFonts w:ascii="Arial" w:cs="Arial" w:eastAsia="Arial" w:hAnsi="Arial"/>
          <w:sz w:val="21"/>
          <w:szCs w:val="21"/>
          <w:color w:val="auto"/>
        </w:rPr>
        <w:t>Notwithstanding any provision of Section 7 Subsection B(1) and B(2) to the contrary, in the event a Change of Control/Restructuring Event occurs, if the Options are not assumed or replaced by the acquiror/continuing entity on terms deemed by the Compensation Committee to be appropriate, then the Compensation Committee shall have the right to (i) provide for accelerated vesting and settlement of the Options immediately prior to, and conditioned on consummation, of the Change of Control/Restructuring Event or (ii) to the extent the Successor Entity allows the Options to stay in place, to make appropriate adjustments to avoid an expansion or reduction in the value of the award.</w:t>
      </w:r>
    </w:p>
    <w:p>
      <w:pPr>
        <w:spacing w:after="0" w:line="221" w:lineRule="exact"/>
        <w:rPr>
          <w:rFonts w:ascii="Arial" w:cs="Arial" w:eastAsia="Arial" w:hAnsi="Arial"/>
          <w:sz w:val="20"/>
          <w:szCs w:val="20"/>
          <w:color w:val="auto"/>
        </w:rPr>
      </w:pPr>
    </w:p>
    <w:p>
      <w:pPr>
        <w:ind w:left="644" w:hanging="644"/>
        <w:spacing w:after="0"/>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Other Events</w:t>
      </w:r>
    </w:p>
    <w:p>
      <w:pPr>
        <w:spacing w:after="0" w:line="260" w:lineRule="exact"/>
        <w:rPr>
          <w:rFonts w:ascii="Arial" w:cs="Arial" w:eastAsia="Arial" w:hAnsi="Arial"/>
          <w:sz w:val="22"/>
          <w:szCs w:val="22"/>
          <w:color w:val="auto"/>
        </w:rPr>
      </w:pPr>
    </w:p>
    <w:p>
      <w:pPr>
        <w:jc w:val="both"/>
        <w:ind w:left="964" w:hanging="315"/>
        <w:spacing w:after="0" w:line="289" w:lineRule="auto"/>
        <w:tabs>
          <w:tab w:leader="none" w:pos="964"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2009 Plan and Agreement and the Options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Options made hereunder (including, without limitation, to the Performance Measure and defined levels of achievement)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(a) Altisource’s common</w:t>
      </w:r>
    </w:p>
    <w:p>
      <w:pPr>
        <w:spacing w:after="0" w:line="179"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764"/>
          </w:cols>
          <w:pgMar w:left="896" w:top="888" w:right="239" w:bottom="1440" w:gutter="0" w:footer="0" w:header="0"/>
        </w:sectPr>
      </w:pPr>
    </w:p>
    <w:bookmarkStart w:id="60" w:name="page61"/>
    <w:bookmarkEnd w:id="60"/>
    <w:p>
      <w:pPr>
        <w:jc w:val="both"/>
        <w:ind w:left="1620"/>
        <w:spacing w:after="0" w:line="289" w:lineRule="auto"/>
        <w:rPr>
          <w:sz w:val="20"/>
          <w:szCs w:val="20"/>
          <w:color w:val="auto"/>
        </w:rPr>
      </w:pPr>
      <w:r>
        <w:rPr>
          <w:rFonts w:ascii="Arial" w:cs="Arial" w:eastAsia="Arial" w:hAnsi="Arial"/>
          <w:sz w:val="19"/>
          <w:szCs w:val="19"/>
          <w:color w:val="auto"/>
        </w:rPr>
        <w:t>stock is no longer listed on any national securities exchange or quoted on the NASDAQ Global Select Market or other securities quotation system; (b) Altisource is no longer subject to the reporting requirements of Section 13 or Section 15(d) of the Exchange Act; or (c) Altisource becomes subject to Rule 13e-3 under the Exchange Act) or similar transaction affecting the Options. Upon the occurrence of any such events, the Board of Directors may make appropriate adjustments to the Options made hereunder (including, without limitation to the Performance Measure and defined levels of achievement) to avoid inequitable dilution or enlargement of award values or rights in connection with any such event (as determined by the Board of Directors in its sole discretion based on any facts and circumstances it considers relevant). For the avoidance of doubt, the Options are subject to the dilutive impact of equity issuances (including an IPO) or other costs of capital made in connection with acquisitions or capital raises.</w:t>
      </w:r>
    </w:p>
    <w:p>
      <w:pPr>
        <w:spacing w:after="0" w:line="200" w:lineRule="exact"/>
        <w:rPr>
          <w:sz w:val="20"/>
          <w:szCs w:val="20"/>
          <w:color w:val="auto"/>
        </w:rPr>
      </w:pPr>
    </w:p>
    <w:p>
      <w:pPr>
        <w:spacing w:after="0" w:line="255" w:lineRule="exact"/>
        <w:rPr>
          <w:sz w:val="20"/>
          <w:szCs w:val="20"/>
          <w:color w:val="auto"/>
        </w:rPr>
      </w:pPr>
    </w:p>
    <w:p>
      <w:pPr>
        <w:jc w:val="both"/>
        <w:ind w:left="1620" w:hanging="315"/>
        <w:spacing w:after="0" w:line="288" w:lineRule="auto"/>
        <w:tabs>
          <w:tab w:leader="none" w:pos="162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Board of Directors may also specify any inclusion(s) or exclusion(s) for charges related to any event(s) or occurrence(s) which the Board of Directors determines should be included or excluded, as appropriate, for purposes of measuring performance against the applicable Performance Measure and the calculation methodology for such Performance Measure, which may include, but is not limited to, acquisitions and dispositions, market changes, reserve adjustments for litigation or regulatory/enforcement matters, litigation or claim judgments or settlements. If the Board of Directors determines that a change in the business, operations, corporate structure or capital structure of the Company, or the manner in which it conducts its business, or other events or circumstances, renders the previously established Performance Measure and defined levels of achievement unsuitable, the Board of Directors may also, in its discretion, modify such levels of achievement, in whole or in part, as the Board of Directors deems appropriate.</w:t>
      </w:r>
    </w:p>
    <w:p>
      <w:pPr>
        <w:spacing w:after="0" w:line="194" w:lineRule="exact"/>
        <w:rPr>
          <w:rFonts w:ascii="Arial" w:cs="Arial" w:eastAsia="Arial" w:hAnsi="Arial"/>
          <w:sz w:val="19"/>
          <w:szCs w:val="19"/>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w:t>
      </w:r>
    </w:p>
    <w:p>
      <w:pPr>
        <w:spacing w:after="0" w:line="207"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31" w:right="239" w:bottom="1440" w:gutter="0" w:footer="0" w:header="0"/>
        </w:sectPr>
      </w:pPr>
    </w:p>
    <w:bookmarkStart w:id="61" w:name="page62"/>
    <w:bookmarkEnd w:id="61"/>
    <w:p>
      <w:pPr>
        <w:jc w:val="both"/>
        <w:spacing w:after="0" w:line="343" w:lineRule="auto"/>
        <w:rPr>
          <w:sz w:val="20"/>
          <w:szCs w:val="20"/>
          <w:color w:val="auto"/>
        </w:rPr>
      </w:pPr>
      <w:r>
        <w:rPr>
          <w:rFonts w:ascii="Arial" w:cs="Arial" w:eastAsia="Arial" w:hAnsi="Arial"/>
          <w:sz w:val="19"/>
          <w:szCs w:val="19"/>
          <w:color w:val="auto"/>
        </w:rPr>
        <w:t>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22"/>
          <w:szCs w:val="22"/>
          <w:color w:val="002060"/>
        </w:rPr>
        <w:t>. I</w:t>
      </w:r>
      <w:r>
        <w:rPr>
          <w:rFonts w:ascii="Arial" w:cs="Arial" w:eastAsia="Arial" w:hAnsi="Arial"/>
          <w:sz w:val="22"/>
          <w:szCs w:val="22"/>
          <w:color w:val="auto"/>
        </w:rPr>
        <w:t>f any provision of this Agreement (or any award of compensation or benefits provided under this Agreement) would cause Employee to incur any additional tax or interest under Section 409A of the Code, the Company may reform such provision to comply with 409A.</w:t>
      </w:r>
    </w:p>
    <w:p>
      <w:pPr>
        <w:spacing w:after="0" w:line="228"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185" w:lineRule="exact"/>
        <w:rPr>
          <w:rFonts w:ascii="Arial" w:cs="Arial" w:eastAsia="Arial" w:hAnsi="Arial"/>
          <w:sz w:val="22"/>
          <w:szCs w:val="22"/>
          <w:color w:val="auto"/>
        </w:rPr>
      </w:pPr>
    </w:p>
    <w:p>
      <w:pPr>
        <w:jc w:val="both"/>
        <w:ind w:left="1300" w:hanging="644"/>
        <w:spacing w:after="0" w:line="262" w:lineRule="auto"/>
        <w:tabs>
          <w:tab w:leader="none" w:pos="1300" w:val="left"/>
        </w:tabs>
        <w:numPr>
          <w:ilvl w:val="1"/>
          <w:numId w:val="51"/>
        </w:numPr>
        <w:rPr>
          <w:rFonts w:ascii="Arial" w:cs="Arial" w:eastAsia="Arial" w:hAnsi="Arial"/>
          <w:sz w:val="21"/>
          <w:szCs w:val="21"/>
          <w:color w:val="auto"/>
        </w:rPr>
      </w:pPr>
      <w:r>
        <w:rPr>
          <w:rFonts w:ascii="Arial" w:cs="Arial" w:eastAsia="Arial" w:hAnsi="Arial"/>
          <w:sz w:val="21"/>
          <w:szCs w:val="21"/>
          <w:color w:val="auto"/>
        </w:rPr>
        <w:t xml:space="preserve">As used herein, “Cause” means,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21"/>
          <w:szCs w:val="21"/>
          <w:i w:val="1"/>
          <w:iCs w:val="1"/>
          <w:color w:val="auto"/>
        </w:rPr>
        <w:t xml:space="preserve">nolo contendere </w:t>
      </w:r>
      <w:r>
        <w:rPr>
          <w:rFonts w:ascii="Arial" w:cs="Arial" w:eastAsia="Arial" w:hAnsi="Arial"/>
          <w:sz w:val="21"/>
          <w:szCs w:val="21"/>
          <w:color w:val="auto"/>
        </w:rPr>
        <w:t>to, a felony involving fraud or embezzlement</w:t>
      </w:r>
      <w:r>
        <w:rPr>
          <w:rFonts w:ascii="Arial" w:cs="Arial" w:eastAsia="Arial" w:hAnsi="Arial"/>
          <w:sz w:val="21"/>
          <w:szCs w:val="21"/>
          <w:i w:val="1"/>
          <w:iCs w:val="1"/>
          <w:color w:val="auto"/>
        </w:rPr>
        <w:t xml:space="preserve"> </w:t>
      </w:r>
      <w:r>
        <w:rPr>
          <w:rFonts w:ascii="Arial" w:cs="Arial" w:eastAsia="Arial" w:hAnsi="Arial"/>
          <w:sz w:val="19"/>
          <w:szCs w:val="19"/>
          <w:color w:val="auto"/>
        </w:rPr>
        <w:t>or such other crime which may bring disrepute upon the</w:t>
      </w:r>
      <w:r>
        <w:rPr>
          <w:rFonts w:ascii="Arial" w:cs="Arial" w:eastAsia="Arial" w:hAnsi="Arial"/>
          <w:sz w:val="21"/>
          <w:szCs w:val="21"/>
          <w:i w:val="1"/>
          <w:iCs w:val="1"/>
          <w:color w:val="auto"/>
        </w:rPr>
        <w:t xml:space="preserve"> </w:t>
      </w:r>
      <w:r>
        <w:rPr>
          <w:rFonts w:ascii="Arial" w:cs="Arial" w:eastAsia="Arial" w:hAnsi="Arial"/>
          <w:sz w:val="19"/>
          <w:szCs w:val="19"/>
          <w:color w:val="auto"/>
        </w:rPr>
        <w:t>Company</w:t>
      </w:r>
      <w:r>
        <w:rPr>
          <w:rFonts w:ascii="Arial" w:cs="Arial" w:eastAsia="Arial" w:hAnsi="Arial"/>
          <w:sz w:val="20"/>
          <w:szCs w:val="20"/>
          <w:color w:val="auto"/>
        </w:rPr>
        <w:t>, whether or not committed in the course of the Employee’s employment with the Company. For the</w:t>
      </w:r>
      <w:r>
        <w:rPr>
          <w:rFonts w:ascii="Arial" w:cs="Arial" w:eastAsia="Arial" w:hAnsi="Arial"/>
          <w:sz w:val="19"/>
          <w:szCs w:val="19"/>
          <w:color w:val="auto"/>
        </w:rPr>
        <w:t xml:space="preserve"> </w:t>
      </w:r>
      <w:r>
        <w:rPr>
          <w:rFonts w:ascii="Arial" w:cs="Arial" w:eastAsia="Arial" w:hAnsi="Arial"/>
          <w:sz w:val="20"/>
          <w:szCs w:val="20"/>
          <w:color w:val="auto"/>
        </w:rPr>
        <w:t>avoidance of doubt, termination of employment as a result of a business reorganization or reduction in force will be deemed termination without Cause.</w:t>
      </w:r>
    </w:p>
    <w:p>
      <w:pPr>
        <w:spacing w:after="0" w:line="178"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means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93"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As used herein, a “Change of Control/Restructuring Event” means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w:t>
      </w:r>
    </w:p>
    <w:p>
      <w:pPr>
        <w:spacing w:after="0" w:line="200" w:lineRule="exact"/>
        <w:rPr>
          <w:sz w:val="20"/>
          <w:szCs w:val="20"/>
          <w:color w:val="auto"/>
        </w:rPr>
      </w:pPr>
    </w:p>
    <w:p>
      <w:pPr>
        <w:spacing w:after="0" w:line="226"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11</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31" w:right="239" w:bottom="1440" w:gutter="0" w:footer="0" w:header="0"/>
        </w:sectPr>
      </w:pPr>
    </w:p>
    <w:bookmarkStart w:id="62" w:name="page63"/>
    <w:bookmarkEnd w:id="62"/>
    <w:p>
      <w:pPr>
        <w:jc w:val="both"/>
        <w:ind w:left="644"/>
        <w:spacing w:after="0" w:line="263" w:lineRule="auto"/>
        <w:rPr>
          <w:sz w:val="20"/>
          <w:szCs w:val="20"/>
          <w:color w:val="auto"/>
        </w:rPr>
      </w:pPr>
      <w:r>
        <w:rPr>
          <w:rFonts w:ascii="Arial" w:cs="Arial" w:eastAsia="Arial" w:hAnsi="Arial"/>
          <w:sz w:val="21"/>
          <w:szCs w:val="21"/>
          <w:color w:val="auto"/>
        </w:rPr>
        <w:t>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w:t>
      </w:r>
    </w:p>
    <w:p>
      <w:pPr>
        <w:spacing w:after="0" w:line="176" w:lineRule="exact"/>
        <w:rPr>
          <w:sz w:val="20"/>
          <w:szCs w:val="20"/>
          <w:color w:val="auto"/>
        </w:rPr>
      </w:pPr>
    </w:p>
    <w:p>
      <w:pPr>
        <w:jc w:val="both"/>
        <w:ind w:left="644" w:hanging="644"/>
        <w:spacing w:after="0" w:line="285" w:lineRule="auto"/>
        <w:tabs>
          <w:tab w:leader="none" w:pos="6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 used herein, “Confidential Information” means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644" w:hanging="644"/>
        <w:spacing w:after="0" w:line="263" w:lineRule="auto"/>
        <w:tabs>
          <w:tab w:leader="none" w:pos="644" w:val="left"/>
        </w:tabs>
        <w:numPr>
          <w:ilvl w:val="0"/>
          <w:numId w:val="52"/>
        </w:numPr>
        <w:rPr>
          <w:rFonts w:ascii="Arial" w:cs="Arial" w:eastAsia="Arial" w:hAnsi="Arial"/>
          <w:sz w:val="21"/>
          <w:szCs w:val="21"/>
          <w:color w:val="auto"/>
        </w:rPr>
      </w:pPr>
      <w:r>
        <w:rPr>
          <w:rFonts w:ascii="Arial" w:cs="Arial" w:eastAsia="Arial" w:hAnsi="Arial"/>
          <w:sz w:val="21"/>
          <w:szCs w:val="21"/>
          <w:color w:val="auto"/>
        </w:rPr>
        <w:t>As used herein, “Disability” means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75"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200" w:lineRule="exact"/>
        <w:rPr>
          <w:sz w:val="20"/>
          <w:szCs w:val="20"/>
          <w:color w:val="auto"/>
        </w:rPr>
      </w:pPr>
    </w:p>
    <w:p>
      <w:pPr>
        <w:spacing w:after="0" w:line="223"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12</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764"/>
          </w:cols>
          <w:pgMar w:left="896" w:top="631" w:right="239" w:bottom="1440" w:gutter="0" w:footer="0" w:header="0"/>
        </w:sectPr>
      </w:pPr>
    </w:p>
    <w:bookmarkStart w:id="63" w:name="page64"/>
    <w:bookmarkEnd w:id="63"/>
    <w:p>
      <w:pPr>
        <w:ind w:left="1300" w:hanging="644"/>
        <w:spacing w:after="0" w:line="263" w:lineRule="auto"/>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Capitalized terms used but not defined in this Agreement or in Exhibit A shall have the meanings set forth in the 2009 Plan.</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21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5, Subsections D and E, Section 6, Section 7 and Exhibit A, and its determinations shall be final, binding and conclusive.</w:t>
      </w:r>
    </w:p>
    <w:p>
      <w:pPr>
        <w:spacing w:after="0" w:line="22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22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The headings of the sections of this Agreement are inserted for convenience only and shall not be deemed a part hereof.</w:t>
      </w:r>
    </w:p>
    <w:p>
      <w:pPr>
        <w:spacing w:after="0" w:line="200" w:lineRule="exact"/>
        <w:rPr>
          <w:sz w:val="20"/>
          <w:szCs w:val="20"/>
          <w:color w:val="auto"/>
        </w:rPr>
      </w:pPr>
    </w:p>
    <w:p>
      <w:pPr>
        <w:spacing w:after="0" w:line="30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13</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31" w:right="239" w:bottom="1440" w:gutter="0" w:footer="0" w:header="0"/>
        </w:sectPr>
      </w:pPr>
    </w:p>
    <w:bookmarkStart w:id="64" w:name="page65"/>
    <w:bookmarkEnd w:id="64"/>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14</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20"/>
          </w:cols>
          <w:pgMar w:left="240" w:top="625" w:right="239" w:bottom="1440" w:gutter="0" w:footer="0" w:header="0"/>
        </w:sectPr>
      </w:pPr>
    </w:p>
    <w:bookmarkStart w:id="65" w:name="page66"/>
    <w:bookmarkEnd w:id="65"/>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Attested by: 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5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15</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0179"/>
          </w:cols>
          <w:pgMar w:left="280" w:top="1440" w:right="1440"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TO</w:t>
      </w:r>
    </w:p>
    <w:p>
      <w:pPr>
        <w:jc w:val="center"/>
        <w:ind w:right="20"/>
        <w:spacing w:after="0"/>
        <w:rPr>
          <w:sz w:val="20"/>
          <w:szCs w:val="20"/>
          <w:color w:val="auto"/>
        </w:rPr>
      </w:pPr>
      <w:r>
        <w:rPr>
          <w:rFonts w:ascii="Arial" w:cs="Arial" w:eastAsia="Arial" w:hAnsi="Arial"/>
          <w:sz w:val="20"/>
          <w:szCs w:val="20"/>
          <w:b w:val="1"/>
          <w:bCs w:val="1"/>
          <w:color w:val="auto"/>
        </w:rPr>
        <w:t>NON-QUALIFIED STOCK OPTION AWARD AGREEMENT</w:t>
      </w:r>
    </w:p>
    <w:p>
      <w:pPr>
        <w:jc w:val="center"/>
        <w:ind w:right="20"/>
        <w:spacing w:after="0"/>
        <w:rPr>
          <w:sz w:val="20"/>
          <w:szCs w:val="20"/>
          <w:color w:val="auto"/>
        </w:rPr>
      </w:pPr>
      <w:r>
        <w:rPr>
          <w:rFonts w:ascii="Arial" w:cs="Arial" w:eastAsia="Arial" w:hAnsi="Arial"/>
          <w:sz w:val="20"/>
          <w:szCs w:val="20"/>
          <w:b w:val="1"/>
          <w:bCs w:val="1"/>
          <w:color w:val="auto"/>
        </w:rPr>
        <w:t>(THE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Target Amount</w:t>
      </w:r>
      <w:r>
        <w:rPr>
          <w:rFonts w:ascii="Arial" w:cs="Arial" w:eastAsia="Arial" w:hAnsi="Arial"/>
          <w:sz w:val="20"/>
          <w:szCs w:val="20"/>
          <w:color w:val="auto"/>
        </w:rPr>
        <w:t>: [ ] Options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Employee will have a vesting opportunity of up to two hundred percent (200%) of the Target Amount ([ ] Options) pursuant to the provisions of this Exhibit A and the terms of the Agreement.</w:t>
      </w:r>
    </w:p>
    <w:p>
      <w:pPr>
        <w:spacing w:after="0" w:line="19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Performance Measure to be satisfied for purposes of Section 3 Subsection A of the Agreement is adjusted diluted earnings per share (a non-GAAP measure) (“Adjusted EPS”) achieved for 2018. Adjusted EPS will be calculated by dividing net income (loss) attributable to the Company before intangible asset amortization expense (net of tax), stock based compensation (net of tax) and any gain (loss) on investment in equity securities (net of tax) by the weighted average number of diluted shares. Adjusted EPS will also be subject to adjustment pursuant to Section 7 of the Agreement.</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percentage of the Target Amount that will be eligible to vest will be determined based on 2018 Adjusted EPS in accordance with the below table. If 2018 Adjusted EPS falls between the pre-determined levels shown in the table, the percentage of the Target Amount that will form part of the Stock Option Vestable Portion shall be determined using linear interpolation between such pre-determined levels. For the avoidance of doubt, in no event shall the Stock Option Vestable Portion exceed 200% of the Target Amount.</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number of Options that form part of the Stock Option Vestable Portion (i.e., the number of Options eligible to vest) will then be determined by multiplying the applicable percentage by the Target Amount.</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7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2018 Adjusted EPS</w:t>
            </w:r>
          </w:p>
        </w:tc>
        <w:tc>
          <w:tcPr>
            <w:tcW w:w="5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Stock Option Vestable Portion</w:t>
            </w:r>
          </w:p>
        </w:tc>
      </w:tr>
      <w:tr>
        <w:trPr>
          <w:trHeight w:val="256"/>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6"/>
              </w:rPr>
              <w:t>(in $)</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 of Target Amount)</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$1.97 or less</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0"/>
              </w:rPr>
              <w:t>$1.98 -$2.31</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50% - 98.5%</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$2.32</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$2.33 - $2.66</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102.9% - 197.1%</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$2.67 or greater</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but not defined in this Exhibit A shall have the meaning ascribed to them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16</w:t>
      </w:r>
      <w:r>
        <w:rPr>
          <w:rFonts w:ascii="Arial" w:cs="Arial" w:eastAsia="Arial" w:hAnsi="Arial"/>
          <w:sz w:val="16"/>
          <w:szCs w:val="16"/>
          <w:color w:val="auto"/>
        </w:rPr>
        <w:t xml:space="preserve"> of </w:t>
      </w:r>
      <w:r>
        <w:rPr>
          <w:rFonts w:ascii="Arial" w:cs="Arial" w:eastAsia="Arial" w:hAnsi="Arial"/>
          <w:sz w:val="16"/>
          <w:szCs w:val="16"/>
          <w:b w:val="1"/>
          <w:bCs w:val="1"/>
          <w:color w:val="auto"/>
        </w:rPr>
        <w:t>16</w:t>
      </w:r>
    </w:p>
    <w:p>
      <w:pPr>
        <w:sectPr>
          <w:pgSz w:w="11900" w:h="16838" w:orient="portrait"/>
          <w:cols w:equalWidth="0" w:num="1">
            <w:col w:w="11440"/>
          </w:cols>
          <w:pgMar w:left="240" w:top="873"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(the “Agreement”) is made and entered into as of February 12,</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2018 (the “Grant Date”), by and between </w:t>
      </w:r>
      <w:r>
        <w:rPr>
          <w:rFonts w:ascii="Arial" w:cs="Arial" w:eastAsia="Arial" w:hAnsi="Arial"/>
          <w:sz w:val="19"/>
          <w:szCs w:val="19"/>
          <w:b w:val="1"/>
          <w:bCs w:val="1"/>
          <w:color w:val="auto"/>
        </w:rPr>
        <w:t>Altisource Portfolio Solutions S.A.</w:t>
      </w:r>
      <w:r>
        <w:rPr>
          <w:rFonts w:ascii="Arial" w:cs="Arial" w:eastAsia="Arial" w:hAnsi="Arial"/>
          <w:sz w:val="19"/>
          <w:szCs w:val="19"/>
          <w:color w:val="auto"/>
        </w:rPr>
        <w:t>, a Luxembourg société anonyme (“Altisource” and, together with its subsidiaries and affiliates, the “Company”), and [ ], an employee of the Company (the “Employee”).</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by awarding the Employee restricted units for shares of its common stock, par value $1.00 per</w:t>
      </w:r>
      <w:r>
        <w:rPr>
          <w:rFonts w:ascii="Arial" w:cs="Arial" w:eastAsia="Arial" w:hAnsi="Arial"/>
          <w:sz w:val="21"/>
          <w:szCs w:val="21"/>
          <w:b w:val="1"/>
          <w:bCs w:val="1"/>
          <w:color w:val="auto"/>
        </w:rPr>
        <w:t xml:space="preserve"> </w:t>
      </w:r>
      <w:r>
        <w:rPr>
          <w:rFonts w:ascii="Arial" w:cs="Arial" w:eastAsia="Arial" w:hAnsi="Arial"/>
          <w:sz w:val="21"/>
          <w:szCs w:val="21"/>
          <w:color w:val="auto"/>
        </w:rPr>
        <w:t>share (“Shares”), to further the objectives of the Company’s 2009 Equity Incentive Plan (the “2009 Plan”).</w:t>
      </w:r>
    </w:p>
    <w:p>
      <w:pPr>
        <w:spacing w:after="0" w:line="8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4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UNIT AWARD</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hereby grants to the Employee, pursuant to and subject to the 2009 Plan, [ ] Restricted Stock Units (the “Restricted Stock Units” or “RSUs”), on the terms and conditions set forth herein (the "RSU Award”). Each RSU represents a right for the Employee to receive one Share (or cash, if so determined pursuant to Section 5 Subsection B), as determined in the sole discretion of the Committee, subject to the terms and conditions of this Agreement and the Plan.</w:t>
      </w:r>
    </w:p>
    <w:p>
      <w:pPr>
        <w:spacing w:after="0" w:line="17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RSU AWARD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One-fourth (1/4) of the RSUs shall vest on each of the first, second, third and fourth anniversaries of the Grant Date. Except as provided in Section 4 and Section 8 below, RSUs will not vest unless the Employee is, at the time of vesting, an employee of the Company and not under a notice of resignation.</w:t>
      </w:r>
    </w:p>
    <w:p>
      <w:pPr>
        <w:spacing w:after="0" w:line="180"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 RIGHTS; DIVIDEND EQUIVALENT RIGHTS</w:t>
      </w:r>
    </w:p>
    <w:p>
      <w:pPr>
        <w:spacing w:after="0" w:line="226"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Shareholder Rights</w:t>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RSUs are an unfunded promise to deliver Shares (or cash, if so determined pursuant to Section 5 Subsection B) in the future if the requirements of the RSU Award and the Plan are met. Prior to issuance of Shares, if any, to the Employee in settlement of the RSU Award pursuant to Section 5 below, the Employee has no ownership rights in Shares or shareholder rights.</w:t>
      </w:r>
    </w:p>
    <w:p>
      <w:pPr>
        <w:spacing w:after="0" w:line="134"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Dividend Equivalents</w:t>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w:t>
      </w:r>
    </w:p>
    <w:p>
      <w:pPr>
        <w:spacing w:after="0" w:line="385"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20"/>
          </w:cols>
          <w:pgMar w:left="240" w:top="810" w:right="239" w:bottom="1440" w:gutter="0" w:footer="0" w:header="0"/>
        </w:sectPr>
      </w:pPr>
    </w:p>
    <w:bookmarkStart w:id="68" w:name="page69"/>
    <w:bookmarkEnd w:id="68"/>
    <w:p>
      <w:pPr>
        <w:jc w:val="both"/>
        <w:ind w:left="652"/>
        <w:spacing w:after="0" w:line="312" w:lineRule="auto"/>
        <w:rPr>
          <w:sz w:val="20"/>
          <w:szCs w:val="20"/>
          <w:color w:val="auto"/>
        </w:rPr>
      </w:pPr>
      <w:r>
        <w:rPr>
          <w:rFonts w:ascii="Arial" w:cs="Arial" w:eastAsia="Arial" w:hAnsi="Arial"/>
          <w:sz w:val="19"/>
          <w:szCs w:val="19"/>
          <w:color w:val="auto"/>
        </w:rPr>
        <w:t>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80" w:lineRule="exact"/>
        <w:rPr>
          <w:sz w:val="20"/>
          <w:szCs w:val="20"/>
          <w:color w:val="auto"/>
        </w:rPr>
      </w:pPr>
    </w:p>
    <w:p>
      <w:pPr>
        <w:ind w:left="1292" w:hanging="644"/>
        <w:spacing w:after="0"/>
        <w:tabs>
          <w:tab w:leader="none" w:pos="1292"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Non-Transferability of the RSU Award</w:t>
      </w:r>
    </w:p>
    <w:p>
      <w:pPr>
        <w:spacing w:after="0" w:line="166" w:lineRule="exact"/>
        <w:rPr>
          <w:sz w:val="20"/>
          <w:szCs w:val="20"/>
          <w:color w:val="auto"/>
        </w:rPr>
      </w:pPr>
    </w:p>
    <w:p>
      <w:pPr>
        <w:jc w:val="both"/>
        <w:ind w:left="652"/>
        <w:spacing w:after="0" w:line="248" w:lineRule="auto"/>
        <w:rPr>
          <w:sz w:val="20"/>
          <w:szCs w:val="20"/>
          <w:color w:val="auto"/>
        </w:rPr>
      </w:pPr>
      <w:r>
        <w:rPr>
          <w:rFonts w:ascii="Arial" w:cs="Arial" w:eastAsia="Arial" w:hAnsi="Arial"/>
          <w:sz w:val="22"/>
          <w:szCs w:val="22"/>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38" w:lineRule="exact"/>
        <w:rPr>
          <w:sz w:val="20"/>
          <w:szCs w:val="20"/>
          <w:color w:val="auto"/>
        </w:rPr>
      </w:pPr>
    </w:p>
    <w:p>
      <w:pPr>
        <w:ind w:left="652"/>
        <w:spacing w:after="0"/>
        <w:tabs>
          <w:tab w:leader="none" w:pos="1052"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RSUs Are Unfunded and Unsecured</w:t>
      </w:r>
    </w:p>
    <w:p>
      <w:pPr>
        <w:spacing w:after="0" w:line="166"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RSUs are an unfunded and unsecured promise to deliver Shares in the future (or cash, if so determined pursuant to Section 5 Subsection B), subject to the terms of this Agreement and the Plan. The Employee’s rights under this Agreement are no greater than an unsecured, general creditor of the Company.</w:t>
      </w:r>
    </w:p>
    <w:p>
      <w:pPr>
        <w:spacing w:after="0" w:line="180" w:lineRule="exact"/>
        <w:rPr>
          <w:sz w:val="20"/>
          <w:szCs w:val="20"/>
          <w:color w:val="auto"/>
        </w:rPr>
      </w:pPr>
    </w:p>
    <w:p>
      <w:pPr>
        <w:ind w:left="652" w:hanging="652"/>
        <w:spacing w:after="0"/>
        <w:tabs>
          <w:tab w:leader="none" w:pos="652"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RSU AWARD</w:t>
      </w:r>
    </w:p>
    <w:p>
      <w:pPr>
        <w:spacing w:after="0" w:line="225" w:lineRule="exact"/>
        <w:rPr>
          <w:rFonts w:ascii="Arial" w:cs="Arial" w:eastAsia="Arial" w:hAnsi="Arial"/>
          <w:sz w:val="22"/>
          <w:szCs w:val="22"/>
          <w:b w:val="1"/>
          <w:bCs w:val="1"/>
          <w:color w:val="auto"/>
        </w:rPr>
      </w:pPr>
    </w:p>
    <w:p>
      <w:pPr>
        <w:ind w:left="652"/>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If, prior to vesting of the entire RSU Award, the Employee's employment terminates, the RSU Award shall terminate in accordance with the 2009 Plan except as follows:</w:t>
      </w:r>
    </w:p>
    <w:p>
      <w:pPr>
        <w:spacing w:after="0" w:line="120" w:lineRule="exact"/>
        <w:rPr>
          <w:rFonts w:ascii="Arial" w:cs="Arial" w:eastAsia="Arial" w:hAnsi="Arial"/>
          <w:sz w:val="22"/>
          <w:szCs w:val="22"/>
          <w:b w:val="1"/>
          <w:bCs w:val="1"/>
          <w:color w:val="auto"/>
        </w:rPr>
      </w:pPr>
    </w:p>
    <w:p>
      <w:pPr>
        <w:jc w:val="both"/>
        <w:ind w:left="1292" w:hanging="644"/>
        <w:spacing w:after="0" w:line="250" w:lineRule="auto"/>
        <w:tabs>
          <w:tab w:leader="none" w:pos="12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134"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by the Company without Cause, then any unvested RSUs that are scheduled to vest within twelve (12) months of such termination of employment under Section 2 above shall vest thirty (30) days after the date of such termination of employment and the remainder of the unvested RSUs (if any) shall be forfeited by the Employee as of the date of termination of employment.</w:t>
      </w:r>
    </w:p>
    <w:p>
      <w:pPr>
        <w:spacing w:after="0" w:line="13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by reason of retirement, death or Disability of the Employee, then all unvested RSUs shall vest thirty (30) days after the date of such termination of employment.</w:t>
      </w:r>
    </w:p>
    <w:p>
      <w:pPr>
        <w:spacing w:after="0" w:line="120" w:lineRule="exact"/>
        <w:rPr>
          <w:rFonts w:ascii="Arial" w:cs="Arial" w:eastAsia="Arial" w:hAnsi="Arial"/>
          <w:sz w:val="22"/>
          <w:szCs w:val="22"/>
          <w:color w:val="auto"/>
        </w:rPr>
      </w:pPr>
    </w:p>
    <w:p>
      <w:pPr>
        <w:jc w:val="both"/>
        <w:ind w:left="1292" w:hanging="644"/>
        <w:spacing w:after="0" w:line="247" w:lineRule="auto"/>
        <w:tabs>
          <w:tab w:leader="none" w:pos="12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Employee’s right to accelerated vesting of RSUs following termination of employment under this Section 4 is subject in all cases to the requirement that the Employee has been employed with the Company for a period of at least two (2) years in the case of termination without Cause, Disability or death. In the case of retirement, the Employee's right to accelerated vesting of RSUs following termination of employment under this Section 4 is subject in all cases to the requirement that the Employee has attained the age of fifty-five (55) and has been employed for a period</w:t>
      </w:r>
    </w:p>
    <w:p>
      <w:pPr>
        <w:spacing w:after="0" w:line="390" w:lineRule="exact"/>
        <w:rPr>
          <w:sz w:val="20"/>
          <w:szCs w:val="20"/>
          <w:color w:val="auto"/>
        </w:rPr>
      </w:pPr>
    </w:p>
    <w:p>
      <w:pPr>
        <w:ind w:left="843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12"/>
          </w:cols>
          <w:pgMar w:left="248" w:top="820" w:right="239" w:bottom="1440" w:gutter="0" w:footer="0" w:header="0"/>
        </w:sectPr>
      </w:pPr>
    </w:p>
    <w:bookmarkStart w:id="69" w:name="page70"/>
    <w:bookmarkEnd w:id="69"/>
    <w:p>
      <w:pPr>
        <w:ind w:left="1292"/>
        <w:spacing w:after="0"/>
        <w:rPr>
          <w:sz w:val="20"/>
          <w:szCs w:val="20"/>
          <w:color w:val="auto"/>
        </w:rPr>
      </w:pPr>
      <w:r>
        <w:rPr>
          <w:rFonts w:ascii="Arial" w:cs="Arial" w:eastAsia="Arial" w:hAnsi="Arial"/>
          <w:sz w:val="22"/>
          <w:szCs w:val="22"/>
          <w:color w:val="auto"/>
        </w:rPr>
        <w:t>of at least three (3) years, unless otherwise determined by the Company in its sole discretion.</w:t>
      </w:r>
    </w:p>
    <w:p>
      <w:pPr>
        <w:spacing w:after="0" w:line="166" w:lineRule="exact"/>
        <w:rPr>
          <w:sz w:val="20"/>
          <w:szCs w:val="20"/>
          <w:color w:val="auto"/>
        </w:rPr>
      </w:pPr>
    </w:p>
    <w:p>
      <w:pPr>
        <w:ind w:left="1292" w:hanging="644"/>
        <w:spacing w:after="0" w:line="263" w:lineRule="auto"/>
        <w:tabs>
          <w:tab w:leader="none" w:pos="12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no event shall the granting of the RSU Award or its acceptance by the Employee give or be deemed to give the Employee any right to continued employment by the Company.</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RSUS.</w:t>
      </w:r>
    </w:p>
    <w:p>
      <w:pPr>
        <w:spacing w:after="0" w:line="225" w:lineRule="exact"/>
        <w:rPr>
          <w:rFonts w:ascii="Arial" w:cs="Arial" w:eastAsia="Arial" w:hAnsi="Arial"/>
          <w:sz w:val="22"/>
          <w:szCs w:val="22"/>
          <w:b w:val="1"/>
          <w:bCs w:val="1"/>
          <w:color w:val="auto"/>
        </w:rPr>
      </w:pPr>
    </w:p>
    <w:p>
      <w:pPr>
        <w:jc w:val="both"/>
        <w:ind w:left="1292" w:hanging="644"/>
        <w:spacing w:after="0" w:line="253" w:lineRule="auto"/>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Subject to Section 7.B, each vested RSU shall be settled in one Share (less applicable tax withholdings), as soon as practicable following and no later than the March 15th following the calendar year in which the RSU vests pursuant to Section 2 or 4 of this Agreement.</w:t>
      </w:r>
    </w:p>
    <w:p>
      <w:pPr>
        <w:spacing w:after="0" w:line="131" w:lineRule="exact"/>
        <w:rPr>
          <w:rFonts w:ascii="Arial" w:cs="Arial" w:eastAsia="Arial" w:hAnsi="Arial"/>
          <w:sz w:val="22"/>
          <w:szCs w:val="22"/>
          <w:color w:val="auto"/>
        </w:rPr>
      </w:pPr>
    </w:p>
    <w:p>
      <w:pPr>
        <w:jc w:val="both"/>
        <w:ind w:left="1292" w:hanging="644"/>
        <w:spacing w:after="0" w:line="312" w:lineRule="auto"/>
        <w:tabs>
          <w:tab w:leader="none" w:pos="1292"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the foregoing or any other provision of this Agreement, and subject in all cases to the terms of the 2009 Plan then in effect, the Company reserves the right to settle your RSUs by a lump sum cash payment equal to then fair market value (as determined pursuant to Section 7) of the settled Shares (less applicable tax withholdings).</w:t>
      </w:r>
    </w:p>
    <w:p>
      <w:pPr>
        <w:spacing w:after="0" w:line="127" w:lineRule="exact"/>
        <w:rPr>
          <w:rFonts w:ascii="Arial" w:cs="Arial" w:eastAsia="Arial" w:hAnsi="Arial"/>
          <w:sz w:val="19"/>
          <w:szCs w:val="19"/>
          <w:color w:val="auto"/>
        </w:rPr>
      </w:pPr>
    </w:p>
    <w:p>
      <w:pPr>
        <w:ind w:left="652" w:hanging="652"/>
        <w:spacing w:after="0"/>
        <w:tabs>
          <w:tab w:leader="none" w:pos="65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 CLAW-BACK POLICY</w:t>
      </w:r>
    </w:p>
    <w:p>
      <w:pPr>
        <w:spacing w:after="0" w:line="225" w:lineRule="exact"/>
        <w:rPr>
          <w:rFonts w:ascii="Arial" w:cs="Arial" w:eastAsia="Arial" w:hAnsi="Arial"/>
          <w:sz w:val="22"/>
          <w:szCs w:val="22"/>
          <w:b w:val="1"/>
          <w:bCs w:val="1"/>
          <w:color w:val="auto"/>
        </w:rPr>
      </w:pPr>
    </w:p>
    <w:p>
      <w:pPr>
        <w:jc w:val="both"/>
        <w:ind w:left="1292" w:hanging="644"/>
        <w:spacing w:after="0" w:line="258" w:lineRule="auto"/>
        <w:tabs>
          <w:tab w:leader="none" w:pos="1292" w:val="left"/>
        </w:tabs>
        <w:numPr>
          <w:ilvl w:val="1"/>
          <w:numId w:val="67"/>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 that Employee performed on behalf of the Company in the two (2) years prior to 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132" w:lineRule="exact"/>
        <w:rPr>
          <w:rFonts w:ascii="Arial" w:cs="Arial" w:eastAsia="Arial" w:hAnsi="Arial"/>
          <w:sz w:val="21"/>
          <w:szCs w:val="21"/>
          <w:color w:val="auto"/>
        </w:rPr>
      </w:pPr>
    </w:p>
    <w:p>
      <w:pPr>
        <w:jc w:val="both"/>
        <w:ind w:left="1292" w:hanging="644"/>
        <w:spacing w:after="0" w:line="263" w:lineRule="auto"/>
        <w:tabs>
          <w:tab w:leader="none" w:pos="1292" w:val="left"/>
        </w:tabs>
        <w:numPr>
          <w:ilvl w:val="1"/>
          <w:numId w:val="67"/>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21" w:lineRule="exact"/>
        <w:rPr>
          <w:rFonts w:ascii="Arial" w:cs="Arial" w:eastAsia="Arial" w:hAnsi="Arial"/>
          <w:sz w:val="21"/>
          <w:szCs w:val="21"/>
          <w:color w:val="auto"/>
        </w:rPr>
      </w:pPr>
    </w:p>
    <w:p>
      <w:pPr>
        <w:ind w:left="1292" w:right="20" w:hanging="644"/>
        <w:spacing w:after="0" w:line="263" w:lineRule="auto"/>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In the event that the Employee fails to comply with any of the promises made in this Section 6, then in addition to and not in limitation of any and all other remedies</w:t>
      </w:r>
    </w:p>
    <w:p>
      <w:pPr>
        <w:spacing w:after="0" w:line="372" w:lineRule="exact"/>
        <w:rPr>
          <w:sz w:val="20"/>
          <w:szCs w:val="20"/>
          <w:color w:val="auto"/>
        </w:rPr>
      </w:pPr>
    </w:p>
    <w:p>
      <w:pPr>
        <w:ind w:left="843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12"/>
          </w:cols>
          <w:pgMar w:left="248" w:top="820" w:right="239" w:bottom="1440" w:gutter="0" w:footer="0" w:header="0"/>
        </w:sectPr>
      </w:pPr>
    </w:p>
    <w:bookmarkStart w:id="70" w:name="page71"/>
    <w:bookmarkEnd w:id="70"/>
    <w:p>
      <w:pPr>
        <w:jc w:val="both"/>
        <w:ind w:left="1292"/>
        <w:spacing w:after="0" w:line="286" w:lineRule="auto"/>
        <w:rPr>
          <w:sz w:val="20"/>
          <w:szCs w:val="20"/>
          <w:color w:val="auto"/>
        </w:rPr>
      </w:pPr>
      <w:r>
        <w:rPr>
          <w:rFonts w:ascii="Arial" w:cs="Arial" w:eastAsia="Arial" w:hAnsi="Arial"/>
          <w:sz w:val="19"/>
          <w:szCs w:val="19"/>
          <w:color w:val="auto"/>
        </w:rPr>
        <w:t>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 6 are not fulfilled, the damage to the Company would be irreparable. The Company, in addition to any other remedies available to it, including, without limitation, the remedies set forth in Section 6, Subsection C above, shall be entitled to injunctive relief against the Employee’s breach or threatened breach of said covenants. Employee specifically agrees that the subsidiaries and affiliates of Altisource are intended beneficiaries of the restrictions contained in this Paragraph 6 and that those subsidiaries and affiliates have the right to enforce the terms of this Paragraph 6.</w:t>
      </w:r>
    </w:p>
    <w:p>
      <w:pPr>
        <w:spacing w:after="0" w:line="376" w:lineRule="exact"/>
        <w:rPr>
          <w:sz w:val="20"/>
          <w:szCs w:val="20"/>
          <w:color w:val="auto"/>
        </w:rPr>
      </w:pPr>
    </w:p>
    <w:p>
      <w:pPr>
        <w:ind w:left="1292" w:hanging="644"/>
        <w:spacing w:after="0" w:line="328" w:lineRule="auto"/>
        <w:tabs>
          <w:tab w:leader="none" w:pos="1292"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Employee acknowledges that the Company would not have awarded the RSUs to the Employee under this Agreement absent the Employee’s agreement to be bound by the covenants made in this Section 6.</w:t>
      </w:r>
    </w:p>
    <w:p>
      <w:pPr>
        <w:spacing w:after="0" w:line="96" w:lineRule="exact"/>
        <w:rPr>
          <w:rFonts w:ascii="Arial" w:cs="Arial" w:eastAsia="Arial" w:hAnsi="Arial"/>
          <w:sz w:val="21"/>
          <w:szCs w:val="21"/>
          <w:color w:val="auto"/>
        </w:rPr>
      </w:pPr>
    </w:p>
    <w:p>
      <w:pPr>
        <w:ind w:left="1292" w:hanging="644"/>
        <w:spacing w:after="0" w:line="302" w:lineRule="auto"/>
        <w:tabs>
          <w:tab w:leader="none" w:pos="129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RSUs shall be subject to any claw-back policy implemented by the Board of Directors of the Company or any Successor Entity.</w:t>
      </w:r>
    </w:p>
    <w:p>
      <w:pPr>
        <w:spacing w:after="0" w:line="154" w:lineRule="exact"/>
        <w:rPr>
          <w:rFonts w:ascii="Arial" w:cs="Arial" w:eastAsia="Arial" w:hAnsi="Arial"/>
          <w:sz w:val="22"/>
          <w:szCs w:val="22"/>
          <w:color w:val="auto"/>
        </w:rPr>
      </w:pPr>
    </w:p>
    <w:p>
      <w:pPr>
        <w:ind w:left="652" w:hanging="652"/>
        <w:spacing w:after="0"/>
        <w:tabs>
          <w:tab w:leader="none" w:pos="65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39" w:lineRule="exact"/>
        <w:rPr>
          <w:rFonts w:ascii="Arial" w:cs="Arial" w:eastAsia="Arial" w:hAnsi="Arial"/>
          <w:sz w:val="22"/>
          <w:szCs w:val="22"/>
          <w:b w:val="1"/>
          <w:bCs w:val="1"/>
          <w:color w:val="auto"/>
        </w:rPr>
      </w:pPr>
    </w:p>
    <w:p>
      <w:pPr>
        <w:ind w:left="1292" w:hanging="644"/>
        <w:spacing w:after="0"/>
        <w:tabs>
          <w:tab w:leader="none" w:pos="1292" w:val="left"/>
        </w:tabs>
        <w:numPr>
          <w:ilvl w:val="1"/>
          <w:numId w:val="69"/>
        </w:numPr>
        <w:rPr>
          <w:rFonts w:ascii="Arial" w:cs="Arial" w:eastAsia="Arial" w:hAnsi="Arial"/>
          <w:sz w:val="22"/>
          <w:szCs w:val="22"/>
          <w:color w:val="auto"/>
        </w:rPr>
      </w:pPr>
      <w:r>
        <w:rPr>
          <w:rFonts w:ascii="Arial" w:cs="Arial" w:eastAsia="Arial" w:hAnsi="Arial"/>
          <w:sz w:val="22"/>
          <w:szCs w:val="22"/>
          <w:color w:val="auto"/>
        </w:rPr>
        <w:t>Generally</w:t>
      </w:r>
    </w:p>
    <w:p>
      <w:pPr>
        <w:spacing w:after="0" w:line="192" w:lineRule="exact"/>
        <w:rPr>
          <w:rFonts w:ascii="Arial" w:cs="Arial" w:eastAsia="Arial" w:hAnsi="Arial"/>
          <w:sz w:val="22"/>
          <w:szCs w:val="22"/>
          <w:color w:val="auto"/>
        </w:rPr>
      </w:pPr>
    </w:p>
    <w:p>
      <w:pPr>
        <w:jc w:val="both"/>
        <w:ind w:left="1292"/>
        <w:spacing w:after="0" w:line="289" w:lineRule="auto"/>
        <w:rPr>
          <w:rFonts w:ascii="Arial" w:cs="Arial" w:eastAsia="Arial" w:hAnsi="Arial"/>
          <w:sz w:val="22"/>
          <w:szCs w:val="22"/>
          <w:color w:val="auto"/>
        </w:rPr>
      </w:pPr>
      <w:r>
        <w:rPr>
          <w:rFonts w:ascii="Arial" w:cs="Arial" w:eastAsia="Arial" w:hAnsi="Arial"/>
          <w:sz w:val="19"/>
          <w:szCs w:val="19"/>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w:t>
      </w:r>
    </w:p>
    <w:p>
      <w:pPr>
        <w:spacing w:after="0" w:line="354" w:lineRule="exact"/>
        <w:rPr>
          <w:sz w:val="20"/>
          <w:szCs w:val="20"/>
          <w:color w:val="auto"/>
        </w:rPr>
      </w:pPr>
    </w:p>
    <w:p>
      <w:pPr>
        <w:ind w:left="843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12"/>
          </w:cols>
          <w:pgMar w:left="248" w:top="820" w:right="239" w:bottom="1440" w:gutter="0" w:footer="0" w:header="0"/>
        </w:sectPr>
      </w:pPr>
    </w:p>
    <w:bookmarkStart w:id="71" w:name="page72"/>
    <w:bookmarkEnd w:id="71"/>
    <w:p>
      <w:pPr>
        <w:jc w:val="both"/>
        <w:ind w:left="1292"/>
        <w:spacing w:after="0" w:line="260" w:lineRule="auto"/>
        <w:rPr>
          <w:sz w:val="20"/>
          <w:szCs w:val="20"/>
          <w:color w:val="auto"/>
        </w:rPr>
      </w:pPr>
      <w:r>
        <w:rPr>
          <w:rFonts w:ascii="Arial" w:cs="Arial" w:eastAsia="Arial" w:hAnsi="Arial"/>
          <w:sz w:val="21"/>
          <w:szCs w:val="21"/>
          <w:color w:val="auto"/>
        </w:rPr>
        <w:t>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141" w:lineRule="exact"/>
        <w:rPr>
          <w:sz w:val="20"/>
          <w:szCs w:val="20"/>
          <w:color w:val="auto"/>
        </w:rPr>
      </w:pPr>
    </w:p>
    <w:p>
      <w:pPr>
        <w:ind w:left="1292" w:hanging="644"/>
        <w:spacing w:after="0"/>
        <w:tabs>
          <w:tab w:leader="none" w:pos="1292" w:val="left"/>
        </w:tabs>
        <w:numPr>
          <w:ilvl w:val="1"/>
          <w:numId w:val="70"/>
        </w:numPr>
        <w:rPr>
          <w:rFonts w:ascii="Arial" w:cs="Arial" w:eastAsia="Arial" w:hAnsi="Arial"/>
          <w:sz w:val="22"/>
          <w:szCs w:val="22"/>
          <w:color w:val="auto"/>
        </w:rPr>
      </w:pPr>
      <w:r>
        <w:rPr>
          <w:rFonts w:ascii="Arial" w:cs="Arial" w:eastAsia="Arial" w:hAnsi="Arial"/>
          <w:sz w:val="22"/>
          <w:szCs w:val="22"/>
          <w:color w:val="auto"/>
        </w:rPr>
        <w:t>Section 409A.</w:t>
      </w:r>
    </w:p>
    <w:p>
      <w:pPr>
        <w:spacing w:after="0" w:line="192" w:lineRule="exact"/>
        <w:rPr>
          <w:rFonts w:ascii="Arial" w:cs="Arial" w:eastAsia="Arial" w:hAnsi="Arial"/>
          <w:sz w:val="22"/>
          <w:szCs w:val="22"/>
          <w:color w:val="auto"/>
        </w:rPr>
      </w:pPr>
    </w:p>
    <w:p>
      <w:pPr>
        <w:jc w:val="both"/>
        <w:ind w:left="1292"/>
        <w:spacing w:after="0" w:line="286" w:lineRule="auto"/>
        <w:rPr>
          <w:rFonts w:ascii="Arial" w:cs="Arial" w:eastAsia="Arial" w:hAnsi="Arial"/>
          <w:sz w:val="22"/>
          <w:szCs w:val="22"/>
          <w:color w:val="auto"/>
        </w:rPr>
      </w:pPr>
      <w:r>
        <w:rPr>
          <w:rFonts w:ascii="Arial" w:cs="Arial" w:eastAsia="Arial" w:hAnsi="Arial"/>
          <w:sz w:val="19"/>
          <w:szCs w:val="19"/>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19"/>
          <w:szCs w:val="19"/>
          <w:color w:val="002060"/>
        </w:rPr>
        <w:t>. I</w:t>
      </w:r>
      <w:r>
        <w:rPr>
          <w:rFonts w:ascii="Arial" w:cs="Arial" w:eastAsia="Arial" w:hAnsi="Arial"/>
          <w:sz w:val="19"/>
          <w:szCs w:val="19"/>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153" w:lineRule="exact"/>
        <w:rPr>
          <w:rFonts w:ascii="Arial" w:cs="Arial" w:eastAsia="Arial" w:hAnsi="Arial"/>
          <w:sz w:val="22"/>
          <w:szCs w:val="22"/>
          <w:color w:val="auto"/>
        </w:rPr>
      </w:pPr>
    </w:p>
    <w:p>
      <w:pPr>
        <w:ind w:left="652" w:hanging="652"/>
        <w:spacing w:after="0"/>
        <w:tabs>
          <w:tab w:leader="none" w:pos="65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w:t>
      </w:r>
    </w:p>
    <w:p>
      <w:pPr>
        <w:spacing w:after="0" w:line="239" w:lineRule="exact"/>
        <w:rPr>
          <w:rFonts w:ascii="Arial" w:cs="Arial" w:eastAsia="Arial" w:hAnsi="Arial"/>
          <w:sz w:val="22"/>
          <w:szCs w:val="22"/>
          <w:b w:val="1"/>
          <w:bCs w:val="1"/>
          <w:color w:val="auto"/>
        </w:rPr>
      </w:pPr>
    </w:p>
    <w:p>
      <w:pPr>
        <w:ind w:left="1292" w:hanging="644"/>
        <w:spacing w:after="0"/>
        <w:tabs>
          <w:tab w:leader="none" w:pos="1292" w:val="left"/>
        </w:tabs>
        <w:numPr>
          <w:ilvl w:val="1"/>
          <w:numId w:val="71"/>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219" w:lineRule="exact"/>
        <w:rPr>
          <w:rFonts w:ascii="Arial" w:cs="Arial" w:eastAsia="Arial" w:hAnsi="Arial"/>
          <w:sz w:val="22"/>
          <w:szCs w:val="22"/>
          <w:color w:val="auto"/>
        </w:rPr>
      </w:pPr>
    </w:p>
    <w:p>
      <w:pPr>
        <w:jc w:val="both"/>
        <w:ind w:left="1292"/>
        <w:spacing w:after="0" w:line="306" w:lineRule="auto"/>
        <w:rPr>
          <w:rFonts w:ascii="Arial" w:cs="Arial" w:eastAsia="Arial" w:hAnsi="Arial"/>
          <w:sz w:val="22"/>
          <w:szCs w:val="22"/>
          <w:color w:val="auto"/>
        </w:rPr>
      </w:pPr>
      <w:r>
        <w:rPr>
          <w:rFonts w:ascii="Arial" w:cs="Arial" w:eastAsia="Arial" w:hAnsi="Arial"/>
          <w:sz w:val="21"/>
          <w:szCs w:val="21"/>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370" w:lineRule="exact"/>
        <w:rPr>
          <w:sz w:val="20"/>
          <w:szCs w:val="20"/>
          <w:color w:val="auto"/>
        </w:rPr>
      </w:pPr>
    </w:p>
    <w:p>
      <w:pPr>
        <w:ind w:left="843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12"/>
          </w:cols>
          <w:pgMar w:left="248" w:top="820" w:right="239" w:bottom="1440" w:gutter="0" w:footer="0" w:header="0"/>
        </w:sectPr>
      </w:pPr>
    </w:p>
    <w:bookmarkStart w:id="72" w:name="page73"/>
    <w:bookmarkEnd w:id="72"/>
    <w:p>
      <w:pPr>
        <w:ind w:left="644" w:hanging="644"/>
        <w:spacing w:after="0"/>
        <w:tabs>
          <w:tab w:leader="none" w:pos="644" w:val="left"/>
        </w:tabs>
        <w:numPr>
          <w:ilvl w:val="0"/>
          <w:numId w:val="72"/>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206" w:lineRule="exact"/>
        <w:rPr>
          <w:rFonts w:ascii="Arial" w:cs="Arial" w:eastAsia="Arial" w:hAnsi="Arial"/>
          <w:sz w:val="22"/>
          <w:szCs w:val="22"/>
          <w:color w:val="auto"/>
        </w:rPr>
      </w:pPr>
    </w:p>
    <w:p>
      <w:pPr>
        <w:jc w:val="both"/>
        <w:ind w:left="1304" w:hanging="655"/>
        <w:spacing w:after="0" w:line="259" w:lineRule="auto"/>
        <w:tabs>
          <w:tab w:leader="none" w:pos="1304" w:val="left"/>
        </w:tabs>
        <w:numPr>
          <w:ilvl w:val="1"/>
          <w:numId w:val="72"/>
        </w:numPr>
        <w:rPr>
          <w:rFonts w:ascii="Arial" w:cs="Arial" w:eastAsia="Arial" w:hAnsi="Arial"/>
          <w:sz w:val="21"/>
          <w:szCs w:val="21"/>
          <w:color w:val="auto"/>
        </w:rPr>
      </w:pPr>
      <w:r>
        <w:rPr>
          <w:rFonts w:ascii="Arial" w:cs="Arial" w:eastAsia="Arial" w:hAnsi="Arial"/>
          <w:sz w:val="21"/>
          <w:szCs w:val="21"/>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equivalent award of shares in the Successor Entity as the Board of Directors deems equitable, (iii) cancelling the award for consideration (as the Board of Directors sees as equitable) which may equal the value of the consideration to be paid in the Change of Control/Restructuring Event to holders of Shares, or (iv) providing for vesting and settlement of the RSUs immediately prior to, and conditioned on consummation, of the Change of Control/Restructuring Event.</w:t>
      </w:r>
    </w:p>
    <w:p>
      <w:pPr>
        <w:spacing w:after="0" w:line="143" w:lineRule="exact"/>
        <w:rPr>
          <w:rFonts w:ascii="Arial" w:cs="Arial" w:eastAsia="Arial" w:hAnsi="Arial"/>
          <w:sz w:val="21"/>
          <w:szCs w:val="21"/>
          <w:color w:val="auto"/>
        </w:rPr>
      </w:pPr>
    </w:p>
    <w:p>
      <w:pPr>
        <w:jc w:val="both"/>
        <w:ind w:left="1304" w:hanging="655"/>
        <w:spacing w:after="0" w:line="247" w:lineRule="auto"/>
        <w:tabs>
          <w:tab w:leader="none" w:pos="1304" w:val="left"/>
        </w:tabs>
        <w:numPr>
          <w:ilvl w:val="1"/>
          <w:numId w:val="72"/>
        </w:numPr>
        <w:rPr>
          <w:rFonts w:ascii="Arial" w:cs="Arial" w:eastAsia="Arial" w:hAnsi="Arial"/>
          <w:sz w:val="22"/>
          <w:szCs w:val="22"/>
          <w:color w:val="auto"/>
        </w:rPr>
      </w:pPr>
      <w:r>
        <w:rPr>
          <w:rFonts w:ascii="Arial" w:cs="Arial" w:eastAsia="Arial" w:hAnsi="Arial"/>
          <w:sz w:val="22"/>
          <w:szCs w:val="22"/>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Board of Directors shall have the right in its discretion to make appropriate adjustments, including, with the consent of the Successor Entity, equitably converting the consideration to be received upon the vesting of the RSUs to common stock of the Successor Entity.</w:t>
      </w:r>
    </w:p>
    <w:p>
      <w:pPr>
        <w:spacing w:after="0" w:line="153" w:lineRule="exact"/>
        <w:rPr>
          <w:rFonts w:ascii="Arial" w:cs="Arial" w:eastAsia="Arial" w:hAnsi="Arial"/>
          <w:sz w:val="22"/>
          <w:szCs w:val="22"/>
          <w:color w:val="auto"/>
        </w:rPr>
      </w:pPr>
    </w:p>
    <w:p>
      <w:pPr>
        <w:jc w:val="both"/>
        <w:ind w:left="1304" w:hanging="655"/>
        <w:spacing w:after="0" w:line="260" w:lineRule="auto"/>
        <w:tabs>
          <w:tab w:leader="none" w:pos="1304" w:val="left"/>
        </w:tabs>
        <w:numPr>
          <w:ilvl w:val="1"/>
          <w:numId w:val="72"/>
        </w:numPr>
        <w:rPr>
          <w:rFonts w:ascii="Arial" w:cs="Arial" w:eastAsia="Arial" w:hAnsi="Arial"/>
          <w:sz w:val="21"/>
          <w:szCs w:val="21"/>
          <w:color w:val="auto"/>
        </w:rPr>
      </w:pPr>
      <w:r>
        <w:rPr>
          <w:rFonts w:ascii="Arial" w:cs="Arial" w:eastAsia="Arial" w:hAnsi="Arial"/>
          <w:sz w:val="21"/>
          <w:szCs w:val="21"/>
          <w:color w:val="auto"/>
        </w:rPr>
        <w:t>Notwithstanding any provision of Section 8 Subsection B(1) and B(2) to the contrary, in the event a Change of Control/Restructuring Event occurs, if the RSUs are not assumed or replaced by the acquiror/continuing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allows the RSUs to stay in place, to make appropriate adjustments to avoid an expansion or reduction in the value of the award.</w:t>
      </w:r>
    </w:p>
    <w:p>
      <w:pPr>
        <w:spacing w:after="0" w:line="140" w:lineRule="exact"/>
        <w:rPr>
          <w:rFonts w:ascii="Arial" w:cs="Arial" w:eastAsia="Arial" w:hAnsi="Arial"/>
          <w:sz w:val="21"/>
          <w:szCs w:val="21"/>
          <w:color w:val="auto"/>
        </w:rPr>
      </w:pPr>
    </w:p>
    <w:p>
      <w:pPr>
        <w:jc w:val="both"/>
        <w:ind w:left="1304" w:hanging="655"/>
        <w:spacing w:after="0" w:line="302" w:lineRule="auto"/>
        <w:tabs>
          <w:tab w:leader="none" w:pos="1304" w:val="left"/>
        </w:tabs>
        <w:numPr>
          <w:ilvl w:val="1"/>
          <w:numId w:val="72"/>
        </w:numPr>
        <w:rPr>
          <w:rFonts w:ascii="Arial" w:cs="Arial" w:eastAsia="Arial" w:hAnsi="Arial"/>
          <w:sz w:val="19"/>
          <w:szCs w:val="19"/>
          <w:color w:val="auto"/>
        </w:rPr>
      </w:pPr>
      <w:r>
        <w:rPr>
          <w:rFonts w:ascii="Arial" w:cs="Arial" w:eastAsia="Arial" w:hAnsi="Arial"/>
          <w:sz w:val="19"/>
          <w:szCs w:val="19"/>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393" w:lineRule="exact"/>
        <w:rPr>
          <w:sz w:val="20"/>
          <w:szCs w:val="20"/>
          <w:color w:val="auto"/>
        </w:rPr>
      </w:pPr>
    </w:p>
    <w:p>
      <w:pPr>
        <w:ind w:left="778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0764"/>
          </w:cols>
          <w:pgMar w:left="896" w:top="834" w:right="239" w:bottom="1440" w:gutter="0" w:footer="0" w:header="0"/>
        </w:sectPr>
      </w:pPr>
    </w:p>
    <w:bookmarkStart w:id="73" w:name="page74"/>
    <w:bookmarkEnd w:id="73"/>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3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CONDITIONS</w:t>
      </w:r>
    </w:p>
    <w:p>
      <w:pPr>
        <w:spacing w:after="0" w:line="225" w:lineRule="exact"/>
        <w:rPr>
          <w:rFonts w:ascii="Arial" w:cs="Arial" w:eastAsia="Arial" w:hAnsi="Arial"/>
          <w:sz w:val="22"/>
          <w:szCs w:val="22"/>
          <w:b w:val="1"/>
          <w:bCs w:val="1"/>
          <w:color w:val="auto"/>
        </w:rPr>
      </w:pPr>
    </w:p>
    <w:p>
      <w:pPr>
        <w:jc w:val="both"/>
        <w:ind w:left="1300" w:hanging="644"/>
        <w:spacing w:after="0" w:line="257" w:lineRule="auto"/>
        <w:tabs>
          <w:tab w:leader="none" w:pos="1300"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136" w:lineRule="exact"/>
        <w:rPr>
          <w:rFonts w:ascii="Arial" w:cs="Arial" w:eastAsia="Arial" w:hAnsi="Arial"/>
          <w:sz w:val="21"/>
          <w:szCs w:val="21"/>
          <w:color w:val="auto"/>
        </w:rPr>
      </w:pPr>
    </w:p>
    <w:p>
      <w:pPr>
        <w:jc w:val="both"/>
        <w:ind w:left="1300" w:hanging="644"/>
        <w:spacing w:after="0" w:line="292" w:lineRule="auto"/>
        <w:tabs>
          <w:tab w:leader="none" w:pos="13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145" w:lineRule="exact"/>
        <w:rPr>
          <w:rFonts w:ascii="Arial" w:cs="Arial" w:eastAsia="Arial" w:hAnsi="Arial"/>
          <w:sz w:val="19"/>
          <w:szCs w:val="19"/>
          <w:color w:val="auto"/>
        </w:rPr>
      </w:pPr>
    </w:p>
    <w:p>
      <w:pPr>
        <w:ind w:left="660" w:hanging="652"/>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396"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20"/>
          </w:cols>
          <w:pgMar w:left="240" w:top="814" w:right="239" w:bottom="1440" w:gutter="0" w:footer="0" w:header="0"/>
        </w:sectPr>
      </w:pPr>
    </w:p>
    <w:bookmarkStart w:id="74" w:name="page75"/>
    <w:bookmarkEnd w:id="74"/>
    <w:p>
      <w:pPr>
        <w:jc w:val="both"/>
        <w:ind w:left="644" w:hanging="644"/>
        <w:spacing w:after="0" w:line="259" w:lineRule="auto"/>
        <w:tabs>
          <w:tab w:leader="none" w:pos="644"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139" w:lineRule="exact"/>
        <w:rPr>
          <w:rFonts w:ascii="Arial" w:cs="Arial" w:eastAsia="Arial" w:hAnsi="Arial"/>
          <w:sz w:val="21"/>
          <w:szCs w:val="21"/>
          <w:color w:val="auto"/>
        </w:rPr>
      </w:pPr>
    </w:p>
    <w:p>
      <w:pPr>
        <w:jc w:val="both"/>
        <w:ind w:left="644" w:hanging="644"/>
        <w:spacing w:after="0" w:line="247" w:lineRule="auto"/>
        <w:tabs>
          <w:tab w:leader="none" w:pos="6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53" w:lineRule="exact"/>
        <w:rPr>
          <w:rFonts w:ascii="Arial" w:cs="Arial" w:eastAsia="Arial" w:hAnsi="Arial"/>
          <w:sz w:val="22"/>
          <w:szCs w:val="22"/>
          <w:color w:val="auto"/>
        </w:rPr>
      </w:pPr>
    </w:p>
    <w:p>
      <w:pPr>
        <w:jc w:val="both"/>
        <w:ind w:left="644" w:hanging="644"/>
        <w:spacing w:after="0" w:line="286" w:lineRule="auto"/>
        <w:tabs>
          <w:tab w:leader="none" w:pos="644" w:val="left"/>
        </w:tabs>
        <w:numPr>
          <w:ilvl w:val="0"/>
          <w:numId w:val="75"/>
        </w:numPr>
        <w:rPr>
          <w:rFonts w:ascii="Arial" w:cs="Arial" w:eastAsia="Arial" w:hAnsi="Arial"/>
          <w:sz w:val="19"/>
          <w:szCs w:val="19"/>
          <w:color w:val="auto"/>
        </w:rPr>
      </w:pPr>
      <w:r>
        <w:rPr>
          <w:rFonts w:ascii="Arial" w:cs="Arial" w:eastAsia="Arial" w:hAnsi="Arial"/>
          <w:sz w:val="19"/>
          <w:szCs w:val="19"/>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26"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w:t>
      </w:r>
    </w:p>
    <w:p>
      <w:pPr>
        <w:spacing w:after="0" w:line="200" w:lineRule="exact"/>
        <w:rPr>
          <w:sz w:val="20"/>
          <w:szCs w:val="20"/>
          <w:color w:val="auto"/>
        </w:rPr>
      </w:pPr>
    </w:p>
    <w:p>
      <w:pPr>
        <w:spacing w:after="0" w:line="202" w:lineRule="exact"/>
        <w:rPr>
          <w:sz w:val="20"/>
          <w:szCs w:val="20"/>
          <w:color w:val="auto"/>
        </w:rPr>
      </w:pPr>
    </w:p>
    <w:p>
      <w:pPr>
        <w:ind w:left="778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0764"/>
          </w:cols>
          <w:pgMar w:left="896" w:top="820" w:right="239" w:bottom="1440" w:gutter="0" w:footer="0" w:header="0"/>
        </w:sectPr>
      </w:pPr>
    </w:p>
    <w:bookmarkStart w:id="75" w:name="page76"/>
    <w:bookmarkEnd w:id="75"/>
    <w:p>
      <w:pPr>
        <w:jc w:val="both"/>
        <w:ind w:left="1300"/>
        <w:spacing w:after="0" w:line="284" w:lineRule="auto"/>
        <w:rPr>
          <w:sz w:val="20"/>
          <w:szCs w:val="20"/>
          <w:color w:val="auto"/>
        </w:rPr>
      </w:pPr>
      <w:r>
        <w:rPr>
          <w:rFonts w:ascii="Arial" w:cs="Arial" w:eastAsia="Arial" w:hAnsi="Arial"/>
          <w:sz w:val="19"/>
          <w:szCs w:val="19"/>
          <w:color w:val="auto"/>
        </w:rPr>
        <w:t>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w:t>
      </w:r>
    </w:p>
    <w:p>
      <w:pPr>
        <w:jc w:val="both"/>
        <w:ind w:left="1300"/>
        <w:spacing w:after="0" w:line="244" w:lineRule="auto"/>
        <w:rPr>
          <w:sz w:val="20"/>
          <w:szCs w:val="20"/>
          <w:color w:val="auto"/>
        </w:rPr>
      </w:pPr>
      <w:r>
        <w:rPr>
          <w:rFonts w:ascii="Arial" w:cs="Arial" w:eastAsia="Arial" w:hAnsi="Arial"/>
          <w:sz w:val="22"/>
          <w:szCs w:val="22"/>
          <w:color w:val="auto"/>
        </w:rPr>
        <w:t>(iii)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55" w:lineRule="exact"/>
        <w:rPr>
          <w:sz w:val="20"/>
          <w:szCs w:val="20"/>
          <w:color w:val="auto"/>
        </w:rPr>
      </w:pPr>
    </w:p>
    <w:p>
      <w:pPr>
        <w:jc w:val="both"/>
        <w:ind w:left="1300" w:hanging="644"/>
        <w:spacing w:after="0" w:line="297" w:lineRule="auto"/>
        <w:tabs>
          <w:tab w:leader="none" w:pos="130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06"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145" w:lineRule="exact"/>
        <w:rPr>
          <w:rFonts w:ascii="Arial" w:cs="Arial" w:eastAsia="Arial" w:hAnsi="Arial"/>
          <w:sz w:val="22"/>
          <w:szCs w:val="22"/>
          <w:color w:val="auto"/>
        </w:rPr>
      </w:pPr>
    </w:p>
    <w:p>
      <w:pPr>
        <w:ind w:left="1300" w:hanging="644"/>
        <w:spacing w:after="0"/>
        <w:tabs>
          <w:tab w:leader="none" w:pos="1300" w:val="left"/>
        </w:tabs>
        <w:numPr>
          <w:ilvl w:val="1"/>
          <w:numId w:val="76"/>
        </w:numPr>
        <w:rPr>
          <w:rFonts w:ascii="Arial" w:cs="Arial" w:eastAsia="Arial" w:hAnsi="Arial"/>
          <w:sz w:val="21"/>
          <w:szCs w:val="21"/>
          <w:color w:val="auto"/>
        </w:rPr>
      </w:pPr>
      <w:r>
        <w:rPr>
          <w:rFonts w:ascii="Arial" w:cs="Arial" w:eastAsia="Arial" w:hAnsi="Arial"/>
          <w:sz w:val="21"/>
          <w:szCs w:val="21"/>
          <w:color w:val="auto"/>
        </w:rPr>
        <w:t>Capitalized terms used but not defined in this Agreement shall have the meanings set forth in the 2009 Plan.</w:t>
      </w:r>
    </w:p>
    <w:p>
      <w:pPr>
        <w:spacing w:after="0" w:line="184" w:lineRule="exact"/>
        <w:rPr>
          <w:rFonts w:ascii="Arial" w:cs="Arial" w:eastAsia="Arial" w:hAnsi="Arial"/>
          <w:sz w:val="21"/>
          <w:szCs w:val="21"/>
          <w:color w:val="auto"/>
        </w:rPr>
      </w:pPr>
    </w:p>
    <w:p>
      <w:pPr>
        <w:ind w:left="660" w:hanging="652"/>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200" w:lineRule="exact"/>
        <w:rPr>
          <w:sz w:val="20"/>
          <w:szCs w:val="20"/>
          <w:color w:val="auto"/>
        </w:rPr>
      </w:pPr>
    </w:p>
    <w:p>
      <w:pPr>
        <w:spacing w:after="0" w:line="231"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20"/>
          </w:cols>
          <w:pgMar w:left="240" w:top="820" w:right="239" w:bottom="1440" w:gutter="0" w:footer="0" w:header="0"/>
        </w:sectPr>
      </w:pPr>
    </w:p>
    <w:bookmarkStart w:id="76" w:name="page77"/>
    <w:bookmarkEnd w:id="76"/>
    <w:p>
      <w:pPr>
        <w:ind w:left="660" w:hanging="652"/>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182"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234"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24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1420"/>
          </w:cols>
          <w:pgMar w:left="240" w:top="814" w:right="239" w:bottom="1440" w:gutter="0" w:footer="0" w:header="0"/>
        </w:sectPr>
      </w:pPr>
    </w:p>
    <w:bookmarkStart w:id="77" w:name="page78"/>
    <w:bookmarkEnd w:id="77"/>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Attested by: 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89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11</w:t>
      </w:r>
      <w:r>
        <w:rPr>
          <w:rFonts w:ascii="Arial" w:cs="Arial" w:eastAsia="Arial" w:hAnsi="Arial"/>
          <w:sz w:val="16"/>
          <w:szCs w:val="16"/>
          <w:color w:val="auto"/>
        </w:rPr>
        <w:t xml:space="preserve"> of </w:t>
      </w:r>
      <w:r>
        <w:rPr>
          <w:rFonts w:ascii="Arial" w:cs="Arial" w:eastAsia="Arial" w:hAnsi="Arial"/>
          <w:sz w:val="16"/>
          <w:szCs w:val="16"/>
          <w:b w:val="1"/>
          <w:bCs w:val="1"/>
          <w:color w:val="auto"/>
        </w:rPr>
        <w:t>11</w:t>
      </w:r>
    </w:p>
    <w:p>
      <w:pPr>
        <w:sectPr>
          <w:pgSz w:w="11900" w:h="16838" w:orient="portrait"/>
          <w:cols w:equalWidth="0" w:num="1">
            <w:col w:w="10179"/>
          </w:cols>
          <w:pgMar w:left="280" w:top="144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April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Indroneel Chatterjee, hereby certify that:</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April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Indroneel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Indroneel Chatterjee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2018</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March 31, 2018, as filed with the Securities and Exchange Commission on the date hereof (the “Report”), William B. Shepro, as Chief Executive Officer of the Company, and Indroneel Chatterjee,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Indroneel Chatterjee</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Indroneel Chatterjee</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April 26, 2018</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April 26,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lowerRoman"/>
      <w:start w:val="2"/>
    </w:lvl>
  </w:abstractNum>
  <w:abstractNum w:abstractNumId="6">
    <w:nsid w:val="7A6D8D3C"/>
    <w:multiLevelType w:val="hybridMultilevel"/>
    <w:lvl w:ilvl="0">
      <w:lvlJc w:val="left"/>
      <w:lvlText w:val="(%1)"/>
      <w:numFmt w:val="lowerRoman"/>
      <w:start w:val="5"/>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lowerLetter"/>
      <w:start w:val="1"/>
    </w:lvl>
  </w:abstractNum>
  <w:abstractNum w:abstractNumId="19">
    <w:nsid w:val="75C6C33A"/>
    <w:multiLevelType w:val="hybridMultilevel"/>
    <w:lvl w:ilvl="0">
      <w:lvlJc w:val="left"/>
      <w:lvlText w:val="%1)"/>
      <w:numFmt w:val="lowerLetter"/>
      <w:start w:val="2"/>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lowerRoman"/>
      <w:start w:val="1"/>
    </w:lvl>
    <w:lvl w:ilvl="1">
      <w:lvlJc w:val="left"/>
      <w:lvlText w:val="%2."/>
      <w:numFmt w:val="decimal"/>
      <w:start w:val="1"/>
    </w:lvl>
  </w:abstractNum>
  <w:abstractNum w:abstractNumId="24">
    <w:nsid w:val="4F4EF005"/>
    <w:multiLevelType w:val="hybridMultilevel"/>
    <w:lvl w:ilvl="0">
      <w:lvlJc w:val="left"/>
      <w:lvlText w:val="(%1)"/>
      <w:numFmt w:val="lowerRoman"/>
      <w:start w:val="11"/>
    </w:lvl>
    <w:lvl w:ilvl="1">
      <w:lvlJc w:val="left"/>
      <w:lvlText w:val="%2"/>
      <w:numFmt w:val="decimal"/>
      <w:start w:val="1"/>
    </w:lvl>
  </w:abstractNum>
  <w:abstractNum w:abstractNumId="25">
    <w:nsid w:val="23F9C13C"/>
    <w:multiLevelType w:val="hybridMultilevel"/>
    <w:lvl w:ilvl="0">
      <w:lvlJc w:val="left"/>
      <w:lvlText w:val="%1."/>
      <w:numFmt w:val="decimal"/>
      <w:start w:val="3"/>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2"/>
    </w:lvl>
  </w:abstractNum>
  <w:abstractNum w:abstractNumId="28">
    <w:nsid w:val="39386575"/>
    <w:multiLevelType w:val="hybridMultilevel"/>
    <w:lvl w:ilvl="0">
      <w:lvlJc w:val="left"/>
      <w:lvlText w:val="%1."/>
      <w:numFmt w:val="decimal"/>
      <w:start w:val="3"/>
    </w:lvl>
  </w:abstractNum>
  <w:abstractNum w:abstractNumId="29">
    <w:nsid w:val="1CF10FD8"/>
    <w:multiLevelType w:val="hybridMultilevel"/>
    <w:lvl w:ilvl="0">
      <w:lvlJc w:val="left"/>
      <w:lvlText w:val="%1."/>
      <w:numFmt w:val="upperLetter"/>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upperLetter"/>
      <w:start w:val="1"/>
    </w:lvl>
    <w:lvl w:ilvl="1">
      <w:lvlJc w:val="left"/>
      <w:lvlText w:val="(%2)"/>
      <w:numFmt w:val="decimal"/>
      <w:start w:val="2"/>
    </w:lvl>
  </w:abstractNum>
  <w:abstractNum w:abstractNumId="32">
    <w:nsid w:val="47398C89"/>
    <w:multiLevelType w:val="hybridMultilevel"/>
    <w:lvl w:ilvl="0">
      <w:lvlJc w:val="left"/>
      <w:lvlText w:val="%1."/>
      <w:numFmt w:val="upperLetter"/>
      <w:start w:val="2"/>
    </w:lvl>
    <w:lvl w:ilvl="1">
      <w:lvlJc w:val="left"/>
      <w:lvlText w:val="%2"/>
      <w:numFmt w:val="decimal"/>
      <w:start w:val="1"/>
    </w:lvl>
  </w:abstractNum>
  <w:abstractNum w:abstractNumId="33">
    <w:nsid w:val="354FE9F9"/>
    <w:multiLevelType w:val="hybridMultilevel"/>
    <w:lvl w:ilvl="0">
      <w:lvlJc w:val="left"/>
      <w:lvlText w:val="%1."/>
      <w:numFmt w:val="decimal"/>
      <w:start w:val="4"/>
    </w:lvl>
    <w:lvl w:ilvl="1">
      <w:lvlJc w:val="left"/>
      <w:lvlText w:val="%2."/>
      <w:numFmt w:val="upperLetter"/>
      <w:start w:val="1"/>
    </w:lvl>
  </w:abstractNum>
  <w:abstractNum w:abstractNumId="34">
    <w:nsid w:val="15B5AF5C"/>
    <w:multiLevelType w:val="hybridMultilevel"/>
    <w:lvl w:ilvl="0">
      <w:lvlJc w:val="left"/>
      <w:lvlText w:val="%1."/>
      <w:numFmt w:val="upperLetter"/>
      <w:start w:val="3"/>
    </w:lvl>
  </w:abstractNum>
  <w:abstractNum w:abstractNumId="35">
    <w:nsid w:val="741226BB"/>
    <w:multiLevelType w:val="hybridMultilevel"/>
    <w:lvl w:ilvl="0">
      <w:lvlJc w:val="left"/>
      <w:lvlText w:val="%1."/>
      <w:numFmt w:val="decimal"/>
      <w:start w:val="5"/>
    </w:lvl>
  </w:abstractNum>
  <w:abstractNum w:abstractNumId="36">
    <w:nsid w:val="D34B6A8"/>
    <w:multiLevelType w:val="hybridMultilevel"/>
    <w:lvl w:ilvl="0">
      <w:lvlJc w:val="left"/>
      <w:lvlText w:val="%1."/>
      <w:numFmt w:val="upperLetter"/>
      <w:start w:val="1"/>
    </w:lvl>
  </w:abstractNum>
  <w:abstractNum w:abstractNumId="37">
    <w:nsid w:val="10233C99"/>
    <w:multiLevelType w:val="hybridMultilevel"/>
    <w:lvl w:ilvl="0">
      <w:lvlJc w:val="left"/>
      <w:lvlText w:val="%1."/>
      <w:numFmt w:val="upperLetter"/>
      <w:start w:val="3"/>
    </w:lvl>
    <w:lvl w:ilvl="1">
      <w:lvlJc w:val="left"/>
      <w:lvlText w:val="(%2)"/>
      <w:numFmt w:val="decimal"/>
      <w:start w:val="1"/>
    </w:lvl>
  </w:abstractNum>
  <w:abstractNum w:abstractNumId="38">
    <w:nsid w:val="3F6AB60F"/>
    <w:multiLevelType w:val="hybridMultilevel"/>
    <w:lvl w:ilvl="0">
      <w:lvlJc w:val="left"/>
      <w:lvlText w:val="(%1)"/>
      <w:numFmt w:val="decimal"/>
      <w:start w:val="4"/>
    </w:lvl>
  </w:abstractNum>
  <w:abstractNum w:abstractNumId="39">
    <w:nsid w:val="61574095"/>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decimal"/>
      <w:start w:val="2"/>
    </w:lvl>
  </w:abstractNum>
  <w:abstractNum w:abstractNumId="40">
    <w:nsid w:val="7E0C57B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lvl w:ilvl="3">
      <w:lvlJc w:val="left"/>
      <w:lvlText w:val="%4"/>
      <w:numFmt w:val="decimal"/>
      <w:start w:val="1"/>
    </w:lvl>
  </w:abstractNum>
  <w:abstractNum w:abstractNumId="41">
    <w:nsid w:val="77AE35EB"/>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42">
    <w:nsid w:val="579BE4F1"/>
    <w:multiLevelType w:val="hybridMultilevel"/>
    <w:lvl w:ilvl="0">
      <w:lvlJc w:val="left"/>
      <w:lvlText w:val="%1."/>
      <w:numFmt w:val="upperLetter"/>
      <w:start w:val="2"/>
    </w:lvl>
  </w:abstractNum>
  <w:abstractNum w:abstractNumId="43">
    <w:nsid w:val="310C50B3"/>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1"/>
    </w:lvl>
    <w:lvl w:ilvl="3">
      <w:lvlJc w:val="left"/>
      <w:lvlText w:val="%4"/>
      <w:numFmt w:val="decimal"/>
      <w:start w:val="1"/>
    </w:lvl>
  </w:abstractNum>
  <w:abstractNum w:abstractNumId="44">
    <w:nsid w:val="5FF87E05"/>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45">
    <w:nsid w:val="2F305DEF"/>
    <w:multiLevelType w:val="hybridMultilevel"/>
    <w:lvl w:ilvl="0">
      <w:lvlJc w:val="left"/>
      <w:lvlText w:val="%1"/>
      <w:numFmt w:val="upperLetter"/>
      <w:start w:val="1"/>
    </w:lvl>
    <w:lvl w:ilvl="1">
      <w:lvlJc w:val="left"/>
      <w:lvlText w:val="(%2)"/>
      <w:numFmt w:val="decimal"/>
      <w:start w:val="2"/>
    </w:lvl>
  </w:abstractNum>
  <w:abstractNum w:abstractNumId="46">
    <w:nsid w:val="25A70BF7"/>
    <w:multiLevelType w:val="hybridMultilevel"/>
    <w:lvl w:ilvl="0">
      <w:lvlJc w:val="left"/>
      <w:lvlText w:val="%1."/>
      <w:numFmt w:val="upperLetter"/>
      <w:start w:val="3"/>
    </w:lvl>
    <w:lvl w:ilvl="1">
      <w:lvlJc w:val="left"/>
      <w:lvlText w:val="(%2)"/>
      <w:numFmt w:val="decimal"/>
      <w:start w:val="1"/>
    </w:lvl>
  </w:abstractNum>
  <w:abstractNum w:abstractNumId="47">
    <w:nsid w:val="1DBABF00"/>
    <w:multiLevelType w:val="hybridMultilevel"/>
    <w:lvl w:ilvl="0">
      <w:lvlJc w:val="left"/>
      <w:lvlText w:val="%1"/>
      <w:numFmt w:val="decimal"/>
      <w:start w:val="1"/>
    </w:lvl>
    <w:lvl w:ilvl="1">
      <w:lvlJc w:val="left"/>
      <w:lvlText w:val="(%2)"/>
      <w:numFmt w:val="decimal"/>
      <w:start w:val="2"/>
    </w:lvl>
  </w:abstractNum>
  <w:abstractNum w:abstractNumId="48">
    <w:nsid w:val="4AD084E9"/>
    <w:multiLevelType w:val="hybridMultilevel"/>
    <w:lvl w:ilvl="0">
      <w:lvlJc w:val="left"/>
      <w:lvlText w:val="%1."/>
      <w:numFmt w:val="decimal"/>
      <w:start w:val="8"/>
    </w:lvl>
    <w:lvl w:ilvl="1">
      <w:lvlJc w:val="left"/>
      <w:lvlText w:val="%2"/>
      <w:numFmt w:val="decimal"/>
      <w:start w:val="1"/>
    </w:lvl>
  </w:abstractNum>
  <w:abstractNum w:abstractNumId="49">
    <w:nsid w:val="1F48EAA1"/>
    <w:multiLevelType w:val="hybridMultilevel"/>
    <w:lvl w:ilvl="0">
      <w:lvlJc w:val="left"/>
      <w:lvlText w:val="%1."/>
      <w:numFmt w:val="decimal"/>
      <w:start w:val="9"/>
    </w:lvl>
  </w:abstractNum>
  <w:abstractNum w:abstractNumId="50">
    <w:nsid w:val="1381823A"/>
    <w:multiLevelType w:val="hybridMultilevel"/>
    <w:lvl w:ilvl="0">
      <w:lvlJc w:val="left"/>
      <w:lvlText w:val="%1."/>
      <w:numFmt w:val="decimal"/>
      <w:start w:val="10"/>
    </w:lvl>
    <w:lvl w:ilvl="1">
      <w:lvlJc w:val="left"/>
      <w:lvlText w:val="%2."/>
      <w:numFmt w:val="upperLetter"/>
      <w:start w:val="1"/>
    </w:lvl>
  </w:abstractNum>
  <w:abstractNum w:abstractNumId="51">
    <w:nsid w:val="5DB70AE5"/>
    <w:multiLevelType w:val="hybridMultilevel"/>
    <w:lvl w:ilvl="0">
      <w:lvlJc w:val="left"/>
      <w:lvlText w:val="%1."/>
      <w:numFmt w:val="upperLetter"/>
      <w:start w:val="5"/>
    </w:lvl>
  </w:abstractNum>
  <w:abstractNum w:abstractNumId="52">
    <w:nsid w:val="100F8FCA"/>
    <w:multiLevelType w:val="hybridMultilevel"/>
    <w:lvl w:ilvl="0">
      <w:lvlJc w:val="left"/>
      <w:lvlText w:val="%1"/>
      <w:numFmt w:val="decimal"/>
      <w:start w:val="1"/>
    </w:lvl>
    <w:lvl w:ilvl="1">
      <w:lvlJc w:val="left"/>
      <w:lvlText w:val="%2."/>
      <w:numFmt w:val="upperLetter"/>
      <w:start w:val="8"/>
    </w:lvl>
  </w:abstractNum>
  <w:abstractNum w:abstractNumId="53">
    <w:nsid w:val="6590700B"/>
    <w:multiLevelType w:val="hybridMultilevel"/>
    <w:lvl w:ilvl="0">
      <w:lvlJc w:val="left"/>
      <w:lvlText w:val="%1."/>
      <w:numFmt w:val="decimal"/>
      <w:start w:val="11"/>
    </w:lvl>
    <w:lvl w:ilvl="1">
      <w:lvlJc w:val="left"/>
      <w:lvlText w:val="%2"/>
      <w:numFmt w:val="upperLetter"/>
      <w:start w:val="1"/>
    </w:lvl>
  </w:abstractNum>
  <w:abstractNum w:abstractNumId="54">
    <w:nsid w:val="15014ACB"/>
    <w:multiLevelType w:val="hybridMultilevel"/>
    <w:lvl w:ilvl="0">
      <w:lvlJc w:val="left"/>
      <w:lvlText w:val="%1."/>
      <w:numFmt w:val="decimal"/>
      <w:start w:val="12"/>
    </w:lvl>
  </w:abstractNum>
  <w:abstractNum w:abstractNumId="55">
    <w:nsid w:val="5F5E7FD0"/>
    <w:multiLevelType w:val="hybridMultilevel"/>
    <w:lvl w:ilvl="0">
      <w:lvlJc w:val="left"/>
      <w:lvlText w:val="%1."/>
      <w:numFmt w:val="decimal"/>
      <w:start w:val="13"/>
    </w:lvl>
  </w:abstractNum>
  <w:abstractNum w:abstractNumId="56">
    <w:nsid w:val="98A3148"/>
    <w:multiLevelType w:val="hybridMultilevel"/>
    <w:lvl w:ilvl="0">
      <w:lvlJc w:val="left"/>
      <w:lvlText w:val="%1."/>
      <w:numFmt w:val="decimal"/>
      <w:start w:val="14"/>
    </w:lvl>
  </w:abstractNum>
  <w:abstractNum w:abstractNumId="57">
    <w:nsid w:val="799D0247"/>
    <w:multiLevelType w:val="hybridMultilevel"/>
    <w:lvl w:ilvl="0">
      <w:lvlJc w:val="left"/>
      <w:lvlText w:val="%1."/>
      <w:numFmt w:val="decimal"/>
      <w:start w:val="15"/>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2"/>
    </w:lvl>
  </w:abstractNum>
  <w:abstractNum w:abstractNumId="60">
    <w:nsid w:val="168E121F"/>
    <w:multiLevelType w:val="hybridMultilevel"/>
    <w:lvl w:ilvl="0">
      <w:lvlJc w:val="left"/>
      <w:lvlText w:val="%1."/>
      <w:numFmt w:val="decimal"/>
      <w:start w:val="3"/>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upperLetter"/>
      <w:start w:val="2"/>
    </w:lvl>
  </w:abstractNum>
  <w:abstractNum w:abstractNumId="63">
    <w:nsid w:val="5DC79EA8"/>
    <w:multiLevelType w:val="hybridMultilevel"/>
    <w:lvl w:ilvl="0">
      <w:lvlJc w:val="left"/>
      <w:lvlText w:val="%1."/>
      <w:numFmt w:val="upperLetter"/>
      <w:start w:val="3"/>
    </w:lvl>
  </w:abstractNum>
  <w:abstractNum w:abstractNumId="64">
    <w:nsid w:val="540A471C"/>
    <w:multiLevelType w:val="hybridMultilevel"/>
    <w:lvl w:ilvl="0">
      <w:lvlJc w:val="left"/>
      <w:lvlText w:val="%1."/>
      <w:numFmt w:val="decimal"/>
      <w:start w:val="4"/>
    </w:lvl>
    <w:lvl w:ilvl="1">
      <w:lvlJc w:val="left"/>
      <w:lvlText w:val="%2."/>
      <w:numFmt w:val="upperLetter"/>
      <w:start w:val="1"/>
    </w:lvl>
  </w:abstractNum>
  <w:abstractNum w:abstractNumId="65">
    <w:nsid w:val="7BD3EE7B"/>
    <w:multiLevelType w:val="hybridMultilevel"/>
    <w:lvl w:ilvl="0">
      <w:lvlJc w:val="left"/>
      <w:lvlText w:val="%1"/>
      <w:numFmt w:val="decimal"/>
      <w:start w:val="1"/>
    </w:lvl>
    <w:lvl w:ilvl="1">
      <w:lvlJc w:val="left"/>
      <w:lvlText w:val="%2."/>
      <w:numFmt w:val="upperLetter"/>
      <w:start w:val="5"/>
    </w:lvl>
  </w:abstractNum>
  <w:abstractNum w:abstractNumId="66">
    <w:nsid w:val="51D9C564"/>
    <w:multiLevelType w:val="hybridMultilevel"/>
    <w:lvl w:ilvl="0">
      <w:lvlJc w:val="left"/>
      <w:lvlText w:val="%1."/>
      <w:numFmt w:val="decimal"/>
      <w:start w:val="5"/>
    </w:lvl>
    <w:lvl w:ilvl="1">
      <w:lvlJc w:val="left"/>
      <w:lvlText w:val="%2."/>
      <w:numFmt w:val="upperLetter"/>
      <w:start w:val="1"/>
    </w:lvl>
  </w:abstractNum>
  <w:abstractNum w:abstractNumId="67">
    <w:nsid w:val="613EFDC5"/>
    <w:multiLevelType w:val="hybridMultilevel"/>
    <w:lvl w:ilvl="0">
      <w:lvlJc w:val="left"/>
      <w:lvlText w:val="%1"/>
      <w:numFmt w:val="decimal"/>
      <w:start w:val="1"/>
    </w:lvl>
    <w:lvl w:ilvl="1">
      <w:lvlJc w:val="left"/>
      <w:lvlText w:val="%2."/>
      <w:numFmt w:val="upperLetter"/>
      <w:start w:val="4"/>
    </w:lvl>
  </w:abstractNum>
  <w:abstractNum w:abstractNumId="68">
    <w:nsid w:val="BF72B14"/>
    <w:multiLevelType w:val="hybridMultilevel"/>
    <w:lvl w:ilvl="0">
      <w:lvlJc w:val="left"/>
      <w:lvlText w:val="%1."/>
      <w:numFmt w:val="decimal"/>
      <w:start w:val="7"/>
    </w:lvl>
    <w:lvl w:ilvl="1">
      <w:lvlJc w:val="left"/>
      <w:lvlText w:val="%2."/>
      <w:numFmt w:val="upperLetter"/>
      <w:start w:val="1"/>
    </w:lvl>
  </w:abstractNum>
  <w:abstractNum w:abstractNumId="69">
    <w:nsid w:val="11447B73"/>
    <w:multiLevelType w:val="hybridMultilevel"/>
    <w:lvl w:ilvl="0">
      <w:lvlJc w:val="left"/>
      <w:lvlText w:val="%1"/>
      <w:numFmt w:val="decimal"/>
      <w:start w:val="1"/>
    </w:lvl>
    <w:lvl w:ilvl="1">
      <w:lvlJc w:val="left"/>
      <w:lvlText w:val="%2."/>
      <w:numFmt w:val="upperLetter"/>
      <w:start w:val="2"/>
    </w:lvl>
  </w:abstractNum>
  <w:abstractNum w:abstractNumId="70">
    <w:nsid w:val="42963E5A"/>
    <w:multiLevelType w:val="hybridMultilevel"/>
    <w:lvl w:ilvl="0">
      <w:lvlJc w:val="left"/>
      <w:lvlText w:val="%1."/>
      <w:numFmt w:val="decimal"/>
      <w:start w:val="8"/>
    </w:lvl>
    <w:lvl w:ilvl="1">
      <w:lvlJc w:val="left"/>
      <w:lvlText w:val="%2."/>
      <w:numFmt w:val="upperLetter"/>
      <w:start w:val="1"/>
    </w:lvl>
  </w:abstractNum>
  <w:abstractNum w:abstractNumId="71">
    <w:nsid w:val="A0382C5"/>
    <w:multiLevelType w:val="hybridMultilevel"/>
    <w:lvl w:ilvl="0">
      <w:lvlJc w:val="left"/>
      <w:lvlText w:val="%1."/>
      <w:numFmt w:val="upperLetter"/>
      <w:start w:val="2"/>
    </w:lvl>
    <w:lvl w:ilvl="1">
      <w:lvlJc w:val="left"/>
      <w:lvlText w:val="(%2)"/>
      <w:numFmt w:val="decimal"/>
      <w:start w:val="1"/>
    </w:lvl>
  </w:abstractNum>
  <w:abstractNum w:abstractNumId="72">
    <w:nsid w:val="8F2B15E"/>
    <w:multiLevelType w:val="hybridMultilevel"/>
    <w:lvl w:ilvl="0">
      <w:lvlJc w:val="left"/>
      <w:lvlText w:val="%1."/>
      <w:numFmt w:val="decimal"/>
      <w:start w:val="9"/>
    </w:lvl>
  </w:abstractNum>
  <w:abstractNum w:abstractNumId="73">
    <w:nsid w:val="1A32234B"/>
    <w:multiLevelType w:val="hybridMultilevel"/>
    <w:lvl w:ilvl="0">
      <w:lvlJc w:val="left"/>
      <w:lvlText w:val="%1."/>
      <w:numFmt w:val="decimal"/>
      <w:start w:val="10"/>
    </w:lvl>
    <w:lvl w:ilvl="1">
      <w:lvlJc w:val="left"/>
      <w:lvlText w:val="%2."/>
      <w:numFmt w:val="upperLetter"/>
      <w:start w:val="1"/>
    </w:lvl>
  </w:abstractNum>
  <w:abstractNum w:abstractNumId="74">
    <w:nsid w:val="3B0FD379"/>
    <w:multiLevelType w:val="hybridMultilevel"/>
    <w:lvl w:ilvl="0">
      <w:lvlJc w:val="left"/>
      <w:lvlText w:val="%1."/>
      <w:numFmt w:val="upperLetter"/>
      <w:start w:val="2"/>
    </w:lvl>
  </w:abstractNum>
  <w:abstractNum w:abstractNumId="75">
    <w:nsid w:val="68EB2F63"/>
    <w:multiLevelType w:val="hybridMultilevel"/>
    <w:lvl w:ilvl="0">
      <w:lvlJc w:val="left"/>
      <w:lvlText w:val="%1"/>
      <w:numFmt w:val="decimal"/>
      <w:start w:val="1"/>
    </w:lvl>
    <w:lvl w:ilvl="1">
      <w:lvlJc w:val="left"/>
      <w:lvlText w:val="%2."/>
      <w:numFmt w:val="upperLetter"/>
      <w:start w:val="6"/>
    </w:lvl>
  </w:abstractNum>
  <w:abstractNum w:abstractNumId="76">
    <w:nsid w:val="4962813B"/>
    <w:multiLevelType w:val="hybridMultilevel"/>
    <w:lvl w:ilvl="0">
      <w:lvlJc w:val="left"/>
      <w:lvlText w:val="%1."/>
      <w:numFmt w:val="decimal"/>
      <w:start w:val="12"/>
    </w:lvl>
    <w:lvl w:ilvl="1">
      <w:lvlJc w:val="left"/>
      <w:lvlText w:val="%2"/>
      <w:numFmt w:val="upperLetter"/>
      <w:start w:val="1"/>
    </w:lvl>
  </w:abstractNum>
  <w:abstractNum w:abstractNumId="77">
    <w:nsid w:val="60B6DF70"/>
    <w:multiLevelType w:val="hybridMultilevel"/>
    <w:lvl w:ilvl="0">
      <w:lvlJc w:val="left"/>
      <w:lvlText w:val="%1."/>
      <w:numFmt w:val="decimal"/>
      <w:start w:val="13"/>
    </w:lvl>
  </w:abstractNum>
  <w:abstractNum w:abstractNumId="78">
    <w:nsid w:val="6A5EE64"/>
    <w:multiLevelType w:val="hybridMultilevel"/>
    <w:lvl w:ilvl="0">
      <w:lvlJc w:val="left"/>
      <w:lvlText w:val="%1."/>
      <w:numFmt w:val="decimal"/>
      <w:start w:val="14"/>
    </w:lvl>
  </w:abstractNum>
  <w:abstractNum w:abstractNumId="79">
    <w:nsid w:val="14330624"/>
    <w:multiLevelType w:val="hybridMultilevel"/>
    <w:lvl w:ilvl="0">
      <w:lvlJc w:val="left"/>
      <w:lvlText w:val="%1."/>
      <w:numFmt w:val="decimal"/>
      <w:start w:val="15"/>
    </w:lvl>
  </w:abstractNum>
  <w:abstractNum w:abstractNumId="80">
    <w:nsid w:val="7FFFCA11"/>
    <w:multiLevelType w:val="hybridMultilevel"/>
    <w:lvl w:ilvl="0">
      <w:lvlJc w:val="left"/>
      <w:lvlText w:val="%1."/>
      <w:numFmt w:val="decimal"/>
      <w:start w:val="16"/>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www.sec.gov/Archives/edgar/data/1462418/000146241818000016/exhibit101_43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2019-12-28T22:33:58Z</dcterms:created>
  <dcterms:modified xsi:type="dcterms:W3CDTF">2019-12-28T22:33:58Z</dcterms:modified>
</cp:coreProperties>
</file>