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ind w:left="3548"/>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551"/>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jc w:val="center"/>
        <w:ind w:right="551"/>
        <w:spacing w:after="0"/>
        <w:rPr>
          <w:sz w:val="20"/>
          <w:szCs w:val="20"/>
          <w:color w:val="auto"/>
        </w:rPr>
      </w:pPr>
      <w:r>
        <w:rPr>
          <w:rFonts w:ascii="Arial" w:cs="Arial" w:eastAsia="Arial" w:hAnsi="Arial"/>
          <w:sz w:val="22"/>
          <w:szCs w:val="22"/>
          <w:color w:val="auto"/>
        </w:rPr>
        <w:t>Exchange Act of 1934 (Amendment No. )</w:t>
      </w:r>
    </w:p>
    <w:p>
      <w:pPr>
        <w:spacing w:after="0" w:line="61" w:lineRule="exact"/>
        <w:rPr>
          <w:sz w:val="24"/>
          <w:szCs w:val="24"/>
          <w:color w:val="auto"/>
        </w:rPr>
      </w:pPr>
    </w:p>
    <w:p>
      <w:pPr>
        <w:ind w:left="8"/>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52" w:lineRule="exact"/>
        <w:rPr>
          <w:sz w:val="24"/>
          <w:szCs w:val="24"/>
          <w:color w:val="auto"/>
        </w:rPr>
      </w:pPr>
    </w:p>
    <w:p>
      <w:pPr>
        <w:ind w:left="8"/>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101"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248" w:hanging="248"/>
        <w:spacing w:after="0"/>
        <w:tabs>
          <w:tab w:leader="none" w:pos="248"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3" w:lineRule="exact"/>
        <w:rPr>
          <w:rFonts w:ascii="Arial" w:cs="Arial" w:eastAsia="Arial" w:hAnsi="Arial"/>
          <w:sz w:val="18"/>
          <w:szCs w:val="18"/>
          <w:color w:val="auto"/>
        </w:rPr>
      </w:pPr>
    </w:p>
    <w:p>
      <w:pPr>
        <w:ind w:left="248" w:hanging="248"/>
        <w:spacing w:after="0"/>
        <w:tabs>
          <w:tab w:leader="none" w:pos="24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248" w:hanging="248"/>
        <w:spacing w:after="0"/>
        <w:tabs>
          <w:tab w:leader="none" w:pos="248"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8" w:lineRule="exact"/>
        <w:rPr>
          <w:sz w:val="24"/>
          <w:szCs w:val="24"/>
          <w:color w:val="auto"/>
        </w:rPr>
      </w:pPr>
    </w:p>
    <w:p>
      <w:pPr>
        <w:ind w:left="248" w:hanging="248"/>
        <w:spacing w:after="0"/>
        <w:tabs>
          <w:tab w:leader="none" w:pos="24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 w:lineRule="exact"/>
        <w:rPr>
          <w:sz w:val="24"/>
          <w:szCs w:val="24"/>
          <w:color w:val="auto"/>
        </w:rPr>
      </w:pPr>
    </w:p>
    <w:p>
      <w:pPr>
        <w:ind w:left="248" w:hanging="248"/>
        <w:spacing w:after="0"/>
        <w:tabs>
          <w:tab w:leader="none" w:pos="248"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310" w:lineRule="exact"/>
        <w:rPr>
          <w:sz w:val="24"/>
          <w:szCs w:val="24"/>
          <w:color w:val="auto"/>
        </w:rPr>
      </w:pPr>
    </w:p>
    <w:p>
      <w:pPr>
        <w:jc w:val="center"/>
        <w:ind w:right="551"/>
        <w:spacing w:after="0"/>
        <w:rPr>
          <w:sz w:val="20"/>
          <w:szCs w:val="20"/>
          <w:color w:val="auto"/>
        </w:rPr>
      </w:pPr>
      <w:r>
        <w:rPr>
          <w:rFonts w:ascii="Arial" w:cs="Arial" w:eastAsia="Arial" w:hAnsi="Arial"/>
          <w:sz w:val="22"/>
          <w:szCs w:val="22"/>
          <w:color w:val="auto"/>
        </w:rPr>
        <w:t>ALTISOURCE PORTFOLIO SOLUTIONS S.A.</w:t>
      </w:r>
    </w:p>
    <w:p>
      <w:pPr>
        <w:spacing w:after="0" w:line="24" w:lineRule="exact"/>
        <w:rPr>
          <w:sz w:val="24"/>
          <w:szCs w:val="24"/>
          <w:color w:val="auto"/>
        </w:rPr>
      </w:pPr>
    </w:p>
    <w:p>
      <w:pPr>
        <w:ind w:left="2948"/>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9258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06" w:lineRule="exact"/>
        <w:rPr>
          <w:sz w:val="24"/>
          <w:szCs w:val="24"/>
          <w:color w:val="auto"/>
        </w:rPr>
      </w:pPr>
    </w:p>
    <w:p>
      <w:pPr>
        <w:jc w:val="center"/>
        <w:ind w:right="551"/>
        <w:spacing w:after="0"/>
        <w:rPr>
          <w:sz w:val="20"/>
          <w:szCs w:val="20"/>
          <w:color w:val="auto"/>
        </w:rPr>
      </w:pPr>
      <w:r>
        <w:rPr>
          <w:rFonts w:ascii="Arial" w:cs="Arial" w:eastAsia="Arial" w:hAnsi="Arial"/>
          <w:sz w:val="22"/>
          <w:szCs w:val="22"/>
          <w:color w:val="auto"/>
        </w:rPr>
        <w:t>N/A</w:t>
      </w:r>
    </w:p>
    <w:p>
      <w:pPr>
        <w:spacing w:after="0" w:line="24" w:lineRule="exact"/>
        <w:rPr>
          <w:sz w:val="24"/>
          <w:szCs w:val="24"/>
          <w:color w:val="auto"/>
        </w:rPr>
      </w:pPr>
    </w:p>
    <w:p>
      <w:pPr>
        <w:ind w:left="2068"/>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97" w:lineRule="exact"/>
        <w:rPr>
          <w:sz w:val="24"/>
          <w:szCs w:val="24"/>
          <w:color w:val="auto"/>
        </w:rPr>
      </w:pPr>
    </w:p>
    <w:p>
      <w:pPr>
        <w:ind w:left="8"/>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248" w:hanging="248"/>
        <w:spacing w:after="0"/>
        <w:tabs>
          <w:tab w:leader="none" w:pos="248"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 w:lineRule="exact"/>
        <w:rPr>
          <w:sz w:val="24"/>
          <w:szCs w:val="24"/>
          <w:color w:val="auto"/>
        </w:rPr>
      </w:pPr>
    </w:p>
    <w:p>
      <w:pPr>
        <w:ind w:left="248" w:hanging="248"/>
        <w:spacing w:after="0"/>
        <w:tabs>
          <w:tab w:leader="none" w:pos="248"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01" w:lineRule="exact"/>
        <w:rPr>
          <w:rFonts w:ascii="Arial" w:cs="Arial" w:eastAsia="Arial" w:hAnsi="Arial"/>
          <w:sz w:val="18"/>
          <w:szCs w:val="18"/>
          <w:color w:val="auto"/>
        </w:rPr>
      </w:pPr>
    </w:p>
    <w:p>
      <w:pPr>
        <w:ind w:left="528" w:right="5039" w:hanging="352"/>
        <w:spacing w:after="0" w:line="418" w:lineRule="auto"/>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 N/A</w:t>
      </w:r>
    </w:p>
    <w:p>
      <w:pPr>
        <w:spacing w:after="0" w:line="170" w:lineRule="exact"/>
        <w:rPr>
          <w:rFonts w:ascii="Arial" w:cs="Arial" w:eastAsia="Arial" w:hAnsi="Arial"/>
          <w:sz w:val="18"/>
          <w:szCs w:val="18"/>
          <w:color w:val="auto"/>
        </w:rPr>
      </w:pPr>
    </w:p>
    <w:p>
      <w:pPr>
        <w:ind w:left="528" w:right="4979" w:hanging="352"/>
        <w:spacing w:after="0" w:line="418" w:lineRule="auto"/>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 N/A</w:t>
      </w:r>
    </w:p>
    <w:p>
      <w:pPr>
        <w:spacing w:after="0" w:line="170" w:lineRule="exact"/>
        <w:rPr>
          <w:rFonts w:ascii="Arial" w:cs="Arial" w:eastAsia="Arial" w:hAnsi="Arial"/>
          <w:sz w:val="18"/>
          <w:szCs w:val="18"/>
          <w:color w:val="auto"/>
        </w:rPr>
      </w:pPr>
    </w:p>
    <w:p>
      <w:pPr>
        <w:ind w:left="528" w:right="1119" w:hanging="352"/>
        <w:spacing w:after="0" w:line="277" w:lineRule="auto"/>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5" w:lineRule="exact"/>
        <w:rPr>
          <w:rFonts w:ascii="Arial" w:cs="Arial" w:eastAsia="Arial" w:hAnsi="Arial"/>
          <w:sz w:val="18"/>
          <w:szCs w:val="18"/>
          <w:color w:val="auto"/>
        </w:rPr>
      </w:pPr>
    </w:p>
    <w:p>
      <w:pPr>
        <w:ind w:left="528"/>
        <w:spacing w:after="0"/>
        <w:rPr>
          <w:rFonts w:ascii="Arial" w:cs="Arial" w:eastAsia="Arial" w:hAnsi="Arial"/>
          <w:sz w:val="18"/>
          <w:szCs w:val="18"/>
          <w:color w:val="auto"/>
        </w:rPr>
      </w:pPr>
      <w:r>
        <w:rPr>
          <w:rFonts w:ascii="Arial" w:cs="Arial" w:eastAsia="Arial" w:hAnsi="Arial"/>
          <w:sz w:val="18"/>
          <w:szCs w:val="18"/>
          <w:color w:val="auto"/>
        </w:rPr>
        <w:t>N/A</w:t>
      </w:r>
    </w:p>
    <w:p>
      <w:pPr>
        <w:spacing w:after="0" w:line="346" w:lineRule="exact"/>
        <w:rPr>
          <w:rFonts w:ascii="Arial" w:cs="Arial" w:eastAsia="Arial" w:hAnsi="Arial"/>
          <w:sz w:val="18"/>
          <w:szCs w:val="18"/>
          <w:color w:val="auto"/>
        </w:rPr>
      </w:pPr>
    </w:p>
    <w:p>
      <w:pPr>
        <w:ind w:left="528" w:right="5659" w:hanging="352"/>
        <w:spacing w:after="0" w:line="418" w:lineRule="auto"/>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 N/A</w:t>
      </w:r>
    </w:p>
    <w:p>
      <w:pPr>
        <w:spacing w:after="0" w:line="170" w:lineRule="exact"/>
        <w:rPr>
          <w:rFonts w:ascii="Arial" w:cs="Arial" w:eastAsia="Arial" w:hAnsi="Arial"/>
          <w:sz w:val="18"/>
          <w:szCs w:val="18"/>
          <w:color w:val="auto"/>
        </w:rPr>
      </w:pPr>
    </w:p>
    <w:p>
      <w:pPr>
        <w:ind w:left="528" w:hanging="352"/>
        <w:spacing w:after="0"/>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168" w:hanging="168"/>
        <w:spacing w:after="0"/>
        <w:tabs>
          <w:tab w:leader="none" w:pos="168"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Arial" w:cs="Arial" w:eastAsia="Arial" w:hAnsi="Arial"/>
          <w:sz w:val="18"/>
          <w:szCs w:val="18"/>
          <w:color w:val="auto"/>
        </w:rPr>
      </w:pPr>
    </w:p>
    <w:p>
      <w:pPr>
        <w:ind w:left="168" w:right="699" w:hanging="168"/>
        <w:spacing w:after="0" w:line="264" w:lineRule="auto"/>
        <w:tabs>
          <w:tab w:leader="none" w:pos="168"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8"/>
          <w:szCs w:val="18"/>
          <w:color w:val="auto"/>
        </w:rPr>
      </w:pPr>
    </w:p>
    <w:p>
      <w:pPr>
        <w:ind w:left="528" w:right="7539" w:hanging="352"/>
        <w:spacing w:after="0" w:line="418" w:lineRule="auto"/>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 N/A</w:t>
      </w:r>
    </w:p>
    <w:p>
      <w:pPr>
        <w:spacing w:after="0" w:line="170" w:lineRule="exact"/>
        <w:rPr>
          <w:rFonts w:ascii="Arial" w:cs="Arial" w:eastAsia="Arial" w:hAnsi="Arial"/>
          <w:sz w:val="18"/>
          <w:szCs w:val="18"/>
          <w:color w:val="auto"/>
        </w:rPr>
      </w:pPr>
    </w:p>
    <w:p>
      <w:pPr>
        <w:ind w:left="528" w:right="5979" w:hanging="352"/>
        <w:spacing w:after="0" w:line="418" w:lineRule="auto"/>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 N/A</w:t>
      </w:r>
    </w:p>
    <w:p>
      <w:pPr>
        <w:spacing w:after="0" w:line="170" w:lineRule="exact"/>
        <w:rPr>
          <w:rFonts w:ascii="Arial" w:cs="Arial" w:eastAsia="Arial" w:hAnsi="Arial"/>
          <w:sz w:val="18"/>
          <w:szCs w:val="18"/>
          <w:color w:val="auto"/>
        </w:rPr>
      </w:pPr>
    </w:p>
    <w:p>
      <w:pPr>
        <w:ind w:left="528" w:right="8459" w:hanging="352"/>
        <w:spacing w:after="0" w:line="418" w:lineRule="auto"/>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 N/A</w:t>
      </w:r>
    </w:p>
    <w:p>
      <w:pPr>
        <w:spacing w:after="0" w:line="170" w:lineRule="exact"/>
        <w:rPr>
          <w:rFonts w:ascii="Arial" w:cs="Arial" w:eastAsia="Arial" w:hAnsi="Arial"/>
          <w:sz w:val="18"/>
          <w:szCs w:val="18"/>
          <w:color w:val="auto"/>
        </w:rPr>
      </w:pPr>
    </w:p>
    <w:p>
      <w:pPr>
        <w:ind w:left="528" w:right="8559" w:hanging="352"/>
        <w:spacing w:after="0" w:line="418" w:lineRule="auto"/>
        <w:tabs>
          <w:tab w:leader="none" w:pos="528"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334645</wp:posOffset>
            </wp:positionH>
            <wp:positionV relativeFrom="paragraph">
              <wp:posOffset>-5439410</wp:posOffset>
            </wp:positionV>
            <wp:extent cx="5591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-4872990</wp:posOffset>
            </wp:positionV>
            <wp:extent cx="5591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-4170045</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-3604260</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-3037840</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-1785620</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-1219835</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-654050</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334645</wp:posOffset>
            </wp:positionH>
            <wp:positionV relativeFrom="paragraph">
              <wp:posOffset>-87630</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175260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225" w:right="1440" w:bottom="126" w:gutter="0" w:footer="0" w:header="0"/>
        </w:sectPr>
      </w:pPr>
    </w:p>
    <w:bookmarkStart w:id="1" w:name="page2"/>
    <w:bookmarkEnd w:id="1"/>
    <w:p>
      <w:pPr>
        <w:jc w:val="center"/>
        <w:ind w:right="179"/>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jc w:val="center"/>
        <w:ind w:right="179"/>
        <w:spacing w:after="0"/>
        <w:rPr>
          <w:sz w:val="20"/>
          <w:szCs w:val="20"/>
          <w:color w:val="auto"/>
        </w:rPr>
      </w:pPr>
      <w:r>
        <w:rPr>
          <w:rFonts w:ascii="Arial" w:cs="Arial" w:eastAsia="Arial" w:hAnsi="Arial"/>
          <w:sz w:val="22"/>
          <w:szCs w:val="22"/>
          <w:b w:val="1"/>
          <w:bCs w:val="1"/>
          <w:color w:val="auto"/>
        </w:rPr>
        <w:t>Shareholder Meeting to Be Held on May 18, 2011.</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8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ALTISOURCE PORTFOLIO SOLUTIONS S.A.</w:t>
            </w:r>
          </w:p>
        </w:tc>
        <w:tc>
          <w:tcPr>
            <w:tcW w:w="1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60" w:type="dxa"/>
            <w:vAlign w:val="bottom"/>
            <w:tcBorders>
              <w:top w:val="single" w:sz="8" w:color="auto"/>
              <w:right w:val="single" w:sz="8" w:color="auto"/>
            </w:tcBorders>
            <w:gridSpan w:val="3"/>
          </w:tcPr>
          <w:p>
            <w:pPr>
              <w:ind w:left="20"/>
              <w:spacing w:after="0" w:line="219" w:lineRule="exact"/>
              <w:rPr>
                <w:sz w:val="20"/>
                <w:szCs w:val="20"/>
                <w:color w:val="auto"/>
              </w:rPr>
            </w:pPr>
            <w:r>
              <w:rPr>
                <w:rFonts w:ascii="Arial" w:cs="Arial" w:eastAsia="Arial" w:hAnsi="Arial"/>
                <w:sz w:val="20"/>
                <w:szCs w:val="20"/>
                <w:b w:val="1"/>
                <w:bCs w:val="1"/>
                <w:color w:val="auto"/>
              </w:rPr>
              <w:t>Meeting Information</w:t>
            </w:r>
          </w:p>
        </w:tc>
        <w:tc>
          <w:tcPr>
            <w:tcW w:w="0" w:type="dxa"/>
            <w:vAlign w:val="bottom"/>
          </w:tcPr>
          <w:p>
            <w:pPr>
              <w:spacing w:after="0"/>
              <w:rPr>
                <w:sz w:val="1"/>
                <w:szCs w:val="1"/>
                <w:color w:val="auto"/>
              </w:rPr>
            </w:pPr>
          </w:p>
        </w:tc>
      </w:tr>
      <w:tr>
        <w:trPr>
          <w:trHeight w:val="20"/>
        </w:trPr>
        <w:tc>
          <w:tcPr>
            <w:tcW w:w="4880" w:type="dxa"/>
            <w:vAlign w:val="bottom"/>
            <w:tcBorders>
              <w:right w:val="single" w:sz="8" w:color="auto"/>
            </w:tcBorders>
            <w:vMerge w:val="continue"/>
          </w:tcPr>
          <w:p>
            <w:pPr>
              <w:spacing w:after="0" w:line="20" w:lineRule="exact"/>
              <w:rPr>
                <w:sz w:val="1"/>
                <w:szCs w:val="1"/>
                <w:color w:val="auto"/>
              </w:rPr>
            </w:pPr>
          </w:p>
        </w:tc>
        <w:tc>
          <w:tcPr>
            <w:tcW w:w="1260" w:type="dxa"/>
            <w:vAlign w:val="bottom"/>
            <w:vMerge w:val="restart"/>
          </w:tcPr>
          <w:p>
            <w:pPr>
              <w:spacing w:after="0"/>
              <w:rPr>
                <w:sz w:val="20"/>
                <w:szCs w:val="20"/>
                <w:color w:val="auto"/>
              </w:rPr>
            </w:pPr>
            <w:r>
              <w:rPr>
                <w:rFonts w:ascii="Arial" w:cs="Arial" w:eastAsia="Arial" w:hAnsi="Arial"/>
                <w:sz w:val="16"/>
                <w:szCs w:val="16"/>
                <w:b w:val="1"/>
                <w:bCs w:val="1"/>
                <w:color w:val="auto"/>
              </w:rPr>
              <w:t>Meeting Type:</w:t>
            </w: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3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880" w:type="dxa"/>
            <w:vAlign w:val="bottom"/>
            <w:tcBorders>
              <w:right w:val="single" w:sz="8" w:color="auto"/>
            </w:tcBorders>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3440" w:type="dxa"/>
            <w:vAlign w:val="bottom"/>
            <w:tcBorders>
              <w:right w:val="single" w:sz="8" w:color="auto"/>
            </w:tcBorders>
            <w:gridSpan w:val="4"/>
            <w:vMerge w:val="restart"/>
          </w:tcPr>
          <w:p>
            <w:pPr>
              <w:ind w:left="160"/>
              <w:spacing w:after="0"/>
              <w:rPr>
                <w:sz w:val="20"/>
                <w:szCs w:val="20"/>
                <w:color w:val="auto"/>
              </w:rPr>
            </w:pPr>
            <w:r>
              <w:rPr>
                <w:rFonts w:ascii="Arial" w:cs="Arial" w:eastAsia="Arial" w:hAnsi="Arial"/>
                <w:sz w:val="16"/>
                <w:szCs w:val="16"/>
                <w:color w:val="auto"/>
              </w:rPr>
              <w:t>Annual Meeting</w:t>
            </w:r>
          </w:p>
        </w:tc>
        <w:tc>
          <w:tcPr>
            <w:tcW w:w="0" w:type="dxa"/>
            <w:vAlign w:val="bottom"/>
          </w:tcPr>
          <w:p>
            <w:pPr>
              <w:spacing w:after="0"/>
              <w:rPr>
                <w:sz w:val="1"/>
                <w:szCs w:val="1"/>
                <w:color w:val="auto"/>
              </w:rPr>
            </w:pPr>
          </w:p>
        </w:tc>
      </w:tr>
      <w:tr>
        <w:trPr>
          <w:trHeight w:val="170"/>
        </w:trPr>
        <w:tc>
          <w:tcPr>
            <w:tcW w:w="4880" w:type="dxa"/>
            <w:vAlign w:val="bottom"/>
            <w:tcBorders>
              <w:right w:val="single" w:sz="8" w:color="auto"/>
            </w:tcBorders>
          </w:tcPr>
          <w:p>
            <w:pPr>
              <w:spacing w:after="0"/>
              <w:rPr>
                <w:sz w:val="14"/>
                <w:szCs w:val="14"/>
                <w:color w:val="auto"/>
              </w:rPr>
            </w:pPr>
          </w:p>
        </w:tc>
        <w:tc>
          <w:tcPr>
            <w:tcW w:w="1260" w:type="dxa"/>
            <w:vAlign w:val="bottom"/>
            <w:vMerge w:val="continue"/>
          </w:tcPr>
          <w:p>
            <w:pPr>
              <w:spacing w:after="0"/>
              <w:rPr>
                <w:sz w:val="14"/>
                <w:szCs w:val="14"/>
                <w:color w:val="auto"/>
              </w:rPr>
            </w:pPr>
          </w:p>
        </w:tc>
        <w:tc>
          <w:tcPr>
            <w:tcW w:w="3440" w:type="dxa"/>
            <w:vAlign w:val="bottom"/>
            <w:tcBorders>
              <w:right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4880" w:type="dxa"/>
            <w:vAlign w:val="bottom"/>
            <w:tcBorders>
              <w:right w:val="single" w:sz="8" w:color="auto"/>
            </w:tcBorders>
          </w:tcPr>
          <w:p>
            <w:pPr>
              <w:spacing w:after="0"/>
              <w:rPr>
                <w:sz w:val="24"/>
                <w:szCs w:val="24"/>
                <w:color w:val="auto"/>
              </w:rPr>
            </w:pPr>
          </w:p>
        </w:tc>
        <w:tc>
          <w:tcPr>
            <w:tcW w:w="470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15, 2011</w:t>
            </w:r>
          </w:p>
        </w:tc>
        <w:tc>
          <w:tcPr>
            <w:tcW w:w="0" w:type="dxa"/>
            <w:vAlign w:val="bottom"/>
          </w:tcPr>
          <w:p>
            <w:pPr>
              <w:spacing w:after="0"/>
              <w:rPr>
                <w:sz w:val="1"/>
                <w:szCs w:val="1"/>
                <w:color w:val="auto"/>
              </w:rPr>
            </w:pPr>
          </w:p>
        </w:tc>
      </w:tr>
      <w:tr>
        <w:trPr>
          <w:trHeight w:val="353"/>
        </w:trPr>
        <w:tc>
          <w:tcPr>
            <w:tcW w:w="4880" w:type="dxa"/>
            <w:vAlign w:val="bottom"/>
            <w:tcBorders>
              <w:right w:val="single" w:sz="8" w:color="auto"/>
            </w:tcBorders>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18, 2011</w:t>
            </w:r>
          </w:p>
        </w:tc>
        <w:tc>
          <w:tcPr>
            <w:tcW w:w="20" w:type="dxa"/>
            <w:vAlign w:val="bottom"/>
          </w:tcPr>
          <w:p>
            <w:pPr>
              <w:spacing w:after="0"/>
              <w:rPr>
                <w:sz w:val="24"/>
                <w:szCs w:val="24"/>
                <w:color w:val="auto"/>
              </w:rPr>
            </w:pPr>
          </w:p>
        </w:tc>
        <w:tc>
          <w:tcPr>
            <w:tcW w:w="32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9:00 a.m.</w:t>
            </w:r>
          </w:p>
        </w:tc>
        <w:tc>
          <w:tcPr>
            <w:tcW w:w="0" w:type="dxa"/>
            <w:vAlign w:val="bottom"/>
          </w:tcPr>
          <w:p>
            <w:pPr>
              <w:spacing w:after="0"/>
              <w:rPr>
                <w:sz w:val="1"/>
                <w:szCs w:val="1"/>
                <w:color w:val="auto"/>
              </w:rPr>
            </w:pPr>
          </w:p>
        </w:tc>
      </w:tr>
      <w:tr>
        <w:trPr>
          <w:trHeight w:val="209"/>
        </w:trPr>
        <w:tc>
          <w:tcPr>
            <w:tcW w:w="4880" w:type="dxa"/>
            <w:vAlign w:val="bottom"/>
            <w:tcBorders>
              <w:right w:val="single" w:sz="8" w:color="auto"/>
            </w:tcBorders>
          </w:tcPr>
          <w:p>
            <w:pPr>
              <w:spacing w:after="0"/>
              <w:rPr>
                <w:sz w:val="18"/>
                <w:szCs w:val="18"/>
                <w:color w:val="auto"/>
              </w:rPr>
            </w:pPr>
          </w:p>
        </w:tc>
        <w:tc>
          <w:tcPr>
            <w:tcW w:w="4700" w:type="dxa"/>
            <w:vAlign w:val="bottom"/>
            <w:tcBorders>
              <w:right w:val="single" w:sz="8" w:color="auto"/>
            </w:tcBorders>
            <w:gridSpan w:val="5"/>
          </w:tcPr>
          <w:p>
            <w:pPr>
              <w:spacing w:after="0"/>
              <w:rPr>
                <w:sz w:val="20"/>
                <w:szCs w:val="20"/>
                <w:color w:val="auto"/>
              </w:rPr>
            </w:pPr>
            <w:r>
              <w:rPr>
                <w:rFonts w:ascii="Arial" w:cs="Arial" w:eastAsia="Arial" w:hAnsi="Arial"/>
                <w:sz w:val="16"/>
                <w:szCs w:val="16"/>
                <w:b w:val="1"/>
                <w:bCs w:val="1"/>
                <w:color w:val="auto"/>
              </w:rPr>
              <w:t xml:space="preserve">Location: </w:t>
            </w:r>
            <w:r>
              <w:rPr>
                <w:rFonts w:ascii="Arial" w:cs="Arial" w:eastAsia="Arial" w:hAnsi="Arial"/>
                <w:sz w:val="16"/>
                <w:szCs w:val="16"/>
                <w:color w:val="auto"/>
              </w:rPr>
              <w:t>ALTISOURCE PORTFOLIO SOLUTIONS S.A.</w:t>
            </w:r>
          </w:p>
        </w:tc>
        <w:tc>
          <w:tcPr>
            <w:tcW w:w="0" w:type="dxa"/>
            <w:vAlign w:val="bottom"/>
          </w:tcPr>
          <w:p>
            <w:pPr>
              <w:spacing w:after="0"/>
              <w:rPr>
                <w:sz w:val="1"/>
                <w:szCs w:val="1"/>
                <w:color w:val="auto"/>
              </w:rPr>
            </w:pPr>
          </w:p>
        </w:tc>
      </w:tr>
      <w:tr>
        <w:trPr>
          <w:trHeight w:val="189"/>
        </w:trPr>
        <w:tc>
          <w:tcPr>
            <w:tcW w:w="488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5"/>
          </w:tcPr>
          <w:p>
            <w:pPr>
              <w:ind w:left="780"/>
              <w:spacing w:after="0"/>
              <w:rPr>
                <w:sz w:val="20"/>
                <w:szCs w:val="20"/>
                <w:color w:val="auto"/>
              </w:rPr>
            </w:pPr>
            <w:r>
              <w:rPr>
                <w:rFonts w:ascii="Arial" w:cs="Arial" w:eastAsia="Arial" w:hAnsi="Arial"/>
                <w:sz w:val="16"/>
                <w:szCs w:val="16"/>
                <w:color w:val="auto"/>
              </w:rPr>
              <w:t>291, route d’Arlon</w:t>
            </w:r>
          </w:p>
        </w:tc>
        <w:tc>
          <w:tcPr>
            <w:tcW w:w="0" w:type="dxa"/>
            <w:vAlign w:val="bottom"/>
          </w:tcPr>
          <w:p>
            <w:pPr>
              <w:spacing w:after="0"/>
              <w:rPr>
                <w:sz w:val="1"/>
                <w:szCs w:val="1"/>
                <w:color w:val="auto"/>
              </w:rPr>
            </w:pPr>
          </w:p>
        </w:tc>
      </w:tr>
      <w:tr>
        <w:trPr>
          <w:trHeight w:val="189"/>
        </w:trPr>
        <w:tc>
          <w:tcPr>
            <w:tcW w:w="4880" w:type="dxa"/>
            <w:vAlign w:val="bottom"/>
            <w:tcBorders>
              <w:right w:val="single" w:sz="8" w:color="auto"/>
            </w:tcBorders>
          </w:tcPr>
          <w:p>
            <w:pPr>
              <w:spacing w:after="0"/>
              <w:rPr>
                <w:sz w:val="16"/>
                <w:szCs w:val="16"/>
                <w:color w:val="auto"/>
              </w:rPr>
            </w:pPr>
          </w:p>
        </w:tc>
        <w:tc>
          <w:tcPr>
            <w:tcW w:w="4700" w:type="dxa"/>
            <w:vAlign w:val="bottom"/>
            <w:tcBorders>
              <w:right w:val="single" w:sz="8" w:color="auto"/>
            </w:tcBorders>
            <w:gridSpan w:val="5"/>
          </w:tcPr>
          <w:p>
            <w:pPr>
              <w:ind w:left="780"/>
              <w:spacing w:after="0"/>
              <w:rPr>
                <w:sz w:val="20"/>
                <w:szCs w:val="20"/>
                <w:color w:val="auto"/>
              </w:rPr>
            </w:pPr>
            <w:r>
              <w:rPr>
                <w:rFonts w:ascii="Arial" w:cs="Arial" w:eastAsia="Arial" w:hAnsi="Arial"/>
                <w:sz w:val="16"/>
                <w:szCs w:val="16"/>
                <w:color w:val="auto"/>
              </w:rPr>
              <w:t>L-1150 Luxembourg City,</w:t>
            </w:r>
          </w:p>
        </w:tc>
        <w:tc>
          <w:tcPr>
            <w:tcW w:w="0" w:type="dxa"/>
            <w:vAlign w:val="bottom"/>
          </w:tcPr>
          <w:p>
            <w:pPr>
              <w:spacing w:after="0"/>
              <w:rPr>
                <w:sz w:val="1"/>
                <w:szCs w:val="1"/>
                <w:color w:val="auto"/>
              </w:rPr>
            </w:pPr>
          </w:p>
        </w:tc>
      </w:tr>
      <w:tr>
        <w:trPr>
          <w:trHeight w:val="197"/>
        </w:trPr>
        <w:tc>
          <w:tcPr>
            <w:tcW w:w="4880" w:type="dxa"/>
            <w:vAlign w:val="bottom"/>
            <w:tcBorders>
              <w:right w:val="single" w:sz="8" w:color="auto"/>
            </w:tcBorders>
          </w:tcPr>
          <w:p>
            <w:pPr>
              <w:spacing w:after="0"/>
              <w:rPr>
                <w:sz w:val="17"/>
                <w:szCs w:val="17"/>
                <w:color w:val="auto"/>
              </w:rPr>
            </w:pPr>
          </w:p>
        </w:tc>
        <w:tc>
          <w:tcPr>
            <w:tcW w:w="4700" w:type="dxa"/>
            <w:vAlign w:val="bottom"/>
            <w:tcBorders>
              <w:bottom w:val="single" w:sz="8" w:color="auto"/>
              <w:right w:val="single" w:sz="8" w:color="auto"/>
            </w:tcBorders>
            <w:gridSpan w:val="5"/>
          </w:tcPr>
          <w:p>
            <w:pPr>
              <w:ind w:left="780"/>
              <w:spacing w:after="0"/>
              <w:rPr>
                <w:sz w:val="20"/>
                <w:szCs w:val="20"/>
                <w:color w:val="auto"/>
              </w:rPr>
            </w:pPr>
            <w:r>
              <w:rPr>
                <w:rFonts w:ascii="Arial" w:cs="Arial" w:eastAsia="Arial" w:hAnsi="Arial"/>
                <w:sz w:val="16"/>
                <w:szCs w:val="16"/>
                <w:color w:val="auto"/>
              </w:rPr>
              <w:t>Grand Duchy of Luxembourg</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You are receiving this communication because you hold shares</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in the above named company.</w:t>
      </w:r>
    </w:p>
    <w:p>
      <w:pPr>
        <w:spacing w:after="0" w:line="11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This is not a ballot. You cannot use this notice to vote these</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shares. This communication presents only an overview of the</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more complete proxy materials that are available to you on the</w:t>
      </w:r>
    </w:p>
    <w:p>
      <w:pPr>
        <w:spacing w:after="0" w:line="5" w:lineRule="exact"/>
        <w:rPr>
          <w:sz w:val="20"/>
          <w:szCs w:val="20"/>
          <w:color w:val="auto"/>
        </w:rPr>
      </w:pPr>
    </w:p>
    <w:p>
      <w:pPr>
        <w:ind w:left="4860"/>
        <w:spacing w:after="0"/>
        <w:tabs>
          <w:tab w:leader="none" w:pos="5600" w:val="left"/>
          <w:tab w:leader="none" w:pos="6020" w:val="left"/>
          <w:tab w:leader="none" w:pos="6500" w:val="left"/>
          <w:tab w:leader="none" w:pos="6980" w:val="left"/>
          <w:tab w:leader="none" w:pos="7380" w:val="left"/>
          <w:tab w:leader="none" w:pos="7940" w:val="left"/>
          <w:tab w:leader="none" w:pos="8760" w:val="left"/>
          <w:tab w:leader="none" w:pos="9360" w:val="left"/>
        </w:tabs>
        <w:rPr>
          <w:sz w:val="20"/>
          <w:szCs w:val="20"/>
          <w:color w:val="auto"/>
        </w:rPr>
      </w:pPr>
      <w:r>
        <w:rPr>
          <w:rFonts w:ascii="Arial" w:cs="Arial" w:eastAsia="Arial" w:hAnsi="Arial"/>
          <w:sz w:val="16"/>
          <w:szCs w:val="16"/>
          <w:color w:val="auto"/>
        </w:rPr>
        <w:t>Internet.</w:t>
        <w:tab/>
        <w:t>You</w:t>
        <w:tab/>
        <w:t>may</w:t>
        <w:tab/>
        <w:t>view</w:t>
        <w:tab/>
        <w:t>the</w:t>
        <w:tab/>
        <w:t>proxy</w:t>
        <w:tab/>
        <w:t>materials</w:t>
        <w:tab/>
        <w:t>online</w:t>
        <w:tab/>
        <w:t>at</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i w:val="1"/>
          <w:iCs w:val="1"/>
          <w:color w:val="auto"/>
        </w:rPr>
        <w:t xml:space="preserve">www.proxyvote.com </w:t>
      </w:r>
      <w:r>
        <w:rPr>
          <w:rFonts w:ascii="Arial" w:cs="Arial" w:eastAsia="Arial" w:hAnsi="Arial"/>
          <w:sz w:val="16"/>
          <w:szCs w:val="16"/>
          <w:color w:val="auto"/>
        </w:rPr>
        <w:t>or easily request a paper copy (see reverse</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side).</w:t>
      </w:r>
    </w:p>
    <w:p>
      <w:pPr>
        <w:spacing w:after="0" w:line="11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We encourage you to access and review all of the important</w:t>
      </w:r>
    </w:p>
    <w:p>
      <w:pPr>
        <w:spacing w:after="0" w:line="5"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70485</wp:posOffset>
            </wp:positionV>
            <wp:extent cx="2967355" cy="317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317500"/>
                    </a:xfrm>
                    <a:prstGeom prst="rect">
                      <a:avLst/>
                    </a:prstGeom>
                    <a:noFill/>
                  </pic:spPr>
                </pic:pic>
              </a:graphicData>
            </a:graphic>
          </wp:anchor>
        </w:drawing>
      </w:r>
    </w:p>
    <w:p>
      <w:pPr>
        <w:spacing w:after="0" w:line="104"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FFFFFF"/>
        </w:rPr>
        <w:t>See the reverse side of this notice to obtain</w:t>
      </w:r>
    </w:p>
    <w:p>
      <w:pPr>
        <w:spacing w:after="0" w:line="10"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FFFFFF"/>
        </w:rPr>
        <w:t>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300355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40"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Before You Vote</w:t>
      </w:r>
      <w:r>
        <w:rPr>
          <w:rFonts w:ascii="Arial" w:cs="Arial" w:eastAsia="Arial" w:hAnsi="Arial"/>
          <w:sz w:val="32"/>
          <w:szCs w:val="32"/>
          <w:color w:val="auto"/>
        </w:rPr>
        <w:t xml:space="preserve"> —</w:t>
      </w:r>
    </w:p>
    <w:p>
      <w:pPr>
        <w:spacing w:after="0" w:line="3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149860</wp:posOffset>
            </wp:positionV>
            <wp:extent cx="6367145" cy="25171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67145" cy="251714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20" w:lineRule="exact"/>
        <w:rPr>
          <w:sz w:val="20"/>
          <w:szCs w:val="20"/>
          <w:color w:val="auto"/>
        </w:rPr>
      </w:pPr>
    </w:p>
    <w:p>
      <w:pPr>
        <w:spacing w:after="0"/>
        <w:tabs>
          <w:tab w:leader="none" w:pos="3340" w:val="left"/>
        </w:tabs>
        <w:rPr>
          <w:sz w:val="20"/>
          <w:szCs w:val="20"/>
          <w:color w:val="auto"/>
        </w:rPr>
      </w:pPr>
      <w:r>
        <w:rPr>
          <w:rFonts w:ascii="Arial" w:cs="Arial" w:eastAsia="Arial" w:hAnsi="Arial"/>
          <w:sz w:val="18"/>
          <w:szCs w:val="18"/>
          <w:color w:val="auto"/>
        </w:rPr>
        <w:t>NOTICE AND PROXY STATEMENT</w:t>
      </w:r>
      <w:r>
        <w:rPr>
          <w:sz w:val="20"/>
          <w:szCs w:val="20"/>
          <w:color w:val="auto"/>
        </w:rPr>
        <w:tab/>
      </w:r>
      <w:r>
        <w:rPr>
          <w:rFonts w:ascii="Arial" w:cs="Arial" w:eastAsia="Arial" w:hAnsi="Arial"/>
          <w:sz w:val="17"/>
          <w:szCs w:val="17"/>
          <w:color w:val="auto"/>
        </w:rPr>
        <w:t>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Have the information that is printed in the box marked by the arrow è XXXX XXXX XXXX  (located on the following page)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and visit: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ind w:right="19"/>
        <w:spacing w:after="0" w:line="246"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2000" w:type="dxa"/>
        <w:tblCellMar>
          <w:top w:w="0" w:type="dxa"/>
          <w:left w:w="0" w:type="dxa"/>
          <w:bottom w:w="0" w:type="dxa"/>
          <w:right w:w="0" w:type="dxa"/>
        </w:tblCellMar>
      </w:tblPr>
      <w:tr>
        <w:trPr>
          <w:trHeight w:val="206"/>
        </w:trPr>
        <w:tc>
          <w:tcPr>
            <w:tcW w:w="180" w:type="dxa"/>
            <w:vAlign w:val="bottom"/>
          </w:tcPr>
          <w:p>
            <w:pPr>
              <w:jc w:val="right"/>
              <w:spacing w:after="0" w:line="206" w:lineRule="exact"/>
              <w:rPr>
                <w:sz w:val="20"/>
                <w:szCs w:val="20"/>
                <w:color w:val="auto"/>
              </w:rPr>
            </w:pPr>
            <w:r>
              <w:rPr>
                <w:rFonts w:ascii="Arial" w:cs="Arial" w:eastAsia="Arial" w:hAnsi="Arial"/>
                <w:sz w:val="18"/>
                <w:szCs w:val="18"/>
                <w:color w:val="auto"/>
                <w:w w:val="87"/>
              </w:rPr>
              <w:t>1)</w:t>
            </w:r>
          </w:p>
        </w:tc>
        <w:tc>
          <w:tcPr>
            <w:tcW w:w="1980" w:type="dxa"/>
            <w:vAlign w:val="bottom"/>
          </w:tcPr>
          <w:p>
            <w:pPr>
              <w:ind w:left="20"/>
              <w:spacing w:after="0" w:line="206" w:lineRule="exact"/>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900" w:type="dxa"/>
            <w:vAlign w:val="bottom"/>
          </w:tcPr>
          <w:p>
            <w:pPr>
              <w:ind w:left="520"/>
              <w:spacing w:after="0" w:line="206" w:lineRule="exact"/>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98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900" w:type="dxa"/>
            <w:vAlign w:val="bottom"/>
          </w:tcPr>
          <w:p>
            <w:pPr>
              <w:ind w:left="520"/>
              <w:spacing w:after="0" w:line="202" w:lineRule="exact"/>
              <w:rPr>
                <w:sz w:val="20"/>
                <w:szCs w:val="20"/>
                <w:color w:val="auto"/>
              </w:rPr>
            </w:pPr>
            <w:r>
              <w:rPr>
                <w:rFonts w:ascii="Arial" w:cs="Arial" w:eastAsia="Arial" w:hAnsi="Arial"/>
                <w:sz w:val="18"/>
                <w:szCs w:val="18"/>
                <w:color w:val="auto"/>
              </w:rPr>
              <w:t>1-800-579-1639</w:t>
            </w:r>
          </w:p>
        </w:tc>
      </w:tr>
      <w:tr>
        <w:trPr>
          <w:trHeight w:val="235"/>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98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900" w:type="dxa"/>
            <w:vAlign w:val="bottom"/>
          </w:tcPr>
          <w:p>
            <w:pPr>
              <w:ind w:left="520"/>
              <w:spacing w:after="0"/>
              <w:rPr>
                <w:sz w:val="20"/>
                <w:szCs w:val="20"/>
                <w:color w:val="auto"/>
              </w:rPr>
            </w:pPr>
            <w:r>
              <w:rPr>
                <w:rFonts w:ascii="Arial" w:cs="Arial" w:eastAsia="Arial" w:hAnsi="Arial"/>
                <w:sz w:val="18"/>
                <w:szCs w:val="18"/>
                <w:color w:val="auto"/>
                <w:w w:val="98"/>
              </w:rPr>
              <w:t>sendmaterial@proxyvote.com</w:t>
            </w:r>
          </w:p>
        </w:tc>
      </w:tr>
    </w:tbl>
    <w:p>
      <w:pPr>
        <w:spacing w:after="0" w:line="40" w:lineRule="exact"/>
        <w:rPr>
          <w:sz w:val="20"/>
          <w:szCs w:val="20"/>
          <w:color w:val="auto"/>
        </w:rPr>
      </w:pPr>
    </w:p>
    <w:p>
      <w:pPr>
        <w:ind w:right="19" w:firstLine="1"/>
        <w:spacing w:after="0" w:line="246" w:lineRule="auto"/>
        <w:tabs>
          <w:tab w:leader="none" w:pos="121"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requesting materials by e-mail, please send a blank e-mail with the information that is printed in the box marked by the arrow è XXXX XXXX XXXX (located on the following page) in the subject line.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w:t>
      </w:r>
    </w:p>
    <w:p>
      <w:pPr>
        <w:spacing w:after="0"/>
        <w:rPr>
          <w:sz w:val="20"/>
          <w:szCs w:val="20"/>
          <w:color w:val="auto"/>
        </w:rPr>
      </w:pPr>
      <w:r>
        <w:rPr>
          <w:rFonts w:ascii="Arial" w:cs="Arial" w:eastAsia="Arial" w:hAnsi="Arial"/>
          <w:sz w:val="18"/>
          <w:szCs w:val="18"/>
          <w:color w:val="auto"/>
        </w:rPr>
        <w:t>Please make the request as instructed above on or before May 4, 2011 to facilitate timely delivery.</w:t>
      </w:r>
    </w:p>
    <w:p>
      <w:pPr>
        <w:spacing w:after="0" w:line="200" w:lineRule="exact"/>
        <w:rPr>
          <w:sz w:val="20"/>
          <w:szCs w:val="20"/>
          <w:color w:val="auto"/>
        </w:rPr>
      </w:pP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32"/>
          <w:szCs w:val="32"/>
          <w:color w:val="auto"/>
        </w:rPr>
        <w:t xml:space="preserve">— </w:t>
      </w:r>
      <w:r>
        <w:rPr>
          <w:rFonts w:ascii="Arial" w:cs="Arial" w:eastAsia="Arial" w:hAnsi="Arial"/>
          <w:sz w:val="32"/>
          <w:szCs w:val="32"/>
          <w:b w:val="1"/>
          <w:bCs w:val="1"/>
          <w:color w:val="auto"/>
        </w:rPr>
        <w:t>How To Vote</w:t>
      </w:r>
      <w:r>
        <w:rPr>
          <w:rFonts w:ascii="Arial" w:cs="Arial" w:eastAsia="Arial" w:hAnsi="Arial"/>
          <w:sz w:val="32"/>
          <w:szCs w:val="32"/>
          <w:color w:val="auto"/>
        </w:rPr>
        <w:t xml:space="preserve"> —</w:t>
      </w:r>
    </w:p>
    <w:p>
      <w:pPr>
        <w:spacing w:after="0" w:line="31" w:lineRule="exact"/>
        <w:rPr>
          <w:sz w:val="20"/>
          <w:szCs w:val="20"/>
          <w:color w:val="auto"/>
        </w:rPr>
      </w:pPr>
    </w:p>
    <w:p>
      <w:pPr>
        <w:ind w:left="218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149860</wp:posOffset>
            </wp:positionV>
            <wp:extent cx="6367145" cy="1530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67145" cy="1530350"/>
                    </a:xfrm>
                    <a:prstGeom prst="rect">
                      <a:avLst/>
                    </a:prstGeom>
                    <a:noFill/>
                  </pic:spPr>
                </pic:pic>
              </a:graphicData>
            </a:graphic>
          </wp:anchor>
        </w:drawing>
      </w:r>
    </w:p>
    <w:p>
      <w:pPr>
        <w:spacing w:after="0" w:line="399" w:lineRule="exact"/>
        <w:rPr>
          <w:sz w:val="20"/>
          <w:szCs w:val="20"/>
          <w:color w:val="auto"/>
        </w:rPr>
      </w:pPr>
    </w:p>
    <w:p>
      <w:pPr>
        <w:jc w:val="both"/>
        <w:ind w:right="19"/>
        <w:spacing w:after="0" w:line="244"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If you choose to vote these shares in person at the meeting, you must request a “legal proxy.” To do so,</w:t>
      </w:r>
      <w:r>
        <w:rPr>
          <w:rFonts w:ascii="Arial" w:cs="Arial" w:eastAsia="Arial" w:hAnsi="Arial"/>
          <w:sz w:val="18"/>
          <w:szCs w:val="18"/>
          <w:b w:val="1"/>
          <w:bCs w:val="1"/>
          <w:color w:val="auto"/>
        </w:rPr>
        <w:t xml:space="preserve"> </w:t>
      </w:r>
      <w:r>
        <w:rPr>
          <w:rFonts w:ascii="Arial" w:cs="Arial" w:eastAsia="Arial" w:hAnsi="Arial"/>
          <w:sz w:val="18"/>
          <w:szCs w:val="18"/>
          <w:color w:val="auto"/>
        </w:rPr>
        <w:t>please follow the instructions at www.proxyvote.com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69" w:lineRule="exact"/>
        <w:rPr>
          <w:sz w:val="20"/>
          <w:szCs w:val="20"/>
          <w:color w:val="auto"/>
        </w:rPr>
      </w:pPr>
    </w:p>
    <w:p>
      <w:pPr>
        <w:jc w:val="both"/>
        <w:ind w:right="19"/>
        <w:spacing w:after="0" w:line="271"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w:t>
      </w:r>
      <w:r>
        <w:rPr>
          <w:rFonts w:ascii="Arial" w:cs="Arial" w:eastAsia="Arial" w:hAnsi="Arial"/>
          <w:sz w:val="18"/>
          <w:szCs w:val="18"/>
          <w:b w:val="1"/>
          <w:bCs w:val="1"/>
          <w:color w:val="auto"/>
        </w:rPr>
        <w:t xml:space="preserve"> </w:t>
      </w:r>
      <w:r>
        <w:rPr>
          <w:rFonts w:ascii="Arial" w:cs="Arial" w:eastAsia="Arial" w:hAnsi="Arial"/>
          <w:sz w:val="18"/>
          <w:szCs w:val="18"/>
          <w:color w:val="auto"/>
        </w:rPr>
        <w:t>marked by the arrow è XXXX XXXX XXXX available and follow the instructions.</w:t>
      </w:r>
    </w:p>
    <w:p>
      <w:pPr>
        <w:spacing w:after="0" w:line="59" w:lineRule="exact"/>
        <w:rPr>
          <w:sz w:val="20"/>
          <w:szCs w:val="20"/>
          <w:color w:val="auto"/>
        </w:rPr>
      </w:pPr>
    </w:p>
    <w:p>
      <w:pPr>
        <w:jc w:val="both"/>
        <w:ind w:right="19"/>
        <w:spacing w:after="0" w:line="271" w:lineRule="auto"/>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voting instruction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444500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39"/>
          </w:cols>
          <w:pgMar w:left="720" w:top="909" w:right="1440" w:bottom="1440" w:gutter="0" w:footer="0" w:header="0"/>
        </w:sectPr>
      </w:pPr>
    </w:p>
    <w:bookmarkStart w:id="3" w:name="page4"/>
    <w:bookmarkEnd w:id="3"/>
    <w:p>
      <w:pPr>
        <w:ind w:left="728"/>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369570</wp:posOffset>
            </wp:positionH>
            <wp:positionV relativeFrom="page">
              <wp:posOffset>747395</wp:posOffset>
            </wp:positionV>
            <wp:extent cx="1461770" cy="175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1770" cy="175895"/>
                    </a:xfrm>
                    <a:prstGeom prst="rect">
                      <a:avLst/>
                    </a:prstGeom>
                    <a:noFill/>
                  </pic:spPr>
                </pic:pic>
              </a:graphicData>
            </a:graphic>
          </wp:anchor>
        </w:drawing>
        <w:t>Voting Items</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FOR the following:</w:t>
      </w:r>
    </w:p>
    <w:p>
      <w:pPr>
        <w:spacing w:after="0" w:line="55" w:lineRule="exact"/>
        <w:rPr>
          <w:sz w:val="20"/>
          <w:szCs w:val="20"/>
          <w:color w:val="auto"/>
        </w:rPr>
      </w:pPr>
    </w:p>
    <w:p>
      <w:pPr>
        <w:ind w:left="168" w:hanging="168"/>
        <w:spacing w:after="0"/>
        <w:tabs>
          <w:tab w:leader="none" w:pos="168"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50" w:lineRule="exact"/>
        <w:rPr>
          <w:rFonts w:ascii="Arial" w:cs="Arial" w:eastAsia="Arial" w:hAnsi="Arial"/>
          <w:sz w:val="14"/>
          <w:szCs w:val="14"/>
          <w:color w:val="auto"/>
        </w:rPr>
      </w:pPr>
    </w:p>
    <w:p>
      <w:pPr>
        <w:ind w:left="168"/>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73" w:lineRule="exact"/>
        <w:rPr>
          <w:rFonts w:ascii="Arial" w:cs="Arial" w:eastAsia="Arial" w:hAnsi="Arial"/>
          <w:sz w:val="14"/>
          <w:szCs w:val="14"/>
          <w:color w:val="auto"/>
        </w:rPr>
      </w:pPr>
    </w:p>
    <w:p>
      <w:pPr>
        <w:ind w:left="488" w:hanging="258"/>
        <w:spacing w:after="0"/>
        <w:tabs>
          <w:tab w:leader="none" w:pos="488" w:val="left"/>
        </w:tabs>
        <w:numPr>
          <w:ilvl w:val="1"/>
          <w:numId w:val="7"/>
        </w:numPr>
        <w:rPr>
          <w:rFonts w:ascii="Arial" w:cs="Arial" w:eastAsia="Arial" w:hAnsi="Arial"/>
          <w:sz w:val="14"/>
          <w:szCs w:val="14"/>
          <w:color w:val="auto"/>
        </w:rPr>
      </w:pPr>
      <w:r>
        <w:rPr>
          <w:rFonts w:ascii="Arial" w:cs="Arial" w:eastAsia="Arial" w:hAnsi="Arial"/>
          <w:sz w:val="14"/>
          <w:szCs w:val="14"/>
          <w:color w:val="auto"/>
        </w:rPr>
        <w:t>William C. Erbey</w:t>
      </w:r>
    </w:p>
    <w:p>
      <w:pPr>
        <w:spacing w:after="0" w:line="1" w:lineRule="exact"/>
        <w:rPr>
          <w:rFonts w:ascii="Arial" w:cs="Arial" w:eastAsia="Arial" w:hAnsi="Arial"/>
          <w:sz w:val="14"/>
          <w:szCs w:val="14"/>
          <w:color w:val="auto"/>
        </w:rPr>
      </w:pPr>
    </w:p>
    <w:p>
      <w:pPr>
        <w:ind w:left="488" w:hanging="258"/>
        <w:spacing w:after="0"/>
        <w:tabs>
          <w:tab w:leader="none" w:pos="488" w:val="left"/>
        </w:tabs>
        <w:numPr>
          <w:ilvl w:val="1"/>
          <w:numId w:val="7"/>
        </w:numPr>
        <w:rPr>
          <w:rFonts w:ascii="Arial" w:cs="Arial" w:eastAsia="Arial" w:hAnsi="Arial"/>
          <w:sz w:val="14"/>
          <w:szCs w:val="14"/>
          <w:color w:val="auto"/>
        </w:rPr>
      </w:pPr>
      <w:r>
        <w:rPr>
          <w:rFonts w:ascii="Arial" w:cs="Arial" w:eastAsia="Arial" w:hAnsi="Arial"/>
          <w:sz w:val="14"/>
          <w:szCs w:val="14"/>
          <w:color w:val="auto"/>
        </w:rPr>
        <w:t>William B. Shepro</w:t>
      </w:r>
    </w:p>
    <w:p>
      <w:pPr>
        <w:spacing w:after="0" w:line="1" w:lineRule="exact"/>
        <w:rPr>
          <w:rFonts w:ascii="Arial" w:cs="Arial" w:eastAsia="Arial" w:hAnsi="Arial"/>
          <w:sz w:val="14"/>
          <w:szCs w:val="14"/>
          <w:color w:val="auto"/>
        </w:rPr>
      </w:pPr>
    </w:p>
    <w:p>
      <w:pPr>
        <w:ind w:left="488" w:hanging="258"/>
        <w:spacing w:after="0"/>
        <w:tabs>
          <w:tab w:leader="none" w:pos="488" w:val="left"/>
        </w:tabs>
        <w:numPr>
          <w:ilvl w:val="1"/>
          <w:numId w:val="7"/>
        </w:numPr>
        <w:rPr>
          <w:rFonts w:ascii="Arial" w:cs="Arial" w:eastAsia="Arial" w:hAnsi="Arial"/>
          <w:sz w:val="14"/>
          <w:szCs w:val="14"/>
          <w:color w:val="auto"/>
        </w:rPr>
      </w:pPr>
      <w:r>
        <w:rPr>
          <w:rFonts w:ascii="Arial" w:cs="Arial" w:eastAsia="Arial" w:hAnsi="Arial"/>
          <w:sz w:val="14"/>
          <w:szCs w:val="14"/>
          <w:color w:val="auto"/>
        </w:rPr>
        <w:t>Roland Müller-Ineichen</w:t>
      </w:r>
    </w:p>
    <w:p>
      <w:pPr>
        <w:spacing w:after="0" w:line="1" w:lineRule="exact"/>
        <w:rPr>
          <w:rFonts w:ascii="Arial" w:cs="Arial" w:eastAsia="Arial" w:hAnsi="Arial"/>
          <w:sz w:val="14"/>
          <w:szCs w:val="14"/>
          <w:color w:val="auto"/>
        </w:rPr>
      </w:pPr>
    </w:p>
    <w:p>
      <w:pPr>
        <w:ind w:left="488" w:hanging="258"/>
        <w:spacing w:after="0"/>
        <w:tabs>
          <w:tab w:leader="none" w:pos="488" w:val="left"/>
        </w:tabs>
        <w:numPr>
          <w:ilvl w:val="1"/>
          <w:numId w:val="7"/>
        </w:numPr>
        <w:rPr>
          <w:rFonts w:ascii="Arial" w:cs="Arial" w:eastAsia="Arial" w:hAnsi="Arial"/>
          <w:sz w:val="14"/>
          <w:szCs w:val="14"/>
          <w:color w:val="auto"/>
        </w:rPr>
      </w:pPr>
      <w:r>
        <w:rPr>
          <w:rFonts w:ascii="Arial" w:cs="Arial" w:eastAsia="Arial" w:hAnsi="Arial"/>
          <w:sz w:val="14"/>
          <w:szCs w:val="14"/>
          <w:color w:val="auto"/>
        </w:rPr>
        <w:t>Timo Vättö</w:t>
      </w:r>
    </w:p>
    <w:p>
      <w:pPr>
        <w:spacing w:after="0" w:line="1" w:lineRule="exact"/>
        <w:rPr>
          <w:rFonts w:ascii="Arial" w:cs="Arial" w:eastAsia="Arial" w:hAnsi="Arial"/>
          <w:sz w:val="14"/>
          <w:szCs w:val="14"/>
          <w:color w:val="auto"/>
        </w:rPr>
      </w:pPr>
    </w:p>
    <w:p>
      <w:pPr>
        <w:ind w:left="488" w:hanging="258"/>
        <w:spacing w:after="0"/>
        <w:tabs>
          <w:tab w:leader="none" w:pos="488" w:val="left"/>
        </w:tabs>
        <w:numPr>
          <w:ilvl w:val="1"/>
          <w:numId w:val="7"/>
        </w:numPr>
        <w:rPr>
          <w:rFonts w:ascii="Arial" w:cs="Arial" w:eastAsia="Arial" w:hAnsi="Arial"/>
          <w:sz w:val="14"/>
          <w:szCs w:val="14"/>
          <w:color w:val="auto"/>
        </w:rPr>
      </w:pPr>
      <w:r>
        <w:rPr>
          <w:rFonts w:ascii="Arial" w:cs="Arial" w:eastAsia="Arial" w:hAnsi="Arial"/>
          <w:sz w:val="14"/>
          <w:szCs w:val="14"/>
          <w:color w:val="auto"/>
        </w:rPr>
        <w:t>W. Michael Linn</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The Board of Directors recommends you vote</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FOR the following proposals:</w:t>
      </w:r>
    </w:p>
    <w:p>
      <w:pPr>
        <w:spacing w:after="0" w:line="177" w:lineRule="exact"/>
        <w:rPr>
          <w:sz w:val="20"/>
          <w:szCs w:val="20"/>
          <w:color w:val="auto"/>
        </w:rPr>
      </w:pPr>
    </w:p>
    <w:p>
      <w:pPr>
        <w:jc w:val="both"/>
        <w:ind w:left="168" w:right="754" w:hanging="168"/>
        <w:spacing w:after="0" w:line="244" w:lineRule="auto"/>
        <w:tabs>
          <w:tab w:leader="none" w:pos="168"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Proposal to ratify the appointment of Deloitte &amp; Touche LLP to be our independent registered certified public accounting firm for the year ending December 31, 2011 and Deloitte S.A. to be our certified auditor for all statutory accounts as required by Luxembourg law for the same period</w:t>
      </w:r>
    </w:p>
    <w:p>
      <w:pPr>
        <w:spacing w:after="0" w:line="152" w:lineRule="exact"/>
        <w:rPr>
          <w:rFonts w:ascii="Arial" w:cs="Arial" w:eastAsia="Arial" w:hAnsi="Arial"/>
          <w:sz w:val="14"/>
          <w:szCs w:val="14"/>
          <w:color w:val="auto"/>
        </w:rPr>
      </w:pPr>
    </w:p>
    <w:p>
      <w:pPr>
        <w:ind w:left="168" w:right="734" w:hanging="168"/>
        <w:spacing w:after="0" w:line="258" w:lineRule="auto"/>
        <w:tabs>
          <w:tab w:leader="none" w:pos="168"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Proposal to approve and ratify the Directors’ report for the year ended December 31, 2010</w:t>
      </w:r>
    </w:p>
    <w:p>
      <w:pPr>
        <w:spacing w:after="0" w:line="140" w:lineRule="exact"/>
        <w:rPr>
          <w:rFonts w:ascii="Arial" w:cs="Arial" w:eastAsia="Arial" w:hAnsi="Arial"/>
          <w:sz w:val="14"/>
          <w:szCs w:val="14"/>
          <w:color w:val="auto"/>
        </w:rPr>
      </w:pPr>
    </w:p>
    <w:p>
      <w:pPr>
        <w:jc w:val="both"/>
        <w:ind w:left="168" w:right="734" w:hanging="168"/>
        <w:spacing w:after="0" w:line="247" w:lineRule="auto"/>
        <w:tabs>
          <w:tab w:leader="none" w:pos="168"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Proposal to approve the Luxembourg statutory accounts for the year ended December 31, 2010 and to allocate the results of the year ended December 31, 2010</w:t>
      </w:r>
    </w:p>
    <w:p>
      <w:pPr>
        <w:spacing w:after="0" w:line="147" w:lineRule="exact"/>
        <w:rPr>
          <w:rFonts w:ascii="Arial" w:cs="Arial" w:eastAsia="Arial" w:hAnsi="Arial"/>
          <w:sz w:val="14"/>
          <w:szCs w:val="14"/>
          <w:color w:val="auto"/>
        </w:rPr>
      </w:pPr>
    </w:p>
    <w:p>
      <w:pPr>
        <w:jc w:val="both"/>
        <w:ind w:left="168" w:right="734" w:hanging="168"/>
        <w:spacing w:after="0" w:line="247" w:lineRule="auto"/>
        <w:tabs>
          <w:tab w:leader="none" w:pos="168"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Proposal to discharge each of the current and past Directors of Altisource Portfolio Solutions S.A. for the performance of their mandate during the year ended December 31, 2010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
        <w:spacing w:after="0"/>
        <w:rPr>
          <w:sz w:val="20"/>
          <w:szCs w:val="20"/>
          <w:color w:val="auto"/>
        </w:rPr>
      </w:pPr>
      <w:r>
        <w:rPr>
          <w:rFonts w:ascii="Arial" w:cs="Arial" w:eastAsia="Arial" w:hAnsi="Arial"/>
          <w:sz w:val="14"/>
          <w:szCs w:val="14"/>
          <w:color w:val="auto"/>
        </w:rPr>
        <w:t>6. An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2752725</wp:posOffset>
            </wp:positionH>
            <wp:positionV relativeFrom="paragraph">
              <wp:posOffset>-850900</wp:posOffset>
            </wp:positionV>
            <wp:extent cx="334645"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645" cy="283210"/>
                    </a:xfrm>
                    <a:prstGeom prst="rect">
                      <a:avLst/>
                    </a:prstGeom>
                    <a:noFill/>
                  </pic:spPr>
                </pic:pic>
              </a:graphicData>
            </a:graphic>
          </wp:anchor>
        </w:drawing>
      </w:r>
    </w:p>
    <w:p>
      <w:pPr>
        <w:spacing w:after="0" w:line="139" w:lineRule="exact"/>
        <w:rPr>
          <w:sz w:val="20"/>
          <w:szCs w:val="20"/>
          <w:color w:val="auto"/>
        </w:rPr>
      </w:pPr>
    </w:p>
    <w:p>
      <w:pPr>
        <w:ind w:left="6" w:right="939"/>
        <w:spacing w:after="0" w:line="285" w:lineRule="auto"/>
        <w:rPr>
          <w:sz w:val="20"/>
          <w:szCs w:val="20"/>
          <w:color w:val="auto"/>
        </w:rPr>
      </w:pPr>
      <w:r>
        <w:rPr>
          <w:rFonts w:ascii="Arial" w:cs="Arial" w:eastAsia="Arial" w:hAnsi="Arial"/>
          <w:sz w:val="14"/>
          <w:szCs w:val="14"/>
          <w:b w:val="1"/>
          <w:bCs w:val="1"/>
          <w:color w:val="auto"/>
        </w:rPr>
        <w:t>The Board of Directors recommends you vote 3 years on the following proposal:</w:t>
      </w:r>
    </w:p>
    <w:p>
      <w:pPr>
        <w:spacing w:after="0" w:line="230" w:lineRule="exact"/>
        <w:rPr>
          <w:sz w:val="20"/>
          <w:szCs w:val="20"/>
          <w:color w:val="auto"/>
        </w:rPr>
      </w:pPr>
    </w:p>
    <w:p>
      <w:pPr>
        <w:ind w:left="166" w:right="939" w:hanging="166"/>
        <w:spacing w:after="0" w:line="258" w:lineRule="auto"/>
        <w:tabs>
          <w:tab w:leader="none" w:pos="166" w:val="left"/>
        </w:tabs>
        <w:numPr>
          <w:ilvl w:val="0"/>
          <w:numId w:val="9"/>
        </w:numPr>
        <w:rPr>
          <w:rFonts w:ascii="Arial" w:cs="Arial" w:eastAsia="Arial" w:hAnsi="Arial"/>
          <w:sz w:val="14"/>
          <w:szCs w:val="14"/>
          <w:color w:val="auto"/>
        </w:rPr>
      </w:pPr>
      <w:r>
        <w:rPr>
          <w:rFonts w:ascii="Arial" w:cs="Arial" w:eastAsia="Arial" w:hAnsi="Arial"/>
          <w:sz w:val="14"/>
          <w:szCs w:val="14"/>
          <w:color w:val="auto"/>
        </w:rPr>
        <w:t>An advisory vote on the frequency of holding an advisory vote on executive compensation</w:t>
      </w:r>
    </w:p>
    <w:p>
      <w:pPr>
        <w:spacing w:after="0" w:line="136" w:lineRule="exact"/>
        <w:rPr>
          <w:sz w:val="20"/>
          <w:szCs w:val="20"/>
          <w:color w:val="auto"/>
        </w:rPr>
      </w:pPr>
    </w:p>
    <w:p>
      <w:pPr>
        <w:ind w:left="6" w:right="939"/>
        <w:spacing w:after="0" w:line="285" w:lineRule="auto"/>
        <w:rPr>
          <w:sz w:val="20"/>
          <w:szCs w:val="20"/>
          <w:color w:val="auto"/>
        </w:rPr>
      </w:pPr>
      <w:r>
        <w:rPr>
          <w:rFonts w:ascii="Arial" w:cs="Arial" w:eastAsia="Arial" w:hAnsi="Arial"/>
          <w:sz w:val="14"/>
          <w:szCs w:val="14"/>
          <w:b w:val="1"/>
          <w:bCs w:val="1"/>
          <w:color w:val="auto"/>
        </w:rPr>
        <w:t>The Board of Directors recommends you vote FOR the following proposal:</w:t>
      </w:r>
    </w:p>
    <w:p>
      <w:pPr>
        <w:spacing w:after="0" w:line="230" w:lineRule="exact"/>
        <w:rPr>
          <w:sz w:val="20"/>
          <w:szCs w:val="20"/>
          <w:color w:val="auto"/>
        </w:rPr>
      </w:pPr>
    </w:p>
    <w:p>
      <w:pPr>
        <w:ind w:left="6"/>
        <w:spacing w:after="0"/>
        <w:rPr>
          <w:sz w:val="20"/>
          <w:szCs w:val="20"/>
          <w:color w:val="auto"/>
        </w:rPr>
      </w:pPr>
      <w:r>
        <w:rPr>
          <w:rFonts w:ascii="Arial" w:cs="Arial" w:eastAsia="Arial" w:hAnsi="Arial"/>
          <w:sz w:val="14"/>
          <w:szCs w:val="14"/>
          <w:color w:val="auto"/>
        </w:rPr>
        <w:t>8. Proposal to approve a change in Directors’ Compensation</w:t>
      </w:r>
    </w:p>
    <w:p>
      <w:pPr>
        <w:spacing w:after="0" w:line="253" w:lineRule="exact"/>
        <w:rPr>
          <w:sz w:val="20"/>
          <w:szCs w:val="20"/>
          <w:color w:val="auto"/>
        </w:rPr>
      </w:pPr>
    </w:p>
    <w:p>
      <w:pPr>
        <w:ind w:left="6" w:right="939"/>
        <w:spacing w:after="0" w:line="285"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w:t>
      </w:r>
      <w:r>
        <w:rPr>
          <w:rFonts w:ascii="Arial" w:cs="Arial" w:eastAsia="Arial" w:hAnsi="Arial"/>
          <w:sz w:val="14"/>
          <w:szCs w:val="14"/>
          <w:b w:val="1"/>
          <w:bCs w:val="1"/>
          <w:color w:val="auto"/>
        </w:rPr>
        <w:t xml:space="preserve"> </w:t>
      </w:r>
      <w:r>
        <w:rPr>
          <w:rFonts w:ascii="Arial" w:cs="Arial" w:eastAsia="Arial" w:hAnsi="Arial"/>
          <w:sz w:val="14"/>
          <w:szCs w:val="14"/>
          <w:color w:val="auto"/>
        </w:rPr>
        <w:t>meeting or any adjournment thereof.</w:t>
      </w:r>
    </w:p>
    <w:sectPr>
      <w:pgSz w:w="11900" w:h="16838" w:orient="portrait"/>
      <w:cols w:equalWidth="0" w:num="2">
        <w:col w:w="4142" w:space="720"/>
        <w:col w:w="5025"/>
      </w:cols>
      <w:pgMar w:left="572" w:top="1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o"/>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2019-12-11T07:56:59Z</dcterms:created>
  <dcterms:modified xsi:type="dcterms:W3CDTF">2019-12-11T07:56:59Z</dcterms:modified>
</cp:coreProperties>
</file>